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1E7AE5" w14:textId="434F465E" w:rsidR="00AA41EB" w:rsidRDefault="00AA41EB" w:rsidP="007D441C">
      <w:pPr>
        <w:jc w:val="center"/>
        <w:rPr>
          <w:i/>
          <w:sz w:val="32"/>
          <w:szCs w:val="32"/>
        </w:rPr>
      </w:pPr>
    </w:p>
    <w:p w14:paraId="7C5D65A6" w14:textId="77777777" w:rsidR="00AA41EB" w:rsidRDefault="00AA41EB" w:rsidP="00AA41EB">
      <w:pPr>
        <w:jc w:val="right"/>
        <w:rPr>
          <w:i/>
          <w:sz w:val="32"/>
          <w:szCs w:val="32"/>
        </w:rPr>
      </w:pPr>
    </w:p>
    <w:p w14:paraId="261195EE" w14:textId="77777777" w:rsidR="00AA41EB" w:rsidRDefault="00AA41EB" w:rsidP="00AA41EB">
      <w:pPr>
        <w:jc w:val="center"/>
        <w:rPr>
          <w:sz w:val="52"/>
          <w:szCs w:val="52"/>
        </w:rPr>
      </w:pPr>
      <w:r>
        <w:rPr>
          <w:noProof/>
          <w:lang w:eastAsia="hr-HR"/>
        </w:rPr>
        <w:drawing>
          <wp:inline distT="0" distB="0" distL="0" distR="0" wp14:anchorId="703F71D9" wp14:editId="4CFF74BD">
            <wp:extent cx="2470068" cy="1109635"/>
            <wp:effectExtent l="0" t="0" r="6985" b="0"/>
            <wp:docPr id="1" name="Picture 1" descr="HALMED logo p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LMED logo pun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835" cy="1108183"/>
                    </a:xfrm>
                    <a:prstGeom prst="rect">
                      <a:avLst/>
                    </a:prstGeom>
                    <a:noFill/>
                    <a:ln>
                      <a:noFill/>
                    </a:ln>
                  </pic:spPr>
                </pic:pic>
              </a:graphicData>
            </a:graphic>
          </wp:inline>
        </w:drawing>
      </w:r>
    </w:p>
    <w:p w14:paraId="0BB1926C" w14:textId="77777777" w:rsidR="00AA41EB" w:rsidRDefault="00AA41EB" w:rsidP="00AA41EB">
      <w:pPr>
        <w:jc w:val="center"/>
        <w:rPr>
          <w:sz w:val="52"/>
          <w:szCs w:val="52"/>
        </w:rPr>
      </w:pPr>
    </w:p>
    <w:p w14:paraId="364AED3C" w14:textId="77777777" w:rsidR="00AA41EB" w:rsidRDefault="00AA41EB" w:rsidP="00AA41EB">
      <w:pPr>
        <w:jc w:val="center"/>
        <w:rPr>
          <w:sz w:val="52"/>
          <w:szCs w:val="52"/>
        </w:rPr>
      </w:pPr>
    </w:p>
    <w:p w14:paraId="737BF2E2" w14:textId="77777777" w:rsidR="00AA41EB" w:rsidRDefault="00AA41EB" w:rsidP="00AA41EB">
      <w:pPr>
        <w:jc w:val="center"/>
        <w:rPr>
          <w:sz w:val="52"/>
          <w:szCs w:val="52"/>
        </w:rPr>
      </w:pPr>
    </w:p>
    <w:p w14:paraId="7521AB01" w14:textId="77777777" w:rsidR="00AA41EB" w:rsidRDefault="00AA41EB" w:rsidP="00AA41EB">
      <w:pPr>
        <w:spacing w:after="240"/>
        <w:jc w:val="center"/>
        <w:rPr>
          <w:sz w:val="52"/>
          <w:szCs w:val="52"/>
        </w:rPr>
      </w:pPr>
      <w:r>
        <w:rPr>
          <w:sz w:val="52"/>
          <w:szCs w:val="52"/>
        </w:rPr>
        <w:t>IZVJEŠĆE O IZVRŠENJU POSLOVNOG</w:t>
      </w:r>
    </w:p>
    <w:p w14:paraId="27AA3C93" w14:textId="77777777" w:rsidR="00AA41EB" w:rsidRDefault="00AA41EB" w:rsidP="00AA41EB">
      <w:pPr>
        <w:spacing w:after="240"/>
        <w:jc w:val="center"/>
        <w:rPr>
          <w:sz w:val="52"/>
          <w:szCs w:val="52"/>
        </w:rPr>
      </w:pPr>
      <w:r>
        <w:rPr>
          <w:sz w:val="52"/>
          <w:szCs w:val="52"/>
        </w:rPr>
        <w:t>PLANA ZA RAZDOBLJE</w:t>
      </w:r>
    </w:p>
    <w:p w14:paraId="48E2ACF1" w14:textId="3FA88E42" w:rsidR="00AA41EB" w:rsidRDefault="00AA41EB" w:rsidP="00AA41EB">
      <w:pPr>
        <w:spacing w:after="240"/>
        <w:jc w:val="center"/>
        <w:rPr>
          <w:sz w:val="52"/>
          <w:szCs w:val="52"/>
        </w:rPr>
      </w:pPr>
      <w:r>
        <w:rPr>
          <w:sz w:val="52"/>
          <w:szCs w:val="52"/>
        </w:rPr>
        <w:t xml:space="preserve">od 1. siječnja do </w:t>
      </w:r>
      <w:r w:rsidR="00803559">
        <w:rPr>
          <w:sz w:val="52"/>
          <w:szCs w:val="52"/>
        </w:rPr>
        <w:t>3</w:t>
      </w:r>
      <w:r w:rsidR="00B1059C">
        <w:rPr>
          <w:sz w:val="52"/>
          <w:szCs w:val="52"/>
        </w:rPr>
        <w:t>1</w:t>
      </w:r>
      <w:r w:rsidR="00803559">
        <w:rPr>
          <w:sz w:val="52"/>
          <w:szCs w:val="52"/>
        </w:rPr>
        <w:t xml:space="preserve">. </w:t>
      </w:r>
      <w:r w:rsidR="00B1059C">
        <w:rPr>
          <w:sz w:val="52"/>
          <w:szCs w:val="52"/>
        </w:rPr>
        <w:t xml:space="preserve">prosinca </w:t>
      </w:r>
      <w:r>
        <w:rPr>
          <w:sz w:val="52"/>
          <w:szCs w:val="52"/>
        </w:rPr>
        <w:t>202</w:t>
      </w:r>
      <w:r w:rsidR="0094151C">
        <w:rPr>
          <w:sz w:val="52"/>
          <w:szCs w:val="52"/>
        </w:rPr>
        <w:t>3</w:t>
      </w:r>
      <w:r>
        <w:rPr>
          <w:sz w:val="52"/>
          <w:szCs w:val="52"/>
        </w:rPr>
        <w:t>.</w:t>
      </w:r>
    </w:p>
    <w:p w14:paraId="3B1175B7" w14:textId="77777777" w:rsidR="00AA41EB" w:rsidRDefault="00AA41EB" w:rsidP="00AA41EB">
      <w:pPr>
        <w:jc w:val="center"/>
        <w:rPr>
          <w:sz w:val="52"/>
          <w:szCs w:val="52"/>
        </w:rPr>
      </w:pPr>
    </w:p>
    <w:p w14:paraId="27DDB0FE" w14:textId="77777777" w:rsidR="00AA41EB" w:rsidRDefault="00AA41EB" w:rsidP="00AA41EB">
      <w:pPr>
        <w:jc w:val="center"/>
        <w:rPr>
          <w:sz w:val="52"/>
          <w:szCs w:val="52"/>
        </w:rPr>
      </w:pPr>
    </w:p>
    <w:p w14:paraId="652CC180" w14:textId="77777777" w:rsidR="00AA41EB" w:rsidRDefault="00AA41EB" w:rsidP="00AA41EB">
      <w:pPr>
        <w:spacing w:after="240"/>
        <w:jc w:val="center"/>
        <w:rPr>
          <w:sz w:val="24"/>
          <w:szCs w:val="24"/>
        </w:rPr>
      </w:pPr>
    </w:p>
    <w:p w14:paraId="0108414B" w14:textId="303FEF62" w:rsidR="00AA41EB" w:rsidRDefault="00AA41EB" w:rsidP="00AA41EB">
      <w:pPr>
        <w:spacing w:after="240"/>
        <w:jc w:val="center"/>
        <w:rPr>
          <w:sz w:val="24"/>
          <w:szCs w:val="24"/>
        </w:rPr>
      </w:pPr>
      <w:r w:rsidRPr="00572A9B">
        <w:rPr>
          <w:sz w:val="24"/>
          <w:szCs w:val="24"/>
        </w:rPr>
        <w:t xml:space="preserve">Zagreb, </w:t>
      </w:r>
      <w:r>
        <w:rPr>
          <w:sz w:val="24"/>
          <w:szCs w:val="24"/>
        </w:rPr>
        <w:t xml:space="preserve"> </w:t>
      </w:r>
      <w:r w:rsidR="00B1059C">
        <w:rPr>
          <w:sz w:val="24"/>
          <w:szCs w:val="24"/>
        </w:rPr>
        <w:t>travanj 2024</w:t>
      </w:r>
      <w:r>
        <w:rPr>
          <w:sz w:val="24"/>
          <w:szCs w:val="24"/>
        </w:rPr>
        <w:t>. godine</w:t>
      </w:r>
    </w:p>
    <w:p w14:paraId="34BD7C0A" w14:textId="74D641B1" w:rsidR="00AA41EB" w:rsidRDefault="00AA41EB" w:rsidP="00AA41EB">
      <w:pPr>
        <w:spacing w:after="200" w:line="276" w:lineRule="auto"/>
        <w:jc w:val="center"/>
        <w:rPr>
          <w:i/>
        </w:rPr>
      </w:pPr>
      <w:bookmarkStart w:id="0" w:name="_Toc530140463"/>
      <w:bookmarkStart w:id="1" w:name="_Toc530140296"/>
    </w:p>
    <w:p w14:paraId="4CF5E0C6" w14:textId="00E208A5" w:rsidR="008B34CD" w:rsidRDefault="008B34CD" w:rsidP="008B34CD">
      <w:pPr>
        <w:spacing w:after="240"/>
        <w:jc w:val="center"/>
      </w:pPr>
      <w:r>
        <w:t xml:space="preserve">Vlada Republike Hrvatske je na sjednici održanoj dana </w:t>
      </w:r>
      <w:r>
        <w:t>11</w:t>
      </w:r>
      <w:r>
        <w:t>. srpnja 202</w:t>
      </w:r>
      <w:r>
        <w:t>4</w:t>
      </w:r>
      <w:r>
        <w:t>. godine donijela Zaključak o prihvaćanju Izvješća Agencije za lijekove i medicinske proizvode o izvršenju Poslovnog plana za 202</w:t>
      </w:r>
      <w:r>
        <w:t>3</w:t>
      </w:r>
      <w:r>
        <w:t>. godinu KLASA: 022-03/2</w:t>
      </w:r>
      <w:r>
        <w:t>4</w:t>
      </w:r>
      <w:r>
        <w:t>-07/</w:t>
      </w:r>
      <w:r>
        <w:t>176</w:t>
      </w:r>
      <w:r>
        <w:t>, URBROJ: 50301-04/1</w:t>
      </w:r>
      <w:r>
        <w:t>5</w:t>
      </w:r>
      <w:r>
        <w:t>-2</w:t>
      </w:r>
      <w:r>
        <w:t>4</w:t>
      </w:r>
      <w:r>
        <w:t>-</w:t>
      </w:r>
      <w:r>
        <w:t>8</w:t>
      </w:r>
    </w:p>
    <w:p w14:paraId="0FBCF6DB" w14:textId="3C04F058" w:rsidR="008B34CD" w:rsidRDefault="008B34CD" w:rsidP="008B34CD">
      <w:pPr>
        <w:jc w:val="center"/>
      </w:pPr>
      <w:r>
        <w:t xml:space="preserve">Upravno vijeće Agencije za lijekove i medicinske poslove je na svojoj sjednici održanoj </w:t>
      </w:r>
      <w:r>
        <w:t>14</w:t>
      </w:r>
      <w:r>
        <w:t>. svibnja 202</w:t>
      </w:r>
      <w:r>
        <w:t>4</w:t>
      </w:r>
      <w:r>
        <w:t>. godine donijelo Odluku o donošenju Izvješća o izvršenju Poslovnog plana za 202</w:t>
      </w:r>
      <w:r>
        <w:t>3</w:t>
      </w:r>
      <w:r>
        <w:t xml:space="preserve">. godinu Agencije za lijekove i medicinske proizvode </w:t>
      </w:r>
    </w:p>
    <w:p w14:paraId="5F56EAC0" w14:textId="0FD7AF3D" w:rsidR="008B34CD" w:rsidRDefault="008B34CD" w:rsidP="008B34CD">
      <w:pPr>
        <w:jc w:val="center"/>
        <w:rPr>
          <w:sz w:val="24"/>
          <w:szCs w:val="24"/>
        </w:rPr>
      </w:pPr>
      <w:r>
        <w:t>KLASA: 007-02/2</w:t>
      </w:r>
      <w:r>
        <w:t>4</w:t>
      </w:r>
      <w:r>
        <w:t>-03/0</w:t>
      </w:r>
      <w:r>
        <w:t>9</w:t>
      </w:r>
      <w:r>
        <w:t>, URBROJ: 381-14-10/132-2</w:t>
      </w:r>
      <w:r>
        <w:t>4</w:t>
      </w:r>
      <w:r>
        <w:t>-03</w:t>
      </w:r>
    </w:p>
    <w:p w14:paraId="2478B49F" w14:textId="77777777" w:rsidR="008B34CD" w:rsidRDefault="008B34CD" w:rsidP="008B34CD">
      <w:pPr>
        <w:spacing w:after="200" w:line="276" w:lineRule="auto"/>
        <w:jc w:val="center"/>
        <w:rPr>
          <w:i/>
        </w:rPr>
      </w:pPr>
    </w:p>
    <w:p w14:paraId="5AA3084E" w14:textId="6C07DC6B" w:rsidR="008B34CD" w:rsidRDefault="008B34CD" w:rsidP="00AA41EB">
      <w:pPr>
        <w:spacing w:after="200" w:line="276" w:lineRule="auto"/>
        <w:jc w:val="center"/>
        <w:rPr>
          <w:i/>
        </w:rPr>
      </w:pPr>
    </w:p>
    <w:p w14:paraId="049FEB30" w14:textId="77777777" w:rsidR="008B34CD" w:rsidRDefault="008B34CD" w:rsidP="00AA41EB">
      <w:pPr>
        <w:spacing w:after="200" w:line="276" w:lineRule="auto"/>
        <w:jc w:val="center"/>
        <w:rPr>
          <w:i/>
        </w:rPr>
      </w:pPr>
    </w:p>
    <w:bookmarkStart w:id="2" w:name="_GoBack" w:displacedByCustomXml="next"/>
    <w:bookmarkEnd w:id="2" w:displacedByCustomXml="next"/>
    <w:bookmarkEnd w:id="1" w:displacedByCustomXml="next"/>
    <w:bookmarkEnd w:id="0" w:displacedByCustomXml="next"/>
    <w:bookmarkStart w:id="3" w:name="_Toc26534607" w:displacedByCustomXml="next"/>
    <w:bookmarkStart w:id="4" w:name="_Toc26534478" w:displacedByCustomXml="next"/>
    <w:bookmarkStart w:id="5" w:name="_Toc13476119" w:displacedByCustomXml="next"/>
    <w:bookmarkStart w:id="6" w:name="_Toc13484429" w:displacedByCustomXml="next"/>
    <w:bookmarkStart w:id="7" w:name="_Toc165035425" w:displacedByCustomXml="next"/>
    <w:sdt>
      <w:sdtPr>
        <w:rPr>
          <w:rFonts w:eastAsiaTheme="minorHAnsi" w:cstheme="minorBidi"/>
          <w:b w:val="0"/>
          <w:bCs w:val="0"/>
          <w:color w:val="auto"/>
          <w:sz w:val="22"/>
          <w:szCs w:val="22"/>
        </w:rPr>
        <w:id w:val="1235971689"/>
        <w:docPartObj>
          <w:docPartGallery w:val="Table of Contents"/>
          <w:docPartUnique/>
        </w:docPartObj>
      </w:sdtPr>
      <w:sdtEndPr/>
      <w:sdtContent>
        <w:bookmarkStart w:id="8" w:name="_Toc13233502" w:displacedByCustomXml="prev"/>
        <w:p w14:paraId="644C6266" w14:textId="77777777" w:rsidR="00AA41EB" w:rsidRPr="00AA00F6" w:rsidRDefault="00AA41EB" w:rsidP="00AA41EB">
          <w:pPr>
            <w:pStyle w:val="Heading1"/>
          </w:pPr>
          <w:r w:rsidRPr="00A43EA9">
            <w:t>SADRŽAJ</w:t>
          </w:r>
          <w:bookmarkEnd w:id="8"/>
          <w:bookmarkEnd w:id="7"/>
          <w:bookmarkEnd w:id="6"/>
          <w:bookmarkEnd w:id="5"/>
          <w:bookmarkEnd w:id="4"/>
          <w:bookmarkEnd w:id="3"/>
        </w:p>
        <w:sdt>
          <w:sdtPr>
            <w:rPr>
              <w:rFonts w:cstheme="minorBidi"/>
              <w:b w:val="0"/>
              <w:bCs w:val="0"/>
              <w:sz w:val="22"/>
              <w:szCs w:val="22"/>
            </w:rPr>
            <w:id w:val="-324752154"/>
            <w:docPartObj>
              <w:docPartGallery w:val="Table of Contents"/>
              <w:docPartUnique/>
            </w:docPartObj>
          </w:sdtPr>
          <w:sdtEndPr/>
          <w:sdtContent>
            <w:p w14:paraId="29E7CEC2" w14:textId="65FC163A" w:rsidR="00400391" w:rsidRDefault="00AA41EB" w:rsidP="00400391">
              <w:pPr>
                <w:pStyle w:val="TOC1"/>
                <w:rPr>
                  <w:rFonts w:eastAsiaTheme="minorEastAsia" w:cstheme="minorBidi"/>
                  <w:noProof/>
                  <w:sz w:val="22"/>
                  <w:szCs w:val="22"/>
                  <w:lang w:eastAsia="hr-HR"/>
                </w:rPr>
              </w:pPr>
              <w:r w:rsidRPr="00A826B9">
                <w:rPr>
                  <w:rFonts w:asciiTheme="majorHAnsi" w:eastAsiaTheme="majorEastAsia" w:hAnsiTheme="majorHAnsi"/>
                  <w:color w:val="2E74B5" w:themeColor="accent1" w:themeShade="BF"/>
                  <w:lang w:eastAsia="hr-HR"/>
                </w:rPr>
                <w:fldChar w:fldCharType="begin"/>
              </w:r>
              <w:r w:rsidRPr="00AE4D4F">
                <w:instrText xml:space="preserve"> TOC \o "1-3" \h \z \u </w:instrText>
              </w:r>
              <w:r w:rsidRPr="00A826B9">
                <w:rPr>
                  <w:rFonts w:asciiTheme="majorHAnsi" w:eastAsiaTheme="majorEastAsia" w:hAnsiTheme="majorHAnsi"/>
                  <w:color w:val="2E74B5" w:themeColor="accent1" w:themeShade="BF"/>
                  <w:lang w:eastAsia="hr-HR"/>
                </w:rPr>
                <w:fldChar w:fldCharType="separate"/>
              </w:r>
              <w:hyperlink w:anchor="_Toc165035425" w:history="1">
                <w:r w:rsidR="00400391" w:rsidRPr="00F12BDD">
                  <w:rPr>
                    <w:rStyle w:val="Hyperlink"/>
                    <w:noProof/>
                  </w:rPr>
                  <w:t>SADRŽAJ</w:t>
                </w:r>
                <w:r w:rsidR="00400391">
                  <w:rPr>
                    <w:noProof/>
                    <w:webHidden/>
                  </w:rPr>
                  <w:tab/>
                </w:r>
                <w:r w:rsidR="00400391">
                  <w:rPr>
                    <w:noProof/>
                    <w:webHidden/>
                  </w:rPr>
                  <w:fldChar w:fldCharType="begin"/>
                </w:r>
                <w:r w:rsidR="00400391">
                  <w:rPr>
                    <w:noProof/>
                    <w:webHidden/>
                  </w:rPr>
                  <w:instrText xml:space="preserve"> PAGEREF _Toc165035425 \h </w:instrText>
                </w:r>
                <w:r w:rsidR="00400391">
                  <w:rPr>
                    <w:noProof/>
                    <w:webHidden/>
                  </w:rPr>
                </w:r>
                <w:r w:rsidR="00400391">
                  <w:rPr>
                    <w:noProof/>
                    <w:webHidden/>
                  </w:rPr>
                  <w:fldChar w:fldCharType="separate"/>
                </w:r>
                <w:r w:rsidR="00C86676">
                  <w:rPr>
                    <w:noProof/>
                    <w:webHidden/>
                  </w:rPr>
                  <w:t>2</w:t>
                </w:r>
                <w:r w:rsidR="00400391">
                  <w:rPr>
                    <w:noProof/>
                    <w:webHidden/>
                  </w:rPr>
                  <w:fldChar w:fldCharType="end"/>
                </w:r>
              </w:hyperlink>
            </w:p>
            <w:p w14:paraId="3CF3BD99" w14:textId="628F1861" w:rsidR="00400391" w:rsidRDefault="008B34CD" w:rsidP="00400391">
              <w:pPr>
                <w:pStyle w:val="TOC1"/>
                <w:rPr>
                  <w:rFonts w:eastAsiaTheme="minorEastAsia" w:cstheme="minorBidi"/>
                  <w:noProof/>
                  <w:sz w:val="22"/>
                  <w:szCs w:val="22"/>
                  <w:lang w:eastAsia="hr-HR"/>
                </w:rPr>
              </w:pPr>
              <w:hyperlink w:anchor="_Toc165035426" w:history="1">
                <w:r w:rsidR="00400391" w:rsidRPr="00F12BDD">
                  <w:rPr>
                    <w:rStyle w:val="Hyperlink"/>
                    <w:noProof/>
                  </w:rPr>
                  <w:t>1. UVOD</w:t>
                </w:r>
                <w:r w:rsidR="00400391">
                  <w:rPr>
                    <w:noProof/>
                    <w:webHidden/>
                  </w:rPr>
                  <w:tab/>
                </w:r>
                <w:r w:rsidR="00400391">
                  <w:rPr>
                    <w:noProof/>
                    <w:webHidden/>
                  </w:rPr>
                  <w:fldChar w:fldCharType="begin"/>
                </w:r>
                <w:r w:rsidR="00400391">
                  <w:rPr>
                    <w:noProof/>
                    <w:webHidden/>
                  </w:rPr>
                  <w:instrText xml:space="preserve"> PAGEREF _Toc165035426 \h </w:instrText>
                </w:r>
                <w:r w:rsidR="00400391">
                  <w:rPr>
                    <w:noProof/>
                    <w:webHidden/>
                  </w:rPr>
                </w:r>
                <w:r w:rsidR="00400391">
                  <w:rPr>
                    <w:noProof/>
                    <w:webHidden/>
                  </w:rPr>
                  <w:fldChar w:fldCharType="separate"/>
                </w:r>
                <w:r w:rsidR="00C86676">
                  <w:rPr>
                    <w:noProof/>
                    <w:webHidden/>
                  </w:rPr>
                  <w:t>5</w:t>
                </w:r>
                <w:r w:rsidR="00400391">
                  <w:rPr>
                    <w:noProof/>
                    <w:webHidden/>
                  </w:rPr>
                  <w:fldChar w:fldCharType="end"/>
                </w:r>
              </w:hyperlink>
            </w:p>
            <w:p w14:paraId="6DBD6E3F" w14:textId="779AD3D6" w:rsidR="00400391" w:rsidRDefault="008B34CD">
              <w:pPr>
                <w:pStyle w:val="TOC2"/>
                <w:rPr>
                  <w:rFonts w:eastAsiaTheme="minorEastAsia" w:cstheme="minorBidi"/>
                  <w:iCs w:val="0"/>
                  <w:noProof/>
                  <w:sz w:val="22"/>
                  <w:szCs w:val="22"/>
                  <w:lang w:eastAsia="hr-HR"/>
                </w:rPr>
              </w:pPr>
              <w:hyperlink w:anchor="_Toc165035427" w:history="1">
                <w:r w:rsidR="00400391" w:rsidRPr="00F12BDD">
                  <w:rPr>
                    <w:rStyle w:val="Hyperlink"/>
                    <w:noProof/>
                  </w:rPr>
                  <w:t>1.1. Profil HALMED-a</w:t>
                </w:r>
                <w:r w:rsidR="00400391">
                  <w:rPr>
                    <w:noProof/>
                    <w:webHidden/>
                  </w:rPr>
                  <w:tab/>
                </w:r>
                <w:r w:rsidR="00400391">
                  <w:rPr>
                    <w:noProof/>
                    <w:webHidden/>
                  </w:rPr>
                  <w:fldChar w:fldCharType="begin"/>
                </w:r>
                <w:r w:rsidR="00400391">
                  <w:rPr>
                    <w:noProof/>
                    <w:webHidden/>
                  </w:rPr>
                  <w:instrText xml:space="preserve"> PAGEREF _Toc165035427 \h </w:instrText>
                </w:r>
                <w:r w:rsidR="00400391">
                  <w:rPr>
                    <w:noProof/>
                    <w:webHidden/>
                  </w:rPr>
                </w:r>
                <w:r w:rsidR="00400391">
                  <w:rPr>
                    <w:noProof/>
                    <w:webHidden/>
                  </w:rPr>
                  <w:fldChar w:fldCharType="separate"/>
                </w:r>
                <w:r w:rsidR="00C86676">
                  <w:rPr>
                    <w:noProof/>
                    <w:webHidden/>
                  </w:rPr>
                  <w:t>6</w:t>
                </w:r>
                <w:r w:rsidR="00400391">
                  <w:rPr>
                    <w:noProof/>
                    <w:webHidden/>
                  </w:rPr>
                  <w:fldChar w:fldCharType="end"/>
                </w:r>
              </w:hyperlink>
            </w:p>
            <w:p w14:paraId="173B54A9" w14:textId="4ABB3849" w:rsidR="00400391" w:rsidRDefault="008B34CD">
              <w:pPr>
                <w:pStyle w:val="TOC3"/>
                <w:rPr>
                  <w:rFonts w:eastAsiaTheme="minorEastAsia" w:cstheme="minorBidi"/>
                  <w:noProof/>
                  <w:sz w:val="22"/>
                  <w:szCs w:val="22"/>
                  <w:lang w:eastAsia="hr-HR"/>
                </w:rPr>
              </w:pPr>
              <w:hyperlink w:anchor="_Toc165035428" w:history="1">
                <w:r w:rsidR="00400391" w:rsidRPr="00F12BDD">
                  <w:rPr>
                    <w:rStyle w:val="Hyperlink"/>
                    <w:noProof/>
                  </w:rPr>
                  <w:t>1.1.1. Misija, vizija, vrijednosti i strateški ciljevi</w:t>
                </w:r>
                <w:r w:rsidR="00400391">
                  <w:rPr>
                    <w:noProof/>
                    <w:webHidden/>
                  </w:rPr>
                  <w:tab/>
                </w:r>
                <w:r w:rsidR="00400391">
                  <w:rPr>
                    <w:noProof/>
                    <w:webHidden/>
                  </w:rPr>
                  <w:fldChar w:fldCharType="begin"/>
                </w:r>
                <w:r w:rsidR="00400391">
                  <w:rPr>
                    <w:noProof/>
                    <w:webHidden/>
                  </w:rPr>
                  <w:instrText xml:space="preserve"> PAGEREF _Toc165035428 \h </w:instrText>
                </w:r>
                <w:r w:rsidR="00400391">
                  <w:rPr>
                    <w:noProof/>
                    <w:webHidden/>
                  </w:rPr>
                </w:r>
                <w:r w:rsidR="00400391">
                  <w:rPr>
                    <w:noProof/>
                    <w:webHidden/>
                  </w:rPr>
                  <w:fldChar w:fldCharType="separate"/>
                </w:r>
                <w:r w:rsidR="00C86676">
                  <w:rPr>
                    <w:noProof/>
                    <w:webHidden/>
                  </w:rPr>
                  <w:t>6</w:t>
                </w:r>
                <w:r w:rsidR="00400391">
                  <w:rPr>
                    <w:noProof/>
                    <w:webHidden/>
                  </w:rPr>
                  <w:fldChar w:fldCharType="end"/>
                </w:r>
              </w:hyperlink>
            </w:p>
            <w:p w14:paraId="5A2B8EEA" w14:textId="264EA966" w:rsidR="00400391" w:rsidRDefault="008B34CD">
              <w:pPr>
                <w:pStyle w:val="TOC3"/>
                <w:rPr>
                  <w:rFonts w:eastAsiaTheme="minorEastAsia" w:cstheme="minorBidi"/>
                  <w:noProof/>
                  <w:sz w:val="22"/>
                  <w:szCs w:val="22"/>
                  <w:lang w:eastAsia="hr-HR"/>
                </w:rPr>
              </w:pPr>
              <w:hyperlink w:anchor="_Toc165035429" w:history="1">
                <w:r w:rsidR="00400391" w:rsidRPr="00F12BDD">
                  <w:rPr>
                    <w:rStyle w:val="Hyperlink"/>
                    <w:noProof/>
                  </w:rPr>
                  <w:t>1.1.3. Upravljanje i struktura HALMED-a</w:t>
                </w:r>
                <w:r w:rsidR="00400391">
                  <w:rPr>
                    <w:noProof/>
                    <w:webHidden/>
                  </w:rPr>
                  <w:tab/>
                </w:r>
                <w:r w:rsidR="00400391">
                  <w:rPr>
                    <w:noProof/>
                    <w:webHidden/>
                  </w:rPr>
                  <w:fldChar w:fldCharType="begin"/>
                </w:r>
                <w:r w:rsidR="00400391">
                  <w:rPr>
                    <w:noProof/>
                    <w:webHidden/>
                  </w:rPr>
                  <w:instrText xml:space="preserve"> PAGEREF _Toc165035429 \h </w:instrText>
                </w:r>
                <w:r w:rsidR="00400391">
                  <w:rPr>
                    <w:noProof/>
                    <w:webHidden/>
                  </w:rPr>
                </w:r>
                <w:r w:rsidR="00400391">
                  <w:rPr>
                    <w:noProof/>
                    <w:webHidden/>
                  </w:rPr>
                  <w:fldChar w:fldCharType="separate"/>
                </w:r>
                <w:r w:rsidR="00C86676">
                  <w:rPr>
                    <w:noProof/>
                    <w:webHidden/>
                  </w:rPr>
                  <w:t>8</w:t>
                </w:r>
                <w:r w:rsidR="00400391">
                  <w:rPr>
                    <w:noProof/>
                    <w:webHidden/>
                  </w:rPr>
                  <w:fldChar w:fldCharType="end"/>
                </w:r>
              </w:hyperlink>
            </w:p>
            <w:p w14:paraId="541697B3" w14:textId="5E239790" w:rsidR="00400391" w:rsidRDefault="008B34CD">
              <w:pPr>
                <w:pStyle w:val="TOC3"/>
                <w:rPr>
                  <w:rFonts w:eastAsiaTheme="minorEastAsia" w:cstheme="minorBidi"/>
                  <w:noProof/>
                  <w:sz w:val="22"/>
                  <w:szCs w:val="22"/>
                  <w:lang w:eastAsia="hr-HR"/>
                </w:rPr>
              </w:pPr>
              <w:hyperlink w:anchor="_Toc165035430" w:history="1">
                <w:r w:rsidR="00400391" w:rsidRPr="00F12BDD">
                  <w:rPr>
                    <w:rStyle w:val="Hyperlink"/>
                    <w:noProof/>
                  </w:rPr>
                  <w:t>1.1.3.2. Ravnatelj</w:t>
                </w:r>
                <w:r w:rsidR="00400391">
                  <w:rPr>
                    <w:noProof/>
                    <w:webHidden/>
                  </w:rPr>
                  <w:tab/>
                </w:r>
                <w:r w:rsidR="00400391">
                  <w:rPr>
                    <w:noProof/>
                    <w:webHidden/>
                  </w:rPr>
                  <w:fldChar w:fldCharType="begin"/>
                </w:r>
                <w:r w:rsidR="00400391">
                  <w:rPr>
                    <w:noProof/>
                    <w:webHidden/>
                  </w:rPr>
                  <w:instrText xml:space="preserve"> PAGEREF _Toc165035430 \h </w:instrText>
                </w:r>
                <w:r w:rsidR="00400391">
                  <w:rPr>
                    <w:noProof/>
                    <w:webHidden/>
                  </w:rPr>
                </w:r>
                <w:r w:rsidR="00400391">
                  <w:rPr>
                    <w:noProof/>
                    <w:webHidden/>
                  </w:rPr>
                  <w:fldChar w:fldCharType="separate"/>
                </w:r>
                <w:r w:rsidR="00C86676">
                  <w:rPr>
                    <w:noProof/>
                    <w:webHidden/>
                  </w:rPr>
                  <w:t>9</w:t>
                </w:r>
                <w:r w:rsidR="00400391">
                  <w:rPr>
                    <w:noProof/>
                    <w:webHidden/>
                  </w:rPr>
                  <w:fldChar w:fldCharType="end"/>
                </w:r>
              </w:hyperlink>
            </w:p>
            <w:p w14:paraId="01C68F10" w14:textId="6C974BDD" w:rsidR="00400391" w:rsidRDefault="008B34CD">
              <w:pPr>
                <w:pStyle w:val="TOC3"/>
                <w:rPr>
                  <w:rFonts w:eastAsiaTheme="minorEastAsia" w:cstheme="minorBidi"/>
                  <w:noProof/>
                  <w:sz w:val="22"/>
                  <w:szCs w:val="22"/>
                  <w:lang w:eastAsia="hr-HR"/>
                </w:rPr>
              </w:pPr>
              <w:hyperlink w:anchor="_Toc165035431" w:history="1">
                <w:r w:rsidR="00400391" w:rsidRPr="00F12BDD">
                  <w:rPr>
                    <w:rStyle w:val="Hyperlink"/>
                    <w:noProof/>
                  </w:rPr>
                  <w:t>1.1.4. Unutarnji ustroj</w:t>
                </w:r>
                <w:r w:rsidR="00400391">
                  <w:rPr>
                    <w:noProof/>
                    <w:webHidden/>
                  </w:rPr>
                  <w:tab/>
                </w:r>
                <w:r w:rsidR="00400391">
                  <w:rPr>
                    <w:noProof/>
                    <w:webHidden/>
                  </w:rPr>
                  <w:fldChar w:fldCharType="begin"/>
                </w:r>
                <w:r w:rsidR="00400391">
                  <w:rPr>
                    <w:noProof/>
                    <w:webHidden/>
                  </w:rPr>
                  <w:instrText xml:space="preserve"> PAGEREF _Toc165035431 \h </w:instrText>
                </w:r>
                <w:r w:rsidR="00400391">
                  <w:rPr>
                    <w:noProof/>
                    <w:webHidden/>
                  </w:rPr>
                </w:r>
                <w:r w:rsidR="00400391">
                  <w:rPr>
                    <w:noProof/>
                    <w:webHidden/>
                  </w:rPr>
                  <w:fldChar w:fldCharType="separate"/>
                </w:r>
                <w:r w:rsidR="00C86676">
                  <w:rPr>
                    <w:noProof/>
                    <w:webHidden/>
                  </w:rPr>
                  <w:t>10</w:t>
                </w:r>
                <w:r w:rsidR="00400391">
                  <w:rPr>
                    <w:noProof/>
                    <w:webHidden/>
                  </w:rPr>
                  <w:fldChar w:fldCharType="end"/>
                </w:r>
              </w:hyperlink>
            </w:p>
            <w:p w14:paraId="396B14E8" w14:textId="3AB75607" w:rsidR="00400391" w:rsidRDefault="008B34CD">
              <w:pPr>
                <w:pStyle w:val="TOC2"/>
                <w:rPr>
                  <w:rFonts w:eastAsiaTheme="minorEastAsia" w:cstheme="minorBidi"/>
                  <w:iCs w:val="0"/>
                  <w:noProof/>
                  <w:sz w:val="22"/>
                  <w:szCs w:val="22"/>
                  <w:lang w:eastAsia="hr-HR"/>
                </w:rPr>
              </w:pPr>
              <w:hyperlink w:anchor="_Toc165035432" w:history="1">
                <w:r w:rsidR="00400391" w:rsidRPr="00F12BDD">
                  <w:rPr>
                    <w:rStyle w:val="Hyperlink"/>
                    <w:noProof/>
                  </w:rPr>
                  <w:t>1.2. Poslovi HALMED-a</w:t>
                </w:r>
                <w:r w:rsidR="00400391">
                  <w:rPr>
                    <w:noProof/>
                    <w:webHidden/>
                  </w:rPr>
                  <w:tab/>
                </w:r>
                <w:r w:rsidR="00400391">
                  <w:rPr>
                    <w:noProof/>
                    <w:webHidden/>
                  </w:rPr>
                  <w:fldChar w:fldCharType="begin"/>
                </w:r>
                <w:r w:rsidR="00400391">
                  <w:rPr>
                    <w:noProof/>
                    <w:webHidden/>
                  </w:rPr>
                  <w:instrText xml:space="preserve"> PAGEREF _Toc165035432 \h </w:instrText>
                </w:r>
                <w:r w:rsidR="00400391">
                  <w:rPr>
                    <w:noProof/>
                    <w:webHidden/>
                  </w:rPr>
                </w:r>
                <w:r w:rsidR="00400391">
                  <w:rPr>
                    <w:noProof/>
                    <w:webHidden/>
                  </w:rPr>
                  <w:fldChar w:fldCharType="separate"/>
                </w:r>
                <w:r w:rsidR="00C86676">
                  <w:rPr>
                    <w:noProof/>
                    <w:webHidden/>
                  </w:rPr>
                  <w:t>12</w:t>
                </w:r>
                <w:r w:rsidR="00400391">
                  <w:rPr>
                    <w:noProof/>
                    <w:webHidden/>
                  </w:rPr>
                  <w:fldChar w:fldCharType="end"/>
                </w:r>
              </w:hyperlink>
            </w:p>
            <w:p w14:paraId="5C0DD5AF" w14:textId="1AFC6BF7" w:rsidR="00400391" w:rsidRDefault="008B34CD">
              <w:pPr>
                <w:pStyle w:val="TOC3"/>
                <w:rPr>
                  <w:rFonts w:eastAsiaTheme="minorEastAsia" w:cstheme="minorBidi"/>
                  <w:noProof/>
                  <w:sz w:val="22"/>
                  <w:szCs w:val="22"/>
                  <w:lang w:eastAsia="hr-HR"/>
                </w:rPr>
              </w:pPr>
              <w:hyperlink w:anchor="_Toc165035433" w:history="1">
                <w:r w:rsidR="00400391" w:rsidRPr="00F12BDD">
                  <w:rPr>
                    <w:rStyle w:val="Hyperlink"/>
                    <w:noProof/>
                  </w:rPr>
                  <w:t>1.2.1. Nacionalni poslovi</w:t>
                </w:r>
                <w:r w:rsidR="00400391">
                  <w:rPr>
                    <w:noProof/>
                    <w:webHidden/>
                  </w:rPr>
                  <w:tab/>
                </w:r>
                <w:r w:rsidR="00400391">
                  <w:rPr>
                    <w:noProof/>
                    <w:webHidden/>
                  </w:rPr>
                  <w:fldChar w:fldCharType="begin"/>
                </w:r>
                <w:r w:rsidR="00400391">
                  <w:rPr>
                    <w:noProof/>
                    <w:webHidden/>
                  </w:rPr>
                  <w:instrText xml:space="preserve"> PAGEREF _Toc165035433 \h </w:instrText>
                </w:r>
                <w:r w:rsidR="00400391">
                  <w:rPr>
                    <w:noProof/>
                    <w:webHidden/>
                  </w:rPr>
                </w:r>
                <w:r w:rsidR="00400391">
                  <w:rPr>
                    <w:noProof/>
                    <w:webHidden/>
                  </w:rPr>
                  <w:fldChar w:fldCharType="separate"/>
                </w:r>
                <w:r w:rsidR="00C86676">
                  <w:rPr>
                    <w:noProof/>
                    <w:webHidden/>
                  </w:rPr>
                  <w:t>12</w:t>
                </w:r>
                <w:r w:rsidR="00400391">
                  <w:rPr>
                    <w:noProof/>
                    <w:webHidden/>
                  </w:rPr>
                  <w:fldChar w:fldCharType="end"/>
                </w:r>
              </w:hyperlink>
            </w:p>
            <w:p w14:paraId="19CB7D68" w14:textId="3DE4BC45" w:rsidR="00400391" w:rsidRDefault="008B34CD">
              <w:pPr>
                <w:pStyle w:val="TOC3"/>
                <w:rPr>
                  <w:rFonts w:eastAsiaTheme="minorEastAsia" w:cstheme="minorBidi"/>
                  <w:noProof/>
                  <w:sz w:val="22"/>
                  <w:szCs w:val="22"/>
                  <w:lang w:eastAsia="hr-HR"/>
                </w:rPr>
              </w:pPr>
              <w:hyperlink w:anchor="_Toc165035434" w:history="1">
                <w:r w:rsidR="00400391" w:rsidRPr="00F12BDD">
                  <w:rPr>
                    <w:rStyle w:val="Hyperlink"/>
                    <w:noProof/>
                  </w:rPr>
                  <w:t>1.2.2. Europski poslovi</w:t>
                </w:r>
                <w:r w:rsidR="00400391">
                  <w:rPr>
                    <w:noProof/>
                    <w:webHidden/>
                  </w:rPr>
                  <w:tab/>
                </w:r>
                <w:r w:rsidR="00400391">
                  <w:rPr>
                    <w:noProof/>
                    <w:webHidden/>
                  </w:rPr>
                  <w:fldChar w:fldCharType="begin"/>
                </w:r>
                <w:r w:rsidR="00400391">
                  <w:rPr>
                    <w:noProof/>
                    <w:webHidden/>
                  </w:rPr>
                  <w:instrText xml:space="preserve"> PAGEREF _Toc165035434 \h </w:instrText>
                </w:r>
                <w:r w:rsidR="00400391">
                  <w:rPr>
                    <w:noProof/>
                    <w:webHidden/>
                  </w:rPr>
                </w:r>
                <w:r w:rsidR="00400391">
                  <w:rPr>
                    <w:noProof/>
                    <w:webHidden/>
                  </w:rPr>
                  <w:fldChar w:fldCharType="separate"/>
                </w:r>
                <w:r w:rsidR="00C86676">
                  <w:rPr>
                    <w:noProof/>
                    <w:webHidden/>
                  </w:rPr>
                  <w:t>14</w:t>
                </w:r>
                <w:r w:rsidR="00400391">
                  <w:rPr>
                    <w:noProof/>
                    <w:webHidden/>
                  </w:rPr>
                  <w:fldChar w:fldCharType="end"/>
                </w:r>
              </w:hyperlink>
            </w:p>
            <w:p w14:paraId="2E96C8A9" w14:textId="1FD1D9F0" w:rsidR="00400391" w:rsidRDefault="008B34CD">
              <w:pPr>
                <w:pStyle w:val="TOC2"/>
                <w:rPr>
                  <w:rFonts w:eastAsiaTheme="minorEastAsia" w:cstheme="minorBidi"/>
                  <w:iCs w:val="0"/>
                  <w:noProof/>
                  <w:sz w:val="22"/>
                  <w:szCs w:val="22"/>
                  <w:lang w:eastAsia="hr-HR"/>
                </w:rPr>
              </w:pPr>
              <w:hyperlink w:anchor="_Toc165035435" w:history="1">
                <w:r w:rsidR="00400391" w:rsidRPr="00F12BDD">
                  <w:rPr>
                    <w:rStyle w:val="Hyperlink"/>
                    <w:noProof/>
                  </w:rPr>
                  <w:t>1.2.2.5. Mreža nacionalnih agencija za lijekove (HMA)</w:t>
                </w:r>
                <w:r w:rsidR="00400391">
                  <w:rPr>
                    <w:noProof/>
                    <w:webHidden/>
                  </w:rPr>
                  <w:tab/>
                </w:r>
                <w:r w:rsidR="00400391">
                  <w:rPr>
                    <w:noProof/>
                    <w:webHidden/>
                  </w:rPr>
                  <w:fldChar w:fldCharType="begin"/>
                </w:r>
                <w:r w:rsidR="00400391">
                  <w:rPr>
                    <w:noProof/>
                    <w:webHidden/>
                  </w:rPr>
                  <w:instrText xml:space="preserve"> PAGEREF _Toc165035435 \h </w:instrText>
                </w:r>
                <w:r w:rsidR="00400391">
                  <w:rPr>
                    <w:noProof/>
                    <w:webHidden/>
                  </w:rPr>
                </w:r>
                <w:r w:rsidR="00400391">
                  <w:rPr>
                    <w:noProof/>
                    <w:webHidden/>
                  </w:rPr>
                  <w:fldChar w:fldCharType="separate"/>
                </w:r>
                <w:r w:rsidR="00C86676">
                  <w:rPr>
                    <w:noProof/>
                    <w:webHidden/>
                  </w:rPr>
                  <w:t>18</w:t>
                </w:r>
                <w:r w:rsidR="00400391">
                  <w:rPr>
                    <w:noProof/>
                    <w:webHidden/>
                  </w:rPr>
                  <w:fldChar w:fldCharType="end"/>
                </w:r>
              </w:hyperlink>
            </w:p>
            <w:p w14:paraId="699CD8FA" w14:textId="06EB58B5" w:rsidR="00400391" w:rsidRDefault="008B34CD">
              <w:pPr>
                <w:pStyle w:val="TOC3"/>
                <w:rPr>
                  <w:rFonts w:eastAsiaTheme="minorEastAsia" w:cstheme="minorBidi"/>
                  <w:noProof/>
                  <w:sz w:val="22"/>
                  <w:szCs w:val="22"/>
                  <w:lang w:eastAsia="hr-HR"/>
                </w:rPr>
              </w:pPr>
              <w:hyperlink w:anchor="_Toc165035436" w:history="1">
                <w:r w:rsidR="00400391" w:rsidRPr="00F12BDD">
                  <w:rPr>
                    <w:rStyle w:val="Hyperlink"/>
                    <w:noProof/>
                  </w:rPr>
                  <w:t>1.2.3. Međunarodni poslovi</w:t>
                </w:r>
                <w:r w:rsidR="00400391">
                  <w:rPr>
                    <w:noProof/>
                    <w:webHidden/>
                  </w:rPr>
                  <w:tab/>
                </w:r>
                <w:r w:rsidR="00400391">
                  <w:rPr>
                    <w:noProof/>
                    <w:webHidden/>
                  </w:rPr>
                  <w:fldChar w:fldCharType="begin"/>
                </w:r>
                <w:r w:rsidR="00400391">
                  <w:rPr>
                    <w:noProof/>
                    <w:webHidden/>
                  </w:rPr>
                  <w:instrText xml:space="preserve"> PAGEREF _Toc165035436 \h </w:instrText>
                </w:r>
                <w:r w:rsidR="00400391">
                  <w:rPr>
                    <w:noProof/>
                    <w:webHidden/>
                  </w:rPr>
                </w:r>
                <w:r w:rsidR="00400391">
                  <w:rPr>
                    <w:noProof/>
                    <w:webHidden/>
                  </w:rPr>
                  <w:fldChar w:fldCharType="separate"/>
                </w:r>
                <w:r w:rsidR="00C86676">
                  <w:rPr>
                    <w:noProof/>
                    <w:webHidden/>
                  </w:rPr>
                  <w:t>20</w:t>
                </w:r>
                <w:r w:rsidR="00400391">
                  <w:rPr>
                    <w:noProof/>
                    <w:webHidden/>
                  </w:rPr>
                  <w:fldChar w:fldCharType="end"/>
                </w:r>
              </w:hyperlink>
            </w:p>
            <w:p w14:paraId="413CEA01" w14:textId="38492BFC" w:rsidR="00400391" w:rsidRDefault="008B34CD" w:rsidP="00400391">
              <w:pPr>
                <w:pStyle w:val="TOC1"/>
                <w:rPr>
                  <w:rFonts w:eastAsiaTheme="minorEastAsia" w:cstheme="minorBidi"/>
                  <w:noProof/>
                  <w:sz w:val="22"/>
                  <w:szCs w:val="22"/>
                  <w:lang w:eastAsia="hr-HR"/>
                </w:rPr>
              </w:pPr>
              <w:hyperlink w:anchor="_Toc165035437" w:history="1">
                <w:r w:rsidR="00400391" w:rsidRPr="00F12BDD">
                  <w:rPr>
                    <w:rStyle w:val="Hyperlink"/>
                    <w:noProof/>
                  </w:rPr>
                  <w:t>2. IZVJEŠĆE O IZVRŠENJU PLANA RADA</w:t>
                </w:r>
                <w:r w:rsidR="00400391">
                  <w:rPr>
                    <w:noProof/>
                    <w:webHidden/>
                  </w:rPr>
                  <w:tab/>
                </w:r>
                <w:r w:rsidR="00400391">
                  <w:rPr>
                    <w:noProof/>
                    <w:webHidden/>
                  </w:rPr>
                  <w:fldChar w:fldCharType="begin"/>
                </w:r>
                <w:r w:rsidR="00400391">
                  <w:rPr>
                    <w:noProof/>
                    <w:webHidden/>
                  </w:rPr>
                  <w:instrText xml:space="preserve"> PAGEREF _Toc165035437 \h </w:instrText>
                </w:r>
                <w:r w:rsidR="00400391">
                  <w:rPr>
                    <w:noProof/>
                    <w:webHidden/>
                  </w:rPr>
                </w:r>
                <w:r w:rsidR="00400391">
                  <w:rPr>
                    <w:noProof/>
                    <w:webHidden/>
                  </w:rPr>
                  <w:fldChar w:fldCharType="separate"/>
                </w:r>
                <w:r w:rsidR="00C86676">
                  <w:rPr>
                    <w:noProof/>
                    <w:webHidden/>
                  </w:rPr>
                  <w:t>22</w:t>
                </w:r>
                <w:r w:rsidR="00400391">
                  <w:rPr>
                    <w:noProof/>
                    <w:webHidden/>
                  </w:rPr>
                  <w:fldChar w:fldCharType="end"/>
                </w:r>
              </w:hyperlink>
            </w:p>
            <w:p w14:paraId="58E9F384" w14:textId="4C34E5AB" w:rsidR="00400391" w:rsidRDefault="008B34CD">
              <w:pPr>
                <w:pStyle w:val="TOC2"/>
                <w:rPr>
                  <w:rFonts w:eastAsiaTheme="minorEastAsia" w:cstheme="minorBidi"/>
                  <w:iCs w:val="0"/>
                  <w:noProof/>
                  <w:sz w:val="22"/>
                  <w:szCs w:val="22"/>
                  <w:lang w:eastAsia="hr-HR"/>
                </w:rPr>
              </w:pPr>
              <w:hyperlink w:anchor="_Toc165035438" w:history="1">
                <w:r w:rsidR="00400391" w:rsidRPr="00F12BDD">
                  <w:rPr>
                    <w:rStyle w:val="Hyperlink"/>
                    <w:noProof/>
                  </w:rPr>
                  <w:t>2.1. Stavljanje lijeka u promet</w:t>
                </w:r>
                <w:r w:rsidR="00400391">
                  <w:rPr>
                    <w:noProof/>
                    <w:webHidden/>
                  </w:rPr>
                  <w:tab/>
                </w:r>
                <w:r w:rsidR="00400391">
                  <w:rPr>
                    <w:noProof/>
                    <w:webHidden/>
                  </w:rPr>
                  <w:fldChar w:fldCharType="begin"/>
                </w:r>
                <w:r w:rsidR="00400391">
                  <w:rPr>
                    <w:noProof/>
                    <w:webHidden/>
                  </w:rPr>
                  <w:instrText xml:space="preserve"> PAGEREF _Toc165035438 \h </w:instrText>
                </w:r>
                <w:r w:rsidR="00400391">
                  <w:rPr>
                    <w:noProof/>
                    <w:webHidden/>
                  </w:rPr>
                </w:r>
                <w:r w:rsidR="00400391">
                  <w:rPr>
                    <w:noProof/>
                    <w:webHidden/>
                  </w:rPr>
                  <w:fldChar w:fldCharType="separate"/>
                </w:r>
                <w:r w:rsidR="00C86676">
                  <w:rPr>
                    <w:noProof/>
                    <w:webHidden/>
                  </w:rPr>
                  <w:t>23</w:t>
                </w:r>
                <w:r w:rsidR="00400391">
                  <w:rPr>
                    <w:noProof/>
                    <w:webHidden/>
                  </w:rPr>
                  <w:fldChar w:fldCharType="end"/>
                </w:r>
              </w:hyperlink>
            </w:p>
            <w:p w14:paraId="222FEFEA" w14:textId="6DF3976E" w:rsidR="00400391" w:rsidRDefault="008B34CD">
              <w:pPr>
                <w:pStyle w:val="TOC3"/>
                <w:rPr>
                  <w:rFonts w:eastAsiaTheme="minorEastAsia" w:cstheme="minorBidi"/>
                  <w:noProof/>
                  <w:sz w:val="22"/>
                  <w:szCs w:val="22"/>
                  <w:lang w:eastAsia="hr-HR"/>
                </w:rPr>
              </w:pPr>
              <w:hyperlink w:anchor="_Toc165035439" w:history="1">
                <w:r w:rsidR="00400391" w:rsidRPr="00F12BDD">
                  <w:rPr>
                    <w:rStyle w:val="Hyperlink"/>
                    <w:noProof/>
                  </w:rPr>
                  <w:t>2.1.1. Davanje odobrenja za stavljanje lijeka u promet</w:t>
                </w:r>
                <w:r w:rsidR="00400391">
                  <w:rPr>
                    <w:noProof/>
                    <w:webHidden/>
                  </w:rPr>
                  <w:tab/>
                </w:r>
                <w:r w:rsidR="00400391">
                  <w:rPr>
                    <w:noProof/>
                    <w:webHidden/>
                  </w:rPr>
                  <w:fldChar w:fldCharType="begin"/>
                </w:r>
                <w:r w:rsidR="00400391">
                  <w:rPr>
                    <w:noProof/>
                    <w:webHidden/>
                  </w:rPr>
                  <w:instrText xml:space="preserve"> PAGEREF _Toc165035439 \h </w:instrText>
                </w:r>
                <w:r w:rsidR="00400391">
                  <w:rPr>
                    <w:noProof/>
                    <w:webHidden/>
                  </w:rPr>
                </w:r>
                <w:r w:rsidR="00400391">
                  <w:rPr>
                    <w:noProof/>
                    <w:webHidden/>
                  </w:rPr>
                  <w:fldChar w:fldCharType="separate"/>
                </w:r>
                <w:r w:rsidR="00C86676">
                  <w:rPr>
                    <w:noProof/>
                    <w:webHidden/>
                  </w:rPr>
                  <w:t>23</w:t>
                </w:r>
                <w:r w:rsidR="00400391">
                  <w:rPr>
                    <w:noProof/>
                    <w:webHidden/>
                  </w:rPr>
                  <w:fldChar w:fldCharType="end"/>
                </w:r>
              </w:hyperlink>
            </w:p>
            <w:p w14:paraId="24139922" w14:textId="274FCAA1" w:rsidR="00400391" w:rsidRDefault="008B34CD">
              <w:pPr>
                <w:pStyle w:val="TOC3"/>
                <w:rPr>
                  <w:rFonts w:eastAsiaTheme="minorEastAsia" w:cstheme="minorBidi"/>
                  <w:noProof/>
                  <w:sz w:val="22"/>
                  <w:szCs w:val="22"/>
                  <w:lang w:eastAsia="hr-HR"/>
                </w:rPr>
              </w:pPr>
              <w:hyperlink w:anchor="_Toc165035440" w:history="1">
                <w:r w:rsidR="00400391" w:rsidRPr="00F12BDD">
                  <w:rPr>
                    <w:rStyle w:val="Hyperlink"/>
                    <w:noProof/>
                  </w:rPr>
                  <w:t>2.1.2. Obnova odobrenja za stavljanje lijeka u promet</w:t>
                </w:r>
                <w:r w:rsidR="00400391">
                  <w:rPr>
                    <w:noProof/>
                    <w:webHidden/>
                  </w:rPr>
                  <w:tab/>
                </w:r>
                <w:r w:rsidR="00400391">
                  <w:rPr>
                    <w:noProof/>
                    <w:webHidden/>
                  </w:rPr>
                  <w:fldChar w:fldCharType="begin"/>
                </w:r>
                <w:r w:rsidR="00400391">
                  <w:rPr>
                    <w:noProof/>
                    <w:webHidden/>
                  </w:rPr>
                  <w:instrText xml:space="preserve"> PAGEREF _Toc165035440 \h </w:instrText>
                </w:r>
                <w:r w:rsidR="00400391">
                  <w:rPr>
                    <w:noProof/>
                    <w:webHidden/>
                  </w:rPr>
                </w:r>
                <w:r w:rsidR="00400391">
                  <w:rPr>
                    <w:noProof/>
                    <w:webHidden/>
                  </w:rPr>
                  <w:fldChar w:fldCharType="separate"/>
                </w:r>
                <w:r w:rsidR="00C86676">
                  <w:rPr>
                    <w:noProof/>
                    <w:webHidden/>
                  </w:rPr>
                  <w:t>24</w:t>
                </w:r>
                <w:r w:rsidR="00400391">
                  <w:rPr>
                    <w:noProof/>
                    <w:webHidden/>
                  </w:rPr>
                  <w:fldChar w:fldCharType="end"/>
                </w:r>
              </w:hyperlink>
            </w:p>
            <w:p w14:paraId="1EE67EE0" w14:textId="6E580C1C" w:rsidR="00400391" w:rsidRDefault="008B34CD">
              <w:pPr>
                <w:pStyle w:val="TOC3"/>
                <w:rPr>
                  <w:rFonts w:eastAsiaTheme="minorEastAsia" w:cstheme="minorBidi"/>
                  <w:noProof/>
                  <w:sz w:val="22"/>
                  <w:szCs w:val="22"/>
                  <w:lang w:eastAsia="hr-HR"/>
                </w:rPr>
              </w:pPr>
              <w:hyperlink w:anchor="_Toc165035441" w:history="1">
                <w:r w:rsidR="00400391" w:rsidRPr="00F12BDD">
                  <w:rPr>
                    <w:rStyle w:val="Hyperlink"/>
                    <w:noProof/>
                  </w:rPr>
                  <w:t>2.1.3. Izmjena odobrenja za stavljanje lijeka u promet</w:t>
                </w:r>
                <w:r w:rsidR="00400391">
                  <w:rPr>
                    <w:noProof/>
                    <w:webHidden/>
                  </w:rPr>
                  <w:tab/>
                </w:r>
                <w:r w:rsidR="00400391">
                  <w:rPr>
                    <w:noProof/>
                    <w:webHidden/>
                  </w:rPr>
                  <w:fldChar w:fldCharType="begin"/>
                </w:r>
                <w:r w:rsidR="00400391">
                  <w:rPr>
                    <w:noProof/>
                    <w:webHidden/>
                  </w:rPr>
                  <w:instrText xml:space="preserve"> PAGEREF _Toc165035441 \h </w:instrText>
                </w:r>
                <w:r w:rsidR="00400391">
                  <w:rPr>
                    <w:noProof/>
                    <w:webHidden/>
                  </w:rPr>
                </w:r>
                <w:r w:rsidR="00400391">
                  <w:rPr>
                    <w:noProof/>
                    <w:webHidden/>
                  </w:rPr>
                  <w:fldChar w:fldCharType="separate"/>
                </w:r>
                <w:r w:rsidR="00C86676">
                  <w:rPr>
                    <w:noProof/>
                    <w:webHidden/>
                  </w:rPr>
                  <w:t>24</w:t>
                </w:r>
                <w:r w:rsidR="00400391">
                  <w:rPr>
                    <w:noProof/>
                    <w:webHidden/>
                  </w:rPr>
                  <w:fldChar w:fldCharType="end"/>
                </w:r>
              </w:hyperlink>
            </w:p>
            <w:p w14:paraId="0B9E22D5" w14:textId="14F7B3BB" w:rsidR="00400391" w:rsidRDefault="008B34CD">
              <w:pPr>
                <w:pStyle w:val="TOC3"/>
                <w:rPr>
                  <w:rFonts w:eastAsiaTheme="minorEastAsia" w:cstheme="minorBidi"/>
                  <w:noProof/>
                  <w:sz w:val="22"/>
                  <w:szCs w:val="22"/>
                  <w:lang w:eastAsia="hr-HR"/>
                </w:rPr>
              </w:pPr>
              <w:hyperlink w:anchor="_Toc165035442" w:history="1">
                <w:r w:rsidR="00400391" w:rsidRPr="00F12BDD">
                  <w:rPr>
                    <w:rStyle w:val="Hyperlink"/>
                    <w:noProof/>
                  </w:rPr>
                  <w:t>2.1.4. Davanje znanstvenog savjeta pri EMA-i</w:t>
                </w:r>
                <w:r w:rsidR="00400391">
                  <w:rPr>
                    <w:noProof/>
                    <w:webHidden/>
                  </w:rPr>
                  <w:tab/>
                </w:r>
                <w:r w:rsidR="00400391">
                  <w:rPr>
                    <w:noProof/>
                    <w:webHidden/>
                  </w:rPr>
                  <w:fldChar w:fldCharType="begin"/>
                </w:r>
                <w:r w:rsidR="00400391">
                  <w:rPr>
                    <w:noProof/>
                    <w:webHidden/>
                  </w:rPr>
                  <w:instrText xml:space="preserve"> PAGEREF _Toc165035442 \h </w:instrText>
                </w:r>
                <w:r w:rsidR="00400391">
                  <w:rPr>
                    <w:noProof/>
                    <w:webHidden/>
                  </w:rPr>
                </w:r>
                <w:r w:rsidR="00400391">
                  <w:rPr>
                    <w:noProof/>
                    <w:webHidden/>
                  </w:rPr>
                  <w:fldChar w:fldCharType="separate"/>
                </w:r>
                <w:r w:rsidR="00C86676">
                  <w:rPr>
                    <w:noProof/>
                    <w:webHidden/>
                  </w:rPr>
                  <w:t>24</w:t>
                </w:r>
                <w:r w:rsidR="00400391">
                  <w:rPr>
                    <w:noProof/>
                    <w:webHidden/>
                  </w:rPr>
                  <w:fldChar w:fldCharType="end"/>
                </w:r>
              </w:hyperlink>
            </w:p>
            <w:p w14:paraId="4CAAF57C" w14:textId="6A89C514" w:rsidR="00400391" w:rsidRDefault="008B34CD">
              <w:pPr>
                <w:pStyle w:val="TOC3"/>
                <w:rPr>
                  <w:rFonts w:eastAsiaTheme="minorEastAsia" w:cstheme="minorBidi"/>
                  <w:noProof/>
                  <w:sz w:val="22"/>
                  <w:szCs w:val="22"/>
                  <w:lang w:eastAsia="hr-HR"/>
                </w:rPr>
              </w:pPr>
              <w:hyperlink w:anchor="_Toc165035443" w:history="1">
                <w:r w:rsidR="00400391" w:rsidRPr="00F12BDD">
                  <w:rPr>
                    <w:rStyle w:val="Hyperlink"/>
                    <w:noProof/>
                  </w:rPr>
                  <w:t>2.1.5. Sudjelovanje HALMED-a u povjerenstvima i radnim skupinama</w:t>
                </w:r>
                <w:r w:rsidR="00400391">
                  <w:rPr>
                    <w:noProof/>
                    <w:webHidden/>
                  </w:rPr>
                  <w:tab/>
                </w:r>
                <w:r w:rsidR="00400391">
                  <w:rPr>
                    <w:noProof/>
                    <w:webHidden/>
                  </w:rPr>
                  <w:fldChar w:fldCharType="begin"/>
                </w:r>
                <w:r w:rsidR="00400391">
                  <w:rPr>
                    <w:noProof/>
                    <w:webHidden/>
                  </w:rPr>
                  <w:instrText xml:space="preserve"> PAGEREF _Toc165035443 \h </w:instrText>
                </w:r>
                <w:r w:rsidR="00400391">
                  <w:rPr>
                    <w:noProof/>
                    <w:webHidden/>
                  </w:rPr>
                </w:r>
                <w:r w:rsidR="00400391">
                  <w:rPr>
                    <w:noProof/>
                    <w:webHidden/>
                  </w:rPr>
                  <w:fldChar w:fldCharType="separate"/>
                </w:r>
                <w:r w:rsidR="00C86676">
                  <w:rPr>
                    <w:noProof/>
                    <w:webHidden/>
                  </w:rPr>
                  <w:t>24</w:t>
                </w:r>
                <w:r w:rsidR="00400391">
                  <w:rPr>
                    <w:noProof/>
                    <w:webHidden/>
                  </w:rPr>
                  <w:fldChar w:fldCharType="end"/>
                </w:r>
              </w:hyperlink>
            </w:p>
            <w:p w14:paraId="5598610D" w14:textId="22859565" w:rsidR="00400391" w:rsidRDefault="008B34CD">
              <w:pPr>
                <w:pStyle w:val="TOC3"/>
                <w:rPr>
                  <w:rFonts w:eastAsiaTheme="minorEastAsia" w:cstheme="minorBidi"/>
                  <w:noProof/>
                  <w:sz w:val="22"/>
                  <w:szCs w:val="22"/>
                  <w:lang w:eastAsia="hr-HR"/>
                </w:rPr>
              </w:pPr>
              <w:hyperlink w:anchor="_Toc165035444" w:history="1">
                <w:r w:rsidR="00400391" w:rsidRPr="00F12BDD">
                  <w:rPr>
                    <w:rStyle w:val="Hyperlink"/>
                    <w:noProof/>
                  </w:rPr>
                  <w:t>2.1.6. Međunarodni poslovi</w:t>
                </w:r>
                <w:r w:rsidR="00400391">
                  <w:rPr>
                    <w:noProof/>
                    <w:webHidden/>
                  </w:rPr>
                  <w:tab/>
                </w:r>
                <w:r w:rsidR="00400391">
                  <w:rPr>
                    <w:noProof/>
                    <w:webHidden/>
                  </w:rPr>
                  <w:fldChar w:fldCharType="begin"/>
                </w:r>
                <w:r w:rsidR="00400391">
                  <w:rPr>
                    <w:noProof/>
                    <w:webHidden/>
                  </w:rPr>
                  <w:instrText xml:space="preserve"> PAGEREF _Toc165035444 \h </w:instrText>
                </w:r>
                <w:r w:rsidR="00400391">
                  <w:rPr>
                    <w:noProof/>
                    <w:webHidden/>
                  </w:rPr>
                </w:r>
                <w:r w:rsidR="00400391">
                  <w:rPr>
                    <w:noProof/>
                    <w:webHidden/>
                  </w:rPr>
                  <w:fldChar w:fldCharType="separate"/>
                </w:r>
                <w:r w:rsidR="00C86676">
                  <w:rPr>
                    <w:noProof/>
                    <w:webHidden/>
                  </w:rPr>
                  <w:t>34</w:t>
                </w:r>
                <w:r w:rsidR="00400391">
                  <w:rPr>
                    <w:noProof/>
                    <w:webHidden/>
                  </w:rPr>
                  <w:fldChar w:fldCharType="end"/>
                </w:r>
              </w:hyperlink>
            </w:p>
            <w:p w14:paraId="51D002BE" w14:textId="7E57D5F1" w:rsidR="00400391" w:rsidRDefault="008B34CD">
              <w:pPr>
                <w:pStyle w:val="TOC3"/>
                <w:rPr>
                  <w:rFonts w:eastAsiaTheme="minorEastAsia" w:cstheme="minorBidi"/>
                  <w:noProof/>
                  <w:sz w:val="22"/>
                  <w:szCs w:val="22"/>
                  <w:lang w:eastAsia="hr-HR"/>
                </w:rPr>
              </w:pPr>
              <w:hyperlink w:anchor="_Toc165035445" w:history="1">
                <w:r w:rsidR="00400391" w:rsidRPr="00F12BDD">
                  <w:rPr>
                    <w:rStyle w:val="Hyperlink"/>
                    <w:noProof/>
                  </w:rPr>
                  <w:t>2.1.7. Izvršenje prihodovnih poslova</w:t>
                </w:r>
                <w:r w:rsidR="00400391">
                  <w:rPr>
                    <w:noProof/>
                    <w:webHidden/>
                  </w:rPr>
                  <w:tab/>
                </w:r>
                <w:r w:rsidR="00400391">
                  <w:rPr>
                    <w:noProof/>
                    <w:webHidden/>
                  </w:rPr>
                  <w:fldChar w:fldCharType="begin"/>
                </w:r>
                <w:r w:rsidR="00400391">
                  <w:rPr>
                    <w:noProof/>
                    <w:webHidden/>
                  </w:rPr>
                  <w:instrText xml:space="preserve"> PAGEREF _Toc165035445 \h </w:instrText>
                </w:r>
                <w:r w:rsidR="00400391">
                  <w:rPr>
                    <w:noProof/>
                    <w:webHidden/>
                  </w:rPr>
                </w:r>
                <w:r w:rsidR="00400391">
                  <w:rPr>
                    <w:noProof/>
                    <w:webHidden/>
                  </w:rPr>
                  <w:fldChar w:fldCharType="separate"/>
                </w:r>
                <w:r w:rsidR="00C86676">
                  <w:rPr>
                    <w:noProof/>
                    <w:webHidden/>
                  </w:rPr>
                  <w:t>36</w:t>
                </w:r>
                <w:r w:rsidR="00400391">
                  <w:rPr>
                    <w:noProof/>
                    <w:webHidden/>
                  </w:rPr>
                  <w:fldChar w:fldCharType="end"/>
                </w:r>
              </w:hyperlink>
            </w:p>
            <w:p w14:paraId="340616C1" w14:textId="39842685" w:rsidR="00400391" w:rsidRDefault="008B34CD">
              <w:pPr>
                <w:pStyle w:val="TOC3"/>
                <w:rPr>
                  <w:rFonts w:eastAsiaTheme="minorEastAsia" w:cstheme="minorBidi"/>
                  <w:noProof/>
                  <w:sz w:val="22"/>
                  <w:szCs w:val="22"/>
                  <w:lang w:eastAsia="hr-HR"/>
                </w:rPr>
              </w:pPr>
              <w:hyperlink w:anchor="_Toc165035446" w:history="1">
                <w:r w:rsidR="00400391" w:rsidRPr="00F12BDD">
                  <w:rPr>
                    <w:rStyle w:val="Hyperlink"/>
                    <w:noProof/>
                  </w:rPr>
                  <w:t>2.1.8. Izvršenje neprihodovnih poslova</w:t>
                </w:r>
                <w:r w:rsidR="00400391">
                  <w:rPr>
                    <w:noProof/>
                    <w:webHidden/>
                  </w:rPr>
                  <w:tab/>
                </w:r>
                <w:r w:rsidR="00400391">
                  <w:rPr>
                    <w:noProof/>
                    <w:webHidden/>
                  </w:rPr>
                  <w:fldChar w:fldCharType="begin"/>
                </w:r>
                <w:r w:rsidR="00400391">
                  <w:rPr>
                    <w:noProof/>
                    <w:webHidden/>
                  </w:rPr>
                  <w:instrText xml:space="preserve"> PAGEREF _Toc165035446 \h </w:instrText>
                </w:r>
                <w:r w:rsidR="00400391">
                  <w:rPr>
                    <w:noProof/>
                    <w:webHidden/>
                  </w:rPr>
                </w:r>
                <w:r w:rsidR="00400391">
                  <w:rPr>
                    <w:noProof/>
                    <w:webHidden/>
                  </w:rPr>
                  <w:fldChar w:fldCharType="separate"/>
                </w:r>
                <w:r w:rsidR="00C86676">
                  <w:rPr>
                    <w:noProof/>
                    <w:webHidden/>
                  </w:rPr>
                  <w:t>39</w:t>
                </w:r>
                <w:r w:rsidR="00400391">
                  <w:rPr>
                    <w:noProof/>
                    <w:webHidden/>
                  </w:rPr>
                  <w:fldChar w:fldCharType="end"/>
                </w:r>
              </w:hyperlink>
            </w:p>
            <w:p w14:paraId="68A3BAE2" w14:textId="663EF0EB" w:rsidR="00400391" w:rsidRDefault="008B34CD">
              <w:pPr>
                <w:pStyle w:val="TOC2"/>
                <w:rPr>
                  <w:rFonts w:eastAsiaTheme="minorEastAsia" w:cstheme="minorBidi"/>
                  <w:iCs w:val="0"/>
                  <w:noProof/>
                  <w:sz w:val="22"/>
                  <w:szCs w:val="22"/>
                  <w:lang w:eastAsia="hr-HR"/>
                </w:rPr>
              </w:pPr>
              <w:hyperlink w:anchor="_Toc165035447" w:history="1">
                <w:r w:rsidR="00400391" w:rsidRPr="00F12BDD">
                  <w:rPr>
                    <w:rStyle w:val="Hyperlink"/>
                    <w:noProof/>
                  </w:rPr>
                  <w:t>2.2. Farmakovigilancija</w:t>
                </w:r>
                <w:r w:rsidR="00400391">
                  <w:rPr>
                    <w:noProof/>
                    <w:webHidden/>
                  </w:rPr>
                  <w:tab/>
                </w:r>
                <w:r w:rsidR="00400391">
                  <w:rPr>
                    <w:noProof/>
                    <w:webHidden/>
                  </w:rPr>
                  <w:fldChar w:fldCharType="begin"/>
                </w:r>
                <w:r w:rsidR="00400391">
                  <w:rPr>
                    <w:noProof/>
                    <w:webHidden/>
                  </w:rPr>
                  <w:instrText xml:space="preserve"> PAGEREF _Toc165035447 \h </w:instrText>
                </w:r>
                <w:r w:rsidR="00400391">
                  <w:rPr>
                    <w:noProof/>
                    <w:webHidden/>
                  </w:rPr>
                </w:r>
                <w:r w:rsidR="00400391">
                  <w:rPr>
                    <w:noProof/>
                    <w:webHidden/>
                  </w:rPr>
                  <w:fldChar w:fldCharType="separate"/>
                </w:r>
                <w:r w:rsidR="00C86676">
                  <w:rPr>
                    <w:noProof/>
                    <w:webHidden/>
                  </w:rPr>
                  <w:t>41</w:t>
                </w:r>
                <w:r w:rsidR="00400391">
                  <w:rPr>
                    <w:noProof/>
                    <w:webHidden/>
                  </w:rPr>
                  <w:fldChar w:fldCharType="end"/>
                </w:r>
              </w:hyperlink>
            </w:p>
            <w:p w14:paraId="6C4568F5" w14:textId="6E12D61F" w:rsidR="00400391" w:rsidRDefault="008B34CD">
              <w:pPr>
                <w:pStyle w:val="TOC3"/>
                <w:rPr>
                  <w:rFonts w:eastAsiaTheme="minorEastAsia" w:cstheme="minorBidi"/>
                  <w:noProof/>
                  <w:sz w:val="22"/>
                  <w:szCs w:val="22"/>
                  <w:lang w:eastAsia="hr-HR"/>
                </w:rPr>
              </w:pPr>
              <w:hyperlink w:anchor="_Toc165035448" w:history="1">
                <w:r w:rsidR="00400391" w:rsidRPr="00F12BDD">
                  <w:rPr>
                    <w:rStyle w:val="Hyperlink"/>
                    <w:noProof/>
                  </w:rPr>
                  <w:t>2.2.1. Upravljanje prijavama sumnji na nuspojave lijekova</w:t>
                </w:r>
                <w:r w:rsidR="00400391">
                  <w:rPr>
                    <w:noProof/>
                    <w:webHidden/>
                  </w:rPr>
                  <w:tab/>
                </w:r>
                <w:r w:rsidR="00400391">
                  <w:rPr>
                    <w:noProof/>
                    <w:webHidden/>
                  </w:rPr>
                  <w:fldChar w:fldCharType="begin"/>
                </w:r>
                <w:r w:rsidR="00400391">
                  <w:rPr>
                    <w:noProof/>
                    <w:webHidden/>
                  </w:rPr>
                  <w:instrText xml:space="preserve"> PAGEREF _Toc165035448 \h </w:instrText>
                </w:r>
                <w:r w:rsidR="00400391">
                  <w:rPr>
                    <w:noProof/>
                    <w:webHidden/>
                  </w:rPr>
                </w:r>
                <w:r w:rsidR="00400391">
                  <w:rPr>
                    <w:noProof/>
                    <w:webHidden/>
                  </w:rPr>
                  <w:fldChar w:fldCharType="separate"/>
                </w:r>
                <w:r w:rsidR="00C86676">
                  <w:rPr>
                    <w:noProof/>
                    <w:webHidden/>
                  </w:rPr>
                  <w:t>41</w:t>
                </w:r>
                <w:r w:rsidR="00400391">
                  <w:rPr>
                    <w:noProof/>
                    <w:webHidden/>
                  </w:rPr>
                  <w:fldChar w:fldCharType="end"/>
                </w:r>
              </w:hyperlink>
            </w:p>
            <w:p w14:paraId="3DD87EAF" w14:textId="0B46DB27" w:rsidR="00400391" w:rsidRDefault="008B34CD">
              <w:pPr>
                <w:pStyle w:val="TOC3"/>
                <w:rPr>
                  <w:rFonts w:eastAsiaTheme="minorEastAsia" w:cstheme="minorBidi"/>
                  <w:noProof/>
                  <w:sz w:val="22"/>
                  <w:szCs w:val="22"/>
                  <w:lang w:eastAsia="hr-HR"/>
                </w:rPr>
              </w:pPr>
              <w:hyperlink w:anchor="_Toc165035449" w:history="1">
                <w:r w:rsidR="00400391" w:rsidRPr="00F12BDD">
                  <w:rPr>
                    <w:rStyle w:val="Hyperlink"/>
                    <w:noProof/>
                  </w:rPr>
                  <w:t>2.2.2. Ocjena periodičkog izvješća o neškodljivosti lijeka (PSUR)</w:t>
                </w:r>
                <w:r w:rsidR="00400391">
                  <w:rPr>
                    <w:noProof/>
                    <w:webHidden/>
                  </w:rPr>
                  <w:tab/>
                </w:r>
                <w:r w:rsidR="00400391">
                  <w:rPr>
                    <w:noProof/>
                    <w:webHidden/>
                  </w:rPr>
                  <w:fldChar w:fldCharType="begin"/>
                </w:r>
                <w:r w:rsidR="00400391">
                  <w:rPr>
                    <w:noProof/>
                    <w:webHidden/>
                  </w:rPr>
                  <w:instrText xml:space="preserve"> PAGEREF _Toc165035449 \h </w:instrText>
                </w:r>
                <w:r w:rsidR="00400391">
                  <w:rPr>
                    <w:noProof/>
                    <w:webHidden/>
                  </w:rPr>
                </w:r>
                <w:r w:rsidR="00400391">
                  <w:rPr>
                    <w:noProof/>
                    <w:webHidden/>
                  </w:rPr>
                  <w:fldChar w:fldCharType="separate"/>
                </w:r>
                <w:r w:rsidR="00C86676">
                  <w:rPr>
                    <w:noProof/>
                    <w:webHidden/>
                  </w:rPr>
                  <w:t>42</w:t>
                </w:r>
                <w:r w:rsidR="00400391">
                  <w:rPr>
                    <w:noProof/>
                    <w:webHidden/>
                  </w:rPr>
                  <w:fldChar w:fldCharType="end"/>
                </w:r>
              </w:hyperlink>
            </w:p>
            <w:p w14:paraId="3580C6D5" w14:textId="43D47B15" w:rsidR="00400391" w:rsidRDefault="008B34CD">
              <w:pPr>
                <w:pStyle w:val="TOC3"/>
                <w:rPr>
                  <w:rFonts w:eastAsiaTheme="minorEastAsia" w:cstheme="minorBidi"/>
                  <w:noProof/>
                  <w:sz w:val="22"/>
                  <w:szCs w:val="22"/>
                  <w:lang w:eastAsia="hr-HR"/>
                </w:rPr>
              </w:pPr>
              <w:hyperlink w:anchor="_Toc165035450" w:history="1">
                <w:r w:rsidR="00400391" w:rsidRPr="00F12BDD">
                  <w:rPr>
                    <w:rStyle w:val="Hyperlink"/>
                    <w:noProof/>
                  </w:rPr>
                  <w:t>2.2.3. Ocjena plana upravljanja rizicima (RMP)</w:t>
                </w:r>
                <w:r w:rsidR="00400391">
                  <w:rPr>
                    <w:noProof/>
                    <w:webHidden/>
                  </w:rPr>
                  <w:tab/>
                </w:r>
                <w:r w:rsidR="00400391">
                  <w:rPr>
                    <w:noProof/>
                    <w:webHidden/>
                  </w:rPr>
                  <w:fldChar w:fldCharType="begin"/>
                </w:r>
                <w:r w:rsidR="00400391">
                  <w:rPr>
                    <w:noProof/>
                    <w:webHidden/>
                  </w:rPr>
                  <w:instrText xml:space="preserve"> PAGEREF _Toc165035450 \h </w:instrText>
                </w:r>
                <w:r w:rsidR="00400391">
                  <w:rPr>
                    <w:noProof/>
                    <w:webHidden/>
                  </w:rPr>
                </w:r>
                <w:r w:rsidR="00400391">
                  <w:rPr>
                    <w:noProof/>
                    <w:webHidden/>
                  </w:rPr>
                  <w:fldChar w:fldCharType="separate"/>
                </w:r>
                <w:r w:rsidR="00C86676">
                  <w:rPr>
                    <w:noProof/>
                    <w:webHidden/>
                  </w:rPr>
                  <w:t>42</w:t>
                </w:r>
                <w:r w:rsidR="00400391">
                  <w:rPr>
                    <w:noProof/>
                    <w:webHidden/>
                  </w:rPr>
                  <w:fldChar w:fldCharType="end"/>
                </w:r>
              </w:hyperlink>
            </w:p>
            <w:p w14:paraId="2858A941" w14:textId="372F4EF6" w:rsidR="00400391" w:rsidRDefault="008B34CD">
              <w:pPr>
                <w:pStyle w:val="TOC3"/>
                <w:rPr>
                  <w:rFonts w:eastAsiaTheme="minorEastAsia" w:cstheme="minorBidi"/>
                  <w:noProof/>
                  <w:sz w:val="22"/>
                  <w:szCs w:val="22"/>
                  <w:lang w:eastAsia="hr-HR"/>
                </w:rPr>
              </w:pPr>
              <w:hyperlink w:anchor="_Toc165035451" w:history="1">
                <w:r w:rsidR="00400391" w:rsidRPr="00F12BDD">
                  <w:rPr>
                    <w:rStyle w:val="Hyperlink"/>
                    <w:noProof/>
                  </w:rPr>
                  <w:t>2.2.4. Ocjena sigurnosti u kliničkim ispitivanjima</w:t>
                </w:r>
                <w:r w:rsidR="00400391">
                  <w:rPr>
                    <w:noProof/>
                    <w:webHidden/>
                  </w:rPr>
                  <w:tab/>
                </w:r>
                <w:r w:rsidR="00400391">
                  <w:rPr>
                    <w:noProof/>
                    <w:webHidden/>
                  </w:rPr>
                  <w:fldChar w:fldCharType="begin"/>
                </w:r>
                <w:r w:rsidR="00400391">
                  <w:rPr>
                    <w:noProof/>
                    <w:webHidden/>
                  </w:rPr>
                  <w:instrText xml:space="preserve"> PAGEREF _Toc165035451 \h </w:instrText>
                </w:r>
                <w:r w:rsidR="00400391">
                  <w:rPr>
                    <w:noProof/>
                    <w:webHidden/>
                  </w:rPr>
                </w:r>
                <w:r w:rsidR="00400391">
                  <w:rPr>
                    <w:noProof/>
                    <w:webHidden/>
                  </w:rPr>
                  <w:fldChar w:fldCharType="separate"/>
                </w:r>
                <w:r w:rsidR="00C86676">
                  <w:rPr>
                    <w:noProof/>
                    <w:webHidden/>
                  </w:rPr>
                  <w:t>42</w:t>
                </w:r>
                <w:r w:rsidR="00400391">
                  <w:rPr>
                    <w:noProof/>
                    <w:webHidden/>
                  </w:rPr>
                  <w:fldChar w:fldCharType="end"/>
                </w:r>
              </w:hyperlink>
            </w:p>
            <w:p w14:paraId="6C61EE37" w14:textId="50BD93C7" w:rsidR="00400391" w:rsidRDefault="008B34CD">
              <w:pPr>
                <w:pStyle w:val="TOC3"/>
                <w:rPr>
                  <w:rFonts w:eastAsiaTheme="minorEastAsia" w:cstheme="minorBidi"/>
                  <w:noProof/>
                  <w:sz w:val="22"/>
                  <w:szCs w:val="22"/>
                  <w:lang w:eastAsia="hr-HR"/>
                </w:rPr>
              </w:pPr>
              <w:hyperlink w:anchor="_Toc165035452" w:history="1">
                <w:r w:rsidR="00400391" w:rsidRPr="00F12BDD">
                  <w:rPr>
                    <w:rStyle w:val="Hyperlink"/>
                    <w:noProof/>
                  </w:rPr>
                  <w:t>2.2.5. Ocjena neintervencijskih ispitivanja</w:t>
                </w:r>
                <w:r w:rsidR="00400391">
                  <w:rPr>
                    <w:noProof/>
                    <w:webHidden/>
                  </w:rPr>
                  <w:tab/>
                </w:r>
                <w:r w:rsidR="00400391">
                  <w:rPr>
                    <w:noProof/>
                    <w:webHidden/>
                  </w:rPr>
                  <w:fldChar w:fldCharType="begin"/>
                </w:r>
                <w:r w:rsidR="00400391">
                  <w:rPr>
                    <w:noProof/>
                    <w:webHidden/>
                  </w:rPr>
                  <w:instrText xml:space="preserve"> PAGEREF _Toc165035452 \h </w:instrText>
                </w:r>
                <w:r w:rsidR="00400391">
                  <w:rPr>
                    <w:noProof/>
                    <w:webHidden/>
                  </w:rPr>
                </w:r>
                <w:r w:rsidR="00400391">
                  <w:rPr>
                    <w:noProof/>
                    <w:webHidden/>
                  </w:rPr>
                  <w:fldChar w:fldCharType="separate"/>
                </w:r>
                <w:r w:rsidR="00C86676">
                  <w:rPr>
                    <w:noProof/>
                    <w:webHidden/>
                  </w:rPr>
                  <w:t>43</w:t>
                </w:r>
                <w:r w:rsidR="00400391">
                  <w:rPr>
                    <w:noProof/>
                    <w:webHidden/>
                  </w:rPr>
                  <w:fldChar w:fldCharType="end"/>
                </w:r>
              </w:hyperlink>
            </w:p>
            <w:p w14:paraId="03FC9863" w14:textId="57BEA269" w:rsidR="00400391" w:rsidRDefault="008B34CD">
              <w:pPr>
                <w:pStyle w:val="TOC3"/>
                <w:rPr>
                  <w:rFonts w:eastAsiaTheme="minorEastAsia" w:cstheme="minorBidi"/>
                  <w:noProof/>
                  <w:sz w:val="22"/>
                  <w:szCs w:val="22"/>
                  <w:lang w:eastAsia="hr-HR"/>
                </w:rPr>
              </w:pPr>
              <w:hyperlink w:anchor="_Toc165035453" w:history="1">
                <w:r w:rsidR="00400391" w:rsidRPr="00F12BDD">
                  <w:rPr>
                    <w:rStyle w:val="Hyperlink"/>
                    <w:noProof/>
                  </w:rPr>
                  <w:t>2.2.6. Odobravanje dodatnih mjera minimizacije rizika (dMMR)</w:t>
                </w:r>
                <w:r w:rsidR="00400391">
                  <w:rPr>
                    <w:noProof/>
                    <w:webHidden/>
                  </w:rPr>
                  <w:tab/>
                </w:r>
                <w:r w:rsidR="00400391">
                  <w:rPr>
                    <w:noProof/>
                    <w:webHidden/>
                  </w:rPr>
                  <w:fldChar w:fldCharType="begin"/>
                </w:r>
                <w:r w:rsidR="00400391">
                  <w:rPr>
                    <w:noProof/>
                    <w:webHidden/>
                  </w:rPr>
                  <w:instrText xml:space="preserve"> PAGEREF _Toc165035453 \h </w:instrText>
                </w:r>
                <w:r w:rsidR="00400391">
                  <w:rPr>
                    <w:noProof/>
                    <w:webHidden/>
                  </w:rPr>
                </w:r>
                <w:r w:rsidR="00400391">
                  <w:rPr>
                    <w:noProof/>
                    <w:webHidden/>
                  </w:rPr>
                  <w:fldChar w:fldCharType="separate"/>
                </w:r>
                <w:r w:rsidR="00C86676">
                  <w:rPr>
                    <w:noProof/>
                    <w:webHidden/>
                  </w:rPr>
                  <w:t>43</w:t>
                </w:r>
                <w:r w:rsidR="00400391">
                  <w:rPr>
                    <w:noProof/>
                    <w:webHidden/>
                  </w:rPr>
                  <w:fldChar w:fldCharType="end"/>
                </w:r>
              </w:hyperlink>
            </w:p>
            <w:p w14:paraId="0C6ED0BB" w14:textId="321C922E" w:rsidR="00400391" w:rsidRDefault="008B34CD">
              <w:pPr>
                <w:pStyle w:val="TOC3"/>
                <w:rPr>
                  <w:rFonts w:eastAsiaTheme="minorEastAsia" w:cstheme="minorBidi"/>
                  <w:noProof/>
                  <w:sz w:val="22"/>
                  <w:szCs w:val="22"/>
                  <w:lang w:eastAsia="hr-HR"/>
                </w:rPr>
              </w:pPr>
              <w:hyperlink w:anchor="_Toc165035454" w:history="1">
                <w:r w:rsidR="00400391" w:rsidRPr="00F12BDD">
                  <w:rPr>
                    <w:rStyle w:val="Hyperlink"/>
                    <w:noProof/>
                  </w:rPr>
                  <w:t>2.2.7. Odobravanje lokalne osobe odgovorne za farmakovigilanciju i zamjenika (lQPPV)</w:t>
                </w:r>
                <w:r w:rsidR="00400391">
                  <w:rPr>
                    <w:noProof/>
                    <w:webHidden/>
                  </w:rPr>
                  <w:tab/>
                </w:r>
                <w:r w:rsidR="00400391">
                  <w:rPr>
                    <w:noProof/>
                    <w:webHidden/>
                  </w:rPr>
                  <w:fldChar w:fldCharType="begin"/>
                </w:r>
                <w:r w:rsidR="00400391">
                  <w:rPr>
                    <w:noProof/>
                    <w:webHidden/>
                  </w:rPr>
                  <w:instrText xml:space="preserve"> PAGEREF _Toc165035454 \h </w:instrText>
                </w:r>
                <w:r w:rsidR="00400391">
                  <w:rPr>
                    <w:noProof/>
                    <w:webHidden/>
                  </w:rPr>
                </w:r>
                <w:r w:rsidR="00400391">
                  <w:rPr>
                    <w:noProof/>
                    <w:webHidden/>
                  </w:rPr>
                  <w:fldChar w:fldCharType="separate"/>
                </w:r>
                <w:r w:rsidR="00C86676">
                  <w:rPr>
                    <w:noProof/>
                    <w:webHidden/>
                  </w:rPr>
                  <w:t>43</w:t>
                </w:r>
                <w:r w:rsidR="00400391">
                  <w:rPr>
                    <w:noProof/>
                    <w:webHidden/>
                  </w:rPr>
                  <w:fldChar w:fldCharType="end"/>
                </w:r>
              </w:hyperlink>
            </w:p>
            <w:p w14:paraId="124A4358" w14:textId="39792BE9" w:rsidR="00400391" w:rsidRDefault="008B34CD">
              <w:pPr>
                <w:pStyle w:val="TOC3"/>
                <w:rPr>
                  <w:rFonts w:eastAsiaTheme="minorEastAsia" w:cstheme="minorBidi"/>
                  <w:noProof/>
                  <w:sz w:val="22"/>
                  <w:szCs w:val="22"/>
                  <w:lang w:eastAsia="hr-HR"/>
                </w:rPr>
              </w:pPr>
              <w:hyperlink w:anchor="_Toc165035455" w:history="1">
                <w:r w:rsidR="00400391" w:rsidRPr="00F12BDD">
                  <w:rPr>
                    <w:rStyle w:val="Hyperlink"/>
                    <w:noProof/>
                  </w:rPr>
                  <w:t>2.2.8. Informiranje o sigurnosti primjene lijekova</w:t>
                </w:r>
                <w:r w:rsidR="00400391">
                  <w:rPr>
                    <w:noProof/>
                    <w:webHidden/>
                  </w:rPr>
                  <w:tab/>
                </w:r>
                <w:r w:rsidR="00400391">
                  <w:rPr>
                    <w:noProof/>
                    <w:webHidden/>
                  </w:rPr>
                  <w:fldChar w:fldCharType="begin"/>
                </w:r>
                <w:r w:rsidR="00400391">
                  <w:rPr>
                    <w:noProof/>
                    <w:webHidden/>
                  </w:rPr>
                  <w:instrText xml:space="preserve"> PAGEREF _Toc165035455 \h </w:instrText>
                </w:r>
                <w:r w:rsidR="00400391">
                  <w:rPr>
                    <w:noProof/>
                    <w:webHidden/>
                  </w:rPr>
                </w:r>
                <w:r w:rsidR="00400391">
                  <w:rPr>
                    <w:noProof/>
                    <w:webHidden/>
                  </w:rPr>
                  <w:fldChar w:fldCharType="separate"/>
                </w:r>
                <w:r w:rsidR="00C86676">
                  <w:rPr>
                    <w:noProof/>
                    <w:webHidden/>
                  </w:rPr>
                  <w:t>43</w:t>
                </w:r>
                <w:r w:rsidR="00400391">
                  <w:rPr>
                    <w:noProof/>
                    <w:webHidden/>
                  </w:rPr>
                  <w:fldChar w:fldCharType="end"/>
                </w:r>
              </w:hyperlink>
            </w:p>
            <w:p w14:paraId="46063D4B" w14:textId="3ABB9182" w:rsidR="00400391" w:rsidRDefault="008B34CD">
              <w:pPr>
                <w:pStyle w:val="TOC3"/>
                <w:rPr>
                  <w:rFonts w:eastAsiaTheme="minorEastAsia" w:cstheme="minorBidi"/>
                  <w:noProof/>
                  <w:sz w:val="22"/>
                  <w:szCs w:val="22"/>
                  <w:lang w:eastAsia="hr-HR"/>
                </w:rPr>
              </w:pPr>
              <w:hyperlink w:anchor="_Toc165035456" w:history="1">
                <w:r w:rsidR="00400391" w:rsidRPr="00F12BDD">
                  <w:rPr>
                    <w:rStyle w:val="Hyperlink"/>
                    <w:noProof/>
                  </w:rPr>
                  <w:t>2.2.9. Detekcija i ocjena signala</w:t>
                </w:r>
                <w:r w:rsidR="00400391">
                  <w:rPr>
                    <w:noProof/>
                    <w:webHidden/>
                  </w:rPr>
                  <w:tab/>
                </w:r>
                <w:r w:rsidR="00400391">
                  <w:rPr>
                    <w:noProof/>
                    <w:webHidden/>
                  </w:rPr>
                  <w:fldChar w:fldCharType="begin"/>
                </w:r>
                <w:r w:rsidR="00400391">
                  <w:rPr>
                    <w:noProof/>
                    <w:webHidden/>
                  </w:rPr>
                  <w:instrText xml:space="preserve"> PAGEREF _Toc165035456 \h </w:instrText>
                </w:r>
                <w:r w:rsidR="00400391">
                  <w:rPr>
                    <w:noProof/>
                    <w:webHidden/>
                  </w:rPr>
                </w:r>
                <w:r w:rsidR="00400391">
                  <w:rPr>
                    <w:noProof/>
                    <w:webHidden/>
                  </w:rPr>
                  <w:fldChar w:fldCharType="separate"/>
                </w:r>
                <w:r w:rsidR="00C86676">
                  <w:rPr>
                    <w:noProof/>
                    <w:webHidden/>
                  </w:rPr>
                  <w:t>44</w:t>
                </w:r>
                <w:r w:rsidR="00400391">
                  <w:rPr>
                    <w:noProof/>
                    <w:webHidden/>
                  </w:rPr>
                  <w:fldChar w:fldCharType="end"/>
                </w:r>
              </w:hyperlink>
            </w:p>
            <w:p w14:paraId="786A342B" w14:textId="0570FDE0" w:rsidR="00400391" w:rsidRDefault="008B34CD">
              <w:pPr>
                <w:pStyle w:val="TOC3"/>
                <w:rPr>
                  <w:rFonts w:eastAsiaTheme="minorEastAsia" w:cstheme="minorBidi"/>
                  <w:noProof/>
                  <w:sz w:val="22"/>
                  <w:szCs w:val="22"/>
                  <w:lang w:eastAsia="hr-HR"/>
                </w:rPr>
              </w:pPr>
              <w:hyperlink w:anchor="_Toc165035457" w:history="1">
                <w:r w:rsidR="00400391" w:rsidRPr="00F12BDD">
                  <w:rPr>
                    <w:rStyle w:val="Hyperlink"/>
                    <w:noProof/>
                  </w:rPr>
                  <w:t>2.2.10. Održavanje sjednica Povjerenstva za sigurnost primjene lijekova</w:t>
                </w:r>
                <w:r w:rsidR="00400391">
                  <w:rPr>
                    <w:noProof/>
                    <w:webHidden/>
                  </w:rPr>
                  <w:tab/>
                </w:r>
                <w:r w:rsidR="00400391">
                  <w:rPr>
                    <w:noProof/>
                    <w:webHidden/>
                  </w:rPr>
                  <w:fldChar w:fldCharType="begin"/>
                </w:r>
                <w:r w:rsidR="00400391">
                  <w:rPr>
                    <w:noProof/>
                    <w:webHidden/>
                  </w:rPr>
                  <w:instrText xml:space="preserve"> PAGEREF _Toc165035457 \h </w:instrText>
                </w:r>
                <w:r w:rsidR="00400391">
                  <w:rPr>
                    <w:noProof/>
                    <w:webHidden/>
                  </w:rPr>
                </w:r>
                <w:r w:rsidR="00400391">
                  <w:rPr>
                    <w:noProof/>
                    <w:webHidden/>
                  </w:rPr>
                  <w:fldChar w:fldCharType="separate"/>
                </w:r>
                <w:r w:rsidR="00C86676">
                  <w:rPr>
                    <w:noProof/>
                    <w:webHidden/>
                  </w:rPr>
                  <w:t>45</w:t>
                </w:r>
                <w:r w:rsidR="00400391">
                  <w:rPr>
                    <w:noProof/>
                    <w:webHidden/>
                  </w:rPr>
                  <w:fldChar w:fldCharType="end"/>
                </w:r>
              </w:hyperlink>
            </w:p>
            <w:p w14:paraId="1D60523B" w14:textId="4A1B7252" w:rsidR="00400391" w:rsidRDefault="008B34CD">
              <w:pPr>
                <w:pStyle w:val="TOC3"/>
                <w:rPr>
                  <w:rFonts w:eastAsiaTheme="minorEastAsia" w:cstheme="minorBidi"/>
                  <w:noProof/>
                  <w:sz w:val="22"/>
                  <w:szCs w:val="22"/>
                  <w:lang w:eastAsia="hr-HR"/>
                </w:rPr>
              </w:pPr>
              <w:hyperlink w:anchor="_Toc165035458" w:history="1">
                <w:r w:rsidR="00400391" w:rsidRPr="00F12BDD">
                  <w:rPr>
                    <w:rStyle w:val="Hyperlink"/>
                    <w:noProof/>
                  </w:rPr>
                  <w:t>2.2.11. Evidencije prijavitelja nuspojava</w:t>
                </w:r>
                <w:r w:rsidR="00400391">
                  <w:rPr>
                    <w:noProof/>
                    <w:webHidden/>
                  </w:rPr>
                  <w:tab/>
                </w:r>
                <w:r w:rsidR="00400391">
                  <w:rPr>
                    <w:noProof/>
                    <w:webHidden/>
                  </w:rPr>
                  <w:fldChar w:fldCharType="begin"/>
                </w:r>
                <w:r w:rsidR="00400391">
                  <w:rPr>
                    <w:noProof/>
                    <w:webHidden/>
                  </w:rPr>
                  <w:instrText xml:space="preserve"> PAGEREF _Toc165035458 \h </w:instrText>
                </w:r>
                <w:r w:rsidR="00400391">
                  <w:rPr>
                    <w:noProof/>
                    <w:webHidden/>
                  </w:rPr>
                </w:r>
                <w:r w:rsidR="00400391">
                  <w:rPr>
                    <w:noProof/>
                    <w:webHidden/>
                  </w:rPr>
                  <w:fldChar w:fldCharType="separate"/>
                </w:r>
                <w:r w:rsidR="00C86676">
                  <w:rPr>
                    <w:noProof/>
                    <w:webHidden/>
                  </w:rPr>
                  <w:t>45</w:t>
                </w:r>
                <w:r w:rsidR="00400391">
                  <w:rPr>
                    <w:noProof/>
                    <w:webHidden/>
                  </w:rPr>
                  <w:fldChar w:fldCharType="end"/>
                </w:r>
              </w:hyperlink>
            </w:p>
            <w:p w14:paraId="133F579C" w14:textId="2D018440" w:rsidR="00400391" w:rsidRDefault="008B34CD">
              <w:pPr>
                <w:pStyle w:val="TOC3"/>
                <w:rPr>
                  <w:rFonts w:eastAsiaTheme="minorEastAsia" w:cstheme="minorBidi"/>
                  <w:noProof/>
                  <w:sz w:val="22"/>
                  <w:szCs w:val="22"/>
                  <w:lang w:eastAsia="hr-HR"/>
                </w:rPr>
              </w:pPr>
              <w:hyperlink w:anchor="_Toc165035459" w:history="1">
                <w:r w:rsidR="00400391" w:rsidRPr="00F12BDD">
                  <w:rPr>
                    <w:rStyle w:val="Hyperlink"/>
                    <w:noProof/>
                  </w:rPr>
                  <w:t>2.2.12. Europski poslovi</w:t>
                </w:r>
                <w:r w:rsidR="00400391">
                  <w:rPr>
                    <w:noProof/>
                    <w:webHidden/>
                  </w:rPr>
                  <w:tab/>
                </w:r>
                <w:r w:rsidR="00400391">
                  <w:rPr>
                    <w:noProof/>
                    <w:webHidden/>
                  </w:rPr>
                  <w:fldChar w:fldCharType="begin"/>
                </w:r>
                <w:r w:rsidR="00400391">
                  <w:rPr>
                    <w:noProof/>
                    <w:webHidden/>
                  </w:rPr>
                  <w:instrText xml:space="preserve"> PAGEREF _Toc165035459 \h </w:instrText>
                </w:r>
                <w:r w:rsidR="00400391">
                  <w:rPr>
                    <w:noProof/>
                    <w:webHidden/>
                  </w:rPr>
                </w:r>
                <w:r w:rsidR="00400391">
                  <w:rPr>
                    <w:noProof/>
                    <w:webHidden/>
                  </w:rPr>
                  <w:fldChar w:fldCharType="separate"/>
                </w:r>
                <w:r w:rsidR="00C86676">
                  <w:rPr>
                    <w:noProof/>
                    <w:webHidden/>
                  </w:rPr>
                  <w:t>45</w:t>
                </w:r>
                <w:r w:rsidR="00400391">
                  <w:rPr>
                    <w:noProof/>
                    <w:webHidden/>
                  </w:rPr>
                  <w:fldChar w:fldCharType="end"/>
                </w:r>
              </w:hyperlink>
            </w:p>
            <w:p w14:paraId="0010BBAA" w14:textId="36A50069" w:rsidR="00400391" w:rsidRDefault="008B34CD">
              <w:pPr>
                <w:pStyle w:val="TOC3"/>
                <w:rPr>
                  <w:rFonts w:eastAsiaTheme="minorEastAsia" w:cstheme="minorBidi"/>
                  <w:noProof/>
                  <w:sz w:val="22"/>
                  <w:szCs w:val="22"/>
                  <w:lang w:eastAsia="hr-HR"/>
                </w:rPr>
              </w:pPr>
              <w:hyperlink w:anchor="_Toc165035460" w:history="1">
                <w:r w:rsidR="00400391" w:rsidRPr="00F12BDD">
                  <w:rPr>
                    <w:rStyle w:val="Hyperlink"/>
                    <w:noProof/>
                  </w:rPr>
                  <w:t>2.2.13. Izvršenje prihodovnih poslova</w:t>
                </w:r>
                <w:r w:rsidR="00400391">
                  <w:rPr>
                    <w:noProof/>
                    <w:webHidden/>
                  </w:rPr>
                  <w:tab/>
                </w:r>
                <w:r w:rsidR="00400391">
                  <w:rPr>
                    <w:noProof/>
                    <w:webHidden/>
                  </w:rPr>
                  <w:fldChar w:fldCharType="begin"/>
                </w:r>
                <w:r w:rsidR="00400391">
                  <w:rPr>
                    <w:noProof/>
                    <w:webHidden/>
                  </w:rPr>
                  <w:instrText xml:space="preserve"> PAGEREF _Toc165035460 \h </w:instrText>
                </w:r>
                <w:r w:rsidR="00400391">
                  <w:rPr>
                    <w:noProof/>
                    <w:webHidden/>
                  </w:rPr>
                </w:r>
                <w:r w:rsidR="00400391">
                  <w:rPr>
                    <w:noProof/>
                    <w:webHidden/>
                  </w:rPr>
                  <w:fldChar w:fldCharType="separate"/>
                </w:r>
                <w:r w:rsidR="00C86676">
                  <w:rPr>
                    <w:noProof/>
                    <w:webHidden/>
                  </w:rPr>
                  <w:t>49</w:t>
                </w:r>
                <w:r w:rsidR="00400391">
                  <w:rPr>
                    <w:noProof/>
                    <w:webHidden/>
                  </w:rPr>
                  <w:fldChar w:fldCharType="end"/>
                </w:r>
              </w:hyperlink>
            </w:p>
            <w:p w14:paraId="1CFC20E2" w14:textId="68099B34" w:rsidR="00400391" w:rsidRDefault="008B34CD">
              <w:pPr>
                <w:pStyle w:val="TOC3"/>
                <w:rPr>
                  <w:rFonts w:eastAsiaTheme="minorEastAsia" w:cstheme="minorBidi"/>
                  <w:noProof/>
                  <w:sz w:val="22"/>
                  <w:szCs w:val="22"/>
                  <w:lang w:eastAsia="hr-HR"/>
                </w:rPr>
              </w:pPr>
              <w:hyperlink w:anchor="_Toc165035461" w:history="1">
                <w:r w:rsidR="00400391" w:rsidRPr="00F12BDD">
                  <w:rPr>
                    <w:rStyle w:val="Hyperlink"/>
                    <w:noProof/>
                  </w:rPr>
                  <w:t>2.2.14. Izvršenje neprihodovnih poslova</w:t>
                </w:r>
                <w:r w:rsidR="00400391">
                  <w:rPr>
                    <w:noProof/>
                    <w:webHidden/>
                  </w:rPr>
                  <w:tab/>
                </w:r>
                <w:r w:rsidR="00400391">
                  <w:rPr>
                    <w:noProof/>
                    <w:webHidden/>
                  </w:rPr>
                  <w:fldChar w:fldCharType="begin"/>
                </w:r>
                <w:r w:rsidR="00400391">
                  <w:rPr>
                    <w:noProof/>
                    <w:webHidden/>
                  </w:rPr>
                  <w:instrText xml:space="preserve"> PAGEREF _Toc165035461 \h </w:instrText>
                </w:r>
                <w:r w:rsidR="00400391">
                  <w:rPr>
                    <w:noProof/>
                    <w:webHidden/>
                  </w:rPr>
                </w:r>
                <w:r w:rsidR="00400391">
                  <w:rPr>
                    <w:noProof/>
                    <w:webHidden/>
                  </w:rPr>
                  <w:fldChar w:fldCharType="separate"/>
                </w:r>
                <w:r w:rsidR="00C86676">
                  <w:rPr>
                    <w:noProof/>
                    <w:webHidden/>
                  </w:rPr>
                  <w:t>49</w:t>
                </w:r>
                <w:r w:rsidR="00400391">
                  <w:rPr>
                    <w:noProof/>
                    <w:webHidden/>
                  </w:rPr>
                  <w:fldChar w:fldCharType="end"/>
                </w:r>
              </w:hyperlink>
            </w:p>
            <w:p w14:paraId="0F863375" w14:textId="72106F87" w:rsidR="00400391" w:rsidRDefault="008B34CD">
              <w:pPr>
                <w:pStyle w:val="TOC2"/>
                <w:rPr>
                  <w:rFonts w:eastAsiaTheme="minorEastAsia" w:cstheme="minorBidi"/>
                  <w:iCs w:val="0"/>
                  <w:noProof/>
                  <w:sz w:val="22"/>
                  <w:szCs w:val="22"/>
                  <w:lang w:eastAsia="hr-HR"/>
                </w:rPr>
              </w:pPr>
              <w:hyperlink w:anchor="_Toc165035462" w:history="1">
                <w:r w:rsidR="00400391" w:rsidRPr="00F12BDD">
                  <w:rPr>
                    <w:rStyle w:val="Hyperlink"/>
                    <w:noProof/>
                  </w:rPr>
                  <w:t>2.3. Proizvodnja i nadzor</w:t>
                </w:r>
                <w:r w:rsidR="00400391">
                  <w:rPr>
                    <w:noProof/>
                    <w:webHidden/>
                  </w:rPr>
                  <w:tab/>
                </w:r>
                <w:r w:rsidR="00400391">
                  <w:rPr>
                    <w:noProof/>
                    <w:webHidden/>
                  </w:rPr>
                  <w:fldChar w:fldCharType="begin"/>
                </w:r>
                <w:r w:rsidR="00400391">
                  <w:rPr>
                    <w:noProof/>
                    <w:webHidden/>
                  </w:rPr>
                  <w:instrText xml:space="preserve"> PAGEREF _Toc165035462 \h </w:instrText>
                </w:r>
                <w:r w:rsidR="00400391">
                  <w:rPr>
                    <w:noProof/>
                    <w:webHidden/>
                  </w:rPr>
                </w:r>
                <w:r w:rsidR="00400391">
                  <w:rPr>
                    <w:noProof/>
                    <w:webHidden/>
                  </w:rPr>
                  <w:fldChar w:fldCharType="separate"/>
                </w:r>
                <w:r w:rsidR="00C86676">
                  <w:rPr>
                    <w:noProof/>
                    <w:webHidden/>
                  </w:rPr>
                  <w:t>51</w:t>
                </w:r>
                <w:r w:rsidR="00400391">
                  <w:rPr>
                    <w:noProof/>
                    <w:webHidden/>
                  </w:rPr>
                  <w:fldChar w:fldCharType="end"/>
                </w:r>
              </w:hyperlink>
            </w:p>
            <w:p w14:paraId="2A70B6D8" w14:textId="661E2022" w:rsidR="00400391" w:rsidRDefault="008B34CD">
              <w:pPr>
                <w:pStyle w:val="TOC3"/>
                <w:rPr>
                  <w:rFonts w:eastAsiaTheme="minorEastAsia" w:cstheme="minorBidi"/>
                  <w:noProof/>
                  <w:sz w:val="22"/>
                  <w:szCs w:val="22"/>
                  <w:lang w:eastAsia="hr-HR"/>
                </w:rPr>
              </w:pPr>
              <w:hyperlink w:anchor="_Toc165035463" w:history="1">
                <w:r w:rsidR="00400391" w:rsidRPr="00F12BDD">
                  <w:rPr>
                    <w:rStyle w:val="Hyperlink"/>
                    <w:noProof/>
                  </w:rPr>
                  <w:t>2.3.1. Davanje proizvodne dozvole</w:t>
                </w:r>
                <w:r w:rsidR="00400391">
                  <w:rPr>
                    <w:noProof/>
                    <w:webHidden/>
                  </w:rPr>
                  <w:tab/>
                </w:r>
                <w:r w:rsidR="00400391">
                  <w:rPr>
                    <w:noProof/>
                    <w:webHidden/>
                  </w:rPr>
                  <w:fldChar w:fldCharType="begin"/>
                </w:r>
                <w:r w:rsidR="00400391">
                  <w:rPr>
                    <w:noProof/>
                    <w:webHidden/>
                  </w:rPr>
                  <w:instrText xml:space="preserve"> PAGEREF _Toc165035463 \h </w:instrText>
                </w:r>
                <w:r w:rsidR="00400391">
                  <w:rPr>
                    <w:noProof/>
                    <w:webHidden/>
                  </w:rPr>
                </w:r>
                <w:r w:rsidR="00400391">
                  <w:rPr>
                    <w:noProof/>
                    <w:webHidden/>
                  </w:rPr>
                  <w:fldChar w:fldCharType="separate"/>
                </w:r>
                <w:r w:rsidR="00C86676">
                  <w:rPr>
                    <w:noProof/>
                    <w:webHidden/>
                  </w:rPr>
                  <w:t>51</w:t>
                </w:r>
                <w:r w:rsidR="00400391">
                  <w:rPr>
                    <w:noProof/>
                    <w:webHidden/>
                  </w:rPr>
                  <w:fldChar w:fldCharType="end"/>
                </w:r>
              </w:hyperlink>
            </w:p>
            <w:p w14:paraId="41233DCE" w14:textId="681C58D4" w:rsidR="00400391" w:rsidRDefault="008B34CD">
              <w:pPr>
                <w:pStyle w:val="TOC3"/>
                <w:rPr>
                  <w:rFonts w:eastAsiaTheme="minorEastAsia" w:cstheme="minorBidi"/>
                  <w:noProof/>
                  <w:sz w:val="22"/>
                  <w:szCs w:val="22"/>
                  <w:lang w:eastAsia="hr-HR"/>
                </w:rPr>
              </w:pPr>
              <w:hyperlink w:anchor="_Toc165035464" w:history="1">
                <w:r w:rsidR="00400391" w:rsidRPr="00F12BDD">
                  <w:rPr>
                    <w:rStyle w:val="Hyperlink"/>
                    <w:noProof/>
                  </w:rPr>
                  <w:t>2.3.2. Davanje potvrde o dobroj proizvođačkoj praksi</w:t>
                </w:r>
                <w:r w:rsidR="00400391">
                  <w:rPr>
                    <w:noProof/>
                    <w:webHidden/>
                  </w:rPr>
                  <w:tab/>
                </w:r>
                <w:r w:rsidR="00400391">
                  <w:rPr>
                    <w:noProof/>
                    <w:webHidden/>
                  </w:rPr>
                  <w:fldChar w:fldCharType="begin"/>
                </w:r>
                <w:r w:rsidR="00400391">
                  <w:rPr>
                    <w:noProof/>
                    <w:webHidden/>
                  </w:rPr>
                  <w:instrText xml:space="preserve"> PAGEREF _Toc165035464 \h </w:instrText>
                </w:r>
                <w:r w:rsidR="00400391">
                  <w:rPr>
                    <w:noProof/>
                    <w:webHidden/>
                  </w:rPr>
                </w:r>
                <w:r w:rsidR="00400391">
                  <w:rPr>
                    <w:noProof/>
                    <w:webHidden/>
                  </w:rPr>
                  <w:fldChar w:fldCharType="separate"/>
                </w:r>
                <w:r w:rsidR="00C86676">
                  <w:rPr>
                    <w:noProof/>
                    <w:webHidden/>
                  </w:rPr>
                  <w:t>51</w:t>
                </w:r>
                <w:r w:rsidR="00400391">
                  <w:rPr>
                    <w:noProof/>
                    <w:webHidden/>
                  </w:rPr>
                  <w:fldChar w:fldCharType="end"/>
                </w:r>
              </w:hyperlink>
            </w:p>
            <w:p w14:paraId="0006F0AA" w14:textId="7200E853" w:rsidR="00400391" w:rsidRDefault="008B34CD">
              <w:pPr>
                <w:pStyle w:val="TOC3"/>
                <w:rPr>
                  <w:rFonts w:eastAsiaTheme="minorEastAsia" w:cstheme="minorBidi"/>
                  <w:noProof/>
                  <w:sz w:val="22"/>
                  <w:szCs w:val="22"/>
                  <w:lang w:eastAsia="hr-HR"/>
                </w:rPr>
              </w:pPr>
              <w:hyperlink w:anchor="_Toc165035465" w:history="1">
                <w:r w:rsidR="00400391" w:rsidRPr="00F12BDD">
                  <w:rPr>
                    <w:rStyle w:val="Hyperlink"/>
                    <w:noProof/>
                  </w:rPr>
                  <w:t>2.3.3. Upis u očevidnik proizvođača, dobavljača ili uvoznika djelatnih tvari</w:t>
                </w:r>
                <w:r w:rsidR="00400391">
                  <w:rPr>
                    <w:noProof/>
                    <w:webHidden/>
                  </w:rPr>
                  <w:tab/>
                </w:r>
                <w:r w:rsidR="00400391">
                  <w:rPr>
                    <w:noProof/>
                    <w:webHidden/>
                  </w:rPr>
                  <w:fldChar w:fldCharType="begin"/>
                </w:r>
                <w:r w:rsidR="00400391">
                  <w:rPr>
                    <w:noProof/>
                    <w:webHidden/>
                  </w:rPr>
                  <w:instrText xml:space="preserve"> PAGEREF _Toc165035465 \h </w:instrText>
                </w:r>
                <w:r w:rsidR="00400391">
                  <w:rPr>
                    <w:noProof/>
                    <w:webHidden/>
                  </w:rPr>
                </w:r>
                <w:r w:rsidR="00400391">
                  <w:rPr>
                    <w:noProof/>
                    <w:webHidden/>
                  </w:rPr>
                  <w:fldChar w:fldCharType="separate"/>
                </w:r>
                <w:r w:rsidR="00C86676">
                  <w:rPr>
                    <w:noProof/>
                    <w:webHidden/>
                  </w:rPr>
                  <w:t>52</w:t>
                </w:r>
                <w:r w:rsidR="00400391">
                  <w:rPr>
                    <w:noProof/>
                    <w:webHidden/>
                  </w:rPr>
                  <w:fldChar w:fldCharType="end"/>
                </w:r>
              </w:hyperlink>
            </w:p>
            <w:p w14:paraId="254B61A8" w14:textId="7E5E1F2B" w:rsidR="00400391" w:rsidRDefault="008B34CD">
              <w:pPr>
                <w:pStyle w:val="TOC3"/>
                <w:rPr>
                  <w:rFonts w:eastAsiaTheme="minorEastAsia" w:cstheme="minorBidi"/>
                  <w:noProof/>
                  <w:sz w:val="22"/>
                  <w:szCs w:val="22"/>
                  <w:lang w:eastAsia="hr-HR"/>
                </w:rPr>
              </w:pPr>
              <w:hyperlink w:anchor="_Toc165035466" w:history="1">
                <w:r w:rsidR="00400391" w:rsidRPr="00F12BDD">
                  <w:rPr>
                    <w:rStyle w:val="Hyperlink"/>
                    <w:noProof/>
                  </w:rPr>
                  <w:t>2.3.4. Nadzor dobre farmakovigilancijske prakse</w:t>
                </w:r>
                <w:r w:rsidR="00400391">
                  <w:rPr>
                    <w:noProof/>
                    <w:webHidden/>
                  </w:rPr>
                  <w:tab/>
                </w:r>
                <w:r w:rsidR="00400391">
                  <w:rPr>
                    <w:noProof/>
                    <w:webHidden/>
                  </w:rPr>
                  <w:fldChar w:fldCharType="begin"/>
                </w:r>
                <w:r w:rsidR="00400391">
                  <w:rPr>
                    <w:noProof/>
                    <w:webHidden/>
                  </w:rPr>
                  <w:instrText xml:space="preserve"> PAGEREF _Toc165035466 \h </w:instrText>
                </w:r>
                <w:r w:rsidR="00400391">
                  <w:rPr>
                    <w:noProof/>
                    <w:webHidden/>
                  </w:rPr>
                </w:r>
                <w:r w:rsidR="00400391">
                  <w:rPr>
                    <w:noProof/>
                    <w:webHidden/>
                  </w:rPr>
                  <w:fldChar w:fldCharType="separate"/>
                </w:r>
                <w:r w:rsidR="00C86676">
                  <w:rPr>
                    <w:noProof/>
                    <w:webHidden/>
                  </w:rPr>
                  <w:t>52</w:t>
                </w:r>
                <w:r w:rsidR="00400391">
                  <w:rPr>
                    <w:noProof/>
                    <w:webHidden/>
                  </w:rPr>
                  <w:fldChar w:fldCharType="end"/>
                </w:r>
              </w:hyperlink>
            </w:p>
            <w:p w14:paraId="57EE30D7" w14:textId="267BDA7A" w:rsidR="00400391" w:rsidRDefault="008B34CD">
              <w:pPr>
                <w:pStyle w:val="TOC3"/>
                <w:rPr>
                  <w:rFonts w:eastAsiaTheme="minorEastAsia" w:cstheme="minorBidi"/>
                  <w:noProof/>
                  <w:sz w:val="22"/>
                  <w:szCs w:val="22"/>
                  <w:lang w:eastAsia="hr-HR"/>
                </w:rPr>
              </w:pPr>
              <w:hyperlink w:anchor="_Toc165035467" w:history="1">
                <w:r w:rsidR="00400391" w:rsidRPr="00F12BDD">
                  <w:rPr>
                    <w:rStyle w:val="Hyperlink"/>
                    <w:noProof/>
                  </w:rPr>
                  <w:t>2.3.5. Davanje dozvole za promet na veliko lijekova i VMP</w:t>
                </w:r>
                <w:r w:rsidR="00400391">
                  <w:rPr>
                    <w:noProof/>
                    <w:webHidden/>
                  </w:rPr>
                  <w:tab/>
                </w:r>
                <w:r w:rsidR="00400391">
                  <w:rPr>
                    <w:noProof/>
                    <w:webHidden/>
                  </w:rPr>
                  <w:fldChar w:fldCharType="begin"/>
                </w:r>
                <w:r w:rsidR="00400391">
                  <w:rPr>
                    <w:noProof/>
                    <w:webHidden/>
                  </w:rPr>
                  <w:instrText xml:space="preserve"> PAGEREF _Toc165035467 \h </w:instrText>
                </w:r>
                <w:r w:rsidR="00400391">
                  <w:rPr>
                    <w:noProof/>
                    <w:webHidden/>
                  </w:rPr>
                </w:r>
                <w:r w:rsidR="00400391">
                  <w:rPr>
                    <w:noProof/>
                    <w:webHidden/>
                  </w:rPr>
                  <w:fldChar w:fldCharType="separate"/>
                </w:r>
                <w:r w:rsidR="00C86676">
                  <w:rPr>
                    <w:noProof/>
                    <w:webHidden/>
                  </w:rPr>
                  <w:t>53</w:t>
                </w:r>
                <w:r w:rsidR="00400391">
                  <w:rPr>
                    <w:noProof/>
                    <w:webHidden/>
                  </w:rPr>
                  <w:fldChar w:fldCharType="end"/>
                </w:r>
              </w:hyperlink>
            </w:p>
            <w:p w14:paraId="67D4822B" w14:textId="5FC70FC6" w:rsidR="00400391" w:rsidRDefault="008B34CD">
              <w:pPr>
                <w:pStyle w:val="TOC3"/>
                <w:rPr>
                  <w:rFonts w:eastAsiaTheme="minorEastAsia" w:cstheme="minorBidi"/>
                  <w:noProof/>
                  <w:sz w:val="22"/>
                  <w:szCs w:val="22"/>
                  <w:lang w:eastAsia="hr-HR"/>
                </w:rPr>
              </w:pPr>
              <w:hyperlink w:anchor="_Toc165035468" w:history="1">
                <w:r w:rsidR="00400391" w:rsidRPr="00F12BDD">
                  <w:rPr>
                    <w:rStyle w:val="Hyperlink"/>
                    <w:noProof/>
                  </w:rPr>
                  <w:t>2.3.6. Davanje dozvole za promet na malo lijekovima u specijaliziranim prodavaonicama</w:t>
                </w:r>
                <w:r w:rsidR="00400391">
                  <w:rPr>
                    <w:noProof/>
                    <w:webHidden/>
                  </w:rPr>
                  <w:tab/>
                </w:r>
                <w:r w:rsidR="00400391">
                  <w:rPr>
                    <w:noProof/>
                    <w:webHidden/>
                  </w:rPr>
                  <w:fldChar w:fldCharType="begin"/>
                </w:r>
                <w:r w:rsidR="00400391">
                  <w:rPr>
                    <w:noProof/>
                    <w:webHidden/>
                  </w:rPr>
                  <w:instrText xml:space="preserve"> PAGEREF _Toc165035468 \h </w:instrText>
                </w:r>
                <w:r w:rsidR="00400391">
                  <w:rPr>
                    <w:noProof/>
                    <w:webHidden/>
                  </w:rPr>
                </w:r>
                <w:r w:rsidR="00400391">
                  <w:rPr>
                    <w:noProof/>
                    <w:webHidden/>
                  </w:rPr>
                  <w:fldChar w:fldCharType="separate"/>
                </w:r>
                <w:r w:rsidR="00C86676">
                  <w:rPr>
                    <w:noProof/>
                    <w:webHidden/>
                  </w:rPr>
                  <w:t>53</w:t>
                </w:r>
                <w:r w:rsidR="00400391">
                  <w:rPr>
                    <w:noProof/>
                    <w:webHidden/>
                  </w:rPr>
                  <w:fldChar w:fldCharType="end"/>
                </w:r>
              </w:hyperlink>
            </w:p>
            <w:p w14:paraId="5E929232" w14:textId="273946E4" w:rsidR="00400391" w:rsidRDefault="008B34CD">
              <w:pPr>
                <w:pStyle w:val="TOC3"/>
                <w:rPr>
                  <w:rFonts w:eastAsiaTheme="minorEastAsia" w:cstheme="minorBidi"/>
                  <w:noProof/>
                  <w:sz w:val="22"/>
                  <w:szCs w:val="22"/>
                  <w:lang w:eastAsia="hr-HR"/>
                </w:rPr>
              </w:pPr>
              <w:hyperlink w:anchor="_Toc165035469" w:history="1">
                <w:r w:rsidR="00400391" w:rsidRPr="00F12BDD">
                  <w:rPr>
                    <w:rStyle w:val="Hyperlink"/>
                    <w:noProof/>
                  </w:rPr>
                  <w:t>2.3.7. Davanje dozvole za posredovanje lijekovima</w:t>
                </w:r>
                <w:r w:rsidR="00400391">
                  <w:rPr>
                    <w:noProof/>
                    <w:webHidden/>
                  </w:rPr>
                  <w:tab/>
                </w:r>
                <w:r w:rsidR="00400391">
                  <w:rPr>
                    <w:noProof/>
                    <w:webHidden/>
                  </w:rPr>
                  <w:fldChar w:fldCharType="begin"/>
                </w:r>
                <w:r w:rsidR="00400391">
                  <w:rPr>
                    <w:noProof/>
                    <w:webHidden/>
                  </w:rPr>
                  <w:instrText xml:space="preserve"> PAGEREF _Toc165035469 \h </w:instrText>
                </w:r>
                <w:r w:rsidR="00400391">
                  <w:rPr>
                    <w:noProof/>
                    <w:webHidden/>
                  </w:rPr>
                </w:r>
                <w:r w:rsidR="00400391">
                  <w:rPr>
                    <w:noProof/>
                    <w:webHidden/>
                  </w:rPr>
                  <w:fldChar w:fldCharType="separate"/>
                </w:r>
                <w:r w:rsidR="00C86676">
                  <w:rPr>
                    <w:noProof/>
                    <w:webHidden/>
                  </w:rPr>
                  <w:t>54</w:t>
                </w:r>
                <w:r w:rsidR="00400391">
                  <w:rPr>
                    <w:noProof/>
                    <w:webHidden/>
                  </w:rPr>
                  <w:fldChar w:fldCharType="end"/>
                </w:r>
              </w:hyperlink>
            </w:p>
            <w:p w14:paraId="37FF7B8E" w14:textId="41767E74" w:rsidR="00400391" w:rsidRDefault="008B34CD">
              <w:pPr>
                <w:pStyle w:val="TOC3"/>
                <w:rPr>
                  <w:rFonts w:eastAsiaTheme="minorEastAsia" w:cstheme="minorBidi"/>
                  <w:noProof/>
                  <w:sz w:val="22"/>
                  <w:szCs w:val="22"/>
                  <w:lang w:eastAsia="hr-HR"/>
                </w:rPr>
              </w:pPr>
              <w:hyperlink w:anchor="_Toc165035470" w:history="1">
                <w:r w:rsidR="00400391" w:rsidRPr="00F12BDD">
                  <w:rPr>
                    <w:rStyle w:val="Hyperlink"/>
                    <w:noProof/>
                  </w:rPr>
                  <w:t>2.3.8. Davanje dozvole za prodaju lijekova na daljinu putem interneta</w:t>
                </w:r>
                <w:r w:rsidR="00400391">
                  <w:rPr>
                    <w:noProof/>
                    <w:webHidden/>
                  </w:rPr>
                  <w:tab/>
                </w:r>
                <w:r w:rsidR="00400391">
                  <w:rPr>
                    <w:noProof/>
                    <w:webHidden/>
                  </w:rPr>
                  <w:fldChar w:fldCharType="begin"/>
                </w:r>
                <w:r w:rsidR="00400391">
                  <w:rPr>
                    <w:noProof/>
                    <w:webHidden/>
                  </w:rPr>
                  <w:instrText xml:space="preserve"> PAGEREF _Toc165035470 \h </w:instrText>
                </w:r>
                <w:r w:rsidR="00400391">
                  <w:rPr>
                    <w:noProof/>
                    <w:webHidden/>
                  </w:rPr>
                </w:r>
                <w:r w:rsidR="00400391">
                  <w:rPr>
                    <w:noProof/>
                    <w:webHidden/>
                  </w:rPr>
                  <w:fldChar w:fldCharType="separate"/>
                </w:r>
                <w:r w:rsidR="00C86676">
                  <w:rPr>
                    <w:noProof/>
                    <w:webHidden/>
                  </w:rPr>
                  <w:t>54</w:t>
                </w:r>
                <w:r w:rsidR="00400391">
                  <w:rPr>
                    <w:noProof/>
                    <w:webHidden/>
                  </w:rPr>
                  <w:fldChar w:fldCharType="end"/>
                </w:r>
              </w:hyperlink>
            </w:p>
            <w:p w14:paraId="5F33C5EF" w14:textId="53B71A99" w:rsidR="00400391" w:rsidRDefault="008B34CD">
              <w:pPr>
                <w:pStyle w:val="TOC3"/>
                <w:rPr>
                  <w:rFonts w:eastAsiaTheme="minorEastAsia" w:cstheme="minorBidi"/>
                  <w:noProof/>
                  <w:sz w:val="22"/>
                  <w:szCs w:val="22"/>
                  <w:lang w:eastAsia="hr-HR"/>
                </w:rPr>
              </w:pPr>
              <w:hyperlink w:anchor="_Toc165035471" w:history="1">
                <w:r w:rsidR="00400391" w:rsidRPr="00F12BDD">
                  <w:rPr>
                    <w:rStyle w:val="Hyperlink"/>
                    <w:noProof/>
                  </w:rPr>
                  <w:t>2.3.9. Uzorkovanje lijekova iz prometa</w:t>
                </w:r>
                <w:r w:rsidR="00400391">
                  <w:rPr>
                    <w:noProof/>
                    <w:webHidden/>
                  </w:rPr>
                  <w:tab/>
                </w:r>
                <w:r w:rsidR="00400391">
                  <w:rPr>
                    <w:noProof/>
                    <w:webHidden/>
                  </w:rPr>
                  <w:fldChar w:fldCharType="begin"/>
                </w:r>
                <w:r w:rsidR="00400391">
                  <w:rPr>
                    <w:noProof/>
                    <w:webHidden/>
                  </w:rPr>
                  <w:instrText xml:space="preserve"> PAGEREF _Toc165035471 \h </w:instrText>
                </w:r>
                <w:r w:rsidR="00400391">
                  <w:rPr>
                    <w:noProof/>
                    <w:webHidden/>
                  </w:rPr>
                </w:r>
                <w:r w:rsidR="00400391">
                  <w:rPr>
                    <w:noProof/>
                    <w:webHidden/>
                  </w:rPr>
                  <w:fldChar w:fldCharType="separate"/>
                </w:r>
                <w:r w:rsidR="00C86676">
                  <w:rPr>
                    <w:noProof/>
                    <w:webHidden/>
                  </w:rPr>
                  <w:t>54</w:t>
                </w:r>
                <w:r w:rsidR="00400391">
                  <w:rPr>
                    <w:noProof/>
                    <w:webHidden/>
                  </w:rPr>
                  <w:fldChar w:fldCharType="end"/>
                </w:r>
              </w:hyperlink>
            </w:p>
            <w:p w14:paraId="603D4960" w14:textId="16F4A664" w:rsidR="00400391" w:rsidRDefault="008B34CD">
              <w:pPr>
                <w:pStyle w:val="TOC3"/>
                <w:rPr>
                  <w:rFonts w:eastAsiaTheme="minorEastAsia" w:cstheme="minorBidi"/>
                  <w:noProof/>
                  <w:sz w:val="22"/>
                  <w:szCs w:val="22"/>
                  <w:lang w:eastAsia="hr-HR"/>
                </w:rPr>
              </w:pPr>
              <w:hyperlink w:anchor="_Toc165035472" w:history="1">
                <w:r w:rsidR="00400391" w:rsidRPr="00F12BDD">
                  <w:rPr>
                    <w:rStyle w:val="Hyperlink"/>
                    <w:noProof/>
                  </w:rPr>
                  <w:t>2.3.10. Europski poslovi</w:t>
                </w:r>
                <w:r w:rsidR="00400391">
                  <w:rPr>
                    <w:noProof/>
                    <w:webHidden/>
                  </w:rPr>
                  <w:tab/>
                </w:r>
                <w:r w:rsidR="00400391">
                  <w:rPr>
                    <w:noProof/>
                    <w:webHidden/>
                  </w:rPr>
                  <w:fldChar w:fldCharType="begin"/>
                </w:r>
                <w:r w:rsidR="00400391">
                  <w:rPr>
                    <w:noProof/>
                    <w:webHidden/>
                  </w:rPr>
                  <w:instrText xml:space="preserve"> PAGEREF _Toc165035472 \h </w:instrText>
                </w:r>
                <w:r w:rsidR="00400391">
                  <w:rPr>
                    <w:noProof/>
                    <w:webHidden/>
                  </w:rPr>
                </w:r>
                <w:r w:rsidR="00400391">
                  <w:rPr>
                    <w:noProof/>
                    <w:webHidden/>
                  </w:rPr>
                  <w:fldChar w:fldCharType="separate"/>
                </w:r>
                <w:r w:rsidR="00C86676">
                  <w:rPr>
                    <w:noProof/>
                    <w:webHidden/>
                  </w:rPr>
                  <w:t>54</w:t>
                </w:r>
                <w:r w:rsidR="00400391">
                  <w:rPr>
                    <w:noProof/>
                    <w:webHidden/>
                  </w:rPr>
                  <w:fldChar w:fldCharType="end"/>
                </w:r>
              </w:hyperlink>
            </w:p>
            <w:p w14:paraId="2A34C2C4" w14:textId="0F68530B" w:rsidR="00400391" w:rsidRDefault="008B34CD">
              <w:pPr>
                <w:pStyle w:val="TOC3"/>
                <w:rPr>
                  <w:rFonts w:eastAsiaTheme="minorEastAsia" w:cstheme="minorBidi"/>
                  <w:noProof/>
                  <w:sz w:val="22"/>
                  <w:szCs w:val="22"/>
                  <w:lang w:eastAsia="hr-HR"/>
                </w:rPr>
              </w:pPr>
              <w:hyperlink w:anchor="_Toc165035473" w:history="1">
                <w:r w:rsidR="00400391" w:rsidRPr="00F12BDD">
                  <w:rPr>
                    <w:rStyle w:val="Hyperlink"/>
                    <w:noProof/>
                  </w:rPr>
                  <w:t>2.3.11. Međunarodni poslovi</w:t>
                </w:r>
                <w:r w:rsidR="00400391">
                  <w:rPr>
                    <w:noProof/>
                    <w:webHidden/>
                  </w:rPr>
                  <w:tab/>
                </w:r>
                <w:r w:rsidR="00400391">
                  <w:rPr>
                    <w:noProof/>
                    <w:webHidden/>
                  </w:rPr>
                  <w:fldChar w:fldCharType="begin"/>
                </w:r>
                <w:r w:rsidR="00400391">
                  <w:rPr>
                    <w:noProof/>
                    <w:webHidden/>
                  </w:rPr>
                  <w:instrText xml:space="preserve"> PAGEREF _Toc165035473 \h </w:instrText>
                </w:r>
                <w:r w:rsidR="00400391">
                  <w:rPr>
                    <w:noProof/>
                    <w:webHidden/>
                  </w:rPr>
                </w:r>
                <w:r w:rsidR="00400391">
                  <w:rPr>
                    <w:noProof/>
                    <w:webHidden/>
                  </w:rPr>
                  <w:fldChar w:fldCharType="separate"/>
                </w:r>
                <w:r w:rsidR="00C86676">
                  <w:rPr>
                    <w:noProof/>
                    <w:webHidden/>
                  </w:rPr>
                  <w:t>57</w:t>
                </w:r>
                <w:r w:rsidR="00400391">
                  <w:rPr>
                    <w:noProof/>
                    <w:webHidden/>
                  </w:rPr>
                  <w:fldChar w:fldCharType="end"/>
                </w:r>
              </w:hyperlink>
            </w:p>
            <w:p w14:paraId="45209957" w14:textId="1F47CAC4" w:rsidR="00400391" w:rsidRDefault="008B34CD">
              <w:pPr>
                <w:pStyle w:val="TOC3"/>
                <w:rPr>
                  <w:rFonts w:eastAsiaTheme="minorEastAsia" w:cstheme="minorBidi"/>
                  <w:noProof/>
                  <w:sz w:val="22"/>
                  <w:szCs w:val="22"/>
                  <w:lang w:eastAsia="hr-HR"/>
                </w:rPr>
              </w:pPr>
              <w:hyperlink w:anchor="_Toc165035474" w:history="1">
                <w:r w:rsidR="00400391" w:rsidRPr="00F12BDD">
                  <w:rPr>
                    <w:rStyle w:val="Hyperlink"/>
                    <w:noProof/>
                  </w:rPr>
                  <w:t>2.3.12. Izvršenje prihodovnih poslova</w:t>
                </w:r>
                <w:r w:rsidR="00400391">
                  <w:rPr>
                    <w:noProof/>
                    <w:webHidden/>
                  </w:rPr>
                  <w:tab/>
                </w:r>
                <w:r w:rsidR="00400391">
                  <w:rPr>
                    <w:noProof/>
                    <w:webHidden/>
                  </w:rPr>
                  <w:fldChar w:fldCharType="begin"/>
                </w:r>
                <w:r w:rsidR="00400391">
                  <w:rPr>
                    <w:noProof/>
                    <w:webHidden/>
                  </w:rPr>
                  <w:instrText xml:space="preserve"> PAGEREF _Toc165035474 \h </w:instrText>
                </w:r>
                <w:r w:rsidR="00400391">
                  <w:rPr>
                    <w:noProof/>
                    <w:webHidden/>
                  </w:rPr>
                </w:r>
                <w:r w:rsidR="00400391">
                  <w:rPr>
                    <w:noProof/>
                    <w:webHidden/>
                  </w:rPr>
                  <w:fldChar w:fldCharType="separate"/>
                </w:r>
                <w:r w:rsidR="00C86676">
                  <w:rPr>
                    <w:noProof/>
                    <w:webHidden/>
                  </w:rPr>
                  <w:t>58</w:t>
                </w:r>
                <w:r w:rsidR="00400391">
                  <w:rPr>
                    <w:noProof/>
                    <w:webHidden/>
                  </w:rPr>
                  <w:fldChar w:fldCharType="end"/>
                </w:r>
              </w:hyperlink>
            </w:p>
            <w:p w14:paraId="0EA78B08" w14:textId="7DDA4609" w:rsidR="00400391" w:rsidRDefault="008B34CD">
              <w:pPr>
                <w:pStyle w:val="TOC3"/>
                <w:rPr>
                  <w:rFonts w:eastAsiaTheme="minorEastAsia" w:cstheme="minorBidi"/>
                  <w:noProof/>
                  <w:sz w:val="22"/>
                  <w:szCs w:val="22"/>
                  <w:lang w:eastAsia="hr-HR"/>
                </w:rPr>
              </w:pPr>
              <w:hyperlink w:anchor="_Toc165035475" w:history="1">
                <w:r w:rsidR="00400391" w:rsidRPr="00F12BDD">
                  <w:rPr>
                    <w:rStyle w:val="Hyperlink"/>
                    <w:noProof/>
                  </w:rPr>
                  <w:t>2.3.13. Izvršenje neprihodovnih poslova</w:t>
                </w:r>
                <w:r w:rsidR="00400391">
                  <w:rPr>
                    <w:noProof/>
                    <w:webHidden/>
                  </w:rPr>
                  <w:tab/>
                </w:r>
                <w:r w:rsidR="00400391">
                  <w:rPr>
                    <w:noProof/>
                    <w:webHidden/>
                  </w:rPr>
                  <w:fldChar w:fldCharType="begin"/>
                </w:r>
                <w:r w:rsidR="00400391">
                  <w:rPr>
                    <w:noProof/>
                    <w:webHidden/>
                  </w:rPr>
                  <w:instrText xml:space="preserve"> PAGEREF _Toc165035475 \h </w:instrText>
                </w:r>
                <w:r w:rsidR="00400391">
                  <w:rPr>
                    <w:noProof/>
                    <w:webHidden/>
                  </w:rPr>
                </w:r>
                <w:r w:rsidR="00400391">
                  <w:rPr>
                    <w:noProof/>
                    <w:webHidden/>
                  </w:rPr>
                  <w:fldChar w:fldCharType="separate"/>
                </w:r>
                <w:r w:rsidR="00C86676">
                  <w:rPr>
                    <w:noProof/>
                    <w:webHidden/>
                  </w:rPr>
                  <w:t>59</w:t>
                </w:r>
                <w:r w:rsidR="00400391">
                  <w:rPr>
                    <w:noProof/>
                    <w:webHidden/>
                  </w:rPr>
                  <w:fldChar w:fldCharType="end"/>
                </w:r>
              </w:hyperlink>
            </w:p>
            <w:p w14:paraId="4C8D5F03" w14:textId="3E725789" w:rsidR="00400391" w:rsidRDefault="008B34CD">
              <w:pPr>
                <w:pStyle w:val="TOC2"/>
                <w:rPr>
                  <w:rFonts w:eastAsiaTheme="minorEastAsia" w:cstheme="minorBidi"/>
                  <w:iCs w:val="0"/>
                  <w:noProof/>
                  <w:sz w:val="22"/>
                  <w:szCs w:val="22"/>
                  <w:lang w:eastAsia="hr-HR"/>
                </w:rPr>
              </w:pPr>
              <w:hyperlink w:anchor="_Toc165035476" w:history="1">
                <w:r w:rsidR="00400391" w:rsidRPr="00F12BDD">
                  <w:rPr>
                    <w:rStyle w:val="Hyperlink"/>
                    <w:noProof/>
                  </w:rPr>
                  <w:t>2.4. Dostupnost lijekova</w:t>
                </w:r>
                <w:r w:rsidR="00400391">
                  <w:rPr>
                    <w:noProof/>
                    <w:webHidden/>
                  </w:rPr>
                  <w:tab/>
                </w:r>
                <w:r w:rsidR="00400391">
                  <w:rPr>
                    <w:noProof/>
                    <w:webHidden/>
                  </w:rPr>
                  <w:fldChar w:fldCharType="begin"/>
                </w:r>
                <w:r w:rsidR="00400391">
                  <w:rPr>
                    <w:noProof/>
                    <w:webHidden/>
                  </w:rPr>
                  <w:instrText xml:space="preserve"> PAGEREF _Toc165035476 \h </w:instrText>
                </w:r>
                <w:r w:rsidR="00400391">
                  <w:rPr>
                    <w:noProof/>
                    <w:webHidden/>
                  </w:rPr>
                </w:r>
                <w:r w:rsidR="00400391">
                  <w:rPr>
                    <w:noProof/>
                    <w:webHidden/>
                  </w:rPr>
                  <w:fldChar w:fldCharType="separate"/>
                </w:r>
                <w:r w:rsidR="00C86676">
                  <w:rPr>
                    <w:noProof/>
                    <w:webHidden/>
                  </w:rPr>
                  <w:t>61</w:t>
                </w:r>
                <w:r w:rsidR="00400391">
                  <w:rPr>
                    <w:noProof/>
                    <w:webHidden/>
                  </w:rPr>
                  <w:fldChar w:fldCharType="end"/>
                </w:r>
              </w:hyperlink>
            </w:p>
            <w:p w14:paraId="6682DD44" w14:textId="447DEBEC" w:rsidR="00400391" w:rsidRDefault="008B34CD">
              <w:pPr>
                <w:pStyle w:val="TOC3"/>
                <w:rPr>
                  <w:rFonts w:eastAsiaTheme="minorEastAsia" w:cstheme="minorBidi"/>
                  <w:noProof/>
                  <w:sz w:val="22"/>
                  <w:szCs w:val="22"/>
                  <w:lang w:eastAsia="hr-HR"/>
                </w:rPr>
              </w:pPr>
              <w:hyperlink w:anchor="_Toc165035477" w:history="1">
                <w:r w:rsidR="00400391" w:rsidRPr="00F12BDD">
                  <w:rPr>
                    <w:rStyle w:val="Hyperlink"/>
                    <w:noProof/>
                  </w:rPr>
                  <w:t>2.4.1. Evidentiranje lijekova iz paralelnog prometa</w:t>
                </w:r>
                <w:r w:rsidR="00400391">
                  <w:rPr>
                    <w:noProof/>
                    <w:webHidden/>
                  </w:rPr>
                  <w:tab/>
                </w:r>
                <w:r w:rsidR="00400391">
                  <w:rPr>
                    <w:noProof/>
                    <w:webHidden/>
                  </w:rPr>
                  <w:fldChar w:fldCharType="begin"/>
                </w:r>
                <w:r w:rsidR="00400391">
                  <w:rPr>
                    <w:noProof/>
                    <w:webHidden/>
                  </w:rPr>
                  <w:instrText xml:space="preserve"> PAGEREF _Toc165035477 \h </w:instrText>
                </w:r>
                <w:r w:rsidR="00400391">
                  <w:rPr>
                    <w:noProof/>
                    <w:webHidden/>
                  </w:rPr>
                </w:r>
                <w:r w:rsidR="00400391">
                  <w:rPr>
                    <w:noProof/>
                    <w:webHidden/>
                  </w:rPr>
                  <w:fldChar w:fldCharType="separate"/>
                </w:r>
                <w:r w:rsidR="00C86676">
                  <w:rPr>
                    <w:noProof/>
                    <w:webHidden/>
                  </w:rPr>
                  <w:t>61</w:t>
                </w:r>
                <w:r w:rsidR="00400391">
                  <w:rPr>
                    <w:noProof/>
                    <w:webHidden/>
                  </w:rPr>
                  <w:fldChar w:fldCharType="end"/>
                </w:r>
              </w:hyperlink>
            </w:p>
            <w:p w14:paraId="456F581D" w14:textId="37B7255B" w:rsidR="00400391" w:rsidRDefault="008B34CD">
              <w:pPr>
                <w:pStyle w:val="TOC3"/>
                <w:rPr>
                  <w:rFonts w:eastAsiaTheme="minorEastAsia" w:cstheme="minorBidi"/>
                  <w:noProof/>
                  <w:sz w:val="22"/>
                  <w:szCs w:val="22"/>
                  <w:lang w:eastAsia="hr-HR"/>
                </w:rPr>
              </w:pPr>
              <w:hyperlink w:anchor="_Toc165035478" w:history="1">
                <w:r w:rsidR="00400391" w:rsidRPr="00F12BDD">
                  <w:rPr>
                    <w:rStyle w:val="Hyperlink"/>
                    <w:noProof/>
                  </w:rPr>
                  <w:t>2.4.2. Davanje suglasnosti za uvoz i suglasnosti za unošenje lijeka</w:t>
                </w:r>
                <w:r w:rsidR="00400391">
                  <w:rPr>
                    <w:noProof/>
                    <w:webHidden/>
                  </w:rPr>
                  <w:tab/>
                </w:r>
                <w:r w:rsidR="00400391">
                  <w:rPr>
                    <w:noProof/>
                    <w:webHidden/>
                  </w:rPr>
                  <w:fldChar w:fldCharType="begin"/>
                </w:r>
                <w:r w:rsidR="00400391">
                  <w:rPr>
                    <w:noProof/>
                    <w:webHidden/>
                  </w:rPr>
                  <w:instrText xml:space="preserve"> PAGEREF _Toc165035478 \h </w:instrText>
                </w:r>
                <w:r w:rsidR="00400391">
                  <w:rPr>
                    <w:noProof/>
                    <w:webHidden/>
                  </w:rPr>
                </w:r>
                <w:r w:rsidR="00400391">
                  <w:rPr>
                    <w:noProof/>
                    <w:webHidden/>
                  </w:rPr>
                  <w:fldChar w:fldCharType="separate"/>
                </w:r>
                <w:r w:rsidR="00C86676">
                  <w:rPr>
                    <w:noProof/>
                    <w:webHidden/>
                  </w:rPr>
                  <w:t>61</w:t>
                </w:r>
                <w:r w:rsidR="00400391">
                  <w:rPr>
                    <w:noProof/>
                    <w:webHidden/>
                  </w:rPr>
                  <w:fldChar w:fldCharType="end"/>
                </w:r>
              </w:hyperlink>
            </w:p>
            <w:p w14:paraId="5B942547" w14:textId="73E2F03F" w:rsidR="00400391" w:rsidRDefault="008B34CD">
              <w:pPr>
                <w:pStyle w:val="TOC3"/>
                <w:rPr>
                  <w:rFonts w:eastAsiaTheme="minorEastAsia" w:cstheme="minorBidi"/>
                  <w:noProof/>
                  <w:sz w:val="22"/>
                  <w:szCs w:val="22"/>
                  <w:lang w:eastAsia="hr-HR"/>
                </w:rPr>
              </w:pPr>
              <w:hyperlink w:anchor="_Toc165035479" w:history="1">
                <w:r w:rsidR="00400391" w:rsidRPr="00F12BDD">
                  <w:rPr>
                    <w:rStyle w:val="Hyperlink"/>
                    <w:noProof/>
                  </w:rPr>
                  <w:t>2.4.3. Davanje suglasnosti za izuzeće od obveze označivanja i/ili upute o lijeku na hrvatskom jeziku</w:t>
                </w:r>
                <w:r w:rsidR="00400391">
                  <w:rPr>
                    <w:noProof/>
                    <w:webHidden/>
                  </w:rPr>
                  <w:tab/>
                </w:r>
                <w:r w:rsidR="00400391">
                  <w:rPr>
                    <w:noProof/>
                    <w:webHidden/>
                  </w:rPr>
                  <w:fldChar w:fldCharType="begin"/>
                </w:r>
                <w:r w:rsidR="00400391">
                  <w:rPr>
                    <w:noProof/>
                    <w:webHidden/>
                  </w:rPr>
                  <w:instrText xml:space="preserve"> PAGEREF _Toc165035479 \h </w:instrText>
                </w:r>
                <w:r w:rsidR="00400391">
                  <w:rPr>
                    <w:noProof/>
                    <w:webHidden/>
                  </w:rPr>
                </w:r>
                <w:r w:rsidR="00400391">
                  <w:rPr>
                    <w:noProof/>
                    <w:webHidden/>
                  </w:rPr>
                  <w:fldChar w:fldCharType="separate"/>
                </w:r>
                <w:r w:rsidR="00C86676">
                  <w:rPr>
                    <w:noProof/>
                    <w:webHidden/>
                  </w:rPr>
                  <w:t>61</w:t>
                </w:r>
                <w:r w:rsidR="00400391">
                  <w:rPr>
                    <w:noProof/>
                    <w:webHidden/>
                  </w:rPr>
                  <w:fldChar w:fldCharType="end"/>
                </w:r>
              </w:hyperlink>
            </w:p>
            <w:p w14:paraId="5D66FF57" w14:textId="5FAF1D46" w:rsidR="00400391" w:rsidRDefault="008B34CD">
              <w:pPr>
                <w:pStyle w:val="TOC3"/>
                <w:rPr>
                  <w:rFonts w:eastAsiaTheme="minorEastAsia" w:cstheme="minorBidi"/>
                  <w:noProof/>
                  <w:sz w:val="22"/>
                  <w:szCs w:val="22"/>
                  <w:lang w:eastAsia="hr-HR"/>
                </w:rPr>
              </w:pPr>
              <w:hyperlink w:anchor="_Toc165035480" w:history="1">
                <w:r w:rsidR="00400391" w:rsidRPr="00F12BDD">
                  <w:rPr>
                    <w:rStyle w:val="Hyperlink"/>
                    <w:noProof/>
                  </w:rPr>
                  <w:t>2.4.4. Davanje suglasnosti za promet lijeka u postupku obnove odobrenja</w:t>
                </w:r>
                <w:r w:rsidR="00400391">
                  <w:rPr>
                    <w:noProof/>
                    <w:webHidden/>
                  </w:rPr>
                  <w:tab/>
                </w:r>
                <w:r w:rsidR="00400391">
                  <w:rPr>
                    <w:noProof/>
                    <w:webHidden/>
                  </w:rPr>
                  <w:fldChar w:fldCharType="begin"/>
                </w:r>
                <w:r w:rsidR="00400391">
                  <w:rPr>
                    <w:noProof/>
                    <w:webHidden/>
                  </w:rPr>
                  <w:instrText xml:space="preserve"> PAGEREF _Toc165035480 \h </w:instrText>
                </w:r>
                <w:r w:rsidR="00400391">
                  <w:rPr>
                    <w:noProof/>
                    <w:webHidden/>
                  </w:rPr>
                </w:r>
                <w:r w:rsidR="00400391">
                  <w:rPr>
                    <w:noProof/>
                    <w:webHidden/>
                  </w:rPr>
                  <w:fldChar w:fldCharType="separate"/>
                </w:r>
                <w:r w:rsidR="00C86676">
                  <w:rPr>
                    <w:noProof/>
                    <w:webHidden/>
                  </w:rPr>
                  <w:t>61</w:t>
                </w:r>
                <w:r w:rsidR="00400391">
                  <w:rPr>
                    <w:noProof/>
                    <w:webHidden/>
                  </w:rPr>
                  <w:fldChar w:fldCharType="end"/>
                </w:r>
              </w:hyperlink>
            </w:p>
            <w:p w14:paraId="535E91AF" w14:textId="7A676EED" w:rsidR="00400391" w:rsidRDefault="008B34CD">
              <w:pPr>
                <w:pStyle w:val="TOC3"/>
                <w:rPr>
                  <w:rFonts w:eastAsiaTheme="minorEastAsia" w:cstheme="minorBidi"/>
                  <w:noProof/>
                  <w:sz w:val="22"/>
                  <w:szCs w:val="22"/>
                  <w:lang w:eastAsia="hr-HR"/>
                </w:rPr>
              </w:pPr>
              <w:hyperlink w:anchor="_Toc165035481" w:history="1">
                <w:r w:rsidR="00400391" w:rsidRPr="00F12BDD">
                  <w:rPr>
                    <w:rStyle w:val="Hyperlink"/>
                    <w:noProof/>
                  </w:rPr>
                  <w:t>2.4.5. Obavješćivanje o odluci o izuzeću od odredbe „sunset clause“</w:t>
                </w:r>
                <w:r w:rsidR="00400391">
                  <w:rPr>
                    <w:noProof/>
                    <w:webHidden/>
                  </w:rPr>
                  <w:tab/>
                </w:r>
                <w:r w:rsidR="00400391">
                  <w:rPr>
                    <w:noProof/>
                    <w:webHidden/>
                  </w:rPr>
                  <w:fldChar w:fldCharType="begin"/>
                </w:r>
                <w:r w:rsidR="00400391">
                  <w:rPr>
                    <w:noProof/>
                    <w:webHidden/>
                  </w:rPr>
                  <w:instrText xml:space="preserve"> PAGEREF _Toc165035481 \h </w:instrText>
                </w:r>
                <w:r w:rsidR="00400391">
                  <w:rPr>
                    <w:noProof/>
                    <w:webHidden/>
                  </w:rPr>
                </w:r>
                <w:r w:rsidR="00400391">
                  <w:rPr>
                    <w:noProof/>
                    <w:webHidden/>
                  </w:rPr>
                  <w:fldChar w:fldCharType="separate"/>
                </w:r>
                <w:r w:rsidR="00C86676">
                  <w:rPr>
                    <w:noProof/>
                    <w:webHidden/>
                  </w:rPr>
                  <w:t>61</w:t>
                </w:r>
                <w:r w:rsidR="00400391">
                  <w:rPr>
                    <w:noProof/>
                    <w:webHidden/>
                  </w:rPr>
                  <w:fldChar w:fldCharType="end"/>
                </w:r>
              </w:hyperlink>
            </w:p>
            <w:p w14:paraId="6E07C1AF" w14:textId="38908F96" w:rsidR="00400391" w:rsidRDefault="008B34CD">
              <w:pPr>
                <w:pStyle w:val="TOC3"/>
                <w:rPr>
                  <w:rFonts w:eastAsiaTheme="minorEastAsia" w:cstheme="minorBidi"/>
                  <w:noProof/>
                  <w:sz w:val="22"/>
                  <w:szCs w:val="22"/>
                  <w:lang w:eastAsia="hr-HR"/>
                </w:rPr>
              </w:pPr>
              <w:hyperlink w:anchor="_Toc165035482" w:history="1">
                <w:r w:rsidR="00400391" w:rsidRPr="00F12BDD">
                  <w:rPr>
                    <w:rStyle w:val="Hyperlink"/>
                    <w:noProof/>
                  </w:rPr>
                  <w:t>2.4.6. Izdavanje potvrde o lijeku (CPP) i potvrde o slobodnoj prodaji (FSC)</w:t>
                </w:r>
                <w:r w:rsidR="00400391">
                  <w:rPr>
                    <w:noProof/>
                    <w:webHidden/>
                  </w:rPr>
                  <w:tab/>
                </w:r>
                <w:r w:rsidR="00400391">
                  <w:rPr>
                    <w:noProof/>
                    <w:webHidden/>
                  </w:rPr>
                  <w:fldChar w:fldCharType="begin"/>
                </w:r>
                <w:r w:rsidR="00400391">
                  <w:rPr>
                    <w:noProof/>
                    <w:webHidden/>
                  </w:rPr>
                  <w:instrText xml:space="preserve"> PAGEREF _Toc165035482 \h </w:instrText>
                </w:r>
                <w:r w:rsidR="00400391">
                  <w:rPr>
                    <w:noProof/>
                    <w:webHidden/>
                  </w:rPr>
                </w:r>
                <w:r w:rsidR="00400391">
                  <w:rPr>
                    <w:noProof/>
                    <w:webHidden/>
                  </w:rPr>
                  <w:fldChar w:fldCharType="separate"/>
                </w:r>
                <w:r w:rsidR="00C86676">
                  <w:rPr>
                    <w:noProof/>
                    <w:webHidden/>
                  </w:rPr>
                  <w:t>62</w:t>
                </w:r>
                <w:r w:rsidR="00400391">
                  <w:rPr>
                    <w:noProof/>
                    <w:webHidden/>
                  </w:rPr>
                  <w:fldChar w:fldCharType="end"/>
                </w:r>
              </w:hyperlink>
            </w:p>
            <w:p w14:paraId="3A9E51FB" w14:textId="072FF3F0" w:rsidR="00400391" w:rsidRDefault="008B34CD">
              <w:pPr>
                <w:pStyle w:val="TOC3"/>
                <w:rPr>
                  <w:rFonts w:eastAsiaTheme="minorEastAsia" w:cstheme="minorBidi"/>
                  <w:noProof/>
                  <w:sz w:val="22"/>
                  <w:szCs w:val="22"/>
                  <w:lang w:eastAsia="hr-HR"/>
                </w:rPr>
              </w:pPr>
              <w:hyperlink w:anchor="_Toc165035483" w:history="1">
                <w:r w:rsidR="00400391" w:rsidRPr="00F12BDD">
                  <w:rPr>
                    <w:rStyle w:val="Hyperlink"/>
                    <w:noProof/>
                  </w:rPr>
                  <w:t>2.4.7. Praćenje opskrbe lijekovima</w:t>
                </w:r>
                <w:r w:rsidR="00400391">
                  <w:rPr>
                    <w:noProof/>
                    <w:webHidden/>
                  </w:rPr>
                  <w:tab/>
                </w:r>
                <w:r w:rsidR="00400391">
                  <w:rPr>
                    <w:noProof/>
                    <w:webHidden/>
                  </w:rPr>
                  <w:fldChar w:fldCharType="begin"/>
                </w:r>
                <w:r w:rsidR="00400391">
                  <w:rPr>
                    <w:noProof/>
                    <w:webHidden/>
                  </w:rPr>
                  <w:instrText xml:space="preserve"> PAGEREF _Toc165035483 \h </w:instrText>
                </w:r>
                <w:r w:rsidR="00400391">
                  <w:rPr>
                    <w:noProof/>
                    <w:webHidden/>
                  </w:rPr>
                </w:r>
                <w:r w:rsidR="00400391">
                  <w:rPr>
                    <w:noProof/>
                    <w:webHidden/>
                  </w:rPr>
                  <w:fldChar w:fldCharType="separate"/>
                </w:r>
                <w:r w:rsidR="00C86676">
                  <w:rPr>
                    <w:noProof/>
                    <w:webHidden/>
                  </w:rPr>
                  <w:t>62</w:t>
                </w:r>
                <w:r w:rsidR="00400391">
                  <w:rPr>
                    <w:noProof/>
                    <w:webHidden/>
                  </w:rPr>
                  <w:fldChar w:fldCharType="end"/>
                </w:r>
              </w:hyperlink>
            </w:p>
            <w:p w14:paraId="66BBEA51" w14:textId="0C8D1EE6" w:rsidR="00400391" w:rsidRDefault="008B34CD">
              <w:pPr>
                <w:pStyle w:val="TOC3"/>
                <w:rPr>
                  <w:rFonts w:eastAsiaTheme="minorEastAsia" w:cstheme="minorBidi"/>
                  <w:noProof/>
                  <w:sz w:val="22"/>
                  <w:szCs w:val="22"/>
                  <w:lang w:eastAsia="hr-HR"/>
                </w:rPr>
              </w:pPr>
              <w:hyperlink w:anchor="_Toc165035484" w:history="1">
                <w:r w:rsidR="00400391" w:rsidRPr="00F12BDD">
                  <w:rPr>
                    <w:rStyle w:val="Hyperlink"/>
                    <w:noProof/>
                  </w:rPr>
                  <w:t>2.4.8. Hitno povlačenje lijeka iz prometa</w:t>
                </w:r>
                <w:r w:rsidR="00400391">
                  <w:rPr>
                    <w:noProof/>
                    <w:webHidden/>
                  </w:rPr>
                  <w:tab/>
                </w:r>
                <w:r w:rsidR="00400391">
                  <w:rPr>
                    <w:noProof/>
                    <w:webHidden/>
                  </w:rPr>
                  <w:fldChar w:fldCharType="begin"/>
                </w:r>
                <w:r w:rsidR="00400391">
                  <w:rPr>
                    <w:noProof/>
                    <w:webHidden/>
                  </w:rPr>
                  <w:instrText xml:space="preserve"> PAGEREF _Toc165035484 \h </w:instrText>
                </w:r>
                <w:r w:rsidR="00400391">
                  <w:rPr>
                    <w:noProof/>
                    <w:webHidden/>
                  </w:rPr>
                </w:r>
                <w:r w:rsidR="00400391">
                  <w:rPr>
                    <w:noProof/>
                    <w:webHidden/>
                  </w:rPr>
                  <w:fldChar w:fldCharType="separate"/>
                </w:r>
                <w:r w:rsidR="00C86676">
                  <w:rPr>
                    <w:noProof/>
                    <w:webHidden/>
                  </w:rPr>
                  <w:t>62</w:t>
                </w:r>
                <w:r w:rsidR="00400391">
                  <w:rPr>
                    <w:noProof/>
                    <w:webHidden/>
                  </w:rPr>
                  <w:fldChar w:fldCharType="end"/>
                </w:r>
              </w:hyperlink>
            </w:p>
            <w:p w14:paraId="521900FD" w14:textId="699619C8" w:rsidR="00400391" w:rsidRDefault="008B34CD">
              <w:pPr>
                <w:pStyle w:val="TOC3"/>
                <w:rPr>
                  <w:rFonts w:eastAsiaTheme="minorEastAsia" w:cstheme="minorBidi"/>
                  <w:noProof/>
                  <w:sz w:val="22"/>
                  <w:szCs w:val="22"/>
                  <w:lang w:eastAsia="hr-HR"/>
                </w:rPr>
              </w:pPr>
              <w:hyperlink w:anchor="_Toc165035485" w:history="1">
                <w:r w:rsidR="00400391" w:rsidRPr="00F12BDD">
                  <w:rPr>
                    <w:rStyle w:val="Hyperlink"/>
                    <w:noProof/>
                  </w:rPr>
                  <w:t>2.4.9. Praćenje neispravnosti lijekova</w:t>
                </w:r>
                <w:r w:rsidR="00400391">
                  <w:rPr>
                    <w:noProof/>
                    <w:webHidden/>
                  </w:rPr>
                  <w:tab/>
                </w:r>
                <w:r w:rsidR="00400391">
                  <w:rPr>
                    <w:noProof/>
                    <w:webHidden/>
                  </w:rPr>
                  <w:fldChar w:fldCharType="begin"/>
                </w:r>
                <w:r w:rsidR="00400391">
                  <w:rPr>
                    <w:noProof/>
                    <w:webHidden/>
                  </w:rPr>
                  <w:instrText xml:space="preserve"> PAGEREF _Toc165035485 \h </w:instrText>
                </w:r>
                <w:r w:rsidR="00400391">
                  <w:rPr>
                    <w:noProof/>
                    <w:webHidden/>
                  </w:rPr>
                </w:r>
                <w:r w:rsidR="00400391">
                  <w:rPr>
                    <w:noProof/>
                    <w:webHidden/>
                  </w:rPr>
                  <w:fldChar w:fldCharType="separate"/>
                </w:r>
                <w:r w:rsidR="00C86676">
                  <w:rPr>
                    <w:noProof/>
                    <w:webHidden/>
                  </w:rPr>
                  <w:t>62</w:t>
                </w:r>
                <w:r w:rsidR="00400391">
                  <w:rPr>
                    <w:noProof/>
                    <w:webHidden/>
                  </w:rPr>
                  <w:fldChar w:fldCharType="end"/>
                </w:r>
              </w:hyperlink>
            </w:p>
            <w:p w14:paraId="2447C267" w14:textId="34707611" w:rsidR="00400391" w:rsidRDefault="008B34CD">
              <w:pPr>
                <w:pStyle w:val="TOC3"/>
                <w:rPr>
                  <w:rFonts w:eastAsiaTheme="minorEastAsia" w:cstheme="minorBidi"/>
                  <w:noProof/>
                  <w:sz w:val="22"/>
                  <w:szCs w:val="22"/>
                  <w:lang w:eastAsia="hr-HR"/>
                </w:rPr>
              </w:pPr>
              <w:hyperlink w:anchor="_Toc165035486" w:history="1">
                <w:r w:rsidR="00400391" w:rsidRPr="00F12BDD">
                  <w:rPr>
                    <w:rStyle w:val="Hyperlink"/>
                    <w:noProof/>
                  </w:rPr>
                  <w:t>2.4.10. Europski poslovi</w:t>
                </w:r>
                <w:r w:rsidR="00400391">
                  <w:rPr>
                    <w:noProof/>
                    <w:webHidden/>
                  </w:rPr>
                  <w:tab/>
                </w:r>
                <w:r w:rsidR="00400391">
                  <w:rPr>
                    <w:noProof/>
                    <w:webHidden/>
                  </w:rPr>
                  <w:fldChar w:fldCharType="begin"/>
                </w:r>
                <w:r w:rsidR="00400391">
                  <w:rPr>
                    <w:noProof/>
                    <w:webHidden/>
                  </w:rPr>
                  <w:instrText xml:space="preserve"> PAGEREF _Toc165035486 \h </w:instrText>
                </w:r>
                <w:r w:rsidR="00400391">
                  <w:rPr>
                    <w:noProof/>
                    <w:webHidden/>
                  </w:rPr>
                </w:r>
                <w:r w:rsidR="00400391">
                  <w:rPr>
                    <w:noProof/>
                    <w:webHidden/>
                  </w:rPr>
                  <w:fldChar w:fldCharType="separate"/>
                </w:r>
                <w:r w:rsidR="00C86676">
                  <w:rPr>
                    <w:noProof/>
                    <w:webHidden/>
                  </w:rPr>
                  <w:t>63</w:t>
                </w:r>
                <w:r w:rsidR="00400391">
                  <w:rPr>
                    <w:noProof/>
                    <w:webHidden/>
                  </w:rPr>
                  <w:fldChar w:fldCharType="end"/>
                </w:r>
              </w:hyperlink>
            </w:p>
            <w:p w14:paraId="6FF9B0BF" w14:textId="74B8B031" w:rsidR="00400391" w:rsidRDefault="008B34CD">
              <w:pPr>
                <w:pStyle w:val="TOC3"/>
                <w:rPr>
                  <w:rFonts w:eastAsiaTheme="minorEastAsia" w:cstheme="minorBidi"/>
                  <w:noProof/>
                  <w:sz w:val="22"/>
                  <w:szCs w:val="22"/>
                  <w:lang w:eastAsia="hr-HR"/>
                </w:rPr>
              </w:pPr>
              <w:hyperlink w:anchor="_Toc165035487" w:history="1">
                <w:r w:rsidR="00400391" w:rsidRPr="00F12BDD">
                  <w:rPr>
                    <w:rStyle w:val="Hyperlink"/>
                    <w:noProof/>
                  </w:rPr>
                  <w:t>2.4.12. Prihodovni poslovi</w:t>
                </w:r>
                <w:r w:rsidR="00400391">
                  <w:rPr>
                    <w:noProof/>
                    <w:webHidden/>
                  </w:rPr>
                  <w:tab/>
                </w:r>
                <w:r w:rsidR="00400391">
                  <w:rPr>
                    <w:noProof/>
                    <w:webHidden/>
                  </w:rPr>
                  <w:fldChar w:fldCharType="begin"/>
                </w:r>
                <w:r w:rsidR="00400391">
                  <w:rPr>
                    <w:noProof/>
                    <w:webHidden/>
                  </w:rPr>
                  <w:instrText xml:space="preserve"> PAGEREF _Toc165035487 \h </w:instrText>
                </w:r>
                <w:r w:rsidR="00400391">
                  <w:rPr>
                    <w:noProof/>
                    <w:webHidden/>
                  </w:rPr>
                </w:r>
                <w:r w:rsidR="00400391">
                  <w:rPr>
                    <w:noProof/>
                    <w:webHidden/>
                  </w:rPr>
                  <w:fldChar w:fldCharType="separate"/>
                </w:r>
                <w:r w:rsidR="00C86676">
                  <w:rPr>
                    <w:noProof/>
                    <w:webHidden/>
                  </w:rPr>
                  <w:t>65</w:t>
                </w:r>
                <w:r w:rsidR="00400391">
                  <w:rPr>
                    <w:noProof/>
                    <w:webHidden/>
                  </w:rPr>
                  <w:fldChar w:fldCharType="end"/>
                </w:r>
              </w:hyperlink>
            </w:p>
            <w:p w14:paraId="58FE8C97" w14:textId="466A54FD" w:rsidR="00400391" w:rsidRDefault="008B34CD">
              <w:pPr>
                <w:pStyle w:val="TOC3"/>
                <w:rPr>
                  <w:rFonts w:eastAsiaTheme="minorEastAsia" w:cstheme="minorBidi"/>
                  <w:noProof/>
                  <w:sz w:val="22"/>
                  <w:szCs w:val="22"/>
                  <w:lang w:eastAsia="hr-HR"/>
                </w:rPr>
              </w:pPr>
              <w:hyperlink w:anchor="_Toc165035488" w:history="1">
                <w:r w:rsidR="00400391" w:rsidRPr="00F12BDD">
                  <w:rPr>
                    <w:rStyle w:val="Hyperlink"/>
                    <w:noProof/>
                  </w:rPr>
                  <w:t>2.4.13. Neprihodovni poslovi</w:t>
                </w:r>
                <w:r w:rsidR="00400391">
                  <w:rPr>
                    <w:noProof/>
                    <w:webHidden/>
                  </w:rPr>
                  <w:tab/>
                </w:r>
                <w:r w:rsidR="00400391">
                  <w:rPr>
                    <w:noProof/>
                    <w:webHidden/>
                  </w:rPr>
                  <w:fldChar w:fldCharType="begin"/>
                </w:r>
                <w:r w:rsidR="00400391">
                  <w:rPr>
                    <w:noProof/>
                    <w:webHidden/>
                  </w:rPr>
                  <w:instrText xml:space="preserve"> PAGEREF _Toc165035488 \h </w:instrText>
                </w:r>
                <w:r w:rsidR="00400391">
                  <w:rPr>
                    <w:noProof/>
                    <w:webHidden/>
                  </w:rPr>
                </w:r>
                <w:r w:rsidR="00400391">
                  <w:rPr>
                    <w:noProof/>
                    <w:webHidden/>
                  </w:rPr>
                  <w:fldChar w:fldCharType="separate"/>
                </w:r>
                <w:r w:rsidR="00C86676">
                  <w:rPr>
                    <w:noProof/>
                    <w:webHidden/>
                  </w:rPr>
                  <w:t>66</w:t>
                </w:r>
                <w:r w:rsidR="00400391">
                  <w:rPr>
                    <w:noProof/>
                    <w:webHidden/>
                  </w:rPr>
                  <w:fldChar w:fldCharType="end"/>
                </w:r>
              </w:hyperlink>
            </w:p>
            <w:p w14:paraId="38646AC7" w14:textId="7AAAA6D1" w:rsidR="00400391" w:rsidRDefault="008B34CD">
              <w:pPr>
                <w:pStyle w:val="TOC2"/>
                <w:rPr>
                  <w:rFonts w:eastAsiaTheme="minorEastAsia" w:cstheme="minorBidi"/>
                  <w:iCs w:val="0"/>
                  <w:noProof/>
                  <w:sz w:val="22"/>
                  <w:szCs w:val="22"/>
                  <w:lang w:eastAsia="hr-HR"/>
                </w:rPr>
              </w:pPr>
              <w:hyperlink w:anchor="_Toc165035489" w:history="1">
                <w:r w:rsidR="00400391" w:rsidRPr="00F12BDD">
                  <w:rPr>
                    <w:rStyle w:val="Hyperlink"/>
                    <w:noProof/>
                  </w:rPr>
                  <w:t>2.5. Potrošnja i cijene lijekova</w:t>
                </w:r>
                <w:r w:rsidR="00400391">
                  <w:rPr>
                    <w:noProof/>
                    <w:webHidden/>
                  </w:rPr>
                  <w:tab/>
                </w:r>
                <w:r w:rsidR="00400391">
                  <w:rPr>
                    <w:noProof/>
                    <w:webHidden/>
                  </w:rPr>
                  <w:fldChar w:fldCharType="begin"/>
                </w:r>
                <w:r w:rsidR="00400391">
                  <w:rPr>
                    <w:noProof/>
                    <w:webHidden/>
                  </w:rPr>
                  <w:instrText xml:space="preserve"> PAGEREF _Toc165035489 \h </w:instrText>
                </w:r>
                <w:r w:rsidR="00400391">
                  <w:rPr>
                    <w:noProof/>
                    <w:webHidden/>
                  </w:rPr>
                </w:r>
                <w:r w:rsidR="00400391">
                  <w:rPr>
                    <w:noProof/>
                    <w:webHidden/>
                  </w:rPr>
                  <w:fldChar w:fldCharType="separate"/>
                </w:r>
                <w:r w:rsidR="00C86676">
                  <w:rPr>
                    <w:noProof/>
                    <w:webHidden/>
                  </w:rPr>
                  <w:t>67</w:t>
                </w:r>
                <w:r w:rsidR="00400391">
                  <w:rPr>
                    <w:noProof/>
                    <w:webHidden/>
                  </w:rPr>
                  <w:fldChar w:fldCharType="end"/>
                </w:r>
              </w:hyperlink>
            </w:p>
            <w:p w14:paraId="7F6119AC" w14:textId="32D0FB88" w:rsidR="00400391" w:rsidRDefault="008B34CD">
              <w:pPr>
                <w:pStyle w:val="TOC3"/>
                <w:rPr>
                  <w:rFonts w:eastAsiaTheme="minorEastAsia" w:cstheme="minorBidi"/>
                  <w:noProof/>
                  <w:sz w:val="22"/>
                  <w:szCs w:val="22"/>
                  <w:lang w:eastAsia="hr-HR"/>
                </w:rPr>
              </w:pPr>
              <w:hyperlink w:anchor="_Toc165035490" w:history="1">
                <w:r w:rsidR="00400391" w:rsidRPr="00F12BDD">
                  <w:rPr>
                    <w:rStyle w:val="Hyperlink"/>
                    <w:noProof/>
                  </w:rPr>
                  <w:t>2.5.1. Zaprimanje i obrada podataka o potrošnji lijekova</w:t>
                </w:r>
                <w:r w:rsidR="00400391">
                  <w:rPr>
                    <w:noProof/>
                    <w:webHidden/>
                  </w:rPr>
                  <w:tab/>
                </w:r>
                <w:r w:rsidR="00400391">
                  <w:rPr>
                    <w:noProof/>
                    <w:webHidden/>
                  </w:rPr>
                  <w:fldChar w:fldCharType="begin"/>
                </w:r>
                <w:r w:rsidR="00400391">
                  <w:rPr>
                    <w:noProof/>
                    <w:webHidden/>
                  </w:rPr>
                  <w:instrText xml:space="preserve"> PAGEREF _Toc165035490 \h </w:instrText>
                </w:r>
                <w:r w:rsidR="00400391">
                  <w:rPr>
                    <w:noProof/>
                    <w:webHidden/>
                  </w:rPr>
                </w:r>
                <w:r w:rsidR="00400391">
                  <w:rPr>
                    <w:noProof/>
                    <w:webHidden/>
                  </w:rPr>
                  <w:fldChar w:fldCharType="separate"/>
                </w:r>
                <w:r w:rsidR="00C86676">
                  <w:rPr>
                    <w:noProof/>
                    <w:webHidden/>
                  </w:rPr>
                  <w:t>67</w:t>
                </w:r>
                <w:r w:rsidR="00400391">
                  <w:rPr>
                    <w:noProof/>
                    <w:webHidden/>
                  </w:rPr>
                  <w:fldChar w:fldCharType="end"/>
                </w:r>
              </w:hyperlink>
            </w:p>
            <w:p w14:paraId="4B22E354" w14:textId="58F2C8B2" w:rsidR="00400391" w:rsidRDefault="008B34CD">
              <w:pPr>
                <w:pStyle w:val="TOC3"/>
                <w:rPr>
                  <w:rFonts w:eastAsiaTheme="minorEastAsia" w:cstheme="minorBidi"/>
                  <w:noProof/>
                  <w:sz w:val="22"/>
                  <w:szCs w:val="22"/>
                  <w:lang w:eastAsia="hr-HR"/>
                </w:rPr>
              </w:pPr>
              <w:hyperlink w:anchor="_Toc165035491" w:history="1">
                <w:r w:rsidR="00400391" w:rsidRPr="00F12BDD">
                  <w:rPr>
                    <w:rStyle w:val="Hyperlink"/>
                    <w:rFonts w:ascii="Calibri" w:eastAsia="Times New Roman" w:hAnsi="Calibri" w:cs="Calibri"/>
                    <w:noProof/>
                    <w:lang w:eastAsia="hr-HR"/>
                  </w:rPr>
                  <w:t>2.5.2. Izračun najviše dozvoljene cijene lijekova na veliko</w:t>
                </w:r>
                <w:r w:rsidR="00400391">
                  <w:rPr>
                    <w:noProof/>
                    <w:webHidden/>
                  </w:rPr>
                  <w:tab/>
                </w:r>
                <w:r w:rsidR="00400391">
                  <w:rPr>
                    <w:noProof/>
                    <w:webHidden/>
                  </w:rPr>
                  <w:fldChar w:fldCharType="begin"/>
                </w:r>
                <w:r w:rsidR="00400391">
                  <w:rPr>
                    <w:noProof/>
                    <w:webHidden/>
                  </w:rPr>
                  <w:instrText xml:space="preserve"> PAGEREF _Toc165035491 \h </w:instrText>
                </w:r>
                <w:r w:rsidR="00400391">
                  <w:rPr>
                    <w:noProof/>
                    <w:webHidden/>
                  </w:rPr>
                </w:r>
                <w:r w:rsidR="00400391">
                  <w:rPr>
                    <w:noProof/>
                    <w:webHidden/>
                  </w:rPr>
                  <w:fldChar w:fldCharType="separate"/>
                </w:r>
                <w:r w:rsidR="00C86676">
                  <w:rPr>
                    <w:noProof/>
                    <w:webHidden/>
                  </w:rPr>
                  <w:t>67</w:t>
                </w:r>
                <w:r w:rsidR="00400391">
                  <w:rPr>
                    <w:noProof/>
                    <w:webHidden/>
                  </w:rPr>
                  <w:fldChar w:fldCharType="end"/>
                </w:r>
              </w:hyperlink>
            </w:p>
            <w:p w14:paraId="1477F37F" w14:textId="25198058" w:rsidR="00400391" w:rsidRDefault="008B34CD">
              <w:pPr>
                <w:pStyle w:val="TOC3"/>
                <w:rPr>
                  <w:rFonts w:eastAsiaTheme="minorEastAsia" w:cstheme="minorBidi"/>
                  <w:noProof/>
                  <w:sz w:val="22"/>
                  <w:szCs w:val="22"/>
                  <w:lang w:eastAsia="hr-HR"/>
                </w:rPr>
              </w:pPr>
              <w:hyperlink w:anchor="_Toc165035492" w:history="1">
                <w:r w:rsidR="00400391" w:rsidRPr="00F12BDD">
                  <w:rPr>
                    <w:rStyle w:val="Hyperlink"/>
                    <w:rFonts w:ascii="Calibri" w:eastAsia="Times New Roman" w:hAnsi="Calibri" w:cs="Calibri"/>
                    <w:bCs/>
                    <w:noProof/>
                    <w:lang w:eastAsia="hr-HR"/>
                  </w:rPr>
                  <w:t>2.5.3. Određivanje iznimno više od najviše dozvoljene cijene lijeka na veliko</w:t>
                </w:r>
                <w:r w:rsidR="00400391">
                  <w:rPr>
                    <w:noProof/>
                    <w:webHidden/>
                  </w:rPr>
                  <w:tab/>
                </w:r>
                <w:r w:rsidR="00400391">
                  <w:rPr>
                    <w:noProof/>
                    <w:webHidden/>
                  </w:rPr>
                  <w:fldChar w:fldCharType="begin"/>
                </w:r>
                <w:r w:rsidR="00400391">
                  <w:rPr>
                    <w:noProof/>
                    <w:webHidden/>
                  </w:rPr>
                  <w:instrText xml:space="preserve"> PAGEREF _Toc165035492 \h </w:instrText>
                </w:r>
                <w:r w:rsidR="00400391">
                  <w:rPr>
                    <w:noProof/>
                    <w:webHidden/>
                  </w:rPr>
                </w:r>
                <w:r w:rsidR="00400391">
                  <w:rPr>
                    <w:noProof/>
                    <w:webHidden/>
                  </w:rPr>
                  <w:fldChar w:fldCharType="separate"/>
                </w:r>
                <w:r w:rsidR="00C86676">
                  <w:rPr>
                    <w:noProof/>
                    <w:webHidden/>
                  </w:rPr>
                  <w:t>68</w:t>
                </w:r>
                <w:r w:rsidR="00400391">
                  <w:rPr>
                    <w:noProof/>
                    <w:webHidden/>
                  </w:rPr>
                  <w:fldChar w:fldCharType="end"/>
                </w:r>
              </w:hyperlink>
            </w:p>
            <w:p w14:paraId="58C50AC7" w14:textId="43043853" w:rsidR="00400391" w:rsidRDefault="008B34CD">
              <w:pPr>
                <w:pStyle w:val="TOC3"/>
                <w:rPr>
                  <w:rFonts w:eastAsiaTheme="minorEastAsia" w:cstheme="minorBidi"/>
                  <w:noProof/>
                  <w:sz w:val="22"/>
                  <w:szCs w:val="22"/>
                  <w:lang w:eastAsia="hr-HR"/>
                </w:rPr>
              </w:pPr>
              <w:hyperlink w:anchor="_Toc165035493" w:history="1">
                <w:r w:rsidR="00400391" w:rsidRPr="00F12BDD">
                  <w:rPr>
                    <w:rStyle w:val="Hyperlink"/>
                    <w:noProof/>
                  </w:rPr>
                  <w:t>2.5.4. Europski poslovi</w:t>
                </w:r>
                <w:r w:rsidR="00400391">
                  <w:rPr>
                    <w:noProof/>
                    <w:webHidden/>
                  </w:rPr>
                  <w:tab/>
                </w:r>
                <w:r w:rsidR="00400391">
                  <w:rPr>
                    <w:noProof/>
                    <w:webHidden/>
                  </w:rPr>
                  <w:fldChar w:fldCharType="begin"/>
                </w:r>
                <w:r w:rsidR="00400391">
                  <w:rPr>
                    <w:noProof/>
                    <w:webHidden/>
                  </w:rPr>
                  <w:instrText xml:space="preserve"> PAGEREF _Toc165035493 \h </w:instrText>
                </w:r>
                <w:r w:rsidR="00400391">
                  <w:rPr>
                    <w:noProof/>
                    <w:webHidden/>
                  </w:rPr>
                </w:r>
                <w:r w:rsidR="00400391">
                  <w:rPr>
                    <w:noProof/>
                    <w:webHidden/>
                  </w:rPr>
                  <w:fldChar w:fldCharType="separate"/>
                </w:r>
                <w:r w:rsidR="00C86676">
                  <w:rPr>
                    <w:noProof/>
                    <w:webHidden/>
                  </w:rPr>
                  <w:t>68</w:t>
                </w:r>
                <w:r w:rsidR="00400391">
                  <w:rPr>
                    <w:noProof/>
                    <w:webHidden/>
                  </w:rPr>
                  <w:fldChar w:fldCharType="end"/>
                </w:r>
              </w:hyperlink>
            </w:p>
            <w:p w14:paraId="1A3B649D" w14:textId="35B2B809" w:rsidR="00400391" w:rsidRDefault="008B34CD">
              <w:pPr>
                <w:pStyle w:val="TOC3"/>
                <w:rPr>
                  <w:rFonts w:eastAsiaTheme="minorEastAsia" w:cstheme="minorBidi"/>
                  <w:noProof/>
                  <w:sz w:val="22"/>
                  <w:szCs w:val="22"/>
                  <w:lang w:eastAsia="hr-HR"/>
                </w:rPr>
              </w:pPr>
              <w:hyperlink w:anchor="_Toc165035494" w:history="1">
                <w:r w:rsidR="00400391" w:rsidRPr="00F12BDD">
                  <w:rPr>
                    <w:rStyle w:val="Hyperlink"/>
                    <w:noProof/>
                  </w:rPr>
                  <w:t>2.5.4.1. Sudjelovanje HALMED-a u povjerenstvima i radnim skupinama EK-a i EMA-e</w:t>
                </w:r>
                <w:r w:rsidR="00400391">
                  <w:rPr>
                    <w:noProof/>
                    <w:webHidden/>
                  </w:rPr>
                  <w:tab/>
                </w:r>
                <w:r w:rsidR="00400391">
                  <w:rPr>
                    <w:noProof/>
                    <w:webHidden/>
                  </w:rPr>
                  <w:fldChar w:fldCharType="begin"/>
                </w:r>
                <w:r w:rsidR="00400391">
                  <w:rPr>
                    <w:noProof/>
                    <w:webHidden/>
                  </w:rPr>
                  <w:instrText xml:space="preserve"> PAGEREF _Toc165035494 \h </w:instrText>
                </w:r>
                <w:r w:rsidR="00400391">
                  <w:rPr>
                    <w:noProof/>
                    <w:webHidden/>
                  </w:rPr>
                </w:r>
                <w:r w:rsidR="00400391">
                  <w:rPr>
                    <w:noProof/>
                    <w:webHidden/>
                  </w:rPr>
                  <w:fldChar w:fldCharType="separate"/>
                </w:r>
                <w:r w:rsidR="00C86676">
                  <w:rPr>
                    <w:noProof/>
                    <w:webHidden/>
                  </w:rPr>
                  <w:t>68</w:t>
                </w:r>
                <w:r w:rsidR="00400391">
                  <w:rPr>
                    <w:noProof/>
                    <w:webHidden/>
                  </w:rPr>
                  <w:fldChar w:fldCharType="end"/>
                </w:r>
              </w:hyperlink>
            </w:p>
            <w:p w14:paraId="738F9939" w14:textId="6CF90E39" w:rsidR="00400391" w:rsidRDefault="008B34CD">
              <w:pPr>
                <w:pStyle w:val="TOC3"/>
                <w:rPr>
                  <w:rFonts w:eastAsiaTheme="minorEastAsia" w:cstheme="minorBidi"/>
                  <w:noProof/>
                  <w:sz w:val="22"/>
                  <w:szCs w:val="22"/>
                  <w:lang w:eastAsia="hr-HR"/>
                </w:rPr>
              </w:pPr>
              <w:hyperlink w:anchor="_Toc165035495" w:history="1">
                <w:r w:rsidR="00400391" w:rsidRPr="00F12BDD">
                  <w:rPr>
                    <w:rStyle w:val="Hyperlink"/>
                    <w:noProof/>
                  </w:rPr>
                  <w:t>2.5.5. Sudjelovanje HALMED-a u radnim skupinama u nacionalnim poslovima</w:t>
                </w:r>
                <w:r w:rsidR="00400391">
                  <w:rPr>
                    <w:noProof/>
                    <w:webHidden/>
                  </w:rPr>
                  <w:tab/>
                </w:r>
                <w:r w:rsidR="00400391">
                  <w:rPr>
                    <w:noProof/>
                    <w:webHidden/>
                  </w:rPr>
                  <w:fldChar w:fldCharType="begin"/>
                </w:r>
                <w:r w:rsidR="00400391">
                  <w:rPr>
                    <w:noProof/>
                    <w:webHidden/>
                  </w:rPr>
                  <w:instrText xml:space="preserve"> PAGEREF _Toc165035495 \h </w:instrText>
                </w:r>
                <w:r w:rsidR="00400391">
                  <w:rPr>
                    <w:noProof/>
                    <w:webHidden/>
                  </w:rPr>
                </w:r>
                <w:r w:rsidR="00400391">
                  <w:rPr>
                    <w:noProof/>
                    <w:webHidden/>
                  </w:rPr>
                  <w:fldChar w:fldCharType="separate"/>
                </w:r>
                <w:r w:rsidR="00C86676">
                  <w:rPr>
                    <w:noProof/>
                    <w:webHidden/>
                  </w:rPr>
                  <w:t>69</w:t>
                </w:r>
                <w:r w:rsidR="00400391">
                  <w:rPr>
                    <w:noProof/>
                    <w:webHidden/>
                  </w:rPr>
                  <w:fldChar w:fldCharType="end"/>
                </w:r>
              </w:hyperlink>
            </w:p>
            <w:p w14:paraId="66F616C4" w14:textId="022AC162" w:rsidR="00400391" w:rsidRDefault="008B34CD">
              <w:pPr>
                <w:pStyle w:val="TOC3"/>
                <w:rPr>
                  <w:rFonts w:eastAsiaTheme="minorEastAsia" w:cstheme="minorBidi"/>
                  <w:noProof/>
                  <w:sz w:val="22"/>
                  <w:szCs w:val="22"/>
                  <w:lang w:eastAsia="hr-HR"/>
                </w:rPr>
              </w:pPr>
              <w:hyperlink w:anchor="_Toc165035496" w:history="1">
                <w:r w:rsidR="00400391" w:rsidRPr="00F12BDD">
                  <w:rPr>
                    <w:rStyle w:val="Hyperlink"/>
                    <w:noProof/>
                  </w:rPr>
                  <w:t>2.5.6. Prihodovni poslovi</w:t>
                </w:r>
                <w:r w:rsidR="00400391">
                  <w:rPr>
                    <w:noProof/>
                    <w:webHidden/>
                  </w:rPr>
                  <w:tab/>
                </w:r>
                <w:r w:rsidR="00400391">
                  <w:rPr>
                    <w:noProof/>
                    <w:webHidden/>
                  </w:rPr>
                  <w:fldChar w:fldCharType="begin"/>
                </w:r>
                <w:r w:rsidR="00400391">
                  <w:rPr>
                    <w:noProof/>
                    <w:webHidden/>
                  </w:rPr>
                  <w:instrText xml:space="preserve"> PAGEREF _Toc165035496 \h </w:instrText>
                </w:r>
                <w:r w:rsidR="00400391">
                  <w:rPr>
                    <w:noProof/>
                    <w:webHidden/>
                  </w:rPr>
                </w:r>
                <w:r w:rsidR="00400391">
                  <w:rPr>
                    <w:noProof/>
                    <w:webHidden/>
                  </w:rPr>
                  <w:fldChar w:fldCharType="separate"/>
                </w:r>
                <w:r w:rsidR="00C86676">
                  <w:rPr>
                    <w:noProof/>
                    <w:webHidden/>
                  </w:rPr>
                  <w:t>70</w:t>
                </w:r>
                <w:r w:rsidR="00400391">
                  <w:rPr>
                    <w:noProof/>
                    <w:webHidden/>
                  </w:rPr>
                  <w:fldChar w:fldCharType="end"/>
                </w:r>
              </w:hyperlink>
            </w:p>
            <w:p w14:paraId="09D44F2C" w14:textId="4725380D" w:rsidR="00400391" w:rsidRDefault="008B34CD">
              <w:pPr>
                <w:pStyle w:val="TOC3"/>
                <w:rPr>
                  <w:rFonts w:eastAsiaTheme="minorEastAsia" w:cstheme="minorBidi"/>
                  <w:noProof/>
                  <w:sz w:val="22"/>
                  <w:szCs w:val="22"/>
                  <w:lang w:eastAsia="hr-HR"/>
                </w:rPr>
              </w:pPr>
              <w:hyperlink w:anchor="_Toc165035497" w:history="1">
                <w:r w:rsidR="00400391" w:rsidRPr="00F12BDD">
                  <w:rPr>
                    <w:rStyle w:val="Hyperlink"/>
                    <w:rFonts w:eastAsia="Calibri"/>
                    <w:noProof/>
                  </w:rPr>
                  <w:t>2.5.7. Neprihodovni poslovi</w:t>
                </w:r>
                <w:r w:rsidR="00400391">
                  <w:rPr>
                    <w:noProof/>
                    <w:webHidden/>
                  </w:rPr>
                  <w:tab/>
                </w:r>
                <w:r w:rsidR="00400391">
                  <w:rPr>
                    <w:noProof/>
                    <w:webHidden/>
                  </w:rPr>
                  <w:fldChar w:fldCharType="begin"/>
                </w:r>
                <w:r w:rsidR="00400391">
                  <w:rPr>
                    <w:noProof/>
                    <w:webHidden/>
                  </w:rPr>
                  <w:instrText xml:space="preserve"> PAGEREF _Toc165035497 \h </w:instrText>
                </w:r>
                <w:r w:rsidR="00400391">
                  <w:rPr>
                    <w:noProof/>
                    <w:webHidden/>
                  </w:rPr>
                </w:r>
                <w:r w:rsidR="00400391">
                  <w:rPr>
                    <w:noProof/>
                    <w:webHidden/>
                  </w:rPr>
                  <w:fldChar w:fldCharType="separate"/>
                </w:r>
                <w:r w:rsidR="00C86676">
                  <w:rPr>
                    <w:noProof/>
                    <w:webHidden/>
                  </w:rPr>
                  <w:t>70</w:t>
                </w:r>
                <w:r w:rsidR="00400391">
                  <w:rPr>
                    <w:noProof/>
                    <w:webHidden/>
                  </w:rPr>
                  <w:fldChar w:fldCharType="end"/>
                </w:r>
              </w:hyperlink>
            </w:p>
            <w:p w14:paraId="30EE0907" w14:textId="43359923" w:rsidR="00400391" w:rsidRDefault="008B34CD">
              <w:pPr>
                <w:pStyle w:val="TOC2"/>
                <w:rPr>
                  <w:rFonts w:eastAsiaTheme="minorEastAsia" w:cstheme="minorBidi"/>
                  <w:iCs w:val="0"/>
                  <w:noProof/>
                  <w:sz w:val="22"/>
                  <w:szCs w:val="22"/>
                  <w:lang w:eastAsia="hr-HR"/>
                </w:rPr>
              </w:pPr>
              <w:hyperlink w:anchor="_Toc165035498" w:history="1">
                <w:r w:rsidR="00400391" w:rsidRPr="00F12BDD">
                  <w:rPr>
                    <w:rStyle w:val="Hyperlink"/>
                    <w:noProof/>
                  </w:rPr>
                  <w:t>2.6. Provjera kakvoće lijekova</w:t>
                </w:r>
                <w:r w:rsidR="00400391">
                  <w:rPr>
                    <w:noProof/>
                    <w:webHidden/>
                  </w:rPr>
                  <w:tab/>
                </w:r>
                <w:r w:rsidR="00400391">
                  <w:rPr>
                    <w:noProof/>
                    <w:webHidden/>
                  </w:rPr>
                  <w:fldChar w:fldCharType="begin"/>
                </w:r>
                <w:r w:rsidR="00400391">
                  <w:rPr>
                    <w:noProof/>
                    <w:webHidden/>
                  </w:rPr>
                  <w:instrText xml:space="preserve"> PAGEREF _Toc165035498 \h </w:instrText>
                </w:r>
                <w:r w:rsidR="00400391">
                  <w:rPr>
                    <w:noProof/>
                    <w:webHidden/>
                  </w:rPr>
                </w:r>
                <w:r w:rsidR="00400391">
                  <w:rPr>
                    <w:noProof/>
                    <w:webHidden/>
                  </w:rPr>
                  <w:fldChar w:fldCharType="separate"/>
                </w:r>
                <w:r w:rsidR="00C86676">
                  <w:rPr>
                    <w:noProof/>
                    <w:webHidden/>
                  </w:rPr>
                  <w:t>72</w:t>
                </w:r>
                <w:r w:rsidR="00400391">
                  <w:rPr>
                    <w:noProof/>
                    <w:webHidden/>
                  </w:rPr>
                  <w:fldChar w:fldCharType="end"/>
                </w:r>
              </w:hyperlink>
            </w:p>
            <w:p w14:paraId="36DD144E" w14:textId="1C9A05EB" w:rsidR="00400391" w:rsidRDefault="008B34CD">
              <w:pPr>
                <w:pStyle w:val="TOC3"/>
                <w:rPr>
                  <w:rFonts w:eastAsiaTheme="minorEastAsia" w:cstheme="minorBidi"/>
                  <w:noProof/>
                  <w:sz w:val="22"/>
                  <w:szCs w:val="22"/>
                  <w:lang w:eastAsia="hr-HR"/>
                </w:rPr>
              </w:pPr>
              <w:hyperlink w:anchor="_Toc165035499" w:history="1">
                <w:r w:rsidR="00400391" w:rsidRPr="00F12BDD">
                  <w:rPr>
                    <w:rStyle w:val="Hyperlink"/>
                    <w:noProof/>
                  </w:rPr>
                  <w:t>2.6.1. Posebna provjera kakvoće lijekova</w:t>
                </w:r>
                <w:r w:rsidR="00400391">
                  <w:rPr>
                    <w:noProof/>
                    <w:webHidden/>
                  </w:rPr>
                  <w:tab/>
                </w:r>
                <w:r w:rsidR="00400391">
                  <w:rPr>
                    <w:noProof/>
                    <w:webHidden/>
                  </w:rPr>
                  <w:fldChar w:fldCharType="begin"/>
                </w:r>
                <w:r w:rsidR="00400391">
                  <w:rPr>
                    <w:noProof/>
                    <w:webHidden/>
                  </w:rPr>
                  <w:instrText xml:space="preserve"> PAGEREF _Toc165035499 \h </w:instrText>
                </w:r>
                <w:r w:rsidR="00400391">
                  <w:rPr>
                    <w:noProof/>
                    <w:webHidden/>
                  </w:rPr>
                </w:r>
                <w:r w:rsidR="00400391">
                  <w:rPr>
                    <w:noProof/>
                    <w:webHidden/>
                  </w:rPr>
                  <w:fldChar w:fldCharType="separate"/>
                </w:r>
                <w:r w:rsidR="00C86676">
                  <w:rPr>
                    <w:noProof/>
                    <w:webHidden/>
                  </w:rPr>
                  <w:t>72</w:t>
                </w:r>
                <w:r w:rsidR="00400391">
                  <w:rPr>
                    <w:noProof/>
                    <w:webHidden/>
                  </w:rPr>
                  <w:fldChar w:fldCharType="end"/>
                </w:r>
              </w:hyperlink>
            </w:p>
            <w:p w14:paraId="5A60C81B" w14:textId="7FC7B04A" w:rsidR="00400391" w:rsidRDefault="008B34CD">
              <w:pPr>
                <w:pStyle w:val="TOC3"/>
                <w:rPr>
                  <w:rFonts w:eastAsiaTheme="minorEastAsia" w:cstheme="minorBidi"/>
                  <w:noProof/>
                  <w:sz w:val="22"/>
                  <w:szCs w:val="22"/>
                  <w:lang w:eastAsia="hr-HR"/>
                </w:rPr>
              </w:pPr>
              <w:hyperlink w:anchor="_Toc165035500" w:history="1">
                <w:r w:rsidR="00400391" w:rsidRPr="00F12BDD">
                  <w:rPr>
                    <w:rStyle w:val="Hyperlink"/>
                    <w:noProof/>
                  </w:rPr>
                  <w:t>2.6.2. Provjera kakvoće lijeka iz prometa</w:t>
                </w:r>
                <w:r w:rsidR="00400391">
                  <w:rPr>
                    <w:noProof/>
                    <w:webHidden/>
                  </w:rPr>
                  <w:tab/>
                </w:r>
                <w:r w:rsidR="00400391">
                  <w:rPr>
                    <w:noProof/>
                    <w:webHidden/>
                  </w:rPr>
                  <w:fldChar w:fldCharType="begin"/>
                </w:r>
                <w:r w:rsidR="00400391">
                  <w:rPr>
                    <w:noProof/>
                    <w:webHidden/>
                  </w:rPr>
                  <w:instrText xml:space="preserve"> PAGEREF _Toc165035500 \h </w:instrText>
                </w:r>
                <w:r w:rsidR="00400391">
                  <w:rPr>
                    <w:noProof/>
                    <w:webHidden/>
                  </w:rPr>
                </w:r>
                <w:r w:rsidR="00400391">
                  <w:rPr>
                    <w:noProof/>
                    <w:webHidden/>
                  </w:rPr>
                  <w:fldChar w:fldCharType="separate"/>
                </w:r>
                <w:r w:rsidR="00C86676">
                  <w:rPr>
                    <w:noProof/>
                    <w:webHidden/>
                  </w:rPr>
                  <w:t>72</w:t>
                </w:r>
                <w:r w:rsidR="00400391">
                  <w:rPr>
                    <w:noProof/>
                    <w:webHidden/>
                  </w:rPr>
                  <w:fldChar w:fldCharType="end"/>
                </w:r>
              </w:hyperlink>
            </w:p>
            <w:p w14:paraId="4DE9907F" w14:textId="1915D02B" w:rsidR="00400391" w:rsidRDefault="008B34CD">
              <w:pPr>
                <w:pStyle w:val="TOC3"/>
                <w:rPr>
                  <w:rFonts w:eastAsiaTheme="minorEastAsia" w:cstheme="minorBidi"/>
                  <w:noProof/>
                  <w:sz w:val="22"/>
                  <w:szCs w:val="22"/>
                  <w:lang w:eastAsia="hr-HR"/>
                </w:rPr>
              </w:pPr>
              <w:hyperlink w:anchor="_Toc165035501" w:history="1">
                <w:r w:rsidR="00400391" w:rsidRPr="00F12BDD">
                  <w:rPr>
                    <w:rStyle w:val="Hyperlink"/>
                    <w:noProof/>
                  </w:rPr>
                  <w:t>2.6.3. Izvanredna provjera kakvoće lijeka</w:t>
                </w:r>
                <w:r w:rsidR="00400391">
                  <w:rPr>
                    <w:noProof/>
                    <w:webHidden/>
                  </w:rPr>
                  <w:tab/>
                </w:r>
                <w:r w:rsidR="00400391">
                  <w:rPr>
                    <w:noProof/>
                    <w:webHidden/>
                  </w:rPr>
                  <w:fldChar w:fldCharType="begin"/>
                </w:r>
                <w:r w:rsidR="00400391">
                  <w:rPr>
                    <w:noProof/>
                    <w:webHidden/>
                  </w:rPr>
                  <w:instrText xml:space="preserve"> PAGEREF _Toc165035501 \h </w:instrText>
                </w:r>
                <w:r w:rsidR="00400391">
                  <w:rPr>
                    <w:noProof/>
                    <w:webHidden/>
                  </w:rPr>
                </w:r>
                <w:r w:rsidR="00400391">
                  <w:rPr>
                    <w:noProof/>
                    <w:webHidden/>
                  </w:rPr>
                  <w:fldChar w:fldCharType="separate"/>
                </w:r>
                <w:r w:rsidR="00C86676">
                  <w:rPr>
                    <w:noProof/>
                    <w:webHidden/>
                  </w:rPr>
                  <w:t>73</w:t>
                </w:r>
                <w:r w:rsidR="00400391">
                  <w:rPr>
                    <w:noProof/>
                    <w:webHidden/>
                  </w:rPr>
                  <w:fldChar w:fldCharType="end"/>
                </w:r>
              </w:hyperlink>
            </w:p>
            <w:p w14:paraId="14592611" w14:textId="49917F72" w:rsidR="00400391" w:rsidRDefault="008B34CD">
              <w:pPr>
                <w:pStyle w:val="TOC3"/>
                <w:rPr>
                  <w:rFonts w:eastAsiaTheme="minorEastAsia" w:cstheme="minorBidi"/>
                  <w:noProof/>
                  <w:sz w:val="22"/>
                  <w:szCs w:val="22"/>
                  <w:lang w:eastAsia="hr-HR"/>
                </w:rPr>
              </w:pPr>
              <w:hyperlink w:anchor="_Toc165035502" w:history="1">
                <w:r w:rsidR="00400391" w:rsidRPr="00F12BDD">
                  <w:rPr>
                    <w:rStyle w:val="Hyperlink"/>
                    <w:noProof/>
                  </w:rPr>
                  <w:t>2.6.4. Kontrola kvalitete veterinarsko-medicinskih proizvoda</w:t>
                </w:r>
                <w:r w:rsidR="00400391">
                  <w:rPr>
                    <w:noProof/>
                    <w:webHidden/>
                  </w:rPr>
                  <w:tab/>
                </w:r>
                <w:r w:rsidR="00400391">
                  <w:rPr>
                    <w:noProof/>
                    <w:webHidden/>
                  </w:rPr>
                  <w:fldChar w:fldCharType="begin"/>
                </w:r>
                <w:r w:rsidR="00400391">
                  <w:rPr>
                    <w:noProof/>
                    <w:webHidden/>
                  </w:rPr>
                  <w:instrText xml:space="preserve"> PAGEREF _Toc165035502 \h </w:instrText>
                </w:r>
                <w:r w:rsidR="00400391">
                  <w:rPr>
                    <w:noProof/>
                    <w:webHidden/>
                  </w:rPr>
                </w:r>
                <w:r w:rsidR="00400391">
                  <w:rPr>
                    <w:noProof/>
                    <w:webHidden/>
                  </w:rPr>
                  <w:fldChar w:fldCharType="separate"/>
                </w:r>
                <w:r w:rsidR="00C86676">
                  <w:rPr>
                    <w:noProof/>
                    <w:webHidden/>
                  </w:rPr>
                  <w:t>73</w:t>
                </w:r>
                <w:r w:rsidR="00400391">
                  <w:rPr>
                    <w:noProof/>
                    <w:webHidden/>
                  </w:rPr>
                  <w:fldChar w:fldCharType="end"/>
                </w:r>
              </w:hyperlink>
            </w:p>
            <w:p w14:paraId="3B160A0E" w14:textId="569B0BD6" w:rsidR="00400391" w:rsidRDefault="008B34CD">
              <w:pPr>
                <w:pStyle w:val="TOC3"/>
                <w:rPr>
                  <w:rFonts w:eastAsiaTheme="minorEastAsia" w:cstheme="minorBidi"/>
                  <w:noProof/>
                  <w:sz w:val="22"/>
                  <w:szCs w:val="22"/>
                  <w:lang w:eastAsia="hr-HR"/>
                </w:rPr>
              </w:pPr>
              <w:hyperlink w:anchor="_Toc165035503" w:history="1">
                <w:r w:rsidR="00400391" w:rsidRPr="00F12BDD">
                  <w:rPr>
                    <w:rStyle w:val="Hyperlink"/>
                    <w:noProof/>
                  </w:rPr>
                  <w:t>2.6.5. Međulaboratorijske usporedbe</w:t>
                </w:r>
                <w:r w:rsidR="00400391">
                  <w:rPr>
                    <w:noProof/>
                    <w:webHidden/>
                  </w:rPr>
                  <w:tab/>
                </w:r>
                <w:r w:rsidR="00400391">
                  <w:rPr>
                    <w:noProof/>
                    <w:webHidden/>
                  </w:rPr>
                  <w:fldChar w:fldCharType="begin"/>
                </w:r>
                <w:r w:rsidR="00400391">
                  <w:rPr>
                    <w:noProof/>
                    <w:webHidden/>
                  </w:rPr>
                  <w:instrText xml:space="preserve"> PAGEREF _Toc165035503 \h </w:instrText>
                </w:r>
                <w:r w:rsidR="00400391">
                  <w:rPr>
                    <w:noProof/>
                    <w:webHidden/>
                  </w:rPr>
                </w:r>
                <w:r w:rsidR="00400391">
                  <w:rPr>
                    <w:noProof/>
                    <w:webHidden/>
                  </w:rPr>
                  <w:fldChar w:fldCharType="separate"/>
                </w:r>
                <w:r w:rsidR="00C86676">
                  <w:rPr>
                    <w:noProof/>
                    <w:webHidden/>
                  </w:rPr>
                  <w:t>73</w:t>
                </w:r>
                <w:r w:rsidR="00400391">
                  <w:rPr>
                    <w:noProof/>
                    <w:webHidden/>
                  </w:rPr>
                  <w:fldChar w:fldCharType="end"/>
                </w:r>
              </w:hyperlink>
            </w:p>
            <w:p w14:paraId="578C978C" w14:textId="5028B3B3" w:rsidR="00400391" w:rsidRDefault="008B34CD">
              <w:pPr>
                <w:pStyle w:val="TOC3"/>
                <w:rPr>
                  <w:rFonts w:eastAsiaTheme="minorEastAsia" w:cstheme="minorBidi"/>
                  <w:noProof/>
                  <w:sz w:val="22"/>
                  <w:szCs w:val="22"/>
                  <w:lang w:eastAsia="hr-HR"/>
                </w:rPr>
              </w:pPr>
              <w:hyperlink w:anchor="_Toc165035504" w:history="1">
                <w:r w:rsidR="00400391" w:rsidRPr="00F12BDD">
                  <w:rPr>
                    <w:rStyle w:val="Hyperlink"/>
                    <w:noProof/>
                  </w:rPr>
                  <w:t>2.6.6. Kolaborativne studije</w:t>
                </w:r>
                <w:r w:rsidR="00400391">
                  <w:rPr>
                    <w:noProof/>
                    <w:webHidden/>
                  </w:rPr>
                  <w:tab/>
                </w:r>
                <w:r w:rsidR="00400391">
                  <w:rPr>
                    <w:noProof/>
                    <w:webHidden/>
                  </w:rPr>
                  <w:fldChar w:fldCharType="begin"/>
                </w:r>
                <w:r w:rsidR="00400391">
                  <w:rPr>
                    <w:noProof/>
                    <w:webHidden/>
                  </w:rPr>
                  <w:instrText xml:space="preserve"> PAGEREF _Toc165035504 \h </w:instrText>
                </w:r>
                <w:r w:rsidR="00400391">
                  <w:rPr>
                    <w:noProof/>
                    <w:webHidden/>
                  </w:rPr>
                </w:r>
                <w:r w:rsidR="00400391">
                  <w:rPr>
                    <w:noProof/>
                    <w:webHidden/>
                  </w:rPr>
                  <w:fldChar w:fldCharType="separate"/>
                </w:r>
                <w:r w:rsidR="00C86676">
                  <w:rPr>
                    <w:noProof/>
                    <w:webHidden/>
                  </w:rPr>
                  <w:t>74</w:t>
                </w:r>
                <w:r w:rsidR="00400391">
                  <w:rPr>
                    <w:noProof/>
                    <w:webHidden/>
                  </w:rPr>
                  <w:fldChar w:fldCharType="end"/>
                </w:r>
              </w:hyperlink>
            </w:p>
            <w:p w14:paraId="479EB53E" w14:textId="647D65DB" w:rsidR="00400391" w:rsidRDefault="008B34CD">
              <w:pPr>
                <w:pStyle w:val="TOC3"/>
                <w:rPr>
                  <w:rFonts w:eastAsiaTheme="minorEastAsia" w:cstheme="minorBidi"/>
                  <w:noProof/>
                  <w:sz w:val="22"/>
                  <w:szCs w:val="22"/>
                  <w:lang w:eastAsia="hr-HR"/>
                </w:rPr>
              </w:pPr>
              <w:hyperlink w:anchor="_Toc165035505" w:history="1">
                <w:r w:rsidR="00400391" w:rsidRPr="00F12BDD">
                  <w:rPr>
                    <w:rStyle w:val="Hyperlink"/>
                    <w:noProof/>
                  </w:rPr>
                  <w:t>2.6.7. Provjera kakvoće referentnih materijala Europske farmakopeje temeljem međunarodnog ugovora</w:t>
                </w:r>
                <w:r w:rsidR="00400391">
                  <w:rPr>
                    <w:noProof/>
                    <w:webHidden/>
                  </w:rPr>
                  <w:tab/>
                </w:r>
                <w:r w:rsidR="00400391">
                  <w:rPr>
                    <w:noProof/>
                    <w:webHidden/>
                  </w:rPr>
                  <w:fldChar w:fldCharType="begin"/>
                </w:r>
                <w:r w:rsidR="00400391">
                  <w:rPr>
                    <w:noProof/>
                    <w:webHidden/>
                  </w:rPr>
                  <w:instrText xml:space="preserve"> PAGEREF _Toc165035505 \h </w:instrText>
                </w:r>
                <w:r w:rsidR="00400391">
                  <w:rPr>
                    <w:noProof/>
                    <w:webHidden/>
                  </w:rPr>
                </w:r>
                <w:r w:rsidR="00400391">
                  <w:rPr>
                    <w:noProof/>
                    <w:webHidden/>
                  </w:rPr>
                  <w:fldChar w:fldCharType="separate"/>
                </w:r>
                <w:r w:rsidR="00C86676">
                  <w:rPr>
                    <w:noProof/>
                    <w:webHidden/>
                  </w:rPr>
                  <w:t>74</w:t>
                </w:r>
                <w:r w:rsidR="00400391">
                  <w:rPr>
                    <w:noProof/>
                    <w:webHidden/>
                  </w:rPr>
                  <w:fldChar w:fldCharType="end"/>
                </w:r>
              </w:hyperlink>
            </w:p>
            <w:p w14:paraId="2E9BEE21" w14:textId="178D818E" w:rsidR="00400391" w:rsidRDefault="008B34CD">
              <w:pPr>
                <w:pStyle w:val="TOC3"/>
                <w:rPr>
                  <w:rFonts w:eastAsiaTheme="minorEastAsia" w:cstheme="minorBidi"/>
                  <w:noProof/>
                  <w:sz w:val="22"/>
                  <w:szCs w:val="22"/>
                  <w:lang w:eastAsia="hr-HR"/>
                </w:rPr>
              </w:pPr>
              <w:hyperlink w:anchor="_Toc165035506" w:history="1">
                <w:r w:rsidR="00400391" w:rsidRPr="00F12BDD">
                  <w:rPr>
                    <w:rStyle w:val="Hyperlink"/>
                    <w:noProof/>
                  </w:rPr>
                  <w:t>2.6.8. Uzorkovanje lijekova odobrenih centraliziranim postupkom s tržišta RH u svrhu provjere kakvoće</w:t>
                </w:r>
                <w:r w:rsidR="00400391">
                  <w:rPr>
                    <w:noProof/>
                    <w:webHidden/>
                  </w:rPr>
                  <w:tab/>
                </w:r>
                <w:r w:rsidR="00400391">
                  <w:rPr>
                    <w:noProof/>
                    <w:webHidden/>
                  </w:rPr>
                  <w:fldChar w:fldCharType="begin"/>
                </w:r>
                <w:r w:rsidR="00400391">
                  <w:rPr>
                    <w:noProof/>
                    <w:webHidden/>
                  </w:rPr>
                  <w:instrText xml:space="preserve"> PAGEREF _Toc165035506 \h </w:instrText>
                </w:r>
                <w:r w:rsidR="00400391">
                  <w:rPr>
                    <w:noProof/>
                    <w:webHidden/>
                  </w:rPr>
                </w:r>
                <w:r w:rsidR="00400391">
                  <w:rPr>
                    <w:noProof/>
                    <w:webHidden/>
                  </w:rPr>
                  <w:fldChar w:fldCharType="separate"/>
                </w:r>
                <w:r w:rsidR="00C86676">
                  <w:rPr>
                    <w:noProof/>
                    <w:webHidden/>
                  </w:rPr>
                  <w:t>74</w:t>
                </w:r>
                <w:r w:rsidR="00400391">
                  <w:rPr>
                    <w:noProof/>
                    <w:webHidden/>
                  </w:rPr>
                  <w:fldChar w:fldCharType="end"/>
                </w:r>
              </w:hyperlink>
            </w:p>
            <w:p w14:paraId="2F0B4354" w14:textId="3AFA41B4" w:rsidR="00400391" w:rsidRDefault="008B34CD">
              <w:pPr>
                <w:pStyle w:val="TOC3"/>
                <w:rPr>
                  <w:rFonts w:eastAsiaTheme="minorEastAsia" w:cstheme="minorBidi"/>
                  <w:noProof/>
                  <w:sz w:val="22"/>
                  <w:szCs w:val="22"/>
                  <w:lang w:eastAsia="hr-HR"/>
                </w:rPr>
              </w:pPr>
              <w:hyperlink w:anchor="_Toc165035507" w:history="1">
                <w:r w:rsidR="00400391" w:rsidRPr="00F12BDD">
                  <w:rPr>
                    <w:rStyle w:val="Hyperlink"/>
                    <w:noProof/>
                  </w:rPr>
                  <w:t>2.6.9. Europski poslovi</w:t>
                </w:r>
                <w:r w:rsidR="00400391">
                  <w:rPr>
                    <w:noProof/>
                    <w:webHidden/>
                  </w:rPr>
                  <w:tab/>
                </w:r>
                <w:r w:rsidR="00400391">
                  <w:rPr>
                    <w:noProof/>
                    <w:webHidden/>
                  </w:rPr>
                  <w:fldChar w:fldCharType="begin"/>
                </w:r>
                <w:r w:rsidR="00400391">
                  <w:rPr>
                    <w:noProof/>
                    <w:webHidden/>
                  </w:rPr>
                  <w:instrText xml:space="preserve"> PAGEREF _Toc165035507 \h </w:instrText>
                </w:r>
                <w:r w:rsidR="00400391">
                  <w:rPr>
                    <w:noProof/>
                    <w:webHidden/>
                  </w:rPr>
                </w:r>
                <w:r w:rsidR="00400391">
                  <w:rPr>
                    <w:noProof/>
                    <w:webHidden/>
                  </w:rPr>
                  <w:fldChar w:fldCharType="separate"/>
                </w:r>
                <w:r w:rsidR="00C86676">
                  <w:rPr>
                    <w:noProof/>
                    <w:webHidden/>
                  </w:rPr>
                  <w:t>74</w:t>
                </w:r>
                <w:r w:rsidR="00400391">
                  <w:rPr>
                    <w:noProof/>
                    <w:webHidden/>
                  </w:rPr>
                  <w:fldChar w:fldCharType="end"/>
                </w:r>
              </w:hyperlink>
            </w:p>
            <w:p w14:paraId="5E22B119" w14:textId="711FDBB0" w:rsidR="00400391" w:rsidRDefault="008B34CD">
              <w:pPr>
                <w:pStyle w:val="TOC3"/>
                <w:rPr>
                  <w:rFonts w:eastAsiaTheme="minorEastAsia" w:cstheme="minorBidi"/>
                  <w:noProof/>
                  <w:sz w:val="22"/>
                  <w:szCs w:val="22"/>
                  <w:lang w:eastAsia="hr-HR"/>
                </w:rPr>
              </w:pPr>
              <w:hyperlink w:anchor="_Toc165035508" w:history="1">
                <w:r w:rsidR="00400391" w:rsidRPr="00F12BDD">
                  <w:rPr>
                    <w:rStyle w:val="Hyperlink"/>
                    <w:noProof/>
                  </w:rPr>
                  <w:t>2.6.10. Međunarodni poslovi</w:t>
                </w:r>
                <w:r w:rsidR="00400391">
                  <w:rPr>
                    <w:noProof/>
                    <w:webHidden/>
                  </w:rPr>
                  <w:tab/>
                </w:r>
                <w:r w:rsidR="00400391">
                  <w:rPr>
                    <w:noProof/>
                    <w:webHidden/>
                  </w:rPr>
                  <w:fldChar w:fldCharType="begin"/>
                </w:r>
                <w:r w:rsidR="00400391">
                  <w:rPr>
                    <w:noProof/>
                    <w:webHidden/>
                  </w:rPr>
                  <w:instrText xml:space="preserve"> PAGEREF _Toc165035508 \h </w:instrText>
                </w:r>
                <w:r w:rsidR="00400391">
                  <w:rPr>
                    <w:noProof/>
                    <w:webHidden/>
                  </w:rPr>
                </w:r>
                <w:r w:rsidR="00400391">
                  <w:rPr>
                    <w:noProof/>
                    <w:webHidden/>
                  </w:rPr>
                  <w:fldChar w:fldCharType="separate"/>
                </w:r>
                <w:r w:rsidR="00C86676">
                  <w:rPr>
                    <w:noProof/>
                    <w:webHidden/>
                  </w:rPr>
                  <w:t>74</w:t>
                </w:r>
                <w:r w:rsidR="00400391">
                  <w:rPr>
                    <w:noProof/>
                    <w:webHidden/>
                  </w:rPr>
                  <w:fldChar w:fldCharType="end"/>
                </w:r>
              </w:hyperlink>
            </w:p>
            <w:p w14:paraId="73F10623" w14:textId="0D1B40C7" w:rsidR="00400391" w:rsidRDefault="008B34CD">
              <w:pPr>
                <w:pStyle w:val="TOC3"/>
                <w:rPr>
                  <w:rFonts w:eastAsiaTheme="minorEastAsia" w:cstheme="minorBidi"/>
                  <w:noProof/>
                  <w:sz w:val="22"/>
                  <w:szCs w:val="22"/>
                  <w:lang w:eastAsia="hr-HR"/>
                </w:rPr>
              </w:pPr>
              <w:hyperlink w:anchor="_Toc165035509" w:history="1">
                <w:r w:rsidR="00400391" w:rsidRPr="00F12BDD">
                  <w:rPr>
                    <w:rStyle w:val="Hyperlink"/>
                    <w:noProof/>
                  </w:rPr>
                  <w:t>2.6.13. Izvršenje neprihodovnih poslova</w:t>
                </w:r>
                <w:r w:rsidR="00400391">
                  <w:rPr>
                    <w:noProof/>
                    <w:webHidden/>
                  </w:rPr>
                  <w:tab/>
                </w:r>
                <w:r w:rsidR="00400391">
                  <w:rPr>
                    <w:noProof/>
                    <w:webHidden/>
                  </w:rPr>
                  <w:fldChar w:fldCharType="begin"/>
                </w:r>
                <w:r w:rsidR="00400391">
                  <w:rPr>
                    <w:noProof/>
                    <w:webHidden/>
                  </w:rPr>
                  <w:instrText xml:space="preserve"> PAGEREF _Toc165035509 \h </w:instrText>
                </w:r>
                <w:r w:rsidR="00400391">
                  <w:rPr>
                    <w:noProof/>
                    <w:webHidden/>
                  </w:rPr>
                </w:r>
                <w:r w:rsidR="00400391">
                  <w:rPr>
                    <w:noProof/>
                    <w:webHidden/>
                  </w:rPr>
                  <w:fldChar w:fldCharType="separate"/>
                </w:r>
                <w:r w:rsidR="00C86676">
                  <w:rPr>
                    <w:noProof/>
                    <w:webHidden/>
                  </w:rPr>
                  <w:t>76</w:t>
                </w:r>
                <w:r w:rsidR="00400391">
                  <w:rPr>
                    <w:noProof/>
                    <w:webHidden/>
                  </w:rPr>
                  <w:fldChar w:fldCharType="end"/>
                </w:r>
              </w:hyperlink>
            </w:p>
            <w:p w14:paraId="008568CD" w14:textId="70003F41" w:rsidR="00400391" w:rsidRDefault="008B34CD">
              <w:pPr>
                <w:pStyle w:val="TOC2"/>
                <w:rPr>
                  <w:rFonts w:eastAsiaTheme="minorEastAsia" w:cstheme="minorBidi"/>
                  <w:iCs w:val="0"/>
                  <w:noProof/>
                  <w:sz w:val="22"/>
                  <w:szCs w:val="22"/>
                  <w:lang w:eastAsia="hr-HR"/>
                </w:rPr>
              </w:pPr>
              <w:hyperlink w:anchor="_Toc165035510" w:history="1">
                <w:r w:rsidR="00400391" w:rsidRPr="00F12BDD">
                  <w:rPr>
                    <w:rStyle w:val="Hyperlink"/>
                    <w:noProof/>
                  </w:rPr>
                  <w:t>2.7. Hrvatska farmakopeja</w:t>
                </w:r>
                <w:r w:rsidR="00400391">
                  <w:rPr>
                    <w:noProof/>
                    <w:webHidden/>
                  </w:rPr>
                  <w:tab/>
                </w:r>
                <w:r w:rsidR="00400391">
                  <w:rPr>
                    <w:noProof/>
                    <w:webHidden/>
                  </w:rPr>
                  <w:fldChar w:fldCharType="begin"/>
                </w:r>
                <w:r w:rsidR="00400391">
                  <w:rPr>
                    <w:noProof/>
                    <w:webHidden/>
                  </w:rPr>
                  <w:instrText xml:space="preserve"> PAGEREF _Toc165035510 \h </w:instrText>
                </w:r>
                <w:r w:rsidR="00400391">
                  <w:rPr>
                    <w:noProof/>
                    <w:webHidden/>
                  </w:rPr>
                </w:r>
                <w:r w:rsidR="00400391">
                  <w:rPr>
                    <w:noProof/>
                    <w:webHidden/>
                  </w:rPr>
                  <w:fldChar w:fldCharType="separate"/>
                </w:r>
                <w:r w:rsidR="00C86676">
                  <w:rPr>
                    <w:noProof/>
                    <w:webHidden/>
                  </w:rPr>
                  <w:t>77</w:t>
                </w:r>
                <w:r w:rsidR="00400391">
                  <w:rPr>
                    <w:noProof/>
                    <w:webHidden/>
                  </w:rPr>
                  <w:fldChar w:fldCharType="end"/>
                </w:r>
              </w:hyperlink>
            </w:p>
            <w:p w14:paraId="19122C29" w14:textId="72D23C6D" w:rsidR="00400391" w:rsidRDefault="008B34CD">
              <w:pPr>
                <w:pStyle w:val="TOC3"/>
                <w:rPr>
                  <w:rFonts w:eastAsiaTheme="minorEastAsia" w:cstheme="minorBidi"/>
                  <w:noProof/>
                  <w:sz w:val="22"/>
                  <w:szCs w:val="22"/>
                  <w:lang w:eastAsia="hr-HR"/>
                </w:rPr>
              </w:pPr>
              <w:hyperlink w:anchor="_Toc165035511" w:history="1">
                <w:r w:rsidR="00400391" w:rsidRPr="00F12BDD">
                  <w:rPr>
                    <w:rStyle w:val="Hyperlink"/>
                    <w:noProof/>
                  </w:rPr>
                  <w:t>2.7.1. Rad na Hrvatskoj farmakopeji (HRF)</w:t>
                </w:r>
                <w:r w:rsidR="00400391">
                  <w:rPr>
                    <w:noProof/>
                    <w:webHidden/>
                  </w:rPr>
                  <w:tab/>
                </w:r>
                <w:r w:rsidR="00400391">
                  <w:rPr>
                    <w:noProof/>
                    <w:webHidden/>
                  </w:rPr>
                  <w:fldChar w:fldCharType="begin"/>
                </w:r>
                <w:r w:rsidR="00400391">
                  <w:rPr>
                    <w:noProof/>
                    <w:webHidden/>
                  </w:rPr>
                  <w:instrText xml:space="preserve"> PAGEREF _Toc165035511 \h </w:instrText>
                </w:r>
                <w:r w:rsidR="00400391">
                  <w:rPr>
                    <w:noProof/>
                    <w:webHidden/>
                  </w:rPr>
                </w:r>
                <w:r w:rsidR="00400391">
                  <w:rPr>
                    <w:noProof/>
                    <w:webHidden/>
                  </w:rPr>
                  <w:fldChar w:fldCharType="separate"/>
                </w:r>
                <w:r w:rsidR="00C86676">
                  <w:rPr>
                    <w:noProof/>
                    <w:webHidden/>
                  </w:rPr>
                  <w:t>77</w:t>
                </w:r>
                <w:r w:rsidR="00400391">
                  <w:rPr>
                    <w:noProof/>
                    <w:webHidden/>
                  </w:rPr>
                  <w:fldChar w:fldCharType="end"/>
                </w:r>
              </w:hyperlink>
            </w:p>
            <w:p w14:paraId="6934D066" w14:textId="71B19D13" w:rsidR="00400391" w:rsidRDefault="008B34CD">
              <w:pPr>
                <w:pStyle w:val="TOC3"/>
                <w:rPr>
                  <w:rFonts w:eastAsiaTheme="minorEastAsia" w:cstheme="minorBidi"/>
                  <w:noProof/>
                  <w:sz w:val="22"/>
                  <w:szCs w:val="22"/>
                  <w:lang w:eastAsia="hr-HR"/>
                </w:rPr>
              </w:pPr>
              <w:hyperlink w:anchor="_Toc165035512" w:history="1">
                <w:r w:rsidR="00400391" w:rsidRPr="00F12BDD">
                  <w:rPr>
                    <w:rStyle w:val="Hyperlink"/>
                    <w:noProof/>
                  </w:rPr>
                  <w:t>2.7.2. Povjerenstvo za Hrvatsku farmakopeju</w:t>
                </w:r>
                <w:r w:rsidR="00400391">
                  <w:rPr>
                    <w:noProof/>
                    <w:webHidden/>
                  </w:rPr>
                  <w:tab/>
                </w:r>
                <w:r w:rsidR="00400391">
                  <w:rPr>
                    <w:noProof/>
                    <w:webHidden/>
                  </w:rPr>
                  <w:fldChar w:fldCharType="begin"/>
                </w:r>
                <w:r w:rsidR="00400391">
                  <w:rPr>
                    <w:noProof/>
                    <w:webHidden/>
                  </w:rPr>
                  <w:instrText xml:space="preserve"> PAGEREF _Toc165035512 \h </w:instrText>
                </w:r>
                <w:r w:rsidR="00400391">
                  <w:rPr>
                    <w:noProof/>
                    <w:webHidden/>
                  </w:rPr>
                </w:r>
                <w:r w:rsidR="00400391">
                  <w:rPr>
                    <w:noProof/>
                    <w:webHidden/>
                  </w:rPr>
                  <w:fldChar w:fldCharType="separate"/>
                </w:r>
                <w:r w:rsidR="00C86676">
                  <w:rPr>
                    <w:noProof/>
                    <w:webHidden/>
                  </w:rPr>
                  <w:t>77</w:t>
                </w:r>
                <w:r w:rsidR="00400391">
                  <w:rPr>
                    <w:noProof/>
                    <w:webHidden/>
                  </w:rPr>
                  <w:fldChar w:fldCharType="end"/>
                </w:r>
              </w:hyperlink>
            </w:p>
            <w:p w14:paraId="2A2BC48A" w14:textId="519FA08E" w:rsidR="00400391" w:rsidRDefault="008B34CD">
              <w:pPr>
                <w:pStyle w:val="TOC3"/>
                <w:rPr>
                  <w:rFonts w:eastAsiaTheme="minorEastAsia" w:cstheme="minorBidi"/>
                  <w:noProof/>
                  <w:sz w:val="22"/>
                  <w:szCs w:val="22"/>
                  <w:lang w:eastAsia="hr-HR"/>
                </w:rPr>
              </w:pPr>
              <w:hyperlink w:anchor="_Toc165035513" w:history="1">
                <w:r w:rsidR="00400391" w:rsidRPr="00F12BDD">
                  <w:rPr>
                    <w:rStyle w:val="Hyperlink"/>
                    <w:noProof/>
                  </w:rPr>
                  <w:t>2.7.3. Radna grupa za normirane izraze</w:t>
                </w:r>
                <w:r w:rsidR="00400391">
                  <w:rPr>
                    <w:noProof/>
                    <w:webHidden/>
                  </w:rPr>
                  <w:tab/>
                </w:r>
                <w:r w:rsidR="00400391">
                  <w:rPr>
                    <w:noProof/>
                    <w:webHidden/>
                  </w:rPr>
                  <w:fldChar w:fldCharType="begin"/>
                </w:r>
                <w:r w:rsidR="00400391">
                  <w:rPr>
                    <w:noProof/>
                    <w:webHidden/>
                  </w:rPr>
                  <w:instrText xml:space="preserve"> PAGEREF _Toc165035513 \h </w:instrText>
                </w:r>
                <w:r w:rsidR="00400391">
                  <w:rPr>
                    <w:noProof/>
                    <w:webHidden/>
                  </w:rPr>
                </w:r>
                <w:r w:rsidR="00400391">
                  <w:rPr>
                    <w:noProof/>
                    <w:webHidden/>
                  </w:rPr>
                  <w:fldChar w:fldCharType="separate"/>
                </w:r>
                <w:r w:rsidR="00C86676">
                  <w:rPr>
                    <w:noProof/>
                    <w:webHidden/>
                  </w:rPr>
                  <w:t>77</w:t>
                </w:r>
                <w:r w:rsidR="00400391">
                  <w:rPr>
                    <w:noProof/>
                    <w:webHidden/>
                  </w:rPr>
                  <w:fldChar w:fldCharType="end"/>
                </w:r>
              </w:hyperlink>
            </w:p>
            <w:p w14:paraId="6C1FBE71" w14:textId="5581F3EB" w:rsidR="00400391" w:rsidRDefault="008B34CD">
              <w:pPr>
                <w:pStyle w:val="TOC3"/>
                <w:rPr>
                  <w:rFonts w:eastAsiaTheme="minorEastAsia" w:cstheme="minorBidi"/>
                  <w:noProof/>
                  <w:sz w:val="22"/>
                  <w:szCs w:val="22"/>
                  <w:lang w:eastAsia="hr-HR"/>
                </w:rPr>
              </w:pPr>
              <w:hyperlink w:anchor="_Toc165035514" w:history="1">
                <w:r w:rsidR="00400391" w:rsidRPr="00F12BDD">
                  <w:rPr>
                    <w:rStyle w:val="Hyperlink"/>
                    <w:noProof/>
                  </w:rPr>
                  <w:t>2.7.4. Europski poslovi</w:t>
                </w:r>
                <w:r w:rsidR="00400391">
                  <w:rPr>
                    <w:noProof/>
                    <w:webHidden/>
                  </w:rPr>
                  <w:tab/>
                </w:r>
                <w:r w:rsidR="00400391">
                  <w:rPr>
                    <w:noProof/>
                    <w:webHidden/>
                  </w:rPr>
                  <w:fldChar w:fldCharType="begin"/>
                </w:r>
                <w:r w:rsidR="00400391">
                  <w:rPr>
                    <w:noProof/>
                    <w:webHidden/>
                  </w:rPr>
                  <w:instrText xml:space="preserve"> PAGEREF _Toc165035514 \h </w:instrText>
                </w:r>
                <w:r w:rsidR="00400391">
                  <w:rPr>
                    <w:noProof/>
                    <w:webHidden/>
                  </w:rPr>
                </w:r>
                <w:r w:rsidR="00400391">
                  <w:rPr>
                    <w:noProof/>
                    <w:webHidden/>
                  </w:rPr>
                  <w:fldChar w:fldCharType="separate"/>
                </w:r>
                <w:r w:rsidR="00C86676">
                  <w:rPr>
                    <w:noProof/>
                    <w:webHidden/>
                  </w:rPr>
                  <w:t>77</w:t>
                </w:r>
                <w:r w:rsidR="00400391">
                  <w:rPr>
                    <w:noProof/>
                    <w:webHidden/>
                  </w:rPr>
                  <w:fldChar w:fldCharType="end"/>
                </w:r>
              </w:hyperlink>
            </w:p>
            <w:p w14:paraId="18D9ECDD" w14:textId="7E6EA210" w:rsidR="00400391" w:rsidRDefault="008B34CD">
              <w:pPr>
                <w:pStyle w:val="TOC3"/>
                <w:rPr>
                  <w:rFonts w:eastAsiaTheme="minorEastAsia" w:cstheme="minorBidi"/>
                  <w:noProof/>
                  <w:sz w:val="22"/>
                  <w:szCs w:val="22"/>
                  <w:lang w:eastAsia="hr-HR"/>
                </w:rPr>
              </w:pPr>
              <w:hyperlink w:anchor="_Toc165035515" w:history="1">
                <w:r w:rsidR="00400391" w:rsidRPr="00F12BDD">
                  <w:rPr>
                    <w:rStyle w:val="Hyperlink"/>
                    <w:noProof/>
                  </w:rPr>
                  <w:t>2.7.5. Izvršenja prihodovnih poslova</w:t>
                </w:r>
                <w:r w:rsidR="00400391">
                  <w:rPr>
                    <w:noProof/>
                    <w:webHidden/>
                  </w:rPr>
                  <w:tab/>
                </w:r>
                <w:r w:rsidR="00400391">
                  <w:rPr>
                    <w:noProof/>
                    <w:webHidden/>
                  </w:rPr>
                  <w:fldChar w:fldCharType="begin"/>
                </w:r>
                <w:r w:rsidR="00400391">
                  <w:rPr>
                    <w:noProof/>
                    <w:webHidden/>
                  </w:rPr>
                  <w:instrText xml:space="preserve"> PAGEREF _Toc165035515 \h </w:instrText>
                </w:r>
                <w:r w:rsidR="00400391">
                  <w:rPr>
                    <w:noProof/>
                    <w:webHidden/>
                  </w:rPr>
                </w:r>
                <w:r w:rsidR="00400391">
                  <w:rPr>
                    <w:noProof/>
                    <w:webHidden/>
                  </w:rPr>
                  <w:fldChar w:fldCharType="separate"/>
                </w:r>
                <w:r w:rsidR="00C86676">
                  <w:rPr>
                    <w:noProof/>
                    <w:webHidden/>
                  </w:rPr>
                  <w:t>78</w:t>
                </w:r>
                <w:r w:rsidR="00400391">
                  <w:rPr>
                    <w:noProof/>
                    <w:webHidden/>
                  </w:rPr>
                  <w:fldChar w:fldCharType="end"/>
                </w:r>
              </w:hyperlink>
            </w:p>
            <w:p w14:paraId="7B609ED7" w14:textId="07244384" w:rsidR="00400391" w:rsidRDefault="008B34CD">
              <w:pPr>
                <w:pStyle w:val="TOC3"/>
                <w:rPr>
                  <w:rFonts w:eastAsiaTheme="minorEastAsia" w:cstheme="minorBidi"/>
                  <w:noProof/>
                  <w:sz w:val="22"/>
                  <w:szCs w:val="22"/>
                  <w:lang w:eastAsia="hr-HR"/>
                </w:rPr>
              </w:pPr>
              <w:hyperlink w:anchor="_Toc165035516" w:history="1">
                <w:r w:rsidR="00400391" w:rsidRPr="00F12BDD">
                  <w:rPr>
                    <w:rStyle w:val="Hyperlink"/>
                    <w:noProof/>
                  </w:rPr>
                  <w:t>2.6.6. Izvršenja neprihodovnih poslova</w:t>
                </w:r>
                <w:r w:rsidR="00400391">
                  <w:rPr>
                    <w:noProof/>
                    <w:webHidden/>
                  </w:rPr>
                  <w:tab/>
                </w:r>
                <w:r w:rsidR="00400391">
                  <w:rPr>
                    <w:noProof/>
                    <w:webHidden/>
                  </w:rPr>
                  <w:fldChar w:fldCharType="begin"/>
                </w:r>
                <w:r w:rsidR="00400391">
                  <w:rPr>
                    <w:noProof/>
                    <w:webHidden/>
                  </w:rPr>
                  <w:instrText xml:space="preserve"> PAGEREF _Toc165035516 \h </w:instrText>
                </w:r>
                <w:r w:rsidR="00400391">
                  <w:rPr>
                    <w:noProof/>
                    <w:webHidden/>
                  </w:rPr>
                </w:r>
                <w:r w:rsidR="00400391">
                  <w:rPr>
                    <w:noProof/>
                    <w:webHidden/>
                  </w:rPr>
                  <w:fldChar w:fldCharType="separate"/>
                </w:r>
                <w:r w:rsidR="00C86676">
                  <w:rPr>
                    <w:noProof/>
                    <w:webHidden/>
                  </w:rPr>
                  <w:t>78</w:t>
                </w:r>
                <w:r w:rsidR="00400391">
                  <w:rPr>
                    <w:noProof/>
                    <w:webHidden/>
                  </w:rPr>
                  <w:fldChar w:fldCharType="end"/>
                </w:r>
              </w:hyperlink>
            </w:p>
            <w:p w14:paraId="44BAA607" w14:textId="2837FF52" w:rsidR="00400391" w:rsidRDefault="008B34CD">
              <w:pPr>
                <w:pStyle w:val="TOC2"/>
                <w:rPr>
                  <w:rFonts w:eastAsiaTheme="minorEastAsia" w:cstheme="minorBidi"/>
                  <w:iCs w:val="0"/>
                  <w:noProof/>
                  <w:sz w:val="22"/>
                  <w:szCs w:val="22"/>
                  <w:lang w:eastAsia="hr-HR"/>
                </w:rPr>
              </w:pPr>
              <w:hyperlink w:anchor="_Toc165035517" w:history="1">
                <w:r w:rsidR="00400391" w:rsidRPr="00F12BDD">
                  <w:rPr>
                    <w:rStyle w:val="Hyperlink"/>
                    <w:noProof/>
                  </w:rPr>
                  <w:t>2.8. Medicinski proizvodi</w:t>
                </w:r>
                <w:r w:rsidR="00400391">
                  <w:rPr>
                    <w:noProof/>
                    <w:webHidden/>
                  </w:rPr>
                  <w:tab/>
                </w:r>
                <w:r w:rsidR="00400391">
                  <w:rPr>
                    <w:noProof/>
                    <w:webHidden/>
                  </w:rPr>
                  <w:fldChar w:fldCharType="begin"/>
                </w:r>
                <w:r w:rsidR="00400391">
                  <w:rPr>
                    <w:noProof/>
                    <w:webHidden/>
                  </w:rPr>
                  <w:instrText xml:space="preserve"> PAGEREF _Toc165035517 \h </w:instrText>
                </w:r>
                <w:r w:rsidR="00400391">
                  <w:rPr>
                    <w:noProof/>
                    <w:webHidden/>
                  </w:rPr>
                </w:r>
                <w:r w:rsidR="00400391">
                  <w:rPr>
                    <w:noProof/>
                    <w:webHidden/>
                  </w:rPr>
                  <w:fldChar w:fldCharType="separate"/>
                </w:r>
                <w:r w:rsidR="00C86676">
                  <w:rPr>
                    <w:noProof/>
                    <w:webHidden/>
                  </w:rPr>
                  <w:t>80</w:t>
                </w:r>
                <w:r w:rsidR="00400391">
                  <w:rPr>
                    <w:noProof/>
                    <w:webHidden/>
                  </w:rPr>
                  <w:fldChar w:fldCharType="end"/>
                </w:r>
              </w:hyperlink>
            </w:p>
            <w:p w14:paraId="47802133" w14:textId="59822DDE" w:rsidR="00400391" w:rsidRDefault="008B34CD">
              <w:pPr>
                <w:pStyle w:val="TOC3"/>
                <w:rPr>
                  <w:rFonts w:eastAsiaTheme="minorEastAsia" w:cstheme="minorBidi"/>
                  <w:noProof/>
                  <w:sz w:val="22"/>
                  <w:szCs w:val="22"/>
                  <w:lang w:eastAsia="hr-HR"/>
                </w:rPr>
              </w:pPr>
              <w:hyperlink w:anchor="_Toc165035518" w:history="1">
                <w:r w:rsidR="00400391" w:rsidRPr="00F12BDD">
                  <w:rPr>
                    <w:rStyle w:val="Hyperlink"/>
                    <w:noProof/>
                  </w:rPr>
                  <w:t>2.8.1. Obavijesti o stavljanju medicinskog proizvoda u promet</w:t>
                </w:r>
                <w:r w:rsidR="00400391">
                  <w:rPr>
                    <w:noProof/>
                    <w:webHidden/>
                  </w:rPr>
                  <w:tab/>
                </w:r>
                <w:r w:rsidR="00400391">
                  <w:rPr>
                    <w:noProof/>
                    <w:webHidden/>
                  </w:rPr>
                  <w:fldChar w:fldCharType="begin"/>
                </w:r>
                <w:r w:rsidR="00400391">
                  <w:rPr>
                    <w:noProof/>
                    <w:webHidden/>
                  </w:rPr>
                  <w:instrText xml:space="preserve"> PAGEREF _Toc165035518 \h </w:instrText>
                </w:r>
                <w:r w:rsidR="00400391">
                  <w:rPr>
                    <w:noProof/>
                    <w:webHidden/>
                  </w:rPr>
                </w:r>
                <w:r w:rsidR="00400391">
                  <w:rPr>
                    <w:noProof/>
                    <w:webHidden/>
                  </w:rPr>
                  <w:fldChar w:fldCharType="separate"/>
                </w:r>
                <w:r w:rsidR="00C86676">
                  <w:rPr>
                    <w:noProof/>
                    <w:webHidden/>
                  </w:rPr>
                  <w:t>80</w:t>
                </w:r>
                <w:r w:rsidR="00400391">
                  <w:rPr>
                    <w:noProof/>
                    <w:webHidden/>
                  </w:rPr>
                  <w:fldChar w:fldCharType="end"/>
                </w:r>
              </w:hyperlink>
            </w:p>
            <w:p w14:paraId="19868662" w14:textId="4AEAAF40" w:rsidR="00400391" w:rsidRDefault="008B34CD">
              <w:pPr>
                <w:pStyle w:val="TOC3"/>
                <w:rPr>
                  <w:rFonts w:eastAsiaTheme="minorEastAsia" w:cstheme="minorBidi"/>
                  <w:noProof/>
                  <w:sz w:val="22"/>
                  <w:szCs w:val="22"/>
                  <w:lang w:eastAsia="hr-HR"/>
                </w:rPr>
              </w:pPr>
              <w:hyperlink w:anchor="_Toc165035519" w:history="1">
                <w:r w:rsidR="00400391" w:rsidRPr="00F12BDD">
                  <w:rPr>
                    <w:rStyle w:val="Hyperlink"/>
                    <w:noProof/>
                  </w:rPr>
                  <w:t>2.8.2. Dodjeljivanje jedinstvenog registracijskog broja gospodarskim subjektima</w:t>
                </w:r>
                <w:r w:rsidR="00400391">
                  <w:rPr>
                    <w:noProof/>
                    <w:webHidden/>
                  </w:rPr>
                  <w:tab/>
                </w:r>
                <w:r w:rsidR="00400391">
                  <w:rPr>
                    <w:noProof/>
                    <w:webHidden/>
                  </w:rPr>
                  <w:fldChar w:fldCharType="begin"/>
                </w:r>
                <w:r w:rsidR="00400391">
                  <w:rPr>
                    <w:noProof/>
                    <w:webHidden/>
                  </w:rPr>
                  <w:instrText xml:space="preserve"> PAGEREF _Toc165035519 \h </w:instrText>
                </w:r>
                <w:r w:rsidR="00400391">
                  <w:rPr>
                    <w:noProof/>
                    <w:webHidden/>
                  </w:rPr>
                </w:r>
                <w:r w:rsidR="00400391">
                  <w:rPr>
                    <w:noProof/>
                    <w:webHidden/>
                  </w:rPr>
                  <w:fldChar w:fldCharType="separate"/>
                </w:r>
                <w:r w:rsidR="00C86676">
                  <w:rPr>
                    <w:noProof/>
                    <w:webHidden/>
                  </w:rPr>
                  <w:t>81</w:t>
                </w:r>
                <w:r w:rsidR="00400391">
                  <w:rPr>
                    <w:noProof/>
                    <w:webHidden/>
                  </w:rPr>
                  <w:fldChar w:fldCharType="end"/>
                </w:r>
              </w:hyperlink>
            </w:p>
            <w:p w14:paraId="58DE23CF" w14:textId="6F901FB6" w:rsidR="00400391" w:rsidRDefault="008B34CD">
              <w:pPr>
                <w:pStyle w:val="TOC3"/>
                <w:rPr>
                  <w:rFonts w:eastAsiaTheme="minorEastAsia" w:cstheme="minorBidi"/>
                  <w:noProof/>
                  <w:sz w:val="22"/>
                  <w:szCs w:val="22"/>
                  <w:lang w:eastAsia="hr-HR"/>
                </w:rPr>
              </w:pPr>
              <w:hyperlink w:anchor="_Toc165035520" w:history="1">
                <w:r w:rsidR="00400391" w:rsidRPr="00F12BDD">
                  <w:rPr>
                    <w:rStyle w:val="Hyperlink"/>
                    <w:noProof/>
                  </w:rPr>
                  <w:t>2.8.3. Rješavanje o sporovima o razvrstavanju medicinskih proizvoda</w:t>
                </w:r>
                <w:r w:rsidR="00400391">
                  <w:rPr>
                    <w:noProof/>
                    <w:webHidden/>
                  </w:rPr>
                  <w:tab/>
                </w:r>
                <w:r w:rsidR="00400391">
                  <w:rPr>
                    <w:noProof/>
                    <w:webHidden/>
                  </w:rPr>
                  <w:fldChar w:fldCharType="begin"/>
                </w:r>
                <w:r w:rsidR="00400391">
                  <w:rPr>
                    <w:noProof/>
                    <w:webHidden/>
                  </w:rPr>
                  <w:instrText xml:space="preserve"> PAGEREF _Toc165035520 \h </w:instrText>
                </w:r>
                <w:r w:rsidR="00400391">
                  <w:rPr>
                    <w:noProof/>
                    <w:webHidden/>
                  </w:rPr>
                </w:r>
                <w:r w:rsidR="00400391">
                  <w:rPr>
                    <w:noProof/>
                    <w:webHidden/>
                  </w:rPr>
                  <w:fldChar w:fldCharType="separate"/>
                </w:r>
                <w:r w:rsidR="00C86676">
                  <w:rPr>
                    <w:noProof/>
                    <w:webHidden/>
                  </w:rPr>
                  <w:t>81</w:t>
                </w:r>
                <w:r w:rsidR="00400391">
                  <w:rPr>
                    <w:noProof/>
                    <w:webHidden/>
                  </w:rPr>
                  <w:fldChar w:fldCharType="end"/>
                </w:r>
              </w:hyperlink>
            </w:p>
            <w:p w14:paraId="5D109D9B" w14:textId="11F92E3F" w:rsidR="00400391" w:rsidRDefault="008B34CD">
              <w:pPr>
                <w:pStyle w:val="TOC3"/>
                <w:rPr>
                  <w:rFonts w:eastAsiaTheme="minorEastAsia" w:cstheme="minorBidi"/>
                  <w:noProof/>
                  <w:sz w:val="22"/>
                  <w:szCs w:val="22"/>
                  <w:lang w:eastAsia="hr-HR"/>
                </w:rPr>
              </w:pPr>
              <w:hyperlink w:anchor="_Toc165035521" w:history="1">
                <w:r w:rsidR="00400391" w:rsidRPr="00F12BDD">
                  <w:rPr>
                    <w:rStyle w:val="Hyperlink"/>
                    <w:noProof/>
                  </w:rPr>
                  <w:t>2.8.4. Odobravanje medicinskih proizvoda - Odstupanje od postupaka ocjenjivanja sukladnosti</w:t>
                </w:r>
                <w:r w:rsidR="00400391">
                  <w:rPr>
                    <w:noProof/>
                    <w:webHidden/>
                  </w:rPr>
                  <w:tab/>
                </w:r>
                <w:r w:rsidR="00400391">
                  <w:rPr>
                    <w:noProof/>
                    <w:webHidden/>
                  </w:rPr>
                  <w:fldChar w:fldCharType="begin"/>
                </w:r>
                <w:r w:rsidR="00400391">
                  <w:rPr>
                    <w:noProof/>
                    <w:webHidden/>
                  </w:rPr>
                  <w:instrText xml:space="preserve"> PAGEREF _Toc165035521 \h </w:instrText>
                </w:r>
                <w:r w:rsidR="00400391">
                  <w:rPr>
                    <w:noProof/>
                    <w:webHidden/>
                  </w:rPr>
                </w:r>
                <w:r w:rsidR="00400391">
                  <w:rPr>
                    <w:noProof/>
                    <w:webHidden/>
                  </w:rPr>
                  <w:fldChar w:fldCharType="separate"/>
                </w:r>
                <w:r w:rsidR="00C86676">
                  <w:rPr>
                    <w:noProof/>
                    <w:webHidden/>
                  </w:rPr>
                  <w:t>81</w:t>
                </w:r>
                <w:r w:rsidR="00400391">
                  <w:rPr>
                    <w:noProof/>
                    <w:webHidden/>
                  </w:rPr>
                  <w:fldChar w:fldCharType="end"/>
                </w:r>
              </w:hyperlink>
            </w:p>
            <w:p w14:paraId="617B223E" w14:textId="244C2E9A" w:rsidR="00400391" w:rsidRDefault="008B34CD">
              <w:pPr>
                <w:pStyle w:val="TOC3"/>
                <w:rPr>
                  <w:rFonts w:eastAsiaTheme="minorEastAsia" w:cstheme="minorBidi"/>
                  <w:noProof/>
                  <w:sz w:val="22"/>
                  <w:szCs w:val="22"/>
                  <w:lang w:eastAsia="hr-HR"/>
                </w:rPr>
              </w:pPr>
              <w:hyperlink w:anchor="_Toc165035522" w:history="1">
                <w:r w:rsidR="00400391" w:rsidRPr="00F12BDD">
                  <w:rPr>
                    <w:rStyle w:val="Hyperlink"/>
                    <w:noProof/>
                  </w:rPr>
                  <w:t>2.8.5. Vigilancija medicinskih proizvoda</w:t>
                </w:r>
                <w:r w:rsidR="00400391">
                  <w:rPr>
                    <w:noProof/>
                    <w:webHidden/>
                  </w:rPr>
                  <w:tab/>
                </w:r>
                <w:r w:rsidR="00400391">
                  <w:rPr>
                    <w:noProof/>
                    <w:webHidden/>
                  </w:rPr>
                  <w:fldChar w:fldCharType="begin"/>
                </w:r>
                <w:r w:rsidR="00400391">
                  <w:rPr>
                    <w:noProof/>
                    <w:webHidden/>
                  </w:rPr>
                  <w:instrText xml:space="preserve"> PAGEREF _Toc165035522 \h </w:instrText>
                </w:r>
                <w:r w:rsidR="00400391">
                  <w:rPr>
                    <w:noProof/>
                    <w:webHidden/>
                  </w:rPr>
                </w:r>
                <w:r w:rsidR="00400391">
                  <w:rPr>
                    <w:noProof/>
                    <w:webHidden/>
                  </w:rPr>
                  <w:fldChar w:fldCharType="separate"/>
                </w:r>
                <w:r w:rsidR="00C86676">
                  <w:rPr>
                    <w:noProof/>
                    <w:webHidden/>
                  </w:rPr>
                  <w:t>81</w:t>
                </w:r>
                <w:r w:rsidR="00400391">
                  <w:rPr>
                    <w:noProof/>
                    <w:webHidden/>
                  </w:rPr>
                  <w:fldChar w:fldCharType="end"/>
                </w:r>
              </w:hyperlink>
            </w:p>
            <w:p w14:paraId="4BDD83AF" w14:textId="58917134" w:rsidR="00400391" w:rsidRDefault="008B34CD">
              <w:pPr>
                <w:pStyle w:val="TOC3"/>
                <w:rPr>
                  <w:rFonts w:eastAsiaTheme="minorEastAsia" w:cstheme="minorBidi"/>
                  <w:noProof/>
                  <w:sz w:val="22"/>
                  <w:szCs w:val="22"/>
                  <w:lang w:eastAsia="hr-HR"/>
                </w:rPr>
              </w:pPr>
              <w:hyperlink w:anchor="_Toc165035523" w:history="1">
                <w:r w:rsidR="00400391" w:rsidRPr="00F12BDD">
                  <w:rPr>
                    <w:rStyle w:val="Hyperlink"/>
                    <w:noProof/>
                  </w:rPr>
                  <w:t>2.8.6. Izvješće o radu HALMED-a u povjerenstvima i radnim skupinama EK-a</w:t>
                </w:r>
                <w:r w:rsidR="00400391">
                  <w:rPr>
                    <w:noProof/>
                    <w:webHidden/>
                  </w:rPr>
                  <w:tab/>
                </w:r>
                <w:r w:rsidR="00400391">
                  <w:rPr>
                    <w:noProof/>
                    <w:webHidden/>
                  </w:rPr>
                  <w:fldChar w:fldCharType="begin"/>
                </w:r>
                <w:r w:rsidR="00400391">
                  <w:rPr>
                    <w:noProof/>
                    <w:webHidden/>
                  </w:rPr>
                  <w:instrText xml:space="preserve"> PAGEREF _Toc165035523 \h </w:instrText>
                </w:r>
                <w:r w:rsidR="00400391">
                  <w:rPr>
                    <w:noProof/>
                    <w:webHidden/>
                  </w:rPr>
                </w:r>
                <w:r w:rsidR="00400391">
                  <w:rPr>
                    <w:noProof/>
                    <w:webHidden/>
                  </w:rPr>
                  <w:fldChar w:fldCharType="separate"/>
                </w:r>
                <w:r w:rsidR="00C86676">
                  <w:rPr>
                    <w:noProof/>
                    <w:webHidden/>
                  </w:rPr>
                  <w:t>83</w:t>
                </w:r>
                <w:r w:rsidR="00400391">
                  <w:rPr>
                    <w:noProof/>
                    <w:webHidden/>
                  </w:rPr>
                  <w:fldChar w:fldCharType="end"/>
                </w:r>
              </w:hyperlink>
            </w:p>
            <w:p w14:paraId="0C119E47" w14:textId="3E53E570" w:rsidR="00400391" w:rsidRDefault="008B34CD">
              <w:pPr>
                <w:pStyle w:val="TOC3"/>
                <w:rPr>
                  <w:rFonts w:eastAsiaTheme="minorEastAsia" w:cstheme="minorBidi"/>
                  <w:noProof/>
                  <w:sz w:val="22"/>
                  <w:szCs w:val="22"/>
                  <w:lang w:eastAsia="hr-HR"/>
                </w:rPr>
              </w:pPr>
              <w:hyperlink w:anchor="_Toc165035524" w:history="1">
                <w:r w:rsidR="00400391" w:rsidRPr="00F12BDD">
                  <w:rPr>
                    <w:rStyle w:val="Hyperlink"/>
                    <w:noProof/>
                  </w:rPr>
                  <w:t>2.8.7. Izvršenje prihodovnih poslova</w:t>
                </w:r>
                <w:r w:rsidR="00400391">
                  <w:rPr>
                    <w:noProof/>
                    <w:webHidden/>
                  </w:rPr>
                  <w:tab/>
                </w:r>
                <w:r w:rsidR="00400391">
                  <w:rPr>
                    <w:noProof/>
                    <w:webHidden/>
                  </w:rPr>
                  <w:fldChar w:fldCharType="begin"/>
                </w:r>
                <w:r w:rsidR="00400391">
                  <w:rPr>
                    <w:noProof/>
                    <w:webHidden/>
                  </w:rPr>
                  <w:instrText xml:space="preserve"> PAGEREF _Toc165035524 \h </w:instrText>
                </w:r>
                <w:r w:rsidR="00400391">
                  <w:rPr>
                    <w:noProof/>
                    <w:webHidden/>
                  </w:rPr>
                </w:r>
                <w:r w:rsidR="00400391">
                  <w:rPr>
                    <w:noProof/>
                    <w:webHidden/>
                  </w:rPr>
                  <w:fldChar w:fldCharType="separate"/>
                </w:r>
                <w:r w:rsidR="00C86676">
                  <w:rPr>
                    <w:noProof/>
                    <w:webHidden/>
                  </w:rPr>
                  <w:t>87</w:t>
                </w:r>
                <w:r w:rsidR="00400391">
                  <w:rPr>
                    <w:noProof/>
                    <w:webHidden/>
                  </w:rPr>
                  <w:fldChar w:fldCharType="end"/>
                </w:r>
              </w:hyperlink>
            </w:p>
            <w:p w14:paraId="1AF1CB22" w14:textId="16734D1F" w:rsidR="00400391" w:rsidRDefault="008B34CD">
              <w:pPr>
                <w:pStyle w:val="TOC3"/>
                <w:rPr>
                  <w:rFonts w:eastAsiaTheme="minorEastAsia" w:cstheme="minorBidi"/>
                  <w:noProof/>
                  <w:sz w:val="22"/>
                  <w:szCs w:val="22"/>
                  <w:lang w:eastAsia="hr-HR"/>
                </w:rPr>
              </w:pPr>
              <w:hyperlink w:anchor="_Toc165035525" w:history="1">
                <w:r w:rsidR="00400391" w:rsidRPr="00F12BDD">
                  <w:rPr>
                    <w:rStyle w:val="Hyperlink"/>
                    <w:noProof/>
                  </w:rPr>
                  <w:t>2.8.8. Izvršenje neprihodovnih poslova</w:t>
                </w:r>
                <w:r w:rsidR="00400391">
                  <w:rPr>
                    <w:noProof/>
                    <w:webHidden/>
                  </w:rPr>
                  <w:tab/>
                </w:r>
                <w:r w:rsidR="00400391">
                  <w:rPr>
                    <w:noProof/>
                    <w:webHidden/>
                  </w:rPr>
                  <w:fldChar w:fldCharType="begin"/>
                </w:r>
                <w:r w:rsidR="00400391">
                  <w:rPr>
                    <w:noProof/>
                    <w:webHidden/>
                  </w:rPr>
                  <w:instrText xml:space="preserve"> PAGEREF _Toc165035525 \h </w:instrText>
                </w:r>
                <w:r w:rsidR="00400391">
                  <w:rPr>
                    <w:noProof/>
                    <w:webHidden/>
                  </w:rPr>
                </w:r>
                <w:r w:rsidR="00400391">
                  <w:rPr>
                    <w:noProof/>
                    <w:webHidden/>
                  </w:rPr>
                  <w:fldChar w:fldCharType="separate"/>
                </w:r>
                <w:r w:rsidR="00C86676">
                  <w:rPr>
                    <w:noProof/>
                    <w:webHidden/>
                  </w:rPr>
                  <w:t>89</w:t>
                </w:r>
                <w:r w:rsidR="00400391">
                  <w:rPr>
                    <w:noProof/>
                    <w:webHidden/>
                  </w:rPr>
                  <w:fldChar w:fldCharType="end"/>
                </w:r>
              </w:hyperlink>
            </w:p>
            <w:p w14:paraId="490A99D0" w14:textId="39D4CF94" w:rsidR="00400391" w:rsidRDefault="008B34CD">
              <w:pPr>
                <w:pStyle w:val="TOC2"/>
                <w:rPr>
                  <w:rFonts w:eastAsiaTheme="minorEastAsia" w:cstheme="minorBidi"/>
                  <w:iCs w:val="0"/>
                  <w:noProof/>
                  <w:sz w:val="22"/>
                  <w:szCs w:val="22"/>
                  <w:lang w:eastAsia="hr-HR"/>
                </w:rPr>
              </w:pPr>
              <w:hyperlink w:anchor="_Toc165035526" w:history="1">
                <w:r w:rsidR="00400391" w:rsidRPr="00F12BDD">
                  <w:rPr>
                    <w:rStyle w:val="Hyperlink"/>
                    <w:rFonts w:eastAsiaTheme="majorEastAsia"/>
                    <w:bCs/>
                    <w:noProof/>
                  </w:rPr>
                  <w:t>2.9. Klinička ispitivanja</w:t>
                </w:r>
                <w:r w:rsidR="00400391">
                  <w:rPr>
                    <w:noProof/>
                    <w:webHidden/>
                  </w:rPr>
                  <w:tab/>
                </w:r>
                <w:r w:rsidR="00400391">
                  <w:rPr>
                    <w:noProof/>
                    <w:webHidden/>
                  </w:rPr>
                  <w:fldChar w:fldCharType="begin"/>
                </w:r>
                <w:r w:rsidR="00400391">
                  <w:rPr>
                    <w:noProof/>
                    <w:webHidden/>
                  </w:rPr>
                  <w:instrText xml:space="preserve"> PAGEREF _Toc165035526 \h </w:instrText>
                </w:r>
                <w:r w:rsidR="00400391">
                  <w:rPr>
                    <w:noProof/>
                    <w:webHidden/>
                  </w:rPr>
                </w:r>
                <w:r w:rsidR="00400391">
                  <w:rPr>
                    <w:noProof/>
                    <w:webHidden/>
                  </w:rPr>
                  <w:fldChar w:fldCharType="separate"/>
                </w:r>
                <w:r w:rsidR="00C86676">
                  <w:rPr>
                    <w:noProof/>
                    <w:webHidden/>
                  </w:rPr>
                  <w:t>91</w:t>
                </w:r>
                <w:r w:rsidR="00400391">
                  <w:rPr>
                    <w:noProof/>
                    <w:webHidden/>
                  </w:rPr>
                  <w:fldChar w:fldCharType="end"/>
                </w:r>
              </w:hyperlink>
            </w:p>
            <w:p w14:paraId="36BB9ED3" w14:textId="1F894137" w:rsidR="00400391" w:rsidRDefault="008B34CD">
              <w:pPr>
                <w:pStyle w:val="TOC3"/>
                <w:rPr>
                  <w:rFonts w:eastAsiaTheme="minorEastAsia" w:cstheme="minorBidi"/>
                  <w:noProof/>
                  <w:sz w:val="22"/>
                  <w:szCs w:val="22"/>
                  <w:lang w:eastAsia="hr-HR"/>
                </w:rPr>
              </w:pPr>
              <w:hyperlink w:anchor="_Toc165035527" w:history="1">
                <w:r w:rsidR="00400391" w:rsidRPr="00F12BDD">
                  <w:rPr>
                    <w:rStyle w:val="Hyperlink"/>
                    <w:rFonts w:eastAsiaTheme="majorEastAsia"/>
                    <w:bCs/>
                    <w:noProof/>
                  </w:rPr>
                  <w:t>2.9.1. Središnje etičko povjerenstvo (SEP)</w:t>
                </w:r>
                <w:r w:rsidR="00400391">
                  <w:rPr>
                    <w:noProof/>
                    <w:webHidden/>
                  </w:rPr>
                  <w:tab/>
                </w:r>
                <w:r w:rsidR="00400391">
                  <w:rPr>
                    <w:noProof/>
                    <w:webHidden/>
                  </w:rPr>
                  <w:fldChar w:fldCharType="begin"/>
                </w:r>
                <w:r w:rsidR="00400391">
                  <w:rPr>
                    <w:noProof/>
                    <w:webHidden/>
                  </w:rPr>
                  <w:instrText xml:space="preserve"> PAGEREF _Toc165035527 \h </w:instrText>
                </w:r>
                <w:r w:rsidR="00400391">
                  <w:rPr>
                    <w:noProof/>
                    <w:webHidden/>
                  </w:rPr>
                </w:r>
                <w:r w:rsidR="00400391">
                  <w:rPr>
                    <w:noProof/>
                    <w:webHidden/>
                  </w:rPr>
                  <w:fldChar w:fldCharType="separate"/>
                </w:r>
                <w:r w:rsidR="00C86676">
                  <w:rPr>
                    <w:noProof/>
                    <w:webHidden/>
                  </w:rPr>
                  <w:t>91</w:t>
                </w:r>
                <w:r w:rsidR="00400391">
                  <w:rPr>
                    <w:noProof/>
                    <w:webHidden/>
                  </w:rPr>
                  <w:fldChar w:fldCharType="end"/>
                </w:r>
              </w:hyperlink>
            </w:p>
            <w:p w14:paraId="56C8CB75" w14:textId="2820A38F" w:rsidR="00400391" w:rsidRDefault="008B34CD">
              <w:pPr>
                <w:pStyle w:val="TOC3"/>
                <w:rPr>
                  <w:rFonts w:eastAsiaTheme="minorEastAsia" w:cstheme="minorBidi"/>
                  <w:noProof/>
                  <w:sz w:val="22"/>
                  <w:szCs w:val="22"/>
                  <w:lang w:eastAsia="hr-HR"/>
                </w:rPr>
              </w:pPr>
              <w:hyperlink w:anchor="_Toc165035528" w:history="1">
                <w:r w:rsidR="00400391" w:rsidRPr="00F12BDD">
                  <w:rPr>
                    <w:rStyle w:val="Hyperlink"/>
                    <w:rFonts w:eastAsiaTheme="majorEastAsia"/>
                    <w:bCs/>
                    <w:noProof/>
                  </w:rPr>
                  <w:t>2.9.2. Izvršenje prihodovnih usluga</w:t>
                </w:r>
                <w:r w:rsidR="00400391">
                  <w:rPr>
                    <w:noProof/>
                    <w:webHidden/>
                  </w:rPr>
                  <w:tab/>
                </w:r>
                <w:r w:rsidR="00400391">
                  <w:rPr>
                    <w:noProof/>
                    <w:webHidden/>
                  </w:rPr>
                  <w:fldChar w:fldCharType="begin"/>
                </w:r>
                <w:r w:rsidR="00400391">
                  <w:rPr>
                    <w:noProof/>
                    <w:webHidden/>
                  </w:rPr>
                  <w:instrText xml:space="preserve"> PAGEREF _Toc165035528 \h </w:instrText>
                </w:r>
                <w:r w:rsidR="00400391">
                  <w:rPr>
                    <w:noProof/>
                    <w:webHidden/>
                  </w:rPr>
                </w:r>
                <w:r w:rsidR="00400391">
                  <w:rPr>
                    <w:noProof/>
                    <w:webHidden/>
                  </w:rPr>
                  <w:fldChar w:fldCharType="separate"/>
                </w:r>
                <w:r w:rsidR="00C86676">
                  <w:rPr>
                    <w:noProof/>
                    <w:webHidden/>
                  </w:rPr>
                  <w:t>92</w:t>
                </w:r>
                <w:r w:rsidR="00400391">
                  <w:rPr>
                    <w:noProof/>
                    <w:webHidden/>
                  </w:rPr>
                  <w:fldChar w:fldCharType="end"/>
                </w:r>
              </w:hyperlink>
            </w:p>
            <w:p w14:paraId="70323A4B" w14:textId="43B861B6" w:rsidR="00400391" w:rsidRDefault="008B34CD">
              <w:pPr>
                <w:pStyle w:val="TOC2"/>
                <w:rPr>
                  <w:rFonts w:eastAsiaTheme="minorEastAsia" w:cstheme="minorBidi"/>
                  <w:iCs w:val="0"/>
                  <w:noProof/>
                  <w:sz w:val="22"/>
                  <w:szCs w:val="22"/>
                  <w:lang w:eastAsia="hr-HR"/>
                </w:rPr>
              </w:pPr>
              <w:hyperlink w:anchor="_Toc165035529" w:history="1">
                <w:r w:rsidR="00400391" w:rsidRPr="00F12BDD">
                  <w:rPr>
                    <w:rStyle w:val="Hyperlink"/>
                    <w:noProof/>
                  </w:rPr>
                  <w:t>2.10. Informiranje, edukacije i pružanje stručnih savjeta iz područja djelatnosti</w:t>
                </w:r>
                <w:r w:rsidR="00400391">
                  <w:rPr>
                    <w:noProof/>
                    <w:webHidden/>
                  </w:rPr>
                  <w:tab/>
                </w:r>
                <w:r w:rsidR="00400391">
                  <w:rPr>
                    <w:noProof/>
                    <w:webHidden/>
                  </w:rPr>
                  <w:fldChar w:fldCharType="begin"/>
                </w:r>
                <w:r w:rsidR="00400391">
                  <w:rPr>
                    <w:noProof/>
                    <w:webHidden/>
                  </w:rPr>
                  <w:instrText xml:space="preserve"> PAGEREF _Toc165035529 \h </w:instrText>
                </w:r>
                <w:r w:rsidR="00400391">
                  <w:rPr>
                    <w:noProof/>
                    <w:webHidden/>
                  </w:rPr>
                </w:r>
                <w:r w:rsidR="00400391">
                  <w:rPr>
                    <w:noProof/>
                    <w:webHidden/>
                  </w:rPr>
                  <w:fldChar w:fldCharType="separate"/>
                </w:r>
                <w:r w:rsidR="00C86676">
                  <w:rPr>
                    <w:noProof/>
                    <w:webHidden/>
                  </w:rPr>
                  <w:t>94</w:t>
                </w:r>
                <w:r w:rsidR="00400391">
                  <w:rPr>
                    <w:noProof/>
                    <w:webHidden/>
                  </w:rPr>
                  <w:fldChar w:fldCharType="end"/>
                </w:r>
              </w:hyperlink>
            </w:p>
            <w:p w14:paraId="51F33393" w14:textId="16EB3E40" w:rsidR="00400391" w:rsidRDefault="008B34CD">
              <w:pPr>
                <w:pStyle w:val="TOC3"/>
                <w:rPr>
                  <w:rFonts w:eastAsiaTheme="minorEastAsia" w:cstheme="minorBidi"/>
                  <w:noProof/>
                  <w:sz w:val="22"/>
                  <w:szCs w:val="22"/>
                  <w:lang w:eastAsia="hr-HR"/>
                </w:rPr>
              </w:pPr>
              <w:hyperlink w:anchor="_Toc165035530" w:history="1">
                <w:r w:rsidR="00400391" w:rsidRPr="00F12BDD">
                  <w:rPr>
                    <w:rStyle w:val="Hyperlink"/>
                    <w:noProof/>
                  </w:rPr>
                  <w:t>2.10.1. Poslovi informiranja javnosti</w:t>
                </w:r>
                <w:r w:rsidR="00400391">
                  <w:rPr>
                    <w:noProof/>
                    <w:webHidden/>
                  </w:rPr>
                  <w:tab/>
                </w:r>
                <w:r w:rsidR="00400391">
                  <w:rPr>
                    <w:noProof/>
                    <w:webHidden/>
                  </w:rPr>
                  <w:fldChar w:fldCharType="begin"/>
                </w:r>
                <w:r w:rsidR="00400391">
                  <w:rPr>
                    <w:noProof/>
                    <w:webHidden/>
                  </w:rPr>
                  <w:instrText xml:space="preserve"> PAGEREF _Toc165035530 \h </w:instrText>
                </w:r>
                <w:r w:rsidR="00400391">
                  <w:rPr>
                    <w:noProof/>
                    <w:webHidden/>
                  </w:rPr>
                </w:r>
                <w:r w:rsidR="00400391">
                  <w:rPr>
                    <w:noProof/>
                    <w:webHidden/>
                  </w:rPr>
                  <w:fldChar w:fldCharType="separate"/>
                </w:r>
                <w:r w:rsidR="00C86676">
                  <w:rPr>
                    <w:noProof/>
                    <w:webHidden/>
                  </w:rPr>
                  <w:t>94</w:t>
                </w:r>
                <w:r w:rsidR="00400391">
                  <w:rPr>
                    <w:noProof/>
                    <w:webHidden/>
                  </w:rPr>
                  <w:fldChar w:fldCharType="end"/>
                </w:r>
              </w:hyperlink>
            </w:p>
            <w:p w14:paraId="7A0E70A1" w14:textId="2E5B4562" w:rsidR="00400391" w:rsidRDefault="008B34CD">
              <w:pPr>
                <w:pStyle w:val="TOC3"/>
                <w:rPr>
                  <w:rFonts w:eastAsiaTheme="minorEastAsia" w:cstheme="minorBidi"/>
                  <w:noProof/>
                  <w:sz w:val="22"/>
                  <w:szCs w:val="22"/>
                  <w:lang w:eastAsia="hr-HR"/>
                </w:rPr>
              </w:pPr>
              <w:hyperlink w:anchor="_Toc165035531" w:history="1">
                <w:r w:rsidR="00400391" w:rsidRPr="00F12BDD">
                  <w:rPr>
                    <w:rStyle w:val="Hyperlink"/>
                    <w:noProof/>
                  </w:rPr>
                  <w:t>2.10.2. Poslovi interne komunikacije</w:t>
                </w:r>
                <w:r w:rsidR="00400391">
                  <w:rPr>
                    <w:noProof/>
                    <w:webHidden/>
                  </w:rPr>
                  <w:tab/>
                </w:r>
                <w:r w:rsidR="00400391">
                  <w:rPr>
                    <w:noProof/>
                    <w:webHidden/>
                  </w:rPr>
                  <w:fldChar w:fldCharType="begin"/>
                </w:r>
                <w:r w:rsidR="00400391">
                  <w:rPr>
                    <w:noProof/>
                    <w:webHidden/>
                  </w:rPr>
                  <w:instrText xml:space="preserve"> PAGEREF _Toc165035531 \h </w:instrText>
                </w:r>
                <w:r w:rsidR="00400391">
                  <w:rPr>
                    <w:noProof/>
                    <w:webHidden/>
                  </w:rPr>
                </w:r>
                <w:r w:rsidR="00400391">
                  <w:rPr>
                    <w:noProof/>
                    <w:webHidden/>
                  </w:rPr>
                  <w:fldChar w:fldCharType="separate"/>
                </w:r>
                <w:r w:rsidR="00C86676">
                  <w:rPr>
                    <w:noProof/>
                    <w:webHidden/>
                  </w:rPr>
                  <w:t>96</w:t>
                </w:r>
                <w:r w:rsidR="00400391">
                  <w:rPr>
                    <w:noProof/>
                    <w:webHidden/>
                  </w:rPr>
                  <w:fldChar w:fldCharType="end"/>
                </w:r>
              </w:hyperlink>
            </w:p>
            <w:p w14:paraId="1703D5B7" w14:textId="49C198BF" w:rsidR="00400391" w:rsidRDefault="008B34CD">
              <w:pPr>
                <w:pStyle w:val="TOC3"/>
                <w:rPr>
                  <w:rFonts w:eastAsiaTheme="minorEastAsia" w:cstheme="minorBidi"/>
                  <w:noProof/>
                  <w:sz w:val="22"/>
                  <w:szCs w:val="22"/>
                  <w:lang w:eastAsia="hr-HR"/>
                </w:rPr>
              </w:pPr>
              <w:hyperlink w:anchor="_Toc165035532" w:history="1">
                <w:r w:rsidR="00400391" w:rsidRPr="00F12BDD">
                  <w:rPr>
                    <w:rStyle w:val="Hyperlink"/>
                    <w:noProof/>
                  </w:rPr>
                  <w:t>2.10.3. Stručna događanja i edukacije koje provodi HALMED</w:t>
                </w:r>
                <w:r w:rsidR="00400391">
                  <w:rPr>
                    <w:noProof/>
                    <w:webHidden/>
                  </w:rPr>
                  <w:tab/>
                </w:r>
                <w:r w:rsidR="00400391">
                  <w:rPr>
                    <w:noProof/>
                    <w:webHidden/>
                  </w:rPr>
                  <w:fldChar w:fldCharType="begin"/>
                </w:r>
                <w:r w:rsidR="00400391">
                  <w:rPr>
                    <w:noProof/>
                    <w:webHidden/>
                  </w:rPr>
                  <w:instrText xml:space="preserve"> PAGEREF _Toc165035532 \h </w:instrText>
                </w:r>
                <w:r w:rsidR="00400391">
                  <w:rPr>
                    <w:noProof/>
                    <w:webHidden/>
                  </w:rPr>
                </w:r>
                <w:r w:rsidR="00400391">
                  <w:rPr>
                    <w:noProof/>
                    <w:webHidden/>
                  </w:rPr>
                  <w:fldChar w:fldCharType="separate"/>
                </w:r>
                <w:r w:rsidR="00C86676">
                  <w:rPr>
                    <w:noProof/>
                    <w:webHidden/>
                  </w:rPr>
                  <w:t>96</w:t>
                </w:r>
                <w:r w:rsidR="00400391">
                  <w:rPr>
                    <w:noProof/>
                    <w:webHidden/>
                  </w:rPr>
                  <w:fldChar w:fldCharType="end"/>
                </w:r>
              </w:hyperlink>
            </w:p>
            <w:p w14:paraId="092A7F76" w14:textId="5CDC6C31" w:rsidR="00400391" w:rsidRDefault="008B34CD">
              <w:pPr>
                <w:pStyle w:val="TOC3"/>
                <w:rPr>
                  <w:rFonts w:eastAsiaTheme="minorEastAsia" w:cstheme="minorBidi"/>
                  <w:noProof/>
                  <w:sz w:val="22"/>
                  <w:szCs w:val="22"/>
                  <w:lang w:eastAsia="hr-HR"/>
                </w:rPr>
              </w:pPr>
              <w:hyperlink w:anchor="_Toc165035533" w:history="1">
                <w:r w:rsidR="00400391" w:rsidRPr="00F12BDD">
                  <w:rPr>
                    <w:rStyle w:val="Hyperlink"/>
                    <w:noProof/>
                  </w:rPr>
                  <w:t>2.10.4. Europski poslovi</w:t>
                </w:r>
                <w:r w:rsidR="00400391">
                  <w:rPr>
                    <w:noProof/>
                    <w:webHidden/>
                  </w:rPr>
                  <w:tab/>
                </w:r>
                <w:r w:rsidR="00400391">
                  <w:rPr>
                    <w:noProof/>
                    <w:webHidden/>
                  </w:rPr>
                  <w:fldChar w:fldCharType="begin"/>
                </w:r>
                <w:r w:rsidR="00400391">
                  <w:rPr>
                    <w:noProof/>
                    <w:webHidden/>
                  </w:rPr>
                  <w:instrText xml:space="preserve"> PAGEREF _Toc165035533 \h </w:instrText>
                </w:r>
                <w:r w:rsidR="00400391">
                  <w:rPr>
                    <w:noProof/>
                    <w:webHidden/>
                  </w:rPr>
                </w:r>
                <w:r w:rsidR="00400391">
                  <w:rPr>
                    <w:noProof/>
                    <w:webHidden/>
                  </w:rPr>
                  <w:fldChar w:fldCharType="separate"/>
                </w:r>
                <w:r w:rsidR="00C86676">
                  <w:rPr>
                    <w:noProof/>
                    <w:webHidden/>
                  </w:rPr>
                  <w:t>98</w:t>
                </w:r>
                <w:r w:rsidR="00400391">
                  <w:rPr>
                    <w:noProof/>
                    <w:webHidden/>
                  </w:rPr>
                  <w:fldChar w:fldCharType="end"/>
                </w:r>
              </w:hyperlink>
            </w:p>
            <w:p w14:paraId="3E688B43" w14:textId="2D201520" w:rsidR="00400391" w:rsidRDefault="008B34CD">
              <w:pPr>
                <w:pStyle w:val="TOC3"/>
                <w:rPr>
                  <w:rFonts w:eastAsiaTheme="minorEastAsia" w:cstheme="minorBidi"/>
                  <w:noProof/>
                  <w:sz w:val="22"/>
                  <w:szCs w:val="22"/>
                  <w:lang w:eastAsia="hr-HR"/>
                </w:rPr>
              </w:pPr>
              <w:hyperlink w:anchor="_Toc165035534" w:history="1">
                <w:r w:rsidR="00400391" w:rsidRPr="00F12BDD">
                  <w:rPr>
                    <w:rStyle w:val="Hyperlink"/>
                    <w:noProof/>
                  </w:rPr>
                  <w:t>2.10.5.Izvršenje prihodovnih usluga</w:t>
                </w:r>
                <w:r w:rsidR="00400391">
                  <w:rPr>
                    <w:noProof/>
                    <w:webHidden/>
                  </w:rPr>
                  <w:tab/>
                </w:r>
                <w:r w:rsidR="00400391">
                  <w:rPr>
                    <w:noProof/>
                    <w:webHidden/>
                  </w:rPr>
                  <w:fldChar w:fldCharType="begin"/>
                </w:r>
                <w:r w:rsidR="00400391">
                  <w:rPr>
                    <w:noProof/>
                    <w:webHidden/>
                  </w:rPr>
                  <w:instrText xml:space="preserve"> PAGEREF _Toc165035534 \h </w:instrText>
                </w:r>
                <w:r w:rsidR="00400391">
                  <w:rPr>
                    <w:noProof/>
                    <w:webHidden/>
                  </w:rPr>
                </w:r>
                <w:r w:rsidR="00400391">
                  <w:rPr>
                    <w:noProof/>
                    <w:webHidden/>
                  </w:rPr>
                  <w:fldChar w:fldCharType="separate"/>
                </w:r>
                <w:r w:rsidR="00C86676">
                  <w:rPr>
                    <w:noProof/>
                    <w:webHidden/>
                  </w:rPr>
                  <w:t>98</w:t>
                </w:r>
                <w:r w:rsidR="00400391">
                  <w:rPr>
                    <w:noProof/>
                    <w:webHidden/>
                  </w:rPr>
                  <w:fldChar w:fldCharType="end"/>
                </w:r>
              </w:hyperlink>
            </w:p>
            <w:p w14:paraId="4BB3686C" w14:textId="56BA2048" w:rsidR="00400391" w:rsidRDefault="008B34CD">
              <w:pPr>
                <w:pStyle w:val="TOC2"/>
                <w:rPr>
                  <w:rFonts w:eastAsiaTheme="minorEastAsia" w:cstheme="minorBidi"/>
                  <w:iCs w:val="0"/>
                  <w:noProof/>
                  <w:sz w:val="22"/>
                  <w:szCs w:val="22"/>
                  <w:lang w:eastAsia="hr-HR"/>
                </w:rPr>
              </w:pPr>
              <w:hyperlink w:anchor="_Toc165035535" w:history="1">
                <w:r w:rsidR="00400391" w:rsidRPr="00F12BDD">
                  <w:rPr>
                    <w:rStyle w:val="Hyperlink"/>
                    <w:rFonts w:eastAsiaTheme="majorEastAsia"/>
                    <w:bCs/>
                    <w:noProof/>
                  </w:rPr>
                  <w:t>2.11. Godišnje pristojbe</w:t>
                </w:r>
                <w:r w:rsidR="00400391">
                  <w:rPr>
                    <w:noProof/>
                    <w:webHidden/>
                  </w:rPr>
                  <w:tab/>
                </w:r>
                <w:r w:rsidR="00400391">
                  <w:rPr>
                    <w:noProof/>
                    <w:webHidden/>
                  </w:rPr>
                  <w:fldChar w:fldCharType="begin"/>
                </w:r>
                <w:r w:rsidR="00400391">
                  <w:rPr>
                    <w:noProof/>
                    <w:webHidden/>
                  </w:rPr>
                  <w:instrText xml:space="preserve"> PAGEREF _Toc165035535 \h </w:instrText>
                </w:r>
                <w:r w:rsidR="00400391">
                  <w:rPr>
                    <w:noProof/>
                    <w:webHidden/>
                  </w:rPr>
                </w:r>
                <w:r w:rsidR="00400391">
                  <w:rPr>
                    <w:noProof/>
                    <w:webHidden/>
                  </w:rPr>
                  <w:fldChar w:fldCharType="separate"/>
                </w:r>
                <w:r w:rsidR="00C86676">
                  <w:rPr>
                    <w:noProof/>
                    <w:webHidden/>
                  </w:rPr>
                  <w:t>99</w:t>
                </w:r>
                <w:r w:rsidR="00400391">
                  <w:rPr>
                    <w:noProof/>
                    <w:webHidden/>
                  </w:rPr>
                  <w:fldChar w:fldCharType="end"/>
                </w:r>
              </w:hyperlink>
            </w:p>
            <w:p w14:paraId="3CB9E455" w14:textId="59480214" w:rsidR="00400391" w:rsidRDefault="008B34CD">
              <w:pPr>
                <w:pStyle w:val="TOC3"/>
                <w:rPr>
                  <w:rFonts w:eastAsiaTheme="minorEastAsia" w:cstheme="minorBidi"/>
                  <w:noProof/>
                  <w:sz w:val="22"/>
                  <w:szCs w:val="22"/>
                  <w:lang w:eastAsia="hr-HR"/>
                </w:rPr>
              </w:pPr>
              <w:hyperlink w:anchor="_Toc165035536" w:history="1">
                <w:r w:rsidR="00400391" w:rsidRPr="00F12BDD">
                  <w:rPr>
                    <w:rStyle w:val="Hyperlink"/>
                    <w:rFonts w:eastAsiaTheme="majorEastAsia"/>
                    <w:bCs/>
                    <w:noProof/>
                  </w:rPr>
                  <w:t>2.11.1. Izvršenje godišnjih pristojbi</w:t>
                </w:r>
                <w:r w:rsidR="00400391">
                  <w:rPr>
                    <w:noProof/>
                    <w:webHidden/>
                  </w:rPr>
                  <w:tab/>
                </w:r>
                <w:r w:rsidR="00400391">
                  <w:rPr>
                    <w:noProof/>
                    <w:webHidden/>
                  </w:rPr>
                  <w:fldChar w:fldCharType="begin"/>
                </w:r>
                <w:r w:rsidR="00400391">
                  <w:rPr>
                    <w:noProof/>
                    <w:webHidden/>
                  </w:rPr>
                  <w:instrText xml:space="preserve"> PAGEREF _Toc165035536 \h </w:instrText>
                </w:r>
                <w:r w:rsidR="00400391">
                  <w:rPr>
                    <w:noProof/>
                    <w:webHidden/>
                  </w:rPr>
                </w:r>
                <w:r w:rsidR="00400391">
                  <w:rPr>
                    <w:noProof/>
                    <w:webHidden/>
                  </w:rPr>
                  <w:fldChar w:fldCharType="separate"/>
                </w:r>
                <w:r w:rsidR="00C86676">
                  <w:rPr>
                    <w:noProof/>
                    <w:webHidden/>
                  </w:rPr>
                  <w:t>101</w:t>
                </w:r>
                <w:r w:rsidR="00400391">
                  <w:rPr>
                    <w:noProof/>
                    <w:webHidden/>
                  </w:rPr>
                  <w:fldChar w:fldCharType="end"/>
                </w:r>
              </w:hyperlink>
            </w:p>
            <w:p w14:paraId="42795656" w14:textId="0F229569" w:rsidR="00400391" w:rsidRDefault="008B34CD">
              <w:pPr>
                <w:pStyle w:val="TOC2"/>
                <w:rPr>
                  <w:rFonts w:eastAsiaTheme="minorEastAsia" w:cstheme="minorBidi"/>
                  <w:iCs w:val="0"/>
                  <w:noProof/>
                  <w:sz w:val="22"/>
                  <w:szCs w:val="22"/>
                  <w:lang w:eastAsia="hr-HR"/>
                </w:rPr>
              </w:pPr>
              <w:hyperlink w:anchor="_Toc165035537" w:history="1">
                <w:r w:rsidR="00400391" w:rsidRPr="00F12BDD">
                  <w:rPr>
                    <w:rStyle w:val="Hyperlink"/>
                    <w:rFonts w:eastAsiaTheme="majorEastAsia"/>
                    <w:bCs/>
                    <w:noProof/>
                  </w:rPr>
                  <w:t>2.12. Sustav upravljanja kakvoćom</w:t>
                </w:r>
                <w:r w:rsidR="00400391">
                  <w:rPr>
                    <w:noProof/>
                    <w:webHidden/>
                  </w:rPr>
                  <w:tab/>
                </w:r>
                <w:r w:rsidR="00400391">
                  <w:rPr>
                    <w:noProof/>
                    <w:webHidden/>
                  </w:rPr>
                  <w:fldChar w:fldCharType="begin"/>
                </w:r>
                <w:r w:rsidR="00400391">
                  <w:rPr>
                    <w:noProof/>
                    <w:webHidden/>
                  </w:rPr>
                  <w:instrText xml:space="preserve"> PAGEREF _Toc165035537 \h </w:instrText>
                </w:r>
                <w:r w:rsidR="00400391">
                  <w:rPr>
                    <w:noProof/>
                    <w:webHidden/>
                  </w:rPr>
                </w:r>
                <w:r w:rsidR="00400391">
                  <w:rPr>
                    <w:noProof/>
                    <w:webHidden/>
                  </w:rPr>
                  <w:fldChar w:fldCharType="separate"/>
                </w:r>
                <w:r w:rsidR="00C86676">
                  <w:rPr>
                    <w:noProof/>
                    <w:webHidden/>
                  </w:rPr>
                  <w:t>103</w:t>
                </w:r>
                <w:r w:rsidR="00400391">
                  <w:rPr>
                    <w:noProof/>
                    <w:webHidden/>
                  </w:rPr>
                  <w:fldChar w:fldCharType="end"/>
                </w:r>
              </w:hyperlink>
            </w:p>
            <w:p w14:paraId="43F209B1" w14:textId="41743CEF" w:rsidR="00400391" w:rsidRDefault="008B34CD">
              <w:pPr>
                <w:pStyle w:val="TOC3"/>
                <w:rPr>
                  <w:rFonts w:eastAsiaTheme="minorEastAsia" w:cstheme="minorBidi"/>
                  <w:noProof/>
                  <w:sz w:val="22"/>
                  <w:szCs w:val="22"/>
                  <w:lang w:eastAsia="hr-HR"/>
                </w:rPr>
              </w:pPr>
              <w:hyperlink w:anchor="_Toc165035538" w:history="1">
                <w:r w:rsidR="00400391" w:rsidRPr="00F12BDD">
                  <w:rPr>
                    <w:rStyle w:val="Hyperlink"/>
                    <w:rFonts w:eastAsia="Times New Roman" w:cs="Calibri"/>
                    <w:noProof/>
                  </w:rPr>
                  <w:t>U izvještajnom razdoblju nije bilo kriznih situacija.</w:t>
                </w:r>
                <w:r w:rsidR="00400391">
                  <w:rPr>
                    <w:noProof/>
                    <w:webHidden/>
                  </w:rPr>
                  <w:tab/>
                </w:r>
                <w:r w:rsidR="00400391">
                  <w:rPr>
                    <w:noProof/>
                    <w:webHidden/>
                  </w:rPr>
                  <w:fldChar w:fldCharType="begin"/>
                </w:r>
                <w:r w:rsidR="00400391">
                  <w:rPr>
                    <w:noProof/>
                    <w:webHidden/>
                  </w:rPr>
                  <w:instrText xml:space="preserve"> PAGEREF _Toc165035538 \h </w:instrText>
                </w:r>
                <w:r w:rsidR="00400391">
                  <w:rPr>
                    <w:noProof/>
                    <w:webHidden/>
                  </w:rPr>
                </w:r>
                <w:r w:rsidR="00400391">
                  <w:rPr>
                    <w:noProof/>
                    <w:webHidden/>
                  </w:rPr>
                  <w:fldChar w:fldCharType="separate"/>
                </w:r>
                <w:r w:rsidR="00C86676">
                  <w:rPr>
                    <w:noProof/>
                    <w:webHidden/>
                  </w:rPr>
                  <w:t>105</w:t>
                </w:r>
                <w:r w:rsidR="00400391">
                  <w:rPr>
                    <w:noProof/>
                    <w:webHidden/>
                  </w:rPr>
                  <w:fldChar w:fldCharType="end"/>
                </w:r>
              </w:hyperlink>
            </w:p>
            <w:p w14:paraId="376AAD15" w14:textId="2EE11AF2" w:rsidR="00400391" w:rsidRDefault="008B34CD">
              <w:pPr>
                <w:pStyle w:val="TOC3"/>
                <w:rPr>
                  <w:rFonts w:eastAsiaTheme="minorEastAsia" w:cstheme="minorBidi"/>
                  <w:noProof/>
                  <w:sz w:val="22"/>
                  <w:szCs w:val="22"/>
                  <w:lang w:eastAsia="hr-HR"/>
                </w:rPr>
              </w:pPr>
              <w:hyperlink w:anchor="_Toc165035539" w:history="1">
                <w:r w:rsidR="00400391" w:rsidRPr="00F12BDD">
                  <w:rPr>
                    <w:rStyle w:val="Hyperlink"/>
                    <w:rFonts w:eastAsiaTheme="majorEastAsia"/>
                    <w:bCs/>
                    <w:noProof/>
                  </w:rPr>
                  <w:t>Europski i međunarodni poslovi</w:t>
                </w:r>
                <w:r w:rsidR="00400391">
                  <w:rPr>
                    <w:noProof/>
                    <w:webHidden/>
                  </w:rPr>
                  <w:tab/>
                </w:r>
                <w:r w:rsidR="00400391">
                  <w:rPr>
                    <w:noProof/>
                    <w:webHidden/>
                  </w:rPr>
                  <w:fldChar w:fldCharType="begin"/>
                </w:r>
                <w:r w:rsidR="00400391">
                  <w:rPr>
                    <w:noProof/>
                    <w:webHidden/>
                  </w:rPr>
                  <w:instrText xml:space="preserve"> PAGEREF _Toc165035539 \h </w:instrText>
                </w:r>
                <w:r w:rsidR="00400391">
                  <w:rPr>
                    <w:noProof/>
                    <w:webHidden/>
                  </w:rPr>
                </w:r>
                <w:r w:rsidR="00400391">
                  <w:rPr>
                    <w:noProof/>
                    <w:webHidden/>
                  </w:rPr>
                  <w:fldChar w:fldCharType="separate"/>
                </w:r>
                <w:r w:rsidR="00C86676">
                  <w:rPr>
                    <w:noProof/>
                    <w:webHidden/>
                  </w:rPr>
                  <w:t>105</w:t>
                </w:r>
                <w:r w:rsidR="00400391">
                  <w:rPr>
                    <w:noProof/>
                    <w:webHidden/>
                  </w:rPr>
                  <w:fldChar w:fldCharType="end"/>
                </w:r>
              </w:hyperlink>
            </w:p>
            <w:p w14:paraId="127EDA0B" w14:textId="2AFF73A2" w:rsidR="00400391" w:rsidRDefault="008B34CD">
              <w:pPr>
                <w:pStyle w:val="TOC2"/>
                <w:rPr>
                  <w:rFonts w:eastAsiaTheme="minorEastAsia" w:cstheme="minorBidi"/>
                  <w:iCs w:val="0"/>
                  <w:noProof/>
                  <w:sz w:val="22"/>
                  <w:szCs w:val="22"/>
                  <w:lang w:eastAsia="hr-HR"/>
                </w:rPr>
              </w:pPr>
              <w:hyperlink w:anchor="_Toc165035540" w:history="1">
                <w:r w:rsidR="00400391" w:rsidRPr="00F12BDD">
                  <w:rPr>
                    <w:rStyle w:val="Hyperlink"/>
                    <w:noProof/>
                  </w:rPr>
                  <w:t>2.13. Izvješće o IT sustavu</w:t>
                </w:r>
                <w:r w:rsidR="00400391">
                  <w:rPr>
                    <w:noProof/>
                    <w:webHidden/>
                  </w:rPr>
                  <w:tab/>
                </w:r>
                <w:r w:rsidR="00400391">
                  <w:rPr>
                    <w:noProof/>
                    <w:webHidden/>
                  </w:rPr>
                  <w:fldChar w:fldCharType="begin"/>
                </w:r>
                <w:r w:rsidR="00400391">
                  <w:rPr>
                    <w:noProof/>
                    <w:webHidden/>
                  </w:rPr>
                  <w:instrText xml:space="preserve"> PAGEREF _Toc165035540 \h </w:instrText>
                </w:r>
                <w:r w:rsidR="00400391">
                  <w:rPr>
                    <w:noProof/>
                    <w:webHidden/>
                  </w:rPr>
                </w:r>
                <w:r w:rsidR="00400391">
                  <w:rPr>
                    <w:noProof/>
                    <w:webHidden/>
                  </w:rPr>
                  <w:fldChar w:fldCharType="separate"/>
                </w:r>
                <w:r w:rsidR="00C86676">
                  <w:rPr>
                    <w:noProof/>
                    <w:webHidden/>
                  </w:rPr>
                  <w:t>107</w:t>
                </w:r>
                <w:r w:rsidR="00400391">
                  <w:rPr>
                    <w:noProof/>
                    <w:webHidden/>
                  </w:rPr>
                  <w:fldChar w:fldCharType="end"/>
                </w:r>
              </w:hyperlink>
            </w:p>
            <w:p w14:paraId="277FA28D" w14:textId="1E21EDE9" w:rsidR="00400391" w:rsidRDefault="008B34CD">
              <w:pPr>
                <w:pStyle w:val="TOC2"/>
                <w:rPr>
                  <w:rFonts w:eastAsiaTheme="minorEastAsia" w:cstheme="minorBidi"/>
                  <w:iCs w:val="0"/>
                  <w:noProof/>
                  <w:sz w:val="22"/>
                  <w:szCs w:val="22"/>
                  <w:lang w:eastAsia="hr-HR"/>
                </w:rPr>
              </w:pPr>
              <w:hyperlink w:anchor="_Toc165035541" w:history="1">
                <w:r w:rsidR="00400391" w:rsidRPr="00F12BDD">
                  <w:rPr>
                    <w:rStyle w:val="Hyperlink"/>
                    <w:noProof/>
                  </w:rPr>
                  <w:t>2.14. Izvješće o suradnji HALMED-a s nacionalnim institucijama u Republici Hrvatskoj</w:t>
                </w:r>
                <w:r w:rsidR="00400391">
                  <w:rPr>
                    <w:noProof/>
                    <w:webHidden/>
                  </w:rPr>
                  <w:tab/>
                </w:r>
                <w:r w:rsidR="00400391">
                  <w:rPr>
                    <w:noProof/>
                    <w:webHidden/>
                  </w:rPr>
                  <w:fldChar w:fldCharType="begin"/>
                </w:r>
                <w:r w:rsidR="00400391">
                  <w:rPr>
                    <w:noProof/>
                    <w:webHidden/>
                  </w:rPr>
                  <w:instrText xml:space="preserve"> PAGEREF _Toc165035541 \h </w:instrText>
                </w:r>
                <w:r w:rsidR="00400391">
                  <w:rPr>
                    <w:noProof/>
                    <w:webHidden/>
                  </w:rPr>
                </w:r>
                <w:r w:rsidR="00400391">
                  <w:rPr>
                    <w:noProof/>
                    <w:webHidden/>
                  </w:rPr>
                  <w:fldChar w:fldCharType="separate"/>
                </w:r>
                <w:r w:rsidR="00C86676">
                  <w:rPr>
                    <w:noProof/>
                    <w:webHidden/>
                  </w:rPr>
                  <w:t>113</w:t>
                </w:r>
                <w:r w:rsidR="00400391">
                  <w:rPr>
                    <w:noProof/>
                    <w:webHidden/>
                  </w:rPr>
                  <w:fldChar w:fldCharType="end"/>
                </w:r>
              </w:hyperlink>
            </w:p>
            <w:p w14:paraId="668BCACB" w14:textId="182E06BE" w:rsidR="00400391" w:rsidRDefault="008B34CD">
              <w:pPr>
                <w:pStyle w:val="TOC2"/>
                <w:rPr>
                  <w:rFonts w:eastAsiaTheme="minorEastAsia" w:cstheme="minorBidi"/>
                  <w:iCs w:val="0"/>
                  <w:noProof/>
                  <w:sz w:val="22"/>
                  <w:szCs w:val="22"/>
                  <w:lang w:eastAsia="hr-HR"/>
                </w:rPr>
              </w:pPr>
              <w:hyperlink w:anchor="_Toc165035542" w:history="1">
                <w:r w:rsidR="00400391" w:rsidRPr="00F12BDD">
                  <w:rPr>
                    <w:rStyle w:val="Hyperlink"/>
                    <w:noProof/>
                  </w:rPr>
                  <w:t>2.15. Izvješće o provedbi projekata</w:t>
                </w:r>
                <w:r w:rsidR="00400391">
                  <w:rPr>
                    <w:noProof/>
                    <w:webHidden/>
                  </w:rPr>
                  <w:tab/>
                </w:r>
                <w:r w:rsidR="00400391">
                  <w:rPr>
                    <w:noProof/>
                    <w:webHidden/>
                  </w:rPr>
                  <w:fldChar w:fldCharType="begin"/>
                </w:r>
                <w:r w:rsidR="00400391">
                  <w:rPr>
                    <w:noProof/>
                    <w:webHidden/>
                  </w:rPr>
                  <w:instrText xml:space="preserve"> PAGEREF _Toc165035542 \h </w:instrText>
                </w:r>
                <w:r w:rsidR="00400391">
                  <w:rPr>
                    <w:noProof/>
                    <w:webHidden/>
                  </w:rPr>
                </w:r>
                <w:r w:rsidR="00400391">
                  <w:rPr>
                    <w:noProof/>
                    <w:webHidden/>
                  </w:rPr>
                  <w:fldChar w:fldCharType="separate"/>
                </w:r>
                <w:r w:rsidR="00C86676">
                  <w:rPr>
                    <w:noProof/>
                    <w:webHidden/>
                  </w:rPr>
                  <w:t>117</w:t>
                </w:r>
                <w:r w:rsidR="00400391">
                  <w:rPr>
                    <w:noProof/>
                    <w:webHidden/>
                  </w:rPr>
                  <w:fldChar w:fldCharType="end"/>
                </w:r>
              </w:hyperlink>
            </w:p>
            <w:p w14:paraId="1BEFCA34" w14:textId="06CEAAEF" w:rsidR="00400391" w:rsidRDefault="008B34CD" w:rsidP="00400391">
              <w:pPr>
                <w:pStyle w:val="TOC1"/>
                <w:rPr>
                  <w:rFonts w:eastAsiaTheme="minorEastAsia" w:cstheme="minorBidi"/>
                  <w:noProof/>
                  <w:sz w:val="22"/>
                  <w:szCs w:val="22"/>
                  <w:lang w:eastAsia="hr-HR"/>
                </w:rPr>
              </w:pPr>
              <w:hyperlink w:anchor="_Toc165035543" w:history="1">
                <w:r w:rsidR="00400391" w:rsidRPr="00F12BDD">
                  <w:rPr>
                    <w:rStyle w:val="Hyperlink"/>
                    <w:noProof/>
                  </w:rPr>
                  <w:t>3. IZVJEŠĆE O IZVRŠENJU FINANCIJSKOG PLANA</w:t>
                </w:r>
                <w:r w:rsidR="00400391">
                  <w:rPr>
                    <w:noProof/>
                    <w:webHidden/>
                  </w:rPr>
                  <w:tab/>
                </w:r>
                <w:r w:rsidR="00400391">
                  <w:rPr>
                    <w:noProof/>
                    <w:webHidden/>
                  </w:rPr>
                  <w:fldChar w:fldCharType="begin"/>
                </w:r>
                <w:r w:rsidR="00400391">
                  <w:rPr>
                    <w:noProof/>
                    <w:webHidden/>
                  </w:rPr>
                  <w:instrText xml:space="preserve"> PAGEREF _Toc165035543 \h </w:instrText>
                </w:r>
                <w:r w:rsidR="00400391">
                  <w:rPr>
                    <w:noProof/>
                    <w:webHidden/>
                  </w:rPr>
                </w:r>
                <w:r w:rsidR="00400391">
                  <w:rPr>
                    <w:noProof/>
                    <w:webHidden/>
                  </w:rPr>
                  <w:fldChar w:fldCharType="separate"/>
                </w:r>
                <w:r w:rsidR="00C86676">
                  <w:rPr>
                    <w:noProof/>
                    <w:webHidden/>
                  </w:rPr>
                  <w:t>127</w:t>
                </w:r>
                <w:r w:rsidR="00400391">
                  <w:rPr>
                    <w:noProof/>
                    <w:webHidden/>
                  </w:rPr>
                  <w:fldChar w:fldCharType="end"/>
                </w:r>
              </w:hyperlink>
            </w:p>
            <w:p w14:paraId="592CFB6A" w14:textId="70ED8B74" w:rsidR="00400391" w:rsidRDefault="008B34CD">
              <w:pPr>
                <w:pStyle w:val="TOC2"/>
                <w:rPr>
                  <w:rFonts w:eastAsiaTheme="minorEastAsia" w:cstheme="minorBidi"/>
                  <w:iCs w:val="0"/>
                  <w:noProof/>
                  <w:sz w:val="22"/>
                  <w:szCs w:val="22"/>
                  <w:lang w:eastAsia="hr-HR"/>
                </w:rPr>
              </w:pPr>
              <w:hyperlink w:anchor="_Toc165035544" w:history="1">
                <w:r w:rsidR="00400391" w:rsidRPr="00F12BDD">
                  <w:rPr>
                    <w:rStyle w:val="Hyperlink"/>
                    <w:noProof/>
                  </w:rPr>
                  <w:t>3.1. Zakonska regulativa</w:t>
                </w:r>
                <w:r w:rsidR="00400391">
                  <w:rPr>
                    <w:noProof/>
                    <w:webHidden/>
                  </w:rPr>
                  <w:tab/>
                </w:r>
                <w:r w:rsidR="00400391">
                  <w:rPr>
                    <w:noProof/>
                    <w:webHidden/>
                  </w:rPr>
                  <w:fldChar w:fldCharType="begin"/>
                </w:r>
                <w:r w:rsidR="00400391">
                  <w:rPr>
                    <w:noProof/>
                    <w:webHidden/>
                  </w:rPr>
                  <w:instrText xml:space="preserve"> PAGEREF _Toc165035544 \h </w:instrText>
                </w:r>
                <w:r w:rsidR="00400391">
                  <w:rPr>
                    <w:noProof/>
                    <w:webHidden/>
                  </w:rPr>
                </w:r>
                <w:r w:rsidR="00400391">
                  <w:rPr>
                    <w:noProof/>
                    <w:webHidden/>
                  </w:rPr>
                  <w:fldChar w:fldCharType="separate"/>
                </w:r>
                <w:r w:rsidR="00C86676">
                  <w:rPr>
                    <w:noProof/>
                    <w:webHidden/>
                  </w:rPr>
                  <w:t>127</w:t>
                </w:r>
                <w:r w:rsidR="00400391">
                  <w:rPr>
                    <w:noProof/>
                    <w:webHidden/>
                  </w:rPr>
                  <w:fldChar w:fldCharType="end"/>
                </w:r>
              </w:hyperlink>
            </w:p>
            <w:p w14:paraId="2DB5F923" w14:textId="33E56057" w:rsidR="00400391" w:rsidRDefault="008B34CD">
              <w:pPr>
                <w:pStyle w:val="TOC2"/>
                <w:rPr>
                  <w:rFonts w:eastAsiaTheme="minorEastAsia" w:cstheme="minorBidi"/>
                  <w:iCs w:val="0"/>
                  <w:noProof/>
                  <w:sz w:val="22"/>
                  <w:szCs w:val="22"/>
                  <w:lang w:eastAsia="hr-HR"/>
                </w:rPr>
              </w:pPr>
              <w:hyperlink w:anchor="_Toc165035545" w:history="1">
                <w:r w:rsidR="00400391" w:rsidRPr="00F12BDD">
                  <w:rPr>
                    <w:rStyle w:val="Hyperlink"/>
                    <w:noProof/>
                  </w:rPr>
                  <w:t>3.2. Prihodi</w:t>
                </w:r>
                <w:r w:rsidR="00400391">
                  <w:rPr>
                    <w:noProof/>
                    <w:webHidden/>
                  </w:rPr>
                  <w:tab/>
                </w:r>
                <w:r w:rsidR="00400391">
                  <w:rPr>
                    <w:noProof/>
                    <w:webHidden/>
                  </w:rPr>
                  <w:fldChar w:fldCharType="begin"/>
                </w:r>
                <w:r w:rsidR="00400391">
                  <w:rPr>
                    <w:noProof/>
                    <w:webHidden/>
                  </w:rPr>
                  <w:instrText xml:space="preserve"> PAGEREF _Toc165035545 \h </w:instrText>
                </w:r>
                <w:r w:rsidR="00400391">
                  <w:rPr>
                    <w:noProof/>
                    <w:webHidden/>
                  </w:rPr>
                </w:r>
                <w:r w:rsidR="00400391">
                  <w:rPr>
                    <w:noProof/>
                    <w:webHidden/>
                  </w:rPr>
                  <w:fldChar w:fldCharType="separate"/>
                </w:r>
                <w:r w:rsidR="00C86676">
                  <w:rPr>
                    <w:noProof/>
                    <w:webHidden/>
                  </w:rPr>
                  <w:t>127</w:t>
                </w:r>
                <w:r w:rsidR="00400391">
                  <w:rPr>
                    <w:noProof/>
                    <w:webHidden/>
                  </w:rPr>
                  <w:fldChar w:fldCharType="end"/>
                </w:r>
              </w:hyperlink>
            </w:p>
            <w:p w14:paraId="39236F35" w14:textId="02C2577F" w:rsidR="00400391" w:rsidRDefault="008B34CD">
              <w:pPr>
                <w:pStyle w:val="TOC3"/>
                <w:rPr>
                  <w:rFonts w:eastAsiaTheme="minorEastAsia" w:cstheme="minorBidi"/>
                  <w:noProof/>
                  <w:sz w:val="22"/>
                  <w:szCs w:val="22"/>
                  <w:lang w:eastAsia="hr-HR"/>
                </w:rPr>
              </w:pPr>
              <w:hyperlink w:anchor="_Toc165035546" w:history="1">
                <w:r w:rsidR="00400391" w:rsidRPr="00F12BDD">
                  <w:rPr>
                    <w:rStyle w:val="Hyperlink"/>
                    <w:noProof/>
                  </w:rPr>
                  <w:t>3.2.1. Prihodi od redovitih usluga</w:t>
                </w:r>
                <w:r w:rsidR="00400391">
                  <w:rPr>
                    <w:noProof/>
                    <w:webHidden/>
                  </w:rPr>
                  <w:tab/>
                </w:r>
                <w:r w:rsidR="00400391">
                  <w:rPr>
                    <w:noProof/>
                    <w:webHidden/>
                  </w:rPr>
                  <w:fldChar w:fldCharType="begin"/>
                </w:r>
                <w:r w:rsidR="00400391">
                  <w:rPr>
                    <w:noProof/>
                    <w:webHidden/>
                  </w:rPr>
                  <w:instrText xml:space="preserve"> PAGEREF _Toc165035546 \h </w:instrText>
                </w:r>
                <w:r w:rsidR="00400391">
                  <w:rPr>
                    <w:noProof/>
                    <w:webHidden/>
                  </w:rPr>
                </w:r>
                <w:r w:rsidR="00400391">
                  <w:rPr>
                    <w:noProof/>
                    <w:webHidden/>
                  </w:rPr>
                  <w:fldChar w:fldCharType="separate"/>
                </w:r>
                <w:r w:rsidR="00C86676">
                  <w:rPr>
                    <w:noProof/>
                    <w:webHidden/>
                  </w:rPr>
                  <w:t>128</w:t>
                </w:r>
                <w:r w:rsidR="00400391">
                  <w:rPr>
                    <w:noProof/>
                    <w:webHidden/>
                  </w:rPr>
                  <w:fldChar w:fldCharType="end"/>
                </w:r>
              </w:hyperlink>
            </w:p>
            <w:p w14:paraId="1F6E26A3" w14:textId="366D2E2B" w:rsidR="00400391" w:rsidRDefault="008B34CD">
              <w:pPr>
                <w:pStyle w:val="TOC3"/>
                <w:rPr>
                  <w:rFonts w:eastAsiaTheme="minorEastAsia" w:cstheme="minorBidi"/>
                  <w:noProof/>
                  <w:sz w:val="22"/>
                  <w:szCs w:val="22"/>
                  <w:lang w:eastAsia="hr-HR"/>
                </w:rPr>
              </w:pPr>
              <w:hyperlink w:anchor="_Toc165035547" w:history="1">
                <w:r w:rsidR="00400391" w:rsidRPr="00F12BDD">
                  <w:rPr>
                    <w:rStyle w:val="Hyperlink"/>
                    <w:noProof/>
                  </w:rPr>
                  <w:t>3.2.2. Prihodi od projekata</w:t>
                </w:r>
                <w:r w:rsidR="00400391">
                  <w:rPr>
                    <w:noProof/>
                    <w:webHidden/>
                  </w:rPr>
                  <w:tab/>
                </w:r>
                <w:r w:rsidR="00400391">
                  <w:rPr>
                    <w:noProof/>
                    <w:webHidden/>
                  </w:rPr>
                  <w:fldChar w:fldCharType="begin"/>
                </w:r>
                <w:r w:rsidR="00400391">
                  <w:rPr>
                    <w:noProof/>
                    <w:webHidden/>
                  </w:rPr>
                  <w:instrText xml:space="preserve"> PAGEREF _Toc165035547 \h </w:instrText>
                </w:r>
                <w:r w:rsidR="00400391">
                  <w:rPr>
                    <w:noProof/>
                    <w:webHidden/>
                  </w:rPr>
                </w:r>
                <w:r w:rsidR="00400391">
                  <w:rPr>
                    <w:noProof/>
                    <w:webHidden/>
                  </w:rPr>
                  <w:fldChar w:fldCharType="separate"/>
                </w:r>
                <w:r w:rsidR="00C86676">
                  <w:rPr>
                    <w:noProof/>
                    <w:webHidden/>
                  </w:rPr>
                  <w:t>128</w:t>
                </w:r>
                <w:r w:rsidR="00400391">
                  <w:rPr>
                    <w:noProof/>
                    <w:webHidden/>
                  </w:rPr>
                  <w:fldChar w:fldCharType="end"/>
                </w:r>
              </w:hyperlink>
            </w:p>
            <w:p w14:paraId="5FCD01A5" w14:textId="742EBD5A" w:rsidR="00400391" w:rsidRDefault="008B34CD">
              <w:pPr>
                <w:pStyle w:val="TOC3"/>
                <w:rPr>
                  <w:rFonts w:eastAsiaTheme="minorEastAsia" w:cstheme="minorBidi"/>
                  <w:noProof/>
                  <w:sz w:val="22"/>
                  <w:szCs w:val="22"/>
                  <w:lang w:eastAsia="hr-HR"/>
                </w:rPr>
              </w:pPr>
              <w:hyperlink w:anchor="_Toc165035548" w:history="1">
                <w:r w:rsidR="00400391" w:rsidRPr="00F12BDD">
                  <w:rPr>
                    <w:rStyle w:val="Hyperlink"/>
                    <w:noProof/>
                  </w:rPr>
                  <w:t>3.2.3. Ostali poslovni prihodi</w:t>
                </w:r>
                <w:r w:rsidR="00400391">
                  <w:rPr>
                    <w:noProof/>
                    <w:webHidden/>
                  </w:rPr>
                  <w:tab/>
                </w:r>
                <w:r w:rsidR="00400391">
                  <w:rPr>
                    <w:noProof/>
                    <w:webHidden/>
                  </w:rPr>
                  <w:fldChar w:fldCharType="begin"/>
                </w:r>
                <w:r w:rsidR="00400391">
                  <w:rPr>
                    <w:noProof/>
                    <w:webHidden/>
                  </w:rPr>
                  <w:instrText xml:space="preserve"> PAGEREF _Toc165035548 \h </w:instrText>
                </w:r>
                <w:r w:rsidR="00400391">
                  <w:rPr>
                    <w:noProof/>
                    <w:webHidden/>
                  </w:rPr>
                </w:r>
                <w:r w:rsidR="00400391">
                  <w:rPr>
                    <w:noProof/>
                    <w:webHidden/>
                  </w:rPr>
                  <w:fldChar w:fldCharType="separate"/>
                </w:r>
                <w:r w:rsidR="00C86676">
                  <w:rPr>
                    <w:noProof/>
                    <w:webHidden/>
                  </w:rPr>
                  <w:t>129</w:t>
                </w:r>
                <w:r w:rsidR="00400391">
                  <w:rPr>
                    <w:noProof/>
                    <w:webHidden/>
                  </w:rPr>
                  <w:fldChar w:fldCharType="end"/>
                </w:r>
              </w:hyperlink>
            </w:p>
            <w:p w14:paraId="56C50D41" w14:textId="1C13611A" w:rsidR="00400391" w:rsidRDefault="008B34CD">
              <w:pPr>
                <w:pStyle w:val="TOC2"/>
                <w:rPr>
                  <w:rFonts w:eastAsiaTheme="minorEastAsia" w:cstheme="minorBidi"/>
                  <w:iCs w:val="0"/>
                  <w:noProof/>
                  <w:sz w:val="22"/>
                  <w:szCs w:val="22"/>
                  <w:lang w:eastAsia="hr-HR"/>
                </w:rPr>
              </w:pPr>
              <w:hyperlink w:anchor="_Toc165035549" w:history="1">
                <w:r w:rsidR="00400391" w:rsidRPr="00F12BDD">
                  <w:rPr>
                    <w:rStyle w:val="Hyperlink"/>
                    <w:rFonts w:eastAsia="Calibri"/>
                    <w:noProof/>
                  </w:rPr>
                  <w:t>3.3. Rashodi</w:t>
                </w:r>
                <w:r w:rsidR="00400391">
                  <w:rPr>
                    <w:noProof/>
                    <w:webHidden/>
                  </w:rPr>
                  <w:tab/>
                </w:r>
                <w:r w:rsidR="00400391">
                  <w:rPr>
                    <w:noProof/>
                    <w:webHidden/>
                  </w:rPr>
                  <w:fldChar w:fldCharType="begin"/>
                </w:r>
                <w:r w:rsidR="00400391">
                  <w:rPr>
                    <w:noProof/>
                    <w:webHidden/>
                  </w:rPr>
                  <w:instrText xml:space="preserve"> PAGEREF _Toc165035549 \h </w:instrText>
                </w:r>
                <w:r w:rsidR="00400391">
                  <w:rPr>
                    <w:noProof/>
                    <w:webHidden/>
                  </w:rPr>
                </w:r>
                <w:r w:rsidR="00400391">
                  <w:rPr>
                    <w:noProof/>
                    <w:webHidden/>
                  </w:rPr>
                  <w:fldChar w:fldCharType="separate"/>
                </w:r>
                <w:r w:rsidR="00C86676">
                  <w:rPr>
                    <w:noProof/>
                    <w:webHidden/>
                  </w:rPr>
                  <w:t>131</w:t>
                </w:r>
                <w:r w:rsidR="00400391">
                  <w:rPr>
                    <w:noProof/>
                    <w:webHidden/>
                  </w:rPr>
                  <w:fldChar w:fldCharType="end"/>
                </w:r>
              </w:hyperlink>
            </w:p>
            <w:p w14:paraId="609A492F" w14:textId="21E31628" w:rsidR="00400391" w:rsidRDefault="008B34CD">
              <w:pPr>
                <w:pStyle w:val="TOC2"/>
                <w:rPr>
                  <w:rFonts w:eastAsiaTheme="minorEastAsia" w:cstheme="minorBidi"/>
                  <w:iCs w:val="0"/>
                  <w:noProof/>
                  <w:sz w:val="22"/>
                  <w:szCs w:val="22"/>
                  <w:lang w:eastAsia="hr-HR"/>
                </w:rPr>
              </w:pPr>
              <w:hyperlink w:anchor="_Toc165035550" w:history="1">
                <w:r w:rsidR="00400391" w:rsidRPr="00F12BDD">
                  <w:rPr>
                    <w:rStyle w:val="Hyperlink"/>
                    <w:rFonts w:eastAsia="Calibri"/>
                    <w:noProof/>
                  </w:rPr>
                  <w:t>3.4. Rezultat poslovanja</w:t>
                </w:r>
                <w:r w:rsidR="00400391">
                  <w:rPr>
                    <w:noProof/>
                    <w:webHidden/>
                  </w:rPr>
                  <w:tab/>
                </w:r>
                <w:r w:rsidR="00400391">
                  <w:rPr>
                    <w:noProof/>
                    <w:webHidden/>
                  </w:rPr>
                  <w:fldChar w:fldCharType="begin"/>
                </w:r>
                <w:r w:rsidR="00400391">
                  <w:rPr>
                    <w:noProof/>
                    <w:webHidden/>
                  </w:rPr>
                  <w:instrText xml:space="preserve"> PAGEREF _Toc165035550 \h </w:instrText>
                </w:r>
                <w:r w:rsidR="00400391">
                  <w:rPr>
                    <w:noProof/>
                    <w:webHidden/>
                  </w:rPr>
                </w:r>
                <w:r w:rsidR="00400391">
                  <w:rPr>
                    <w:noProof/>
                    <w:webHidden/>
                  </w:rPr>
                  <w:fldChar w:fldCharType="separate"/>
                </w:r>
                <w:r w:rsidR="00C86676">
                  <w:rPr>
                    <w:noProof/>
                    <w:webHidden/>
                  </w:rPr>
                  <w:t>136</w:t>
                </w:r>
                <w:r w:rsidR="00400391">
                  <w:rPr>
                    <w:noProof/>
                    <w:webHidden/>
                  </w:rPr>
                  <w:fldChar w:fldCharType="end"/>
                </w:r>
              </w:hyperlink>
            </w:p>
            <w:p w14:paraId="19F6705C" w14:textId="64D9625F" w:rsidR="00400391" w:rsidRDefault="008B34CD">
              <w:pPr>
                <w:pStyle w:val="TOC2"/>
                <w:rPr>
                  <w:rFonts w:eastAsiaTheme="minorEastAsia" w:cstheme="minorBidi"/>
                  <w:iCs w:val="0"/>
                  <w:noProof/>
                  <w:sz w:val="22"/>
                  <w:szCs w:val="22"/>
                  <w:lang w:eastAsia="hr-HR"/>
                </w:rPr>
              </w:pPr>
              <w:hyperlink w:anchor="_Toc165035551" w:history="1">
                <w:r w:rsidR="00400391" w:rsidRPr="00F12BDD">
                  <w:rPr>
                    <w:rStyle w:val="Hyperlink"/>
                    <w:rFonts w:eastAsia="Calibri"/>
                    <w:noProof/>
                  </w:rPr>
                  <w:t>3.5. Financijska imovina</w:t>
                </w:r>
                <w:r w:rsidR="00400391">
                  <w:rPr>
                    <w:noProof/>
                    <w:webHidden/>
                  </w:rPr>
                  <w:tab/>
                </w:r>
                <w:r w:rsidR="00400391">
                  <w:rPr>
                    <w:noProof/>
                    <w:webHidden/>
                  </w:rPr>
                  <w:fldChar w:fldCharType="begin"/>
                </w:r>
                <w:r w:rsidR="00400391">
                  <w:rPr>
                    <w:noProof/>
                    <w:webHidden/>
                  </w:rPr>
                  <w:instrText xml:space="preserve"> PAGEREF _Toc165035551 \h </w:instrText>
                </w:r>
                <w:r w:rsidR="00400391">
                  <w:rPr>
                    <w:noProof/>
                    <w:webHidden/>
                  </w:rPr>
                </w:r>
                <w:r w:rsidR="00400391">
                  <w:rPr>
                    <w:noProof/>
                    <w:webHidden/>
                  </w:rPr>
                  <w:fldChar w:fldCharType="separate"/>
                </w:r>
                <w:r w:rsidR="00C86676">
                  <w:rPr>
                    <w:noProof/>
                    <w:webHidden/>
                  </w:rPr>
                  <w:t>136</w:t>
                </w:r>
                <w:r w:rsidR="00400391">
                  <w:rPr>
                    <w:noProof/>
                    <w:webHidden/>
                  </w:rPr>
                  <w:fldChar w:fldCharType="end"/>
                </w:r>
              </w:hyperlink>
            </w:p>
            <w:p w14:paraId="1E413C8F" w14:textId="433A5E7F" w:rsidR="00400391" w:rsidRDefault="008B34CD">
              <w:pPr>
                <w:pStyle w:val="TOC2"/>
                <w:rPr>
                  <w:rFonts w:eastAsiaTheme="minorEastAsia" w:cstheme="minorBidi"/>
                  <w:iCs w:val="0"/>
                  <w:noProof/>
                  <w:sz w:val="22"/>
                  <w:szCs w:val="22"/>
                  <w:lang w:eastAsia="hr-HR"/>
                </w:rPr>
              </w:pPr>
              <w:hyperlink w:anchor="_Toc165035552" w:history="1">
                <w:r w:rsidR="00400391" w:rsidRPr="00F12BDD">
                  <w:rPr>
                    <w:rStyle w:val="Hyperlink"/>
                    <w:rFonts w:eastAsia="Calibri"/>
                    <w:noProof/>
                  </w:rPr>
                  <w:t>3.6. Potraživanja od kupaca</w:t>
                </w:r>
                <w:r w:rsidR="00400391">
                  <w:rPr>
                    <w:noProof/>
                    <w:webHidden/>
                  </w:rPr>
                  <w:tab/>
                </w:r>
                <w:r w:rsidR="00400391">
                  <w:rPr>
                    <w:noProof/>
                    <w:webHidden/>
                  </w:rPr>
                  <w:fldChar w:fldCharType="begin"/>
                </w:r>
                <w:r w:rsidR="00400391">
                  <w:rPr>
                    <w:noProof/>
                    <w:webHidden/>
                  </w:rPr>
                  <w:instrText xml:space="preserve"> PAGEREF _Toc165035552 \h </w:instrText>
                </w:r>
                <w:r w:rsidR="00400391">
                  <w:rPr>
                    <w:noProof/>
                    <w:webHidden/>
                  </w:rPr>
                </w:r>
                <w:r w:rsidR="00400391">
                  <w:rPr>
                    <w:noProof/>
                    <w:webHidden/>
                  </w:rPr>
                  <w:fldChar w:fldCharType="separate"/>
                </w:r>
                <w:r w:rsidR="00C86676">
                  <w:rPr>
                    <w:noProof/>
                    <w:webHidden/>
                  </w:rPr>
                  <w:t>136</w:t>
                </w:r>
                <w:r w:rsidR="00400391">
                  <w:rPr>
                    <w:noProof/>
                    <w:webHidden/>
                  </w:rPr>
                  <w:fldChar w:fldCharType="end"/>
                </w:r>
              </w:hyperlink>
            </w:p>
            <w:p w14:paraId="47BD0A33" w14:textId="33F3C429" w:rsidR="00400391" w:rsidRDefault="008B34CD">
              <w:pPr>
                <w:pStyle w:val="TOC2"/>
                <w:rPr>
                  <w:rFonts w:eastAsiaTheme="minorEastAsia" w:cstheme="minorBidi"/>
                  <w:iCs w:val="0"/>
                  <w:noProof/>
                  <w:sz w:val="22"/>
                  <w:szCs w:val="22"/>
                  <w:lang w:eastAsia="hr-HR"/>
                </w:rPr>
              </w:pPr>
              <w:hyperlink w:anchor="_Toc165035553" w:history="1">
                <w:r w:rsidR="00400391" w:rsidRPr="00F12BDD">
                  <w:rPr>
                    <w:rStyle w:val="Hyperlink"/>
                    <w:rFonts w:eastAsia="Calibri"/>
                    <w:noProof/>
                  </w:rPr>
                  <w:t>3.7. Obveze</w:t>
                </w:r>
                <w:r w:rsidR="00400391">
                  <w:rPr>
                    <w:noProof/>
                    <w:webHidden/>
                  </w:rPr>
                  <w:tab/>
                </w:r>
                <w:r w:rsidR="00400391">
                  <w:rPr>
                    <w:noProof/>
                    <w:webHidden/>
                  </w:rPr>
                  <w:fldChar w:fldCharType="begin"/>
                </w:r>
                <w:r w:rsidR="00400391">
                  <w:rPr>
                    <w:noProof/>
                    <w:webHidden/>
                  </w:rPr>
                  <w:instrText xml:space="preserve"> PAGEREF _Toc165035553 \h </w:instrText>
                </w:r>
                <w:r w:rsidR="00400391">
                  <w:rPr>
                    <w:noProof/>
                    <w:webHidden/>
                  </w:rPr>
                </w:r>
                <w:r w:rsidR="00400391">
                  <w:rPr>
                    <w:noProof/>
                    <w:webHidden/>
                  </w:rPr>
                  <w:fldChar w:fldCharType="separate"/>
                </w:r>
                <w:r w:rsidR="00C86676">
                  <w:rPr>
                    <w:noProof/>
                    <w:webHidden/>
                  </w:rPr>
                  <w:t>137</w:t>
                </w:r>
                <w:r w:rsidR="00400391">
                  <w:rPr>
                    <w:noProof/>
                    <w:webHidden/>
                  </w:rPr>
                  <w:fldChar w:fldCharType="end"/>
                </w:r>
              </w:hyperlink>
            </w:p>
            <w:p w14:paraId="3A3D0E9C" w14:textId="3DEB09DA" w:rsidR="00400391" w:rsidRDefault="008B34CD" w:rsidP="00400391">
              <w:pPr>
                <w:pStyle w:val="TOC1"/>
                <w:rPr>
                  <w:rFonts w:eastAsiaTheme="minorEastAsia" w:cstheme="minorBidi"/>
                  <w:noProof/>
                  <w:sz w:val="22"/>
                  <w:szCs w:val="22"/>
                  <w:lang w:eastAsia="hr-HR"/>
                </w:rPr>
              </w:pPr>
              <w:hyperlink w:anchor="_Toc165035554" w:history="1">
                <w:r w:rsidR="00400391" w:rsidRPr="00F12BDD">
                  <w:rPr>
                    <w:rStyle w:val="Hyperlink"/>
                    <w:noProof/>
                  </w:rPr>
                  <w:t>4. IZVJEŠĆE O IZVRŠENJU PLANA NABAVE</w:t>
                </w:r>
                <w:r w:rsidR="00400391">
                  <w:rPr>
                    <w:noProof/>
                    <w:webHidden/>
                  </w:rPr>
                  <w:tab/>
                </w:r>
                <w:r w:rsidR="00400391">
                  <w:rPr>
                    <w:noProof/>
                    <w:webHidden/>
                  </w:rPr>
                  <w:fldChar w:fldCharType="begin"/>
                </w:r>
                <w:r w:rsidR="00400391">
                  <w:rPr>
                    <w:noProof/>
                    <w:webHidden/>
                  </w:rPr>
                  <w:instrText xml:space="preserve"> PAGEREF _Toc165035554 \h </w:instrText>
                </w:r>
                <w:r w:rsidR="00400391">
                  <w:rPr>
                    <w:noProof/>
                    <w:webHidden/>
                  </w:rPr>
                </w:r>
                <w:r w:rsidR="00400391">
                  <w:rPr>
                    <w:noProof/>
                    <w:webHidden/>
                  </w:rPr>
                  <w:fldChar w:fldCharType="separate"/>
                </w:r>
                <w:r w:rsidR="00C86676">
                  <w:rPr>
                    <w:noProof/>
                    <w:webHidden/>
                  </w:rPr>
                  <w:t>138</w:t>
                </w:r>
                <w:r w:rsidR="00400391">
                  <w:rPr>
                    <w:noProof/>
                    <w:webHidden/>
                  </w:rPr>
                  <w:fldChar w:fldCharType="end"/>
                </w:r>
              </w:hyperlink>
            </w:p>
            <w:p w14:paraId="53664678" w14:textId="17480426" w:rsidR="00400391" w:rsidRDefault="008B34CD" w:rsidP="00400391">
              <w:pPr>
                <w:pStyle w:val="TOC1"/>
                <w:rPr>
                  <w:rFonts w:eastAsiaTheme="minorEastAsia" w:cstheme="minorBidi"/>
                  <w:noProof/>
                  <w:sz w:val="22"/>
                  <w:szCs w:val="22"/>
                  <w:lang w:eastAsia="hr-HR"/>
                </w:rPr>
              </w:pPr>
              <w:hyperlink w:anchor="_Toc165035555" w:history="1">
                <w:r w:rsidR="00400391" w:rsidRPr="00F12BDD">
                  <w:rPr>
                    <w:rStyle w:val="Hyperlink"/>
                    <w:rFonts w:eastAsia="Calibri"/>
                    <w:noProof/>
                  </w:rPr>
                  <w:t>5. IZVJEŠĆE O IZVRŠENJU PLANA ZAPOŠLJAVANJA</w:t>
                </w:r>
                <w:r w:rsidR="00400391">
                  <w:rPr>
                    <w:noProof/>
                    <w:webHidden/>
                  </w:rPr>
                  <w:tab/>
                </w:r>
                <w:r w:rsidR="00400391">
                  <w:rPr>
                    <w:noProof/>
                    <w:webHidden/>
                  </w:rPr>
                  <w:fldChar w:fldCharType="begin"/>
                </w:r>
                <w:r w:rsidR="00400391">
                  <w:rPr>
                    <w:noProof/>
                    <w:webHidden/>
                  </w:rPr>
                  <w:instrText xml:space="preserve"> PAGEREF _Toc165035555 \h </w:instrText>
                </w:r>
                <w:r w:rsidR="00400391">
                  <w:rPr>
                    <w:noProof/>
                    <w:webHidden/>
                  </w:rPr>
                </w:r>
                <w:r w:rsidR="00400391">
                  <w:rPr>
                    <w:noProof/>
                    <w:webHidden/>
                  </w:rPr>
                  <w:fldChar w:fldCharType="separate"/>
                </w:r>
                <w:r w:rsidR="00C86676">
                  <w:rPr>
                    <w:noProof/>
                    <w:webHidden/>
                  </w:rPr>
                  <w:t>141</w:t>
                </w:r>
                <w:r w:rsidR="00400391">
                  <w:rPr>
                    <w:noProof/>
                    <w:webHidden/>
                  </w:rPr>
                  <w:fldChar w:fldCharType="end"/>
                </w:r>
              </w:hyperlink>
            </w:p>
            <w:p w14:paraId="15AA5498" w14:textId="1E37434F" w:rsidR="00400391" w:rsidRDefault="008B34CD" w:rsidP="00400391">
              <w:pPr>
                <w:pStyle w:val="TOC1"/>
                <w:rPr>
                  <w:rFonts w:eastAsiaTheme="minorEastAsia" w:cstheme="minorBidi"/>
                  <w:noProof/>
                  <w:sz w:val="22"/>
                  <w:szCs w:val="22"/>
                  <w:lang w:eastAsia="hr-HR"/>
                </w:rPr>
              </w:pPr>
              <w:hyperlink w:anchor="_Toc165035556" w:history="1">
                <w:r w:rsidR="00400391" w:rsidRPr="00F12BDD">
                  <w:rPr>
                    <w:rStyle w:val="Hyperlink"/>
                    <w:rFonts w:eastAsia="Calibri"/>
                    <w:noProof/>
                  </w:rPr>
                  <w:t>6. IZVJEŠĆE O STRUČNOM USAVRŠAVANJU</w:t>
                </w:r>
                <w:r w:rsidR="00400391">
                  <w:rPr>
                    <w:noProof/>
                    <w:webHidden/>
                  </w:rPr>
                  <w:tab/>
                </w:r>
                <w:r w:rsidR="00400391">
                  <w:rPr>
                    <w:noProof/>
                    <w:webHidden/>
                  </w:rPr>
                  <w:fldChar w:fldCharType="begin"/>
                </w:r>
                <w:r w:rsidR="00400391">
                  <w:rPr>
                    <w:noProof/>
                    <w:webHidden/>
                  </w:rPr>
                  <w:instrText xml:space="preserve"> PAGEREF _Toc165035556 \h </w:instrText>
                </w:r>
                <w:r w:rsidR="00400391">
                  <w:rPr>
                    <w:noProof/>
                    <w:webHidden/>
                  </w:rPr>
                </w:r>
                <w:r w:rsidR="00400391">
                  <w:rPr>
                    <w:noProof/>
                    <w:webHidden/>
                  </w:rPr>
                  <w:fldChar w:fldCharType="separate"/>
                </w:r>
                <w:r w:rsidR="00C86676">
                  <w:rPr>
                    <w:noProof/>
                    <w:webHidden/>
                  </w:rPr>
                  <w:t>144</w:t>
                </w:r>
                <w:r w:rsidR="00400391">
                  <w:rPr>
                    <w:noProof/>
                    <w:webHidden/>
                  </w:rPr>
                  <w:fldChar w:fldCharType="end"/>
                </w:r>
              </w:hyperlink>
            </w:p>
            <w:p w14:paraId="427C0D61" w14:textId="1B570162" w:rsidR="00400391" w:rsidRDefault="008B34CD" w:rsidP="00400391">
              <w:pPr>
                <w:pStyle w:val="TOC1"/>
                <w:rPr>
                  <w:rFonts w:eastAsiaTheme="minorEastAsia" w:cstheme="minorBidi"/>
                  <w:noProof/>
                  <w:sz w:val="22"/>
                  <w:szCs w:val="22"/>
                  <w:lang w:eastAsia="hr-HR"/>
                </w:rPr>
              </w:pPr>
              <w:hyperlink w:anchor="_Toc165035557" w:history="1">
                <w:r w:rsidR="00400391" w:rsidRPr="00F12BDD">
                  <w:rPr>
                    <w:rStyle w:val="Hyperlink"/>
                    <w:noProof/>
                  </w:rPr>
                  <w:t>7. PRIVITCI</w:t>
                </w:r>
                <w:r w:rsidR="00400391">
                  <w:rPr>
                    <w:noProof/>
                    <w:webHidden/>
                  </w:rPr>
                  <w:tab/>
                </w:r>
                <w:r w:rsidR="00400391">
                  <w:rPr>
                    <w:noProof/>
                    <w:webHidden/>
                  </w:rPr>
                  <w:fldChar w:fldCharType="begin"/>
                </w:r>
                <w:r w:rsidR="00400391">
                  <w:rPr>
                    <w:noProof/>
                    <w:webHidden/>
                  </w:rPr>
                  <w:instrText xml:space="preserve"> PAGEREF _Toc165035557 \h </w:instrText>
                </w:r>
                <w:r w:rsidR="00400391">
                  <w:rPr>
                    <w:noProof/>
                    <w:webHidden/>
                  </w:rPr>
                </w:r>
                <w:r w:rsidR="00400391">
                  <w:rPr>
                    <w:noProof/>
                    <w:webHidden/>
                  </w:rPr>
                  <w:fldChar w:fldCharType="separate"/>
                </w:r>
                <w:r w:rsidR="00C86676">
                  <w:rPr>
                    <w:noProof/>
                    <w:webHidden/>
                  </w:rPr>
                  <w:t>147</w:t>
                </w:r>
                <w:r w:rsidR="00400391">
                  <w:rPr>
                    <w:noProof/>
                    <w:webHidden/>
                  </w:rPr>
                  <w:fldChar w:fldCharType="end"/>
                </w:r>
              </w:hyperlink>
            </w:p>
            <w:p w14:paraId="2C1A2AFD" w14:textId="7898FBBA" w:rsidR="00400391" w:rsidRDefault="008B34CD">
              <w:pPr>
                <w:pStyle w:val="TOC2"/>
                <w:rPr>
                  <w:rFonts w:eastAsiaTheme="minorEastAsia" w:cstheme="minorBidi"/>
                  <w:iCs w:val="0"/>
                  <w:noProof/>
                  <w:sz w:val="22"/>
                  <w:szCs w:val="22"/>
                  <w:lang w:eastAsia="hr-HR"/>
                </w:rPr>
              </w:pPr>
              <w:hyperlink w:anchor="_Toc165035558" w:history="1">
                <w:r w:rsidR="00400391" w:rsidRPr="00F12BDD">
                  <w:rPr>
                    <w:rStyle w:val="Hyperlink"/>
                    <w:noProof/>
                  </w:rPr>
                  <w:t>Privitak 1. Popis kratica</w:t>
                </w:r>
                <w:r w:rsidR="00400391">
                  <w:rPr>
                    <w:noProof/>
                    <w:webHidden/>
                  </w:rPr>
                  <w:tab/>
                </w:r>
                <w:r w:rsidR="00400391">
                  <w:rPr>
                    <w:noProof/>
                    <w:webHidden/>
                  </w:rPr>
                  <w:fldChar w:fldCharType="begin"/>
                </w:r>
                <w:r w:rsidR="00400391">
                  <w:rPr>
                    <w:noProof/>
                    <w:webHidden/>
                  </w:rPr>
                  <w:instrText xml:space="preserve"> PAGEREF _Toc165035558 \h </w:instrText>
                </w:r>
                <w:r w:rsidR="00400391">
                  <w:rPr>
                    <w:noProof/>
                    <w:webHidden/>
                  </w:rPr>
                </w:r>
                <w:r w:rsidR="00400391">
                  <w:rPr>
                    <w:noProof/>
                    <w:webHidden/>
                  </w:rPr>
                  <w:fldChar w:fldCharType="separate"/>
                </w:r>
                <w:r w:rsidR="00C86676">
                  <w:rPr>
                    <w:noProof/>
                    <w:webHidden/>
                  </w:rPr>
                  <w:t>147</w:t>
                </w:r>
                <w:r w:rsidR="00400391">
                  <w:rPr>
                    <w:noProof/>
                    <w:webHidden/>
                  </w:rPr>
                  <w:fldChar w:fldCharType="end"/>
                </w:r>
              </w:hyperlink>
            </w:p>
            <w:p w14:paraId="02F00335" w14:textId="6CF1BD0F" w:rsidR="00400391" w:rsidRDefault="008B34CD">
              <w:pPr>
                <w:pStyle w:val="TOC2"/>
                <w:rPr>
                  <w:rFonts w:eastAsiaTheme="minorEastAsia" w:cstheme="minorBidi"/>
                  <w:iCs w:val="0"/>
                  <w:noProof/>
                  <w:sz w:val="22"/>
                  <w:szCs w:val="22"/>
                  <w:lang w:eastAsia="hr-HR"/>
                </w:rPr>
              </w:pPr>
              <w:hyperlink w:anchor="_Toc165035559" w:history="1">
                <w:r w:rsidR="00400391" w:rsidRPr="00F12BDD">
                  <w:rPr>
                    <w:rStyle w:val="Hyperlink"/>
                    <w:noProof/>
                  </w:rPr>
                  <w:t>Privitak 2. Popis tablica</w:t>
                </w:r>
                <w:r w:rsidR="00400391">
                  <w:rPr>
                    <w:noProof/>
                    <w:webHidden/>
                  </w:rPr>
                  <w:tab/>
                </w:r>
                <w:r w:rsidR="00400391">
                  <w:rPr>
                    <w:noProof/>
                    <w:webHidden/>
                  </w:rPr>
                  <w:fldChar w:fldCharType="begin"/>
                </w:r>
                <w:r w:rsidR="00400391">
                  <w:rPr>
                    <w:noProof/>
                    <w:webHidden/>
                  </w:rPr>
                  <w:instrText xml:space="preserve"> PAGEREF _Toc165035559 \h </w:instrText>
                </w:r>
                <w:r w:rsidR="00400391">
                  <w:rPr>
                    <w:noProof/>
                    <w:webHidden/>
                  </w:rPr>
                </w:r>
                <w:r w:rsidR="00400391">
                  <w:rPr>
                    <w:noProof/>
                    <w:webHidden/>
                  </w:rPr>
                  <w:fldChar w:fldCharType="separate"/>
                </w:r>
                <w:r w:rsidR="00C86676">
                  <w:rPr>
                    <w:noProof/>
                    <w:webHidden/>
                  </w:rPr>
                  <w:t>150</w:t>
                </w:r>
                <w:r w:rsidR="00400391">
                  <w:rPr>
                    <w:noProof/>
                    <w:webHidden/>
                  </w:rPr>
                  <w:fldChar w:fldCharType="end"/>
                </w:r>
              </w:hyperlink>
            </w:p>
            <w:p w14:paraId="4CB7ACD2" w14:textId="35C25EA0" w:rsidR="00400391" w:rsidRDefault="008B34CD">
              <w:pPr>
                <w:pStyle w:val="TOC2"/>
                <w:rPr>
                  <w:rFonts w:eastAsiaTheme="minorEastAsia" w:cstheme="minorBidi"/>
                  <w:iCs w:val="0"/>
                  <w:noProof/>
                  <w:sz w:val="22"/>
                  <w:szCs w:val="22"/>
                  <w:lang w:eastAsia="hr-HR"/>
                </w:rPr>
              </w:pPr>
              <w:hyperlink w:anchor="_Toc165035560" w:history="1">
                <w:r w:rsidR="00400391" w:rsidRPr="00F12BDD">
                  <w:rPr>
                    <w:rStyle w:val="Hyperlink"/>
                    <w:noProof/>
                  </w:rPr>
                  <w:t>Privitak 3.  Popis sudjelovanja na radnim sastancima izvan HALMED-a i virtualno u 2023. godini</w:t>
                </w:r>
                <w:r w:rsidR="00400391">
                  <w:rPr>
                    <w:noProof/>
                    <w:webHidden/>
                  </w:rPr>
                  <w:tab/>
                </w:r>
                <w:r w:rsidR="00400391">
                  <w:rPr>
                    <w:noProof/>
                    <w:webHidden/>
                  </w:rPr>
                  <w:fldChar w:fldCharType="begin"/>
                </w:r>
                <w:r w:rsidR="00400391">
                  <w:rPr>
                    <w:noProof/>
                    <w:webHidden/>
                  </w:rPr>
                  <w:instrText xml:space="preserve"> PAGEREF _Toc165035560 \h </w:instrText>
                </w:r>
                <w:r w:rsidR="00400391">
                  <w:rPr>
                    <w:noProof/>
                    <w:webHidden/>
                  </w:rPr>
                </w:r>
                <w:r w:rsidR="00400391">
                  <w:rPr>
                    <w:noProof/>
                    <w:webHidden/>
                  </w:rPr>
                  <w:fldChar w:fldCharType="separate"/>
                </w:r>
                <w:r w:rsidR="00C86676">
                  <w:rPr>
                    <w:noProof/>
                    <w:webHidden/>
                  </w:rPr>
                  <w:t>152</w:t>
                </w:r>
                <w:r w:rsidR="00400391">
                  <w:rPr>
                    <w:noProof/>
                    <w:webHidden/>
                  </w:rPr>
                  <w:fldChar w:fldCharType="end"/>
                </w:r>
              </w:hyperlink>
            </w:p>
            <w:p w14:paraId="3D6DC058" w14:textId="42571366" w:rsidR="00400391" w:rsidRDefault="008B34CD">
              <w:pPr>
                <w:pStyle w:val="TOC2"/>
                <w:rPr>
                  <w:rFonts w:eastAsiaTheme="minorEastAsia" w:cstheme="minorBidi"/>
                  <w:iCs w:val="0"/>
                  <w:noProof/>
                  <w:sz w:val="22"/>
                  <w:szCs w:val="22"/>
                  <w:lang w:eastAsia="hr-HR"/>
                </w:rPr>
              </w:pPr>
              <w:hyperlink w:anchor="_Toc165035561" w:history="1">
                <w:r w:rsidR="00400391" w:rsidRPr="00F12BDD">
                  <w:rPr>
                    <w:rStyle w:val="Hyperlink"/>
                    <w:noProof/>
                  </w:rPr>
                  <w:t>Privitak 4. Ocjena učinkovitosti provedbe Strateškog plana 2022-2024. za 2023. godinu</w:t>
                </w:r>
                <w:r w:rsidR="00400391">
                  <w:rPr>
                    <w:noProof/>
                    <w:webHidden/>
                  </w:rPr>
                  <w:tab/>
                </w:r>
                <w:r w:rsidR="00400391">
                  <w:rPr>
                    <w:noProof/>
                    <w:webHidden/>
                  </w:rPr>
                  <w:fldChar w:fldCharType="begin"/>
                </w:r>
                <w:r w:rsidR="00400391">
                  <w:rPr>
                    <w:noProof/>
                    <w:webHidden/>
                  </w:rPr>
                  <w:instrText xml:space="preserve"> PAGEREF _Toc165035561 \h </w:instrText>
                </w:r>
                <w:r w:rsidR="00400391">
                  <w:rPr>
                    <w:noProof/>
                    <w:webHidden/>
                  </w:rPr>
                </w:r>
                <w:r w:rsidR="00400391">
                  <w:rPr>
                    <w:noProof/>
                    <w:webHidden/>
                  </w:rPr>
                  <w:fldChar w:fldCharType="separate"/>
                </w:r>
                <w:r w:rsidR="00C86676">
                  <w:rPr>
                    <w:noProof/>
                    <w:webHidden/>
                  </w:rPr>
                  <w:t>168</w:t>
                </w:r>
                <w:r w:rsidR="00400391">
                  <w:rPr>
                    <w:noProof/>
                    <w:webHidden/>
                  </w:rPr>
                  <w:fldChar w:fldCharType="end"/>
                </w:r>
              </w:hyperlink>
            </w:p>
            <w:p w14:paraId="3678C876" w14:textId="2E17A505" w:rsidR="00400391" w:rsidRDefault="008B34CD">
              <w:pPr>
                <w:pStyle w:val="TOC3"/>
                <w:rPr>
                  <w:rFonts w:eastAsiaTheme="minorEastAsia" w:cstheme="minorBidi"/>
                  <w:noProof/>
                  <w:sz w:val="22"/>
                  <w:szCs w:val="22"/>
                  <w:lang w:eastAsia="hr-HR"/>
                </w:rPr>
              </w:pPr>
              <w:hyperlink w:anchor="_Toc165035562" w:history="1">
                <w:r w:rsidR="00400391" w:rsidRPr="00F12BDD">
                  <w:rPr>
                    <w:rStyle w:val="Hyperlink"/>
                    <w:rFonts w:eastAsia="Calibri"/>
                    <w:noProof/>
                  </w:rPr>
                  <w:t>Strateški cilj 1: Dostupnost, sigurna primjena lijekova i medicinskih proizvoda i zaštita javnog zdravlja</w:t>
                </w:r>
                <w:r w:rsidR="00400391">
                  <w:rPr>
                    <w:noProof/>
                    <w:webHidden/>
                  </w:rPr>
                  <w:tab/>
                </w:r>
                <w:r w:rsidR="00400391">
                  <w:rPr>
                    <w:noProof/>
                    <w:webHidden/>
                  </w:rPr>
                  <w:fldChar w:fldCharType="begin"/>
                </w:r>
                <w:r w:rsidR="00400391">
                  <w:rPr>
                    <w:noProof/>
                    <w:webHidden/>
                  </w:rPr>
                  <w:instrText xml:space="preserve"> PAGEREF _Toc165035562 \h </w:instrText>
                </w:r>
                <w:r w:rsidR="00400391">
                  <w:rPr>
                    <w:noProof/>
                    <w:webHidden/>
                  </w:rPr>
                </w:r>
                <w:r w:rsidR="00400391">
                  <w:rPr>
                    <w:noProof/>
                    <w:webHidden/>
                  </w:rPr>
                  <w:fldChar w:fldCharType="separate"/>
                </w:r>
                <w:r w:rsidR="00C86676">
                  <w:rPr>
                    <w:noProof/>
                    <w:webHidden/>
                  </w:rPr>
                  <w:t>168</w:t>
                </w:r>
                <w:r w:rsidR="00400391">
                  <w:rPr>
                    <w:noProof/>
                    <w:webHidden/>
                  </w:rPr>
                  <w:fldChar w:fldCharType="end"/>
                </w:r>
              </w:hyperlink>
            </w:p>
            <w:p w14:paraId="52AF1E33" w14:textId="32063989" w:rsidR="00400391" w:rsidRDefault="008B34CD">
              <w:pPr>
                <w:pStyle w:val="TOC3"/>
                <w:rPr>
                  <w:rFonts w:eastAsiaTheme="minorEastAsia" w:cstheme="minorBidi"/>
                  <w:noProof/>
                  <w:sz w:val="22"/>
                  <w:szCs w:val="22"/>
                  <w:lang w:eastAsia="hr-HR"/>
                </w:rPr>
              </w:pPr>
              <w:hyperlink w:anchor="_Toc165035563" w:history="1">
                <w:r w:rsidR="00400391" w:rsidRPr="00F12BDD">
                  <w:rPr>
                    <w:rStyle w:val="Hyperlink"/>
                    <w:rFonts w:eastAsia="Calibri"/>
                    <w:noProof/>
                  </w:rPr>
                  <w:t>Strateški cilj 2: Doprinos europskoj regulatornoj mreži i operativna izvrsnost</w:t>
                </w:r>
                <w:r w:rsidR="00400391">
                  <w:rPr>
                    <w:noProof/>
                    <w:webHidden/>
                  </w:rPr>
                  <w:tab/>
                </w:r>
                <w:r w:rsidR="00400391">
                  <w:rPr>
                    <w:noProof/>
                    <w:webHidden/>
                  </w:rPr>
                  <w:fldChar w:fldCharType="begin"/>
                </w:r>
                <w:r w:rsidR="00400391">
                  <w:rPr>
                    <w:noProof/>
                    <w:webHidden/>
                  </w:rPr>
                  <w:instrText xml:space="preserve"> PAGEREF _Toc165035563 \h </w:instrText>
                </w:r>
                <w:r w:rsidR="00400391">
                  <w:rPr>
                    <w:noProof/>
                    <w:webHidden/>
                  </w:rPr>
                </w:r>
                <w:r w:rsidR="00400391">
                  <w:rPr>
                    <w:noProof/>
                    <w:webHidden/>
                  </w:rPr>
                  <w:fldChar w:fldCharType="separate"/>
                </w:r>
                <w:r w:rsidR="00C86676">
                  <w:rPr>
                    <w:noProof/>
                    <w:webHidden/>
                  </w:rPr>
                  <w:t>169</w:t>
                </w:r>
                <w:r w:rsidR="00400391">
                  <w:rPr>
                    <w:noProof/>
                    <w:webHidden/>
                  </w:rPr>
                  <w:fldChar w:fldCharType="end"/>
                </w:r>
              </w:hyperlink>
            </w:p>
            <w:p w14:paraId="2326615F" w14:textId="4E6909F3" w:rsidR="00400391" w:rsidRDefault="008B34CD">
              <w:pPr>
                <w:pStyle w:val="TOC3"/>
                <w:rPr>
                  <w:rFonts w:eastAsiaTheme="minorEastAsia" w:cstheme="minorBidi"/>
                  <w:noProof/>
                  <w:sz w:val="22"/>
                  <w:szCs w:val="22"/>
                  <w:lang w:eastAsia="hr-HR"/>
                </w:rPr>
              </w:pPr>
              <w:hyperlink w:anchor="_Toc165035564" w:history="1">
                <w:r w:rsidR="00400391" w:rsidRPr="00F12BDD">
                  <w:rPr>
                    <w:rStyle w:val="Hyperlink"/>
                    <w:rFonts w:eastAsia="Calibri"/>
                    <w:noProof/>
                  </w:rPr>
                  <w:t>Strateški cilj 3: Jačanje uloge HALMED-a, regulatornog okvira i optimiranje procesa</w:t>
                </w:r>
                <w:r w:rsidR="00400391">
                  <w:rPr>
                    <w:noProof/>
                    <w:webHidden/>
                  </w:rPr>
                  <w:tab/>
                </w:r>
                <w:r w:rsidR="00400391">
                  <w:rPr>
                    <w:noProof/>
                    <w:webHidden/>
                  </w:rPr>
                  <w:fldChar w:fldCharType="begin"/>
                </w:r>
                <w:r w:rsidR="00400391">
                  <w:rPr>
                    <w:noProof/>
                    <w:webHidden/>
                  </w:rPr>
                  <w:instrText xml:space="preserve"> PAGEREF _Toc165035564 \h </w:instrText>
                </w:r>
                <w:r w:rsidR="00400391">
                  <w:rPr>
                    <w:noProof/>
                    <w:webHidden/>
                  </w:rPr>
                </w:r>
                <w:r w:rsidR="00400391">
                  <w:rPr>
                    <w:noProof/>
                    <w:webHidden/>
                  </w:rPr>
                  <w:fldChar w:fldCharType="separate"/>
                </w:r>
                <w:r w:rsidR="00C86676">
                  <w:rPr>
                    <w:noProof/>
                    <w:webHidden/>
                  </w:rPr>
                  <w:t>172</w:t>
                </w:r>
                <w:r w:rsidR="00400391">
                  <w:rPr>
                    <w:noProof/>
                    <w:webHidden/>
                  </w:rPr>
                  <w:fldChar w:fldCharType="end"/>
                </w:r>
              </w:hyperlink>
            </w:p>
            <w:p w14:paraId="127240FF" w14:textId="20A78480" w:rsidR="00400391" w:rsidRDefault="008B34CD">
              <w:pPr>
                <w:pStyle w:val="TOC2"/>
                <w:rPr>
                  <w:rFonts w:eastAsiaTheme="minorEastAsia" w:cstheme="minorBidi"/>
                  <w:iCs w:val="0"/>
                  <w:noProof/>
                  <w:sz w:val="22"/>
                  <w:szCs w:val="22"/>
                  <w:lang w:eastAsia="hr-HR"/>
                </w:rPr>
              </w:pPr>
              <w:hyperlink w:anchor="_Toc165035565" w:history="1">
                <w:r w:rsidR="00400391" w:rsidRPr="00F12BDD">
                  <w:rPr>
                    <w:rStyle w:val="Hyperlink"/>
                    <w:noProof/>
                  </w:rPr>
                  <w:t>Privitak 5. Analiza odnosa nacionalnih i europskih poslova</w:t>
                </w:r>
                <w:r w:rsidR="00400391">
                  <w:rPr>
                    <w:noProof/>
                    <w:webHidden/>
                  </w:rPr>
                  <w:tab/>
                </w:r>
                <w:r w:rsidR="00400391">
                  <w:rPr>
                    <w:noProof/>
                    <w:webHidden/>
                  </w:rPr>
                  <w:fldChar w:fldCharType="begin"/>
                </w:r>
                <w:r w:rsidR="00400391">
                  <w:rPr>
                    <w:noProof/>
                    <w:webHidden/>
                  </w:rPr>
                  <w:instrText xml:space="preserve"> PAGEREF _Toc165035565 \h </w:instrText>
                </w:r>
                <w:r w:rsidR="00400391">
                  <w:rPr>
                    <w:noProof/>
                    <w:webHidden/>
                  </w:rPr>
                </w:r>
                <w:r w:rsidR="00400391">
                  <w:rPr>
                    <w:noProof/>
                    <w:webHidden/>
                  </w:rPr>
                  <w:fldChar w:fldCharType="separate"/>
                </w:r>
                <w:r w:rsidR="00C86676">
                  <w:rPr>
                    <w:noProof/>
                    <w:webHidden/>
                  </w:rPr>
                  <w:t>175</w:t>
                </w:r>
                <w:r w:rsidR="00400391">
                  <w:rPr>
                    <w:noProof/>
                    <w:webHidden/>
                  </w:rPr>
                  <w:fldChar w:fldCharType="end"/>
                </w:r>
              </w:hyperlink>
            </w:p>
            <w:p w14:paraId="4434350D" w14:textId="01CDB3F5" w:rsidR="00400391" w:rsidRDefault="008B34CD">
              <w:pPr>
                <w:pStyle w:val="TOC2"/>
                <w:rPr>
                  <w:rFonts w:eastAsiaTheme="minorEastAsia" w:cstheme="minorBidi"/>
                  <w:iCs w:val="0"/>
                  <w:noProof/>
                  <w:sz w:val="22"/>
                  <w:szCs w:val="22"/>
                  <w:lang w:eastAsia="hr-HR"/>
                </w:rPr>
              </w:pPr>
              <w:hyperlink w:anchor="_Toc165035566" w:history="1">
                <w:r w:rsidR="00400391" w:rsidRPr="00F12BDD">
                  <w:rPr>
                    <w:rStyle w:val="Hyperlink"/>
                    <w:noProof/>
                  </w:rPr>
                  <w:t>Privitak 6. Pregled sklopljenih ugovora o javnoj nabavi i okvirnih sporazuma i izvršenja za 2023.godinu</w:t>
                </w:r>
                <w:r w:rsidR="00400391">
                  <w:rPr>
                    <w:noProof/>
                    <w:webHidden/>
                  </w:rPr>
                  <w:tab/>
                </w:r>
                <w:r w:rsidR="00400391">
                  <w:rPr>
                    <w:noProof/>
                    <w:webHidden/>
                  </w:rPr>
                  <w:fldChar w:fldCharType="begin"/>
                </w:r>
                <w:r w:rsidR="00400391">
                  <w:rPr>
                    <w:noProof/>
                    <w:webHidden/>
                  </w:rPr>
                  <w:instrText xml:space="preserve"> PAGEREF _Toc165035566 \h </w:instrText>
                </w:r>
                <w:r w:rsidR="00400391">
                  <w:rPr>
                    <w:noProof/>
                    <w:webHidden/>
                  </w:rPr>
                </w:r>
                <w:r w:rsidR="00400391">
                  <w:rPr>
                    <w:noProof/>
                    <w:webHidden/>
                  </w:rPr>
                  <w:fldChar w:fldCharType="separate"/>
                </w:r>
                <w:r w:rsidR="00C86676">
                  <w:rPr>
                    <w:noProof/>
                    <w:webHidden/>
                  </w:rPr>
                  <w:t>177</w:t>
                </w:r>
                <w:r w:rsidR="00400391">
                  <w:rPr>
                    <w:noProof/>
                    <w:webHidden/>
                  </w:rPr>
                  <w:fldChar w:fldCharType="end"/>
                </w:r>
              </w:hyperlink>
            </w:p>
            <w:p w14:paraId="0542055D" w14:textId="020F8ED9" w:rsidR="00AA41EB" w:rsidRDefault="00AA41EB" w:rsidP="00AA41EB">
              <w:r w:rsidRPr="00A826B9">
                <w:rPr>
                  <w:bCs/>
                </w:rPr>
                <w:fldChar w:fldCharType="end"/>
              </w:r>
            </w:p>
          </w:sdtContent>
        </w:sdt>
      </w:sdtContent>
    </w:sdt>
    <w:bookmarkStart w:id="9" w:name="_Toc514929928" w:displacedByCustomXml="prev"/>
    <w:bookmarkStart w:id="10" w:name="_Toc530140464" w:displacedByCustomXml="prev"/>
    <w:p w14:paraId="50D46C51" w14:textId="77777777" w:rsidR="00AA41EB" w:rsidRDefault="00AA41EB" w:rsidP="00AA41EB">
      <w:pPr>
        <w:spacing w:after="200" w:line="276" w:lineRule="auto"/>
        <w:rPr>
          <w:rFonts w:eastAsiaTheme="majorEastAsia" w:cstheme="minorHAnsi"/>
          <w:b/>
          <w:bCs/>
          <w:color w:val="4472C4" w:themeColor="accent5"/>
          <w:sz w:val="32"/>
          <w:szCs w:val="32"/>
        </w:rPr>
      </w:pPr>
      <w:r>
        <w:br w:type="page"/>
      </w:r>
    </w:p>
    <w:p w14:paraId="004C4DB9" w14:textId="04FFC473" w:rsidR="00AA41EB" w:rsidRPr="00B60D0E" w:rsidRDefault="00AA41EB" w:rsidP="00AA41EB">
      <w:pPr>
        <w:pStyle w:val="Heading1"/>
      </w:pPr>
      <w:bookmarkStart w:id="11" w:name="_Toc165035426"/>
      <w:r w:rsidRPr="008B0F28">
        <w:lastRenderedPageBreak/>
        <w:t>1.</w:t>
      </w:r>
      <w:r>
        <w:t xml:space="preserve"> </w:t>
      </w:r>
      <w:r w:rsidRPr="00B60D0E">
        <w:t>UVOD</w:t>
      </w:r>
      <w:bookmarkEnd w:id="11"/>
      <w:bookmarkEnd w:id="10"/>
      <w:bookmarkEnd w:id="9"/>
    </w:p>
    <w:p w14:paraId="0A4E7413" w14:textId="77777777" w:rsidR="00AA41EB" w:rsidRPr="0012149B" w:rsidRDefault="00AA41EB" w:rsidP="00AA41EB">
      <w:pPr>
        <w:spacing w:after="240" w:line="276" w:lineRule="auto"/>
        <w:jc w:val="both"/>
      </w:pPr>
      <w:r>
        <w:t xml:space="preserve">Agencija za lijekove i medicinske </w:t>
      </w:r>
      <w:r w:rsidRPr="0012149B">
        <w:t xml:space="preserve">proizvode (HALMED) je pravna osoba s javnim ovlastima koja svoje poslove obavlja sukladno Zakonu o lijekovima (Narodne novine, br. </w:t>
      </w:r>
      <w:hyperlink r:id="rId9" w:history="1">
        <w:r w:rsidRPr="0012149B">
          <w:rPr>
            <w:rStyle w:val="Hyperlink"/>
            <w:color w:val="auto"/>
            <w:u w:val="none"/>
          </w:rPr>
          <w:t>76/13.</w:t>
        </w:r>
      </w:hyperlink>
      <w:r w:rsidRPr="0012149B">
        <w:t xml:space="preserve">, </w:t>
      </w:r>
      <w:hyperlink r:id="rId10" w:history="1">
        <w:r w:rsidRPr="0012149B">
          <w:rPr>
            <w:rStyle w:val="Hyperlink"/>
            <w:color w:val="auto"/>
            <w:u w:val="none"/>
          </w:rPr>
          <w:t>90/14.</w:t>
        </w:r>
      </w:hyperlink>
      <w:r w:rsidRPr="0012149B">
        <w:t xml:space="preserve"> </w:t>
      </w:r>
      <w:r w:rsidRPr="0012149B">
        <w:rPr>
          <w:rStyle w:val="Heading1Char"/>
          <w:b w:val="0"/>
          <w:color w:val="auto"/>
          <w:sz w:val="22"/>
          <w:szCs w:val="22"/>
        </w:rPr>
        <w:t>i 100/18.</w:t>
      </w:r>
      <w:r w:rsidRPr="0012149B">
        <w:t xml:space="preserve">), Zakonu o medicinskim proizvodima (Narodne novine, br. </w:t>
      </w:r>
      <w:hyperlink r:id="rId11" w:history="1">
        <w:r w:rsidRPr="0012149B">
          <w:rPr>
            <w:rStyle w:val="Hyperlink"/>
            <w:color w:val="auto"/>
            <w:u w:val="none"/>
          </w:rPr>
          <w:t>76/13.</w:t>
        </w:r>
      </w:hyperlink>
      <w:r w:rsidRPr="0012149B">
        <w:t xml:space="preserve">) i Zakonu o veterinarsko-medicinskim proizvodima (Narodne novine </w:t>
      </w:r>
      <w:r w:rsidRPr="0012149B">
        <w:rPr>
          <w:rStyle w:val="Heading1Char"/>
          <w:b w:val="0"/>
          <w:color w:val="auto"/>
          <w:sz w:val="22"/>
          <w:szCs w:val="22"/>
        </w:rPr>
        <w:t>32/19.</w:t>
      </w:r>
      <w:r w:rsidRPr="0012149B">
        <w:t>).</w:t>
      </w:r>
    </w:p>
    <w:p w14:paraId="7EC7A36A" w14:textId="77777777" w:rsidR="00AA41EB" w:rsidRDefault="00AA41EB" w:rsidP="00AA41EB">
      <w:pPr>
        <w:spacing w:before="240" w:after="240" w:line="276" w:lineRule="auto"/>
        <w:jc w:val="both"/>
      </w:pPr>
      <w:r>
        <w:t>HALMED nije korisnik državnog proračuna, odnosno u potpunosti se financira naplaćivanjem usluga i godišnjih pristojbi iz svog djelokruga rada. HALMED obavlja i niz neprihodovnih usluga koje su od općeg interesa za javno zdravstvo.</w:t>
      </w:r>
    </w:p>
    <w:p w14:paraId="4BD50FA9" w14:textId="77777777" w:rsidR="00AA41EB" w:rsidRDefault="00AA41EB" w:rsidP="00AA41EB">
      <w:pPr>
        <w:spacing w:after="240" w:line="276" w:lineRule="auto"/>
        <w:jc w:val="both"/>
      </w:pPr>
      <w:r w:rsidRPr="00325D45">
        <w:t xml:space="preserve">Od pristupanja Republike Hrvatske Europskoj uniji, HALMED aktivno sudjeluje u </w:t>
      </w:r>
      <w:r>
        <w:t>radu europskih tijela za područje lijekova i medicinskih proizvoda.</w:t>
      </w:r>
      <w:r w:rsidRPr="00325D45">
        <w:t xml:space="preserve"> </w:t>
      </w:r>
    </w:p>
    <w:p w14:paraId="47C6A22E" w14:textId="4FFE46C4" w:rsidR="00AA41EB" w:rsidRDefault="00AA41EB" w:rsidP="00AA41EB">
      <w:pPr>
        <w:spacing w:after="240" w:line="276" w:lineRule="auto"/>
        <w:jc w:val="both"/>
      </w:pPr>
      <w:r w:rsidRPr="00E11A88">
        <w:t xml:space="preserve">Sukladno članku 21. </w:t>
      </w:r>
      <w:r w:rsidRPr="008879E4">
        <w:t>Statuta Agencije za lijekove i medicinske proizvode</w:t>
      </w:r>
      <w:r w:rsidRPr="00E11A88">
        <w:t xml:space="preserve">, HALMED o svom poslovanju podnosi Upravnom vijeću </w:t>
      </w:r>
      <w:r>
        <w:t>I</w:t>
      </w:r>
      <w:r w:rsidRPr="00E11A88">
        <w:t xml:space="preserve">zvješće </w:t>
      </w:r>
      <w:r>
        <w:t xml:space="preserve">o izvršenju poslovnog plana za razdoblje od 1. siječnja do </w:t>
      </w:r>
      <w:r w:rsidR="00947AE4">
        <w:t>31. prosinca</w:t>
      </w:r>
      <w:r w:rsidR="00CF0BB1">
        <w:t xml:space="preserve"> </w:t>
      </w:r>
      <w:r>
        <w:t>202</w:t>
      </w:r>
      <w:r w:rsidR="00B6377B">
        <w:t>3</w:t>
      </w:r>
      <w:r>
        <w:t>. godine.</w:t>
      </w:r>
    </w:p>
    <w:p w14:paraId="6D56238B" w14:textId="1A33C8A9" w:rsidR="00606829" w:rsidRDefault="00D930B2" w:rsidP="00AA41EB">
      <w:pPr>
        <w:spacing w:after="240" w:line="276" w:lineRule="auto"/>
        <w:jc w:val="both"/>
      </w:pPr>
      <w:r>
        <w:t>U prosincu 2023. godine Vlada Republike Hrvatska usvojila je Akcijski plan za smanjenje neporeznih i parafiskalnih davanja u 2023. za 2024. godinu</w:t>
      </w:r>
      <w:r w:rsidR="00B603B2">
        <w:t xml:space="preserve"> kojim je predviđeno da </w:t>
      </w:r>
      <w:r>
        <w:t xml:space="preserve">HALMED za mjere rasterećenja iz svoje nadležnosti, a u okviru mjera rasterećenja Ministarstva zdravstva smanji </w:t>
      </w:r>
      <w:r w:rsidR="00B603B2">
        <w:t xml:space="preserve">ili u cijelosti ukine </w:t>
      </w:r>
      <w:r>
        <w:t xml:space="preserve">naknade za obavljanje </w:t>
      </w:r>
      <w:r w:rsidR="00606829">
        <w:t>usluga</w:t>
      </w:r>
      <w:r w:rsidR="00B603B2">
        <w:t>.</w:t>
      </w:r>
      <w:r w:rsidR="00606829">
        <w:t xml:space="preserve">  </w:t>
      </w:r>
    </w:p>
    <w:p w14:paraId="2A48AC1C" w14:textId="623A9A61" w:rsidR="00AA41EB" w:rsidRDefault="00B603B2" w:rsidP="00AA41EB">
      <w:pPr>
        <w:spacing w:after="240" w:line="276" w:lineRule="auto"/>
        <w:jc w:val="both"/>
      </w:pPr>
      <w:r>
        <w:t>Iz</w:t>
      </w:r>
      <w:r w:rsidR="00AA41EB" w:rsidRPr="00E11A88">
        <w:t xml:space="preserve">vješće je podijeljeno u </w:t>
      </w:r>
      <w:r w:rsidR="00AA41EB" w:rsidRPr="006736F7">
        <w:t>6</w:t>
      </w:r>
      <w:r w:rsidR="00AA41EB">
        <w:t xml:space="preserve"> </w:t>
      </w:r>
      <w:r w:rsidR="00AA41EB" w:rsidRPr="00426795">
        <w:t>poglavlja.</w:t>
      </w:r>
      <w:r w:rsidR="00AA41EB">
        <w:t xml:space="preserve"> Prvo poglavlje sadrži misiju, viziju, vrijednosti, strateške ciljeve, unutrašnji ustroj HALMED-a, poslove za koje je HALMED nadležan u skladu sa zakonskim propisima te prikaz institucija u Republici Hrvatskoj i u Europskoj Uniji s kojima HALMED surađuje. U</w:t>
      </w:r>
      <w:r w:rsidR="00AA41EB" w:rsidRPr="00426795">
        <w:t xml:space="preserve"> poglavljima 2. </w:t>
      </w:r>
      <w:r w:rsidR="00AA41EB">
        <w:t>do</w:t>
      </w:r>
      <w:r w:rsidR="00AA41EB" w:rsidRPr="00426795">
        <w:t xml:space="preserve"> </w:t>
      </w:r>
      <w:r w:rsidR="00AA41EB">
        <w:t>6</w:t>
      </w:r>
      <w:r w:rsidR="00AF61AF">
        <w:t>.</w:t>
      </w:r>
      <w:r w:rsidR="00AA41EB" w:rsidRPr="00426795">
        <w:t xml:space="preserve"> </w:t>
      </w:r>
      <w:r w:rsidR="00AA41EB">
        <w:t>prikazana je r</w:t>
      </w:r>
      <w:r w:rsidR="00AA41EB" w:rsidRPr="00426795">
        <w:t xml:space="preserve">ealizacija </w:t>
      </w:r>
      <w:r w:rsidR="00AA41EB">
        <w:t>poslova</w:t>
      </w:r>
      <w:r w:rsidR="00AA41EB" w:rsidRPr="00426795">
        <w:t xml:space="preserve"> i aktivnosti HALMED-a koja se odnose na</w:t>
      </w:r>
      <w:r w:rsidR="00AA41EB">
        <w:t>:</w:t>
      </w:r>
      <w:r w:rsidR="00AA41EB" w:rsidRPr="00426795">
        <w:t xml:space="preserve"> izvršenje plana rada, financijsko izvješće, izvješće o izvršenju plana nabave</w:t>
      </w:r>
      <w:r w:rsidR="00AA41EB">
        <w:t xml:space="preserve">, </w:t>
      </w:r>
      <w:r w:rsidR="00AA41EB" w:rsidRPr="00AF1D05">
        <w:t xml:space="preserve">izvješće o </w:t>
      </w:r>
      <w:r w:rsidR="00AA41EB">
        <w:t xml:space="preserve">izvršenju plana zapošljavanja </w:t>
      </w:r>
      <w:r w:rsidR="00AA41EB" w:rsidRPr="00AF1D05">
        <w:t>i izvješće o stručnom usavršavanju zaposlenika.</w:t>
      </w:r>
      <w:r w:rsidR="00AA41EB">
        <w:t xml:space="preserve"> </w:t>
      </w:r>
    </w:p>
    <w:p w14:paraId="40FF6924" w14:textId="77777777" w:rsidR="00AA41EB" w:rsidRDefault="00AA41EB" w:rsidP="00AA41EB">
      <w:pPr>
        <w:rPr>
          <w:rFonts w:ascii="Palatino Linotype" w:hAnsi="Palatino Linotype"/>
          <w:b/>
          <w:bCs/>
          <w:color w:val="44546A" w:themeColor="text2"/>
          <w:sz w:val="72"/>
          <w:szCs w:val="72"/>
        </w:rPr>
      </w:pPr>
    </w:p>
    <w:p w14:paraId="2171620C" w14:textId="77777777" w:rsidR="00AA41EB" w:rsidRDefault="00AA41EB" w:rsidP="00AA41EB">
      <w:pPr>
        <w:spacing w:after="200" w:line="276" w:lineRule="auto"/>
        <w:jc w:val="both"/>
      </w:pPr>
      <w:r>
        <w:t xml:space="preserve"> </w:t>
      </w:r>
      <w:r>
        <w:br w:type="page"/>
      </w:r>
    </w:p>
    <w:p w14:paraId="15CB2347" w14:textId="77777777" w:rsidR="00AA41EB" w:rsidRPr="00F13DF2" w:rsidRDefault="00AA41EB" w:rsidP="00AA41EB">
      <w:pPr>
        <w:pStyle w:val="Heading2"/>
        <w:jc w:val="both"/>
      </w:pPr>
      <w:bookmarkStart w:id="12" w:name="_Toc514929929"/>
      <w:bookmarkStart w:id="13" w:name="_Toc530140465"/>
      <w:bookmarkStart w:id="14" w:name="_Toc165035427"/>
      <w:r>
        <w:lastRenderedPageBreak/>
        <w:t xml:space="preserve">1.1. </w:t>
      </w:r>
      <w:r w:rsidRPr="00F13DF2">
        <w:t>Profil HALMED-a</w:t>
      </w:r>
      <w:bookmarkEnd w:id="12"/>
      <w:bookmarkEnd w:id="13"/>
      <w:bookmarkEnd w:id="14"/>
    </w:p>
    <w:p w14:paraId="2D15281F" w14:textId="07CF489D" w:rsidR="00AA41EB" w:rsidRDefault="00AA41EB" w:rsidP="00AA41EB">
      <w:pPr>
        <w:spacing w:line="276" w:lineRule="auto"/>
        <w:jc w:val="both"/>
      </w:pPr>
      <w:r>
        <w:t xml:space="preserve">U skladu s ciljevima nacionalnih strategija iz djelokruga rada HALMED-a,  Provedbenog programa Ministarstva zdravstva za razdoblje 2021. ─ 2024. te važećim europskim regulatornim zahtjevima za lijekove i medicinske proizvode i strategije razvoja Europske unije, uključujući zajedničku strategiju Europske agencije za lijekove (EMA) i Mreže nacionalnih agencija za lijekove (HMA) za razdoblje od 2020. do 2025. godine (European medicines agencies network strategy to 2025: „Protecting public health at a time of rapid change“), Farmaceutsku strategiju za Europu Europske komisije („Pharmaceutical Strategy for Europe, European Commission“), kao i </w:t>
      </w:r>
      <w:r w:rsidR="00AF42DE">
        <w:t>„</w:t>
      </w:r>
      <w:r>
        <w:t>eHealth Strategic Development Plan for Croatia 2020-2027</w:t>
      </w:r>
      <w:r w:rsidR="00AF42DE">
        <w:t>.</w:t>
      </w:r>
      <w:r w:rsidR="00AF61AF">
        <w:t>“</w:t>
      </w:r>
      <w:r w:rsidRPr="007C34AE">
        <w:t xml:space="preserve"> </w:t>
      </w:r>
      <w:r>
        <w:t xml:space="preserve"> </w:t>
      </w:r>
      <w:r w:rsidRPr="007F28A1">
        <w:t xml:space="preserve">HALMED je izradio dokument </w:t>
      </w:r>
      <w:r>
        <w:t xml:space="preserve">Strateški plan Agencije za lijekove i medicinske proizvode za razdoblje od 2022. do 2024. godine. Strateškim planom </w:t>
      </w:r>
      <w:r w:rsidRPr="00A92EA5">
        <w:t xml:space="preserve">utvrđeni su strateški </w:t>
      </w:r>
      <w:r>
        <w:t xml:space="preserve">i operativni </w:t>
      </w:r>
      <w:r w:rsidRPr="00A92EA5">
        <w:t xml:space="preserve">ciljevi </w:t>
      </w:r>
      <w:r>
        <w:t xml:space="preserve">te </w:t>
      </w:r>
      <w:r w:rsidRPr="00A92EA5">
        <w:t>misija</w:t>
      </w:r>
      <w:r>
        <w:t>,</w:t>
      </w:r>
      <w:r w:rsidRPr="00A92EA5">
        <w:t xml:space="preserve"> </w:t>
      </w:r>
      <w:r>
        <w:t>vizija</w:t>
      </w:r>
      <w:r w:rsidRPr="00A92EA5">
        <w:t xml:space="preserve"> i vrijednosti HALMED-a, koj</w:t>
      </w:r>
      <w:r>
        <w:t>i su dio Poslovnog plana za 202</w:t>
      </w:r>
      <w:r w:rsidR="00B6377B">
        <w:t>3</w:t>
      </w:r>
      <w:r w:rsidRPr="00A92EA5">
        <w:t xml:space="preserve">. </w:t>
      </w:r>
      <w:r>
        <w:t>g</w:t>
      </w:r>
      <w:r w:rsidRPr="00A92EA5">
        <w:t>odinu</w:t>
      </w:r>
      <w:r>
        <w:t>,</w:t>
      </w:r>
      <w:r w:rsidRPr="00A92EA5">
        <w:t xml:space="preserve"> </w:t>
      </w:r>
      <w:r>
        <w:t>prihvaćenog od strane</w:t>
      </w:r>
      <w:r w:rsidRPr="00A92EA5">
        <w:t xml:space="preserve"> Upravno</w:t>
      </w:r>
      <w:r>
        <w:t>g</w:t>
      </w:r>
      <w:r w:rsidRPr="00A92EA5">
        <w:t xml:space="preserve"> vijeć</w:t>
      </w:r>
      <w:r>
        <w:t>a Agencije.</w:t>
      </w:r>
    </w:p>
    <w:p w14:paraId="1FB0F220" w14:textId="77777777" w:rsidR="00AA41EB" w:rsidRPr="0015543F" w:rsidRDefault="00AA41EB" w:rsidP="00AA41EB">
      <w:pPr>
        <w:spacing w:line="276" w:lineRule="auto"/>
        <w:jc w:val="both"/>
        <w:rPr>
          <w:rFonts w:ascii="Palatino Linotype" w:hAnsi="Palatino Linotype"/>
          <w:b/>
          <w:bCs/>
          <w:color w:val="44546A" w:themeColor="text2"/>
          <w:sz w:val="20"/>
          <w:szCs w:val="20"/>
        </w:rPr>
      </w:pPr>
    </w:p>
    <w:p w14:paraId="62456654" w14:textId="77777777" w:rsidR="00AA41EB" w:rsidRPr="009E7650" w:rsidRDefault="00AA41EB" w:rsidP="00AA41EB">
      <w:pPr>
        <w:pStyle w:val="Heading3"/>
        <w:jc w:val="both"/>
      </w:pPr>
      <w:bookmarkStart w:id="15" w:name="_Toc514929930"/>
      <w:bookmarkStart w:id="16" w:name="_Toc530140466"/>
      <w:bookmarkStart w:id="17" w:name="_Toc165035428"/>
      <w:r w:rsidRPr="009E7650">
        <w:t xml:space="preserve">1.1.1. Misija, vizija, vrijednosti i </w:t>
      </w:r>
      <w:r>
        <w:t xml:space="preserve">strateški </w:t>
      </w:r>
      <w:r w:rsidRPr="009E7650">
        <w:t>ciljevi</w:t>
      </w:r>
      <w:bookmarkEnd w:id="15"/>
      <w:bookmarkEnd w:id="16"/>
      <w:bookmarkEnd w:id="17"/>
      <w:r w:rsidRPr="009E7650">
        <w:t xml:space="preserve"> </w:t>
      </w:r>
    </w:p>
    <w:p w14:paraId="1B7380E8" w14:textId="77777777" w:rsidR="00AA41EB" w:rsidRPr="009A245F" w:rsidRDefault="00AA41EB" w:rsidP="00AA41EB">
      <w:pPr>
        <w:spacing w:line="276" w:lineRule="auto"/>
        <w:jc w:val="both"/>
        <w:rPr>
          <w:rFonts w:cstheme="minorHAnsi"/>
        </w:rPr>
      </w:pPr>
      <w:r w:rsidRPr="009A245F">
        <w:rPr>
          <w:rFonts w:cstheme="minorHAnsi"/>
        </w:rPr>
        <w:t>HALMED je osnovan 2003. godine</w:t>
      </w:r>
      <w:r w:rsidRPr="009A245F" w:rsidDel="006B3D39">
        <w:rPr>
          <w:rFonts w:cstheme="minorHAnsi"/>
        </w:rPr>
        <w:t xml:space="preserve"> </w:t>
      </w:r>
      <w:r w:rsidRPr="009A245F">
        <w:rPr>
          <w:rFonts w:cstheme="minorHAnsi"/>
        </w:rPr>
        <w:t>temeljem članka 125. Zakona o lijekovima i medicinskim proizvodima (Narodne novine, br. 121/03.).</w:t>
      </w:r>
    </w:p>
    <w:p w14:paraId="3924F656" w14:textId="77777777" w:rsidR="00AA41EB" w:rsidRDefault="00AA41EB" w:rsidP="00AA41EB">
      <w:pPr>
        <w:spacing w:line="276" w:lineRule="auto"/>
        <w:jc w:val="both"/>
        <w:rPr>
          <w:rFonts w:cstheme="minorHAnsi"/>
        </w:rPr>
      </w:pPr>
    </w:p>
    <w:p w14:paraId="5A0B019B" w14:textId="77777777" w:rsidR="00AA41EB" w:rsidRPr="00466538" w:rsidRDefault="00AA41EB" w:rsidP="00AA41EB">
      <w:pPr>
        <w:spacing w:after="240" w:line="276" w:lineRule="auto"/>
        <w:jc w:val="both"/>
      </w:pPr>
      <w:r w:rsidRPr="009A245F">
        <w:rPr>
          <w:rFonts w:cstheme="minorHAnsi"/>
        </w:rPr>
        <w:t>Djelatnosti HALMED-a definirane</w:t>
      </w:r>
      <w:r>
        <w:rPr>
          <w:rFonts w:cstheme="minorHAnsi"/>
        </w:rPr>
        <w:t xml:space="preserve"> su</w:t>
      </w:r>
      <w:r w:rsidRPr="009A245F">
        <w:rPr>
          <w:rFonts w:cstheme="minorHAnsi"/>
        </w:rPr>
        <w:t xml:space="preserve"> </w:t>
      </w:r>
      <w:r>
        <w:rPr>
          <w:rFonts w:cstheme="minorHAnsi"/>
        </w:rPr>
        <w:t>Zakonom</w:t>
      </w:r>
      <w:r w:rsidRPr="009A245F">
        <w:rPr>
          <w:rFonts w:cstheme="minorHAnsi"/>
        </w:rPr>
        <w:t xml:space="preserve"> o lijekovima (Narod</w:t>
      </w:r>
      <w:r>
        <w:rPr>
          <w:rFonts w:cstheme="minorHAnsi"/>
        </w:rPr>
        <w:t xml:space="preserve">ne novine, br. </w:t>
      </w:r>
      <w:hyperlink r:id="rId12" w:history="1">
        <w:r w:rsidRPr="00A22291">
          <w:rPr>
            <w:rStyle w:val="Hyperlink"/>
            <w:color w:val="auto"/>
            <w:u w:val="none"/>
          </w:rPr>
          <w:t>76/13.</w:t>
        </w:r>
      </w:hyperlink>
      <w:r w:rsidRPr="00E409F2">
        <w:t xml:space="preserve">, </w:t>
      </w:r>
      <w:hyperlink r:id="rId13" w:history="1">
        <w:r w:rsidRPr="00A22291">
          <w:rPr>
            <w:rStyle w:val="Hyperlink"/>
            <w:color w:val="auto"/>
            <w:u w:val="none"/>
          </w:rPr>
          <w:t>90/14.</w:t>
        </w:r>
      </w:hyperlink>
      <w:r w:rsidRPr="00E409F2">
        <w:t xml:space="preserve"> </w:t>
      </w:r>
      <w:r w:rsidRPr="0071361C">
        <w:rPr>
          <w:rStyle w:val="Heading1Char"/>
          <w:b w:val="0"/>
          <w:color w:val="auto"/>
          <w:sz w:val="22"/>
          <w:szCs w:val="22"/>
        </w:rPr>
        <w:t xml:space="preserve">i </w:t>
      </w:r>
      <w:r w:rsidRPr="00A22291">
        <w:rPr>
          <w:rStyle w:val="Heading1Char"/>
          <w:b w:val="0"/>
          <w:color w:val="auto"/>
          <w:sz w:val="22"/>
          <w:szCs w:val="22"/>
        </w:rPr>
        <w:t>100/18</w:t>
      </w:r>
      <w:r w:rsidRPr="00466538">
        <w:rPr>
          <w:rFonts w:cstheme="minorHAnsi"/>
        </w:rPr>
        <w:t xml:space="preserve">) i </w:t>
      </w:r>
      <w:r w:rsidRPr="00466538">
        <w:t xml:space="preserve">Zakonom o veterinarsko-medicinskim proizvodima (Narodne novine 84/08., 56/13., 94/13., 15/15., </w:t>
      </w:r>
      <w:r w:rsidRPr="00A22291">
        <w:rPr>
          <w:rStyle w:val="Heading1Char"/>
          <w:b w:val="0"/>
          <w:color w:val="auto"/>
          <w:sz w:val="22"/>
          <w:szCs w:val="22"/>
        </w:rPr>
        <w:t>32/19</w:t>
      </w:r>
      <w:r w:rsidRPr="00A22291">
        <w:t>.</w:t>
      </w:r>
      <w:r w:rsidRPr="00466538">
        <w:t xml:space="preserve">). </w:t>
      </w:r>
    </w:p>
    <w:p w14:paraId="73497245" w14:textId="77777777" w:rsidR="00AA41EB" w:rsidRPr="005566EE" w:rsidRDefault="00AA41EB" w:rsidP="00AA41EB">
      <w:pPr>
        <w:jc w:val="both"/>
        <w:rPr>
          <w:rStyle w:val="IntenseEmphasis"/>
          <w:i w:val="0"/>
          <w:sz w:val="32"/>
          <w:szCs w:val="32"/>
        </w:rPr>
      </w:pPr>
      <w:r w:rsidRPr="005566EE">
        <w:rPr>
          <w:rStyle w:val="IntenseEmphasis"/>
          <w:i w:val="0"/>
          <w:sz w:val="32"/>
          <w:szCs w:val="32"/>
        </w:rPr>
        <w:t>Misija</w:t>
      </w:r>
    </w:p>
    <w:p w14:paraId="63B1AE89" w14:textId="77777777" w:rsidR="00AA41EB" w:rsidRDefault="00AA41EB" w:rsidP="00AA41EB">
      <w:pPr>
        <w:jc w:val="both"/>
      </w:pPr>
    </w:p>
    <w:p w14:paraId="3281A625" w14:textId="77777777" w:rsidR="00AA41EB" w:rsidRPr="005605CE" w:rsidRDefault="00AA41EB" w:rsidP="00AA41EB">
      <w:pPr>
        <w:spacing w:line="276" w:lineRule="auto"/>
        <w:jc w:val="both"/>
        <w:rPr>
          <w:b/>
        </w:rPr>
      </w:pPr>
      <w:r w:rsidRPr="005605CE">
        <w:t>Misija HALMED-a je:</w:t>
      </w:r>
    </w:p>
    <w:p w14:paraId="32CFB441" w14:textId="77777777" w:rsidR="00AA41EB" w:rsidRPr="005605CE" w:rsidRDefault="00AA41EB" w:rsidP="00AA41EB">
      <w:pPr>
        <w:spacing w:line="276" w:lineRule="auto"/>
        <w:ind w:left="568" w:hanging="284"/>
        <w:jc w:val="both"/>
        <w:rPr>
          <w:rFonts w:cstheme="minorHAnsi"/>
        </w:rPr>
      </w:pPr>
      <w:r w:rsidRPr="005605CE">
        <w:rPr>
          <w:rFonts w:cstheme="minorHAnsi"/>
        </w:rPr>
        <w:t>-</w:t>
      </w:r>
      <w:r>
        <w:rPr>
          <w:rFonts w:cstheme="minorHAnsi"/>
        </w:rPr>
        <w:tab/>
      </w:r>
      <w:r w:rsidRPr="005605CE">
        <w:rPr>
          <w:rFonts w:cstheme="minorHAnsi"/>
        </w:rPr>
        <w:t>biti uvijek u središtu regulatornih postupaka za lijekove i medicinske proizvode</w:t>
      </w:r>
      <w:r>
        <w:rPr>
          <w:rFonts w:cstheme="minorHAnsi"/>
        </w:rPr>
        <w:t>,</w:t>
      </w:r>
    </w:p>
    <w:p w14:paraId="65430125" w14:textId="77777777" w:rsidR="00AA41EB" w:rsidRPr="005605CE" w:rsidRDefault="00AA41EB" w:rsidP="00AA41EB">
      <w:pPr>
        <w:spacing w:line="276" w:lineRule="auto"/>
        <w:ind w:left="568" w:hanging="284"/>
        <w:jc w:val="both"/>
        <w:rPr>
          <w:rFonts w:cstheme="minorHAnsi"/>
        </w:rPr>
      </w:pPr>
      <w:r w:rsidRPr="005605CE">
        <w:rPr>
          <w:rFonts w:cstheme="minorHAnsi"/>
        </w:rPr>
        <w:t xml:space="preserve">- </w:t>
      </w:r>
      <w:r>
        <w:rPr>
          <w:rFonts w:cstheme="minorHAnsi"/>
        </w:rPr>
        <w:tab/>
      </w:r>
      <w:r w:rsidRPr="005605CE">
        <w:rPr>
          <w:rFonts w:cstheme="minorHAnsi"/>
        </w:rPr>
        <w:t>biti prepoznatljiv po kvaliteti svojih odluka i suradnji sa svim dionicima</w:t>
      </w:r>
      <w:r>
        <w:rPr>
          <w:rFonts w:cstheme="minorHAnsi"/>
        </w:rPr>
        <w:t>,</w:t>
      </w:r>
    </w:p>
    <w:p w14:paraId="568FD8FC" w14:textId="77777777" w:rsidR="00AA41EB" w:rsidRPr="005605CE" w:rsidRDefault="00AA41EB" w:rsidP="00AA41EB">
      <w:pPr>
        <w:spacing w:line="276" w:lineRule="auto"/>
        <w:ind w:left="568" w:hanging="284"/>
        <w:jc w:val="both"/>
        <w:rPr>
          <w:rFonts w:cstheme="minorHAnsi"/>
        </w:rPr>
      </w:pPr>
      <w:r w:rsidRPr="005605CE">
        <w:rPr>
          <w:rFonts w:cstheme="minorHAnsi"/>
        </w:rPr>
        <w:t xml:space="preserve">- </w:t>
      </w:r>
      <w:r>
        <w:rPr>
          <w:rFonts w:cstheme="minorHAnsi"/>
        </w:rPr>
        <w:tab/>
      </w:r>
      <w:r w:rsidRPr="005605CE">
        <w:rPr>
          <w:rFonts w:cstheme="minorHAnsi"/>
        </w:rPr>
        <w:t>biti poželjan poslodavac, koji vodi brigu o svojim zaposlenicima</w:t>
      </w:r>
      <w:r>
        <w:rPr>
          <w:rFonts w:cstheme="minorHAnsi"/>
        </w:rPr>
        <w:t>,</w:t>
      </w:r>
    </w:p>
    <w:p w14:paraId="67840EA4" w14:textId="77777777" w:rsidR="00AA41EB" w:rsidRPr="005605CE" w:rsidRDefault="00AA41EB" w:rsidP="00AA41EB">
      <w:pPr>
        <w:spacing w:line="276" w:lineRule="auto"/>
        <w:ind w:left="568" w:hanging="284"/>
        <w:jc w:val="both"/>
        <w:rPr>
          <w:rFonts w:cstheme="minorHAnsi"/>
        </w:rPr>
      </w:pPr>
      <w:r w:rsidRPr="005605CE">
        <w:rPr>
          <w:rFonts w:cstheme="minorHAnsi"/>
        </w:rPr>
        <w:t xml:space="preserve">- </w:t>
      </w:r>
      <w:r>
        <w:rPr>
          <w:rFonts w:cstheme="minorHAnsi"/>
        </w:rPr>
        <w:tab/>
      </w:r>
      <w:r w:rsidRPr="005605CE">
        <w:rPr>
          <w:rFonts w:cstheme="minorHAnsi"/>
        </w:rPr>
        <w:t>jačati i razvijati vlastite kapacitete u svrhu poboljšanja učinkovitosti.</w:t>
      </w:r>
    </w:p>
    <w:p w14:paraId="50329446" w14:textId="77777777" w:rsidR="00AA41EB" w:rsidRDefault="00AA41EB" w:rsidP="00AA41EB">
      <w:pPr>
        <w:jc w:val="both"/>
        <w:rPr>
          <w:rStyle w:val="IntenseEmphasis"/>
          <w:i w:val="0"/>
          <w:sz w:val="32"/>
          <w:szCs w:val="32"/>
        </w:rPr>
      </w:pPr>
    </w:p>
    <w:p w14:paraId="3F6F3472" w14:textId="77777777" w:rsidR="00AA41EB" w:rsidRPr="005566EE" w:rsidRDefault="00AA41EB" w:rsidP="00AA41EB">
      <w:pPr>
        <w:jc w:val="both"/>
        <w:rPr>
          <w:rStyle w:val="IntenseEmphasis"/>
          <w:i w:val="0"/>
          <w:sz w:val="32"/>
          <w:szCs w:val="32"/>
        </w:rPr>
      </w:pPr>
      <w:r w:rsidRPr="005566EE">
        <w:rPr>
          <w:rStyle w:val="IntenseEmphasis"/>
          <w:i w:val="0"/>
          <w:sz w:val="32"/>
          <w:szCs w:val="32"/>
        </w:rPr>
        <w:t xml:space="preserve">Vizija </w:t>
      </w:r>
    </w:p>
    <w:p w14:paraId="283BCC49" w14:textId="77777777" w:rsidR="00AA41EB" w:rsidRDefault="00AA41EB" w:rsidP="00AA41EB">
      <w:pPr>
        <w:jc w:val="both"/>
        <w:rPr>
          <w:rFonts w:cstheme="minorHAnsi"/>
        </w:rPr>
      </w:pPr>
    </w:p>
    <w:p w14:paraId="1918E251" w14:textId="77777777" w:rsidR="00AA41EB" w:rsidRDefault="00AA41EB" w:rsidP="00AA41EB">
      <w:pPr>
        <w:jc w:val="both"/>
        <w:rPr>
          <w:rStyle w:val="IntenseEmphasis"/>
          <w:i w:val="0"/>
          <w:sz w:val="32"/>
          <w:szCs w:val="32"/>
        </w:rPr>
      </w:pPr>
      <w:r w:rsidRPr="00C52E35">
        <w:rPr>
          <w:rFonts w:cstheme="minorHAnsi"/>
        </w:rPr>
        <w:t>Vizija HALMED-a je biti učinkovito, održivo i društveno svjesno regulatorno tijelo.</w:t>
      </w:r>
    </w:p>
    <w:p w14:paraId="6AAEF013" w14:textId="77777777" w:rsidR="00AA41EB" w:rsidRDefault="00AA41EB" w:rsidP="00AA41EB">
      <w:pPr>
        <w:rPr>
          <w:rStyle w:val="IntenseEmphasis"/>
          <w:i w:val="0"/>
          <w:sz w:val="32"/>
          <w:szCs w:val="32"/>
        </w:rPr>
      </w:pPr>
    </w:p>
    <w:p w14:paraId="543D0103" w14:textId="77777777" w:rsidR="00AA41EB" w:rsidRPr="005566EE" w:rsidRDefault="00AA41EB" w:rsidP="00AA41EB">
      <w:pPr>
        <w:rPr>
          <w:rStyle w:val="IntenseEmphasis"/>
          <w:i w:val="0"/>
          <w:sz w:val="32"/>
          <w:szCs w:val="32"/>
        </w:rPr>
      </w:pPr>
      <w:r w:rsidRPr="005566EE">
        <w:rPr>
          <w:rStyle w:val="IntenseEmphasis"/>
          <w:i w:val="0"/>
          <w:sz w:val="32"/>
          <w:szCs w:val="32"/>
        </w:rPr>
        <w:t xml:space="preserve">Vrijednosti </w:t>
      </w:r>
    </w:p>
    <w:p w14:paraId="435CB073" w14:textId="77777777" w:rsidR="00AA41EB" w:rsidRPr="00984752" w:rsidRDefault="00AA41EB" w:rsidP="00AA41EB">
      <w:pPr>
        <w:jc w:val="both"/>
        <w:rPr>
          <w:rFonts w:cstheme="minorHAnsi"/>
        </w:rPr>
      </w:pPr>
    </w:p>
    <w:p w14:paraId="55E9F5E1" w14:textId="77777777" w:rsidR="00AA41EB" w:rsidRPr="005605CE" w:rsidRDefault="00AA41EB" w:rsidP="00AA41EB">
      <w:pPr>
        <w:spacing w:line="276" w:lineRule="auto"/>
        <w:jc w:val="both"/>
        <w:rPr>
          <w:rFonts w:cstheme="minorHAnsi"/>
        </w:rPr>
      </w:pPr>
      <w:r w:rsidRPr="005605CE">
        <w:rPr>
          <w:rFonts w:cstheme="minorHAnsi"/>
        </w:rPr>
        <w:t>HALMED u skladu sa svojim vrijednostima:</w:t>
      </w:r>
    </w:p>
    <w:p w14:paraId="0B8AAB3B" w14:textId="77777777" w:rsidR="00AA41EB" w:rsidRPr="005605CE" w:rsidRDefault="00AA41EB" w:rsidP="00AA41EB">
      <w:pPr>
        <w:pStyle w:val="ListParagraph"/>
        <w:numPr>
          <w:ilvl w:val="0"/>
          <w:numId w:val="15"/>
        </w:numPr>
        <w:spacing w:before="0" w:after="0"/>
        <w:ind w:left="568" w:hanging="284"/>
        <w:jc w:val="both"/>
        <w:rPr>
          <w:rFonts w:cstheme="minorHAnsi"/>
          <w:sz w:val="22"/>
          <w:szCs w:val="22"/>
        </w:rPr>
      </w:pPr>
      <w:r w:rsidRPr="005605CE">
        <w:rPr>
          <w:rFonts w:cstheme="minorHAnsi"/>
          <w:sz w:val="22"/>
          <w:szCs w:val="22"/>
        </w:rPr>
        <w:t xml:space="preserve">teži </w:t>
      </w:r>
      <w:r w:rsidRPr="005605CE">
        <w:rPr>
          <w:rFonts w:cstheme="minorHAnsi"/>
          <w:b/>
          <w:sz w:val="22"/>
          <w:szCs w:val="22"/>
        </w:rPr>
        <w:t>izvrsnosti</w:t>
      </w:r>
      <w:r w:rsidRPr="005605CE">
        <w:rPr>
          <w:rFonts w:cstheme="minorHAnsi"/>
          <w:sz w:val="22"/>
          <w:szCs w:val="22"/>
        </w:rPr>
        <w:t xml:space="preserve"> u poslu, usvajajući najbolje prakse i stalno poboljšavajući regulatorne postupke za lijekove i medicinske proizvode s ciljem zaštite javnog zdravlja</w:t>
      </w:r>
    </w:p>
    <w:p w14:paraId="61D7BEE3" w14:textId="77777777" w:rsidR="00AA41EB" w:rsidRPr="005605CE" w:rsidRDefault="00AA41EB" w:rsidP="00AA41EB">
      <w:pPr>
        <w:pStyle w:val="ListParagraph"/>
        <w:numPr>
          <w:ilvl w:val="0"/>
          <w:numId w:val="15"/>
        </w:numPr>
        <w:spacing w:before="0" w:after="0"/>
        <w:ind w:left="568" w:hanging="284"/>
        <w:jc w:val="both"/>
        <w:rPr>
          <w:rFonts w:cstheme="minorHAnsi"/>
          <w:sz w:val="22"/>
          <w:szCs w:val="22"/>
        </w:rPr>
      </w:pPr>
      <w:r w:rsidRPr="005605CE">
        <w:rPr>
          <w:rFonts w:cstheme="minorHAnsi"/>
          <w:sz w:val="22"/>
          <w:szCs w:val="22"/>
        </w:rPr>
        <w:t xml:space="preserve">orijentiran je prema </w:t>
      </w:r>
      <w:r w:rsidRPr="005605CE">
        <w:rPr>
          <w:rFonts w:cstheme="minorHAnsi"/>
          <w:b/>
          <w:sz w:val="22"/>
          <w:szCs w:val="22"/>
        </w:rPr>
        <w:t>pacijentu</w:t>
      </w:r>
      <w:r w:rsidRPr="005605CE">
        <w:rPr>
          <w:rFonts w:cstheme="minorHAnsi"/>
          <w:sz w:val="22"/>
          <w:szCs w:val="22"/>
        </w:rPr>
        <w:t xml:space="preserve"> kao krajnjem korisniku i djeluje u interesu njegovog zdravlja pravovremeno odgovarajući na njegove potrebe</w:t>
      </w:r>
    </w:p>
    <w:p w14:paraId="2CC2FD1B" w14:textId="77777777" w:rsidR="00AA41EB" w:rsidRPr="005605CE" w:rsidRDefault="00AA41EB" w:rsidP="00AA41EB">
      <w:pPr>
        <w:pStyle w:val="ListParagraph"/>
        <w:numPr>
          <w:ilvl w:val="0"/>
          <w:numId w:val="15"/>
        </w:numPr>
        <w:spacing w:before="0" w:after="0"/>
        <w:ind w:left="568" w:hanging="284"/>
        <w:jc w:val="both"/>
        <w:rPr>
          <w:rFonts w:cstheme="minorHAnsi"/>
          <w:sz w:val="22"/>
          <w:szCs w:val="22"/>
        </w:rPr>
      </w:pPr>
      <w:r w:rsidRPr="005605CE">
        <w:rPr>
          <w:rFonts w:cstheme="minorHAnsi"/>
          <w:sz w:val="22"/>
          <w:szCs w:val="22"/>
        </w:rPr>
        <w:t xml:space="preserve">pruža </w:t>
      </w:r>
      <w:r w:rsidRPr="005605CE">
        <w:rPr>
          <w:rFonts w:cstheme="minorHAnsi"/>
          <w:b/>
          <w:sz w:val="22"/>
          <w:szCs w:val="22"/>
        </w:rPr>
        <w:t>informacije</w:t>
      </w:r>
      <w:r w:rsidRPr="005605CE">
        <w:rPr>
          <w:rFonts w:cstheme="minorHAnsi"/>
          <w:sz w:val="22"/>
          <w:szCs w:val="22"/>
        </w:rPr>
        <w:t xml:space="preserve"> te prati i poduzima sve mjere za učinkovitu i racionalnu farmakoterapiju, kao i mjere smanjenja i otklanjanja eventualnih rizika povezanih s uporabom lijekova i medicinskih proizvoda</w:t>
      </w:r>
    </w:p>
    <w:p w14:paraId="4F74CB33" w14:textId="77777777" w:rsidR="00AA41EB" w:rsidRPr="005605CE" w:rsidRDefault="00AA41EB" w:rsidP="00AA41EB">
      <w:pPr>
        <w:pStyle w:val="ListParagraph"/>
        <w:numPr>
          <w:ilvl w:val="0"/>
          <w:numId w:val="15"/>
        </w:numPr>
        <w:spacing w:before="0" w:after="0"/>
        <w:ind w:left="568" w:hanging="284"/>
        <w:jc w:val="both"/>
        <w:rPr>
          <w:rFonts w:cstheme="minorHAnsi"/>
          <w:sz w:val="22"/>
          <w:szCs w:val="22"/>
        </w:rPr>
      </w:pPr>
      <w:r w:rsidRPr="005605CE">
        <w:rPr>
          <w:rFonts w:cstheme="minorHAnsi"/>
          <w:sz w:val="22"/>
          <w:szCs w:val="22"/>
        </w:rPr>
        <w:lastRenderedPageBreak/>
        <w:t xml:space="preserve">otvoren je za </w:t>
      </w:r>
      <w:r w:rsidRPr="005605CE">
        <w:rPr>
          <w:rFonts w:cstheme="minorHAnsi"/>
          <w:b/>
          <w:sz w:val="22"/>
          <w:szCs w:val="22"/>
        </w:rPr>
        <w:t xml:space="preserve">suradnju </w:t>
      </w:r>
      <w:r w:rsidRPr="005605CE">
        <w:rPr>
          <w:rFonts w:cstheme="minorHAnsi"/>
          <w:sz w:val="22"/>
          <w:szCs w:val="22"/>
        </w:rPr>
        <w:t>sa svim dionicima na nacionalnoj, europskoj i globalnoj razini te svojim aktivnostima daje vlastiti doprinos izgradnji europske regulatorne mreže</w:t>
      </w:r>
    </w:p>
    <w:p w14:paraId="4EA44DED" w14:textId="77777777" w:rsidR="00AA41EB" w:rsidRPr="005605CE" w:rsidRDefault="00AA41EB" w:rsidP="00AA41EB">
      <w:pPr>
        <w:pStyle w:val="ListParagraph"/>
        <w:numPr>
          <w:ilvl w:val="0"/>
          <w:numId w:val="15"/>
        </w:numPr>
        <w:spacing w:before="0" w:after="0"/>
        <w:ind w:left="568" w:hanging="284"/>
        <w:jc w:val="both"/>
        <w:rPr>
          <w:rFonts w:cstheme="minorHAnsi"/>
          <w:sz w:val="22"/>
          <w:szCs w:val="22"/>
        </w:rPr>
      </w:pPr>
      <w:r w:rsidRPr="005605CE">
        <w:rPr>
          <w:rFonts w:cstheme="minorHAnsi"/>
          <w:sz w:val="22"/>
          <w:szCs w:val="22"/>
        </w:rPr>
        <w:t xml:space="preserve">postavlja </w:t>
      </w:r>
      <w:r w:rsidRPr="005605CE">
        <w:rPr>
          <w:rFonts w:cstheme="minorHAnsi"/>
          <w:b/>
          <w:sz w:val="22"/>
          <w:szCs w:val="22"/>
        </w:rPr>
        <w:t>transparentne</w:t>
      </w:r>
      <w:r w:rsidRPr="005605CE">
        <w:rPr>
          <w:rFonts w:cstheme="minorHAnsi"/>
          <w:sz w:val="22"/>
          <w:szCs w:val="22"/>
        </w:rPr>
        <w:t xml:space="preserve"> procedure i savjetuje se sa zainteresiranim stranama, a u svrhu kvalitetnog upravljanja sustavom</w:t>
      </w:r>
    </w:p>
    <w:p w14:paraId="104E543E" w14:textId="77777777" w:rsidR="00AA41EB" w:rsidRPr="005605CE" w:rsidRDefault="00AA41EB" w:rsidP="00AA41EB">
      <w:pPr>
        <w:pStyle w:val="ListParagraph"/>
        <w:numPr>
          <w:ilvl w:val="0"/>
          <w:numId w:val="15"/>
        </w:numPr>
        <w:spacing w:before="0" w:after="0"/>
        <w:ind w:left="568" w:hanging="284"/>
        <w:jc w:val="both"/>
        <w:rPr>
          <w:rFonts w:cstheme="minorHAnsi"/>
          <w:sz w:val="22"/>
          <w:szCs w:val="22"/>
        </w:rPr>
      </w:pPr>
      <w:r w:rsidRPr="005605CE">
        <w:rPr>
          <w:rFonts w:cstheme="minorHAnsi"/>
          <w:sz w:val="22"/>
          <w:szCs w:val="22"/>
        </w:rPr>
        <w:t xml:space="preserve">aktivno prati i </w:t>
      </w:r>
      <w:r w:rsidRPr="005605CE">
        <w:rPr>
          <w:rFonts w:cstheme="minorHAnsi"/>
          <w:b/>
          <w:sz w:val="22"/>
          <w:szCs w:val="22"/>
        </w:rPr>
        <w:t xml:space="preserve">prihvaća </w:t>
      </w:r>
      <w:r w:rsidRPr="005605CE">
        <w:rPr>
          <w:rFonts w:cstheme="minorHAnsi"/>
          <w:sz w:val="22"/>
          <w:szCs w:val="22"/>
        </w:rPr>
        <w:t>nove znanstvene spoznaje i nove tehnologije, kako one u suvremenoj proizvodnji, kontroli i primjeni lijekova i medicinskih proizvoda, tako i one digitalnog doba</w:t>
      </w:r>
    </w:p>
    <w:p w14:paraId="28028B84" w14:textId="77777777" w:rsidR="00AA41EB" w:rsidRPr="005605CE" w:rsidRDefault="00AA41EB" w:rsidP="00AA41EB">
      <w:pPr>
        <w:pStyle w:val="ListParagraph"/>
        <w:numPr>
          <w:ilvl w:val="0"/>
          <w:numId w:val="15"/>
        </w:numPr>
        <w:spacing w:before="0" w:after="0"/>
        <w:ind w:left="568" w:hanging="284"/>
        <w:jc w:val="both"/>
        <w:rPr>
          <w:rFonts w:cstheme="minorHAnsi"/>
          <w:sz w:val="22"/>
          <w:szCs w:val="22"/>
        </w:rPr>
      </w:pPr>
      <w:r w:rsidRPr="005605CE">
        <w:rPr>
          <w:rFonts w:cstheme="minorHAnsi"/>
          <w:sz w:val="22"/>
          <w:szCs w:val="22"/>
        </w:rPr>
        <w:t xml:space="preserve">potiče razvoj svojih </w:t>
      </w:r>
      <w:r w:rsidRPr="005605CE">
        <w:rPr>
          <w:rFonts w:cstheme="minorHAnsi"/>
          <w:b/>
          <w:sz w:val="22"/>
          <w:szCs w:val="22"/>
        </w:rPr>
        <w:t>zaposlenika</w:t>
      </w:r>
      <w:r w:rsidRPr="005605CE">
        <w:rPr>
          <w:rFonts w:cstheme="minorHAnsi"/>
          <w:sz w:val="22"/>
          <w:szCs w:val="22"/>
        </w:rPr>
        <w:t>, ulažući u njihovu trajnu edukaciju i usavršavanje njihovih kompetencija sukladno najsuvremenijim pravilima struke i najvišim etičkim načelima.</w:t>
      </w:r>
    </w:p>
    <w:p w14:paraId="04AF1B40" w14:textId="77777777" w:rsidR="00AA41EB" w:rsidRPr="00AF7666" w:rsidRDefault="00AA41EB" w:rsidP="00AA41EB">
      <w:pPr>
        <w:jc w:val="both"/>
        <w:rPr>
          <w:rFonts w:ascii="Palatino Linotype" w:hAnsi="Palatino Linotype"/>
        </w:rPr>
      </w:pPr>
    </w:p>
    <w:p w14:paraId="4CB526FD" w14:textId="77777777" w:rsidR="00AA41EB" w:rsidRPr="000F1541" w:rsidRDefault="00AA41EB" w:rsidP="00AA41EB">
      <w:pPr>
        <w:rPr>
          <w:rStyle w:val="IntenseEmphasis"/>
          <w:i w:val="0"/>
          <w:sz w:val="32"/>
          <w:szCs w:val="32"/>
        </w:rPr>
      </w:pPr>
      <w:bookmarkStart w:id="18" w:name="_Toc513818402"/>
      <w:r w:rsidRPr="000F1541">
        <w:rPr>
          <w:rStyle w:val="IntenseEmphasis"/>
          <w:i w:val="0"/>
          <w:sz w:val="32"/>
          <w:szCs w:val="32"/>
        </w:rPr>
        <w:t>Strateški ciljevi</w:t>
      </w:r>
    </w:p>
    <w:p w14:paraId="5CA58F5A" w14:textId="77777777" w:rsidR="00AA41EB" w:rsidRDefault="00AA41EB" w:rsidP="00AA41EB">
      <w:pPr>
        <w:jc w:val="both"/>
        <w:rPr>
          <w:rFonts w:cstheme="minorHAnsi"/>
        </w:rPr>
      </w:pPr>
    </w:p>
    <w:p w14:paraId="5679488F" w14:textId="0DA79AEC" w:rsidR="00AA41EB" w:rsidRPr="005566EE" w:rsidRDefault="00AA41EB" w:rsidP="00AA41EB">
      <w:pPr>
        <w:spacing w:line="276" w:lineRule="auto"/>
        <w:jc w:val="both"/>
        <w:rPr>
          <w:rFonts w:cstheme="minorHAnsi"/>
        </w:rPr>
      </w:pPr>
      <w:r w:rsidRPr="005566EE">
        <w:rPr>
          <w:rFonts w:cstheme="minorHAnsi"/>
        </w:rPr>
        <w:t>Uzimajući u obzir postignuto tijekom provedbe Strate</w:t>
      </w:r>
      <w:r>
        <w:rPr>
          <w:rFonts w:cstheme="minorHAnsi"/>
        </w:rPr>
        <w:t xml:space="preserve">škog plana </w:t>
      </w:r>
      <w:r w:rsidRPr="005566EE">
        <w:rPr>
          <w:rFonts w:cstheme="minorHAnsi"/>
        </w:rPr>
        <w:t>201</w:t>
      </w:r>
      <w:r>
        <w:rPr>
          <w:rFonts w:cstheme="minorHAnsi"/>
        </w:rPr>
        <w:t>9</w:t>
      </w:r>
      <w:r w:rsidRPr="005566EE">
        <w:rPr>
          <w:rFonts w:cstheme="minorHAnsi"/>
        </w:rPr>
        <w:t>. ─ 20</w:t>
      </w:r>
      <w:r>
        <w:rPr>
          <w:rFonts w:cstheme="minorHAnsi"/>
        </w:rPr>
        <w:t>21</w:t>
      </w:r>
      <w:r w:rsidRPr="005566EE">
        <w:rPr>
          <w:rFonts w:cstheme="minorHAnsi"/>
        </w:rPr>
        <w:t xml:space="preserve">., kao i prepoznate prilike i prednosti u budućnosti te rezultate provedene SWOT analize snaga, slabosti, vanjskih prilika i prijetnji u ključnim nadležnostima HALMED-a, postavljeni su strateški </w:t>
      </w:r>
      <w:r>
        <w:rPr>
          <w:rFonts w:cstheme="minorHAnsi"/>
        </w:rPr>
        <w:t xml:space="preserve">i operativni </w:t>
      </w:r>
      <w:r w:rsidRPr="005566EE">
        <w:rPr>
          <w:rFonts w:cstheme="minorHAnsi"/>
        </w:rPr>
        <w:t>ciljevi s jasnim smjerom razvoja u trogodišnjem razdoblju od 20</w:t>
      </w:r>
      <w:r>
        <w:rPr>
          <w:rFonts w:cstheme="minorHAnsi"/>
        </w:rPr>
        <w:t>22</w:t>
      </w:r>
      <w:r w:rsidRPr="005566EE">
        <w:rPr>
          <w:rFonts w:cstheme="minorHAnsi"/>
        </w:rPr>
        <w:t>. do 20</w:t>
      </w:r>
      <w:r>
        <w:rPr>
          <w:rFonts w:cstheme="minorHAnsi"/>
        </w:rPr>
        <w:t>24</w:t>
      </w:r>
      <w:r w:rsidRPr="005566EE">
        <w:rPr>
          <w:rFonts w:cstheme="minorHAnsi"/>
        </w:rPr>
        <w:t>. godine u svrhu ostvarivanja vizije i misije HALMED-a.</w:t>
      </w:r>
    </w:p>
    <w:p w14:paraId="05E18020" w14:textId="77777777" w:rsidR="00AA41EB" w:rsidRPr="005566EE" w:rsidRDefault="00AA41EB" w:rsidP="00AA41EB">
      <w:pPr>
        <w:spacing w:line="276" w:lineRule="auto"/>
        <w:jc w:val="both"/>
        <w:rPr>
          <w:rFonts w:cstheme="minorHAnsi"/>
        </w:rPr>
      </w:pPr>
      <w:r>
        <w:rPr>
          <w:rFonts w:cstheme="minorHAnsi"/>
        </w:rPr>
        <w:t xml:space="preserve">Operativni </w:t>
      </w:r>
      <w:r w:rsidRPr="005566EE">
        <w:rPr>
          <w:rFonts w:cstheme="minorHAnsi"/>
        </w:rPr>
        <w:t xml:space="preserve">ciljevi razrađuju pojedini strateški cilj i određuju niz specifičnih aktivnosti usmjerenih postizanju </w:t>
      </w:r>
      <w:r>
        <w:rPr>
          <w:rFonts w:cstheme="minorHAnsi"/>
        </w:rPr>
        <w:t>strateških</w:t>
      </w:r>
      <w:r w:rsidRPr="005566EE">
        <w:rPr>
          <w:rFonts w:cstheme="minorHAnsi"/>
        </w:rPr>
        <w:t xml:space="preserve"> ciljeva. </w:t>
      </w:r>
    </w:p>
    <w:p w14:paraId="36FD0DDD" w14:textId="77777777" w:rsidR="00AA41EB" w:rsidRPr="005566EE" w:rsidRDefault="00AA41EB" w:rsidP="00AA41EB">
      <w:pPr>
        <w:spacing w:line="276" w:lineRule="auto"/>
        <w:jc w:val="both"/>
        <w:rPr>
          <w:rFonts w:cstheme="minorHAnsi"/>
        </w:rPr>
      </w:pPr>
    </w:p>
    <w:p w14:paraId="2509A0A4" w14:textId="77777777" w:rsidR="00AA41EB" w:rsidRPr="007C34AE" w:rsidRDefault="00AA41EB" w:rsidP="00AA41EB">
      <w:pPr>
        <w:spacing w:line="276" w:lineRule="auto"/>
        <w:jc w:val="both"/>
        <w:rPr>
          <w:rFonts w:cstheme="minorHAnsi"/>
        </w:rPr>
      </w:pPr>
      <w:r w:rsidRPr="007C34AE">
        <w:rPr>
          <w:rFonts w:cstheme="minorHAnsi"/>
        </w:rPr>
        <w:t>Strateški i operativni ciljevi HALMED-a su:</w:t>
      </w:r>
    </w:p>
    <w:p w14:paraId="7D6486BF" w14:textId="77777777" w:rsidR="00AA41EB" w:rsidRPr="005566EE" w:rsidRDefault="00AA41EB" w:rsidP="00AA41EB">
      <w:pPr>
        <w:spacing w:line="276" w:lineRule="auto"/>
        <w:jc w:val="both"/>
        <w:rPr>
          <w:rFonts w:cstheme="minorHAnsi"/>
        </w:rPr>
      </w:pPr>
    </w:p>
    <w:p w14:paraId="14923F0E" w14:textId="77777777" w:rsidR="00AA41EB" w:rsidRPr="00E760C7" w:rsidRDefault="00AA41EB" w:rsidP="00AA41EB">
      <w:pPr>
        <w:spacing w:line="276" w:lineRule="auto"/>
        <w:jc w:val="both"/>
        <w:rPr>
          <w:rFonts w:cstheme="minorHAnsi"/>
          <w:b/>
        </w:rPr>
      </w:pPr>
      <w:r w:rsidRPr="00E760C7">
        <w:rPr>
          <w:rFonts w:cstheme="minorHAnsi"/>
          <w:b/>
        </w:rPr>
        <w:t>1. Dostupnost, sigurna primjena lijekova i medicinskih proizvoda i zaštita javnog</w:t>
      </w:r>
      <w:r>
        <w:rPr>
          <w:rFonts w:cstheme="minorHAnsi"/>
          <w:b/>
        </w:rPr>
        <w:t xml:space="preserve"> </w:t>
      </w:r>
      <w:r w:rsidRPr="00E760C7">
        <w:rPr>
          <w:rFonts w:cstheme="minorHAnsi"/>
          <w:b/>
        </w:rPr>
        <w:t>zdravlja</w:t>
      </w:r>
    </w:p>
    <w:p w14:paraId="4989C4B1" w14:textId="77777777" w:rsidR="00AA41EB" w:rsidRPr="007C34AE" w:rsidRDefault="00AA41EB" w:rsidP="00AA41EB">
      <w:pPr>
        <w:spacing w:line="276" w:lineRule="auto"/>
        <w:ind w:left="708"/>
        <w:jc w:val="both"/>
        <w:rPr>
          <w:rFonts w:cstheme="minorHAnsi"/>
        </w:rPr>
      </w:pPr>
      <w:r w:rsidRPr="007C34AE">
        <w:rPr>
          <w:rFonts w:cstheme="minorHAnsi"/>
        </w:rPr>
        <w:t>1.1. Transparentne i pravovremene informacije o dostupnosti lijekova</w:t>
      </w:r>
    </w:p>
    <w:p w14:paraId="454B9484" w14:textId="77777777" w:rsidR="00AA41EB" w:rsidRPr="007C34AE" w:rsidRDefault="00AA41EB" w:rsidP="00AA41EB">
      <w:pPr>
        <w:spacing w:line="276" w:lineRule="auto"/>
        <w:ind w:left="708"/>
        <w:jc w:val="both"/>
        <w:rPr>
          <w:rFonts w:cstheme="minorHAnsi"/>
        </w:rPr>
      </w:pPr>
      <w:r w:rsidRPr="007C34AE">
        <w:rPr>
          <w:rFonts w:cstheme="minorHAnsi"/>
        </w:rPr>
        <w:t>1.2. Razvoj dodatnih metoda i alata aktivnog praćenja sigurnosti lijekova</w:t>
      </w:r>
    </w:p>
    <w:p w14:paraId="7F8D5A1A" w14:textId="77777777" w:rsidR="00AA41EB" w:rsidRPr="007C34AE" w:rsidRDefault="00AA41EB" w:rsidP="00AA41EB">
      <w:pPr>
        <w:spacing w:line="276" w:lineRule="auto"/>
        <w:ind w:left="708"/>
        <w:jc w:val="both"/>
        <w:rPr>
          <w:rFonts w:cstheme="minorHAnsi"/>
        </w:rPr>
      </w:pPr>
      <w:r w:rsidRPr="007C34AE">
        <w:rPr>
          <w:rFonts w:cstheme="minorHAnsi"/>
        </w:rPr>
        <w:t>1.3. Osnaživanje sustava praćenja štetnih događaja povezanih s primjenom medicinskih</w:t>
      </w:r>
    </w:p>
    <w:p w14:paraId="6CC68297" w14:textId="77777777" w:rsidR="00AA41EB" w:rsidRPr="007C34AE" w:rsidRDefault="00AA41EB" w:rsidP="00AA41EB">
      <w:pPr>
        <w:spacing w:line="276" w:lineRule="auto"/>
        <w:ind w:left="708"/>
        <w:jc w:val="both"/>
        <w:rPr>
          <w:rFonts w:cstheme="minorHAnsi"/>
        </w:rPr>
      </w:pPr>
      <w:r w:rsidRPr="007C34AE">
        <w:rPr>
          <w:rFonts w:cstheme="minorHAnsi"/>
        </w:rPr>
        <w:t>proizvoda</w:t>
      </w:r>
    </w:p>
    <w:p w14:paraId="168CD178" w14:textId="77777777" w:rsidR="00AA41EB" w:rsidRPr="007C34AE" w:rsidRDefault="00AA41EB" w:rsidP="00AA41EB">
      <w:pPr>
        <w:spacing w:line="276" w:lineRule="auto"/>
        <w:ind w:left="708"/>
        <w:jc w:val="both"/>
        <w:rPr>
          <w:rFonts w:cstheme="minorHAnsi"/>
        </w:rPr>
      </w:pPr>
      <w:r w:rsidRPr="007C34AE">
        <w:rPr>
          <w:rFonts w:cstheme="minorHAnsi"/>
        </w:rPr>
        <w:t>1.4. Jasna i pravovremena komunikacija o sigurnosti primjene lijekova s ciljem zaštite javnog</w:t>
      </w:r>
    </w:p>
    <w:p w14:paraId="334CB0C0" w14:textId="77777777" w:rsidR="00AA41EB" w:rsidRPr="007C34AE" w:rsidRDefault="00AA41EB" w:rsidP="00AA41EB">
      <w:pPr>
        <w:spacing w:line="276" w:lineRule="auto"/>
        <w:ind w:left="708"/>
        <w:jc w:val="both"/>
        <w:rPr>
          <w:rFonts w:cstheme="minorHAnsi"/>
        </w:rPr>
      </w:pPr>
      <w:r w:rsidRPr="007C34AE">
        <w:rPr>
          <w:rFonts w:cstheme="minorHAnsi"/>
        </w:rPr>
        <w:t>zdravlja</w:t>
      </w:r>
    </w:p>
    <w:p w14:paraId="20258C85" w14:textId="77777777" w:rsidR="00AA41EB" w:rsidRPr="005566EE" w:rsidRDefault="00AA41EB" w:rsidP="00AA41EB">
      <w:pPr>
        <w:spacing w:line="276" w:lineRule="auto"/>
        <w:ind w:left="284" w:firstLine="424"/>
        <w:jc w:val="both"/>
        <w:rPr>
          <w:rFonts w:cstheme="minorHAnsi"/>
        </w:rPr>
      </w:pPr>
      <w:r w:rsidRPr="007C34AE">
        <w:rPr>
          <w:rFonts w:cstheme="minorHAnsi"/>
        </w:rPr>
        <w:t>1.5. Preuzimanje nadležnosti nad veterinarsko-medicinskim proizvodima</w:t>
      </w:r>
    </w:p>
    <w:p w14:paraId="5B8C8AD4" w14:textId="77777777" w:rsidR="00AA41EB" w:rsidRDefault="00AA41EB" w:rsidP="00AA41EB">
      <w:pPr>
        <w:spacing w:line="276" w:lineRule="auto"/>
        <w:jc w:val="both"/>
        <w:rPr>
          <w:rFonts w:cstheme="minorHAnsi"/>
          <w:b/>
        </w:rPr>
      </w:pPr>
    </w:p>
    <w:p w14:paraId="39B6CFEA" w14:textId="77777777" w:rsidR="00AA41EB" w:rsidRPr="00E760C7" w:rsidRDefault="00AA41EB" w:rsidP="00AA41EB">
      <w:pPr>
        <w:spacing w:line="276" w:lineRule="auto"/>
        <w:jc w:val="both"/>
        <w:rPr>
          <w:rFonts w:cstheme="minorHAnsi"/>
          <w:b/>
        </w:rPr>
      </w:pPr>
      <w:r w:rsidRPr="00E760C7">
        <w:rPr>
          <w:rFonts w:cstheme="minorHAnsi"/>
          <w:b/>
        </w:rPr>
        <w:t>2. Doprinos europskoj regulatornoj mreži i operativna izvrsnost</w:t>
      </w:r>
    </w:p>
    <w:p w14:paraId="3553293D" w14:textId="77777777" w:rsidR="00AA41EB" w:rsidRPr="007C34AE" w:rsidRDefault="00AA41EB" w:rsidP="00AA41EB">
      <w:pPr>
        <w:spacing w:line="276" w:lineRule="auto"/>
        <w:ind w:left="708"/>
        <w:jc w:val="both"/>
        <w:rPr>
          <w:rFonts w:cstheme="minorHAnsi"/>
        </w:rPr>
      </w:pPr>
      <w:r w:rsidRPr="007C34AE">
        <w:rPr>
          <w:rFonts w:cstheme="minorHAnsi"/>
        </w:rPr>
        <w:t>2.1. Povećanje doprinosa odobravanju inovativnih lijekova u Europskoj uniji</w:t>
      </w:r>
    </w:p>
    <w:p w14:paraId="5261CBD8" w14:textId="77777777" w:rsidR="00AA41EB" w:rsidRPr="007C34AE" w:rsidRDefault="00AA41EB" w:rsidP="00AA41EB">
      <w:pPr>
        <w:spacing w:line="276" w:lineRule="auto"/>
        <w:ind w:left="708"/>
        <w:jc w:val="both"/>
        <w:rPr>
          <w:rFonts w:cstheme="minorHAnsi"/>
        </w:rPr>
      </w:pPr>
      <w:r w:rsidRPr="007C34AE">
        <w:rPr>
          <w:rFonts w:cstheme="minorHAnsi"/>
        </w:rPr>
        <w:t>2.2. Povećanje doprinosa davanju znanstvenog savjeta u razvoju lijeka</w:t>
      </w:r>
    </w:p>
    <w:p w14:paraId="0CD610A3" w14:textId="77777777" w:rsidR="00AA41EB" w:rsidRPr="007C34AE" w:rsidRDefault="00AA41EB" w:rsidP="00AA41EB">
      <w:pPr>
        <w:spacing w:line="276" w:lineRule="auto"/>
        <w:ind w:left="708"/>
        <w:jc w:val="both"/>
        <w:rPr>
          <w:rFonts w:cstheme="minorHAnsi"/>
        </w:rPr>
      </w:pPr>
      <w:r w:rsidRPr="007C34AE">
        <w:rPr>
          <w:rFonts w:cstheme="minorHAnsi"/>
        </w:rPr>
        <w:t>2.3. Razvoj profesionalne ekspertize iz područja novih tehnologija</w:t>
      </w:r>
    </w:p>
    <w:p w14:paraId="0B48F7AA" w14:textId="77777777" w:rsidR="00AA41EB" w:rsidRPr="007C34AE" w:rsidRDefault="00AA41EB" w:rsidP="00AA41EB">
      <w:pPr>
        <w:spacing w:line="276" w:lineRule="auto"/>
        <w:ind w:left="708"/>
        <w:jc w:val="both"/>
        <w:rPr>
          <w:rFonts w:cstheme="minorHAnsi"/>
        </w:rPr>
      </w:pPr>
      <w:r w:rsidRPr="007C34AE">
        <w:rPr>
          <w:rFonts w:cstheme="minorHAnsi"/>
        </w:rPr>
        <w:t>2.4. Povećanje doprinosa sudjelovanju u europskim postupcima i projektima iz područja</w:t>
      </w:r>
    </w:p>
    <w:p w14:paraId="0951DBF3" w14:textId="77777777" w:rsidR="00AA41EB" w:rsidRPr="007C34AE" w:rsidRDefault="00AA41EB" w:rsidP="00AA41EB">
      <w:pPr>
        <w:spacing w:line="276" w:lineRule="auto"/>
        <w:ind w:left="708"/>
        <w:jc w:val="both"/>
        <w:rPr>
          <w:rFonts w:cstheme="minorHAnsi"/>
        </w:rPr>
      </w:pPr>
      <w:r w:rsidRPr="007C34AE">
        <w:rPr>
          <w:rFonts w:cstheme="minorHAnsi"/>
        </w:rPr>
        <w:t>farmakovigilancije</w:t>
      </w:r>
    </w:p>
    <w:p w14:paraId="246FACAE" w14:textId="77777777" w:rsidR="00AA41EB" w:rsidRPr="007C34AE" w:rsidRDefault="00AA41EB" w:rsidP="00AA41EB">
      <w:pPr>
        <w:spacing w:line="276" w:lineRule="auto"/>
        <w:ind w:left="708"/>
        <w:jc w:val="both"/>
        <w:rPr>
          <w:rFonts w:cstheme="minorHAnsi"/>
        </w:rPr>
      </w:pPr>
      <w:r w:rsidRPr="007C34AE">
        <w:rPr>
          <w:rFonts w:cstheme="minorHAnsi"/>
        </w:rPr>
        <w:t>2.5. Jačanje znanstvenih i regulatornih kapaciteta i sposobnosti u svrhu veće podrške europskoj</w:t>
      </w:r>
    </w:p>
    <w:p w14:paraId="6B4059EA" w14:textId="77777777" w:rsidR="00AA41EB" w:rsidRDefault="00AA41EB" w:rsidP="00AA41EB">
      <w:pPr>
        <w:spacing w:line="276" w:lineRule="auto"/>
        <w:ind w:left="708"/>
        <w:jc w:val="both"/>
        <w:rPr>
          <w:rFonts w:cstheme="minorHAnsi"/>
        </w:rPr>
      </w:pPr>
      <w:r w:rsidRPr="007C34AE">
        <w:rPr>
          <w:rFonts w:cstheme="minorHAnsi"/>
        </w:rPr>
        <w:t>mreži agencija za lijekove</w:t>
      </w:r>
    </w:p>
    <w:p w14:paraId="1EC64385" w14:textId="77777777" w:rsidR="00AA41EB" w:rsidRDefault="00AA41EB" w:rsidP="00AA41EB">
      <w:pPr>
        <w:spacing w:line="276" w:lineRule="auto"/>
        <w:jc w:val="both"/>
        <w:rPr>
          <w:rFonts w:cstheme="minorHAnsi"/>
          <w:b/>
        </w:rPr>
      </w:pPr>
    </w:p>
    <w:p w14:paraId="3719132B" w14:textId="77777777" w:rsidR="00AA41EB" w:rsidRPr="00E760C7" w:rsidRDefault="00AA41EB" w:rsidP="00AA41EB">
      <w:pPr>
        <w:spacing w:line="276" w:lineRule="auto"/>
        <w:jc w:val="both"/>
        <w:rPr>
          <w:rFonts w:cstheme="minorHAnsi"/>
          <w:b/>
        </w:rPr>
      </w:pPr>
      <w:r w:rsidRPr="00E760C7">
        <w:rPr>
          <w:rFonts w:cstheme="minorHAnsi"/>
          <w:b/>
        </w:rPr>
        <w:t>3. Jačanje uloge HALMED-a, regulatornog okvira i optimiranje procesa</w:t>
      </w:r>
    </w:p>
    <w:p w14:paraId="580127E5" w14:textId="77777777" w:rsidR="00AA41EB" w:rsidRPr="00514D4D" w:rsidRDefault="00AA41EB" w:rsidP="00AA41EB">
      <w:pPr>
        <w:spacing w:line="276" w:lineRule="auto"/>
        <w:ind w:left="708"/>
        <w:jc w:val="both"/>
        <w:rPr>
          <w:rFonts w:cstheme="minorHAnsi"/>
        </w:rPr>
      </w:pPr>
      <w:r w:rsidRPr="00514D4D">
        <w:rPr>
          <w:rFonts w:cstheme="minorHAnsi"/>
        </w:rPr>
        <w:t>3.1. Osiguranje učinkovite provedbe novog europskog zakonodavstva za medicinske proizvode</w:t>
      </w:r>
    </w:p>
    <w:p w14:paraId="3F645CC6" w14:textId="77777777" w:rsidR="00AA41EB" w:rsidRPr="00514D4D" w:rsidRDefault="00AA41EB" w:rsidP="00AA41EB">
      <w:pPr>
        <w:spacing w:line="276" w:lineRule="auto"/>
        <w:ind w:left="708"/>
        <w:jc w:val="both"/>
        <w:rPr>
          <w:rFonts w:cstheme="minorHAnsi"/>
        </w:rPr>
      </w:pPr>
      <w:r w:rsidRPr="00514D4D">
        <w:rPr>
          <w:rFonts w:cstheme="minorHAnsi"/>
        </w:rPr>
        <w:t>3.2. Jačanje nacionalne prepoznatljivosti</w:t>
      </w:r>
    </w:p>
    <w:p w14:paraId="0847F6F1" w14:textId="77777777" w:rsidR="00AA41EB" w:rsidRPr="00514D4D" w:rsidRDefault="00AA41EB" w:rsidP="00AA41EB">
      <w:pPr>
        <w:spacing w:line="276" w:lineRule="auto"/>
        <w:ind w:left="708"/>
        <w:jc w:val="both"/>
        <w:rPr>
          <w:rFonts w:cstheme="minorHAnsi"/>
        </w:rPr>
      </w:pPr>
      <w:r w:rsidRPr="00514D4D">
        <w:rPr>
          <w:rFonts w:cstheme="minorHAnsi"/>
        </w:rPr>
        <w:t>3.3. e-HALMED - transformacija poslovnih procesa u cilju elektroničkog poslovanja</w:t>
      </w:r>
    </w:p>
    <w:p w14:paraId="4BD93B50" w14:textId="77777777" w:rsidR="00AA41EB" w:rsidRPr="00514D4D" w:rsidRDefault="00AA41EB" w:rsidP="00AA41EB">
      <w:pPr>
        <w:spacing w:line="276" w:lineRule="auto"/>
        <w:ind w:left="708"/>
        <w:jc w:val="both"/>
        <w:rPr>
          <w:rFonts w:cstheme="minorHAnsi"/>
        </w:rPr>
      </w:pPr>
      <w:r w:rsidRPr="00514D4D">
        <w:rPr>
          <w:rFonts w:cstheme="minorHAnsi"/>
        </w:rPr>
        <w:t>3.4. Održivo samofinanciranje</w:t>
      </w:r>
    </w:p>
    <w:p w14:paraId="67C55C01" w14:textId="77777777" w:rsidR="00AA41EB" w:rsidRPr="00514D4D" w:rsidRDefault="00AA41EB" w:rsidP="00AA41EB">
      <w:pPr>
        <w:spacing w:line="276" w:lineRule="auto"/>
        <w:ind w:left="708"/>
        <w:jc w:val="both"/>
        <w:rPr>
          <w:rFonts w:cstheme="minorHAnsi"/>
        </w:rPr>
      </w:pPr>
      <w:r w:rsidRPr="00514D4D">
        <w:rPr>
          <w:rFonts w:cstheme="minorHAnsi"/>
        </w:rPr>
        <w:t>3.5. Rješavanje prostornih kapaciteta za obavljanje djelatnosti</w:t>
      </w:r>
    </w:p>
    <w:p w14:paraId="19677A71" w14:textId="77777777" w:rsidR="00AA41EB" w:rsidRPr="005566EE" w:rsidRDefault="00AA41EB" w:rsidP="00AA41EB">
      <w:pPr>
        <w:spacing w:line="276" w:lineRule="auto"/>
        <w:ind w:left="708"/>
        <w:jc w:val="both"/>
        <w:rPr>
          <w:rFonts w:cstheme="minorHAnsi"/>
        </w:rPr>
      </w:pPr>
      <w:r w:rsidRPr="00514D4D">
        <w:rPr>
          <w:rFonts w:cstheme="minorHAnsi"/>
        </w:rPr>
        <w:lastRenderedPageBreak/>
        <w:t>3.6. Razvoj ljudskih potencijala</w:t>
      </w:r>
    </w:p>
    <w:p w14:paraId="31D0FFFE" w14:textId="77777777" w:rsidR="00AA41EB" w:rsidRPr="005605CE" w:rsidRDefault="00AA41EB" w:rsidP="00AA41EB">
      <w:pPr>
        <w:spacing w:line="276" w:lineRule="auto"/>
        <w:ind w:left="568" w:hanging="284"/>
        <w:jc w:val="both"/>
        <w:rPr>
          <w:rFonts w:cstheme="minorHAnsi"/>
        </w:rPr>
      </w:pPr>
    </w:p>
    <w:bookmarkEnd w:id="18"/>
    <w:p w14:paraId="39F97CEE" w14:textId="3088DE0D" w:rsidR="00AA41EB" w:rsidRDefault="00AA41EB" w:rsidP="00AA41EB">
      <w:pPr>
        <w:spacing w:line="276" w:lineRule="auto"/>
        <w:jc w:val="both"/>
      </w:pPr>
      <w:r>
        <w:t>Strateški plan HALMED-a za trogodišnje razdoblje 2022</w:t>
      </w:r>
      <w:r w:rsidR="00776016">
        <w:t>.</w:t>
      </w:r>
      <w:r>
        <w:t>-2024</w:t>
      </w:r>
      <w:r w:rsidR="00776016">
        <w:t>.</w:t>
      </w:r>
      <w:r>
        <w:t xml:space="preserve"> i Poslovni plan za 202</w:t>
      </w:r>
      <w:r w:rsidR="0026050A">
        <w:t>3</w:t>
      </w:r>
      <w:r>
        <w:t xml:space="preserve">. godinu </w:t>
      </w:r>
      <w:r w:rsidRPr="00684A80">
        <w:t xml:space="preserve">kao i </w:t>
      </w:r>
      <w:r>
        <w:t>Izvješća o izvršenju P</w:t>
      </w:r>
      <w:r w:rsidRPr="00684A80">
        <w:t>oslovn</w:t>
      </w:r>
      <w:r>
        <w:t xml:space="preserve">ih </w:t>
      </w:r>
      <w:r w:rsidRPr="00684A80">
        <w:t>plan</w:t>
      </w:r>
      <w:r>
        <w:t>ova iz prethodnih godina</w:t>
      </w:r>
      <w:r w:rsidRPr="00684A80">
        <w:t xml:space="preserve"> objavlj</w:t>
      </w:r>
      <w:r>
        <w:t xml:space="preserve">uju se </w:t>
      </w:r>
      <w:r w:rsidRPr="00684A80">
        <w:t xml:space="preserve">na </w:t>
      </w:r>
      <w:hyperlink r:id="rId14" w:history="1">
        <w:r w:rsidRPr="00136B03">
          <w:rPr>
            <w:rStyle w:val="Hyperlink"/>
            <w:color w:val="auto"/>
            <w:u w:val="none"/>
          </w:rPr>
          <w:t>internetskoj stranici HALMED-a</w:t>
        </w:r>
      </w:hyperlink>
      <w:r w:rsidRPr="00171A10">
        <w:t xml:space="preserve">. </w:t>
      </w:r>
    </w:p>
    <w:p w14:paraId="0DBB58CA" w14:textId="1DF0A89B" w:rsidR="005F5A42" w:rsidRDefault="005F5A42" w:rsidP="00AA41EB">
      <w:pPr>
        <w:spacing w:line="276" w:lineRule="auto"/>
        <w:jc w:val="both"/>
      </w:pPr>
      <w:r>
        <w:t xml:space="preserve">U Privitku 4. ovog izvješća je ocjena učinkovitosti provedbi Strateškog plana za 2023. godinu. </w:t>
      </w:r>
    </w:p>
    <w:p w14:paraId="333A7F24" w14:textId="77777777" w:rsidR="00AA41EB" w:rsidRDefault="00AA41EB" w:rsidP="00AA41EB">
      <w:pPr>
        <w:spacing w:line="276" w:lineRule="auto"/>
        <w:jc w:val="both"/>
      </w:pPr>
    </w:p>
    <w:p w14:paraId="662C6942" w14:textId="74B2DB8E" w:rsidR="00AA41EB" w:rsidRPr="00A14857" w:rsidRDefault="00AA41EB" w:rsidP="00A14857">
      <w:pPr>
        <w:pStyle w:val="Heading4"/>
        <w:rPr>
          <w:rStyle w:val="IntenseEmphasis"/>
          <w:i w:val="0"/>
          <w:color w:val="4472C4" w:themeColor="accent5"/>
        </w:rPr>
      </w:pPr>
      <w:bookmarkStart w:id="19" w:name="_Toc514929931"/>
      <w:bookmarkStart w:id="20" w:name="_Toc530140467"/>
      <w:r w:rsidRPr="00A14857">
        <w:rPr>
          <w:rStyle w:val="IntenseEmphasis"/>
          <w:i w:val="0"/>
          <w:color w:val="4472C4" w:themeColor="accent5"/>
        </w:rPr>
        <w:t xml:space="preserve">1.1.2. </w:t>
      </w:r>
      <w:r w:rsidR="009B1B8B" w:rsidRPr="00A14857">
        <w:rPr>
          <w:rStyle w:val="IntenseEmphasis"/>
          <w:i w:val="0"/>
          <w:color w:val="4472C4" w:themeColor="accent5"/>
        </w:rPr>
        <w:t>Ministarstvo zdravstva</w:t>
      </w:r>
      <w:r w:rsidR="00B82A50" w:rsidRPr="00A14857">
        <w:rPr>
          <w:rStyle w:val="IntenseEmphasis"/>
          <w:i w:val="0"/>
          <w:color w:val="4472C4" w:themeColor="accent5"/>
        </w:rPr>
        <w:t xml:space="preserve"> </w:t>
      </w:r>
      <w:bookmarkEnd w:id="19"/>
      <w:bookmarkEnd w:id="20"/>
    </w:p>
    <w:p w14:paraId="75D557D0" w14:textId="276B379D" w:rsidR="0026050A" w:rsidRDefault="0026050A" w:rsidP="001E12A3">
      <w:r w:rsidRPr="00A14857">
        <w:t xml:space="preserve">HALMED sudjeluje u slijedećim aktivnostima i projektima Ministarstva zdravstva: </w:t>
      </w:r>
    </w:p>
    <w:p w14:paraId="574144DF" w14:textId="77777777" w:rsidR="001E12A3" w:rsidRPr="00A14857" w:rsidRDefault="001E12A3" w:rsidP="001E12A3"/>
    <w:p w14:paraId="1496B4B6" w14:textId="77777777" w:rsidR="0026050A" w:rsidRPr="000A0638" w:rsidRDefault="0026050A" w:rsidP="00AE558F">
      <w:pPr>
        <w:spacing w:line="276" w:lineRule="auto"/>
        <w:jc w:val="both"/>
      </w:pPr>
      <w:r w:rsidRPr="001E12A3">
        <w:rPr>
          <w:b/>
        </w:rPr>
        <w:t>Farmaceutskoj inspekciji</w:t>
      </w:r>
      <w:r w:rsidRPr="000A0638">
        <w:t xml:space="preserve"> </w:t>
      </w:r>
      <w:r w:rsidRPr="001E12A3">
        <w:t>Ministarstva zdravstva redovito prosljeđuje sve informacije i saznanja o nezakonitom oglašavanju lijekova, homeopatskih lijekova, medicinskih proizvoda i dodataka prehrani, kao i o nezakonitoj prodaji lijekova i medicinskih proizvoda putem Interneta, oglasnika, elektroničke pošte i sl.</w:t>
      </w:r>
      <w:r w:rsidRPr="000A0638">
        <w:t xml:space="preserve"> </w:t>
      </w:r>
    </w:p>
    <w:p w14:paraId="749F5E31" w14:textId="1F723C78" w:rsidR="0026050A" w:rsidRDefault="0026050A" w:rsidP="00AE558F">
      <w:pPr>
        <w:spacing w:line="276" w:lineRule="auto"/>
        <w:jc w:val="both"/>
      </w:pPr>
      <w:r w:rsidRPr="000A0638">
        <w:t xml:space="preserve">Zaposlenici HALMED-a imenovani su u </w:t>
      </w:r>
      <w:r w:rsidRPr="001E12A3">
        <w:t>ispitno povjerenstvo</w:t>
      </w:r>
      <w:r w:rsidRPr="000A0638">
        <w:t xml:space="preserve"> Ministarstva zdravstva za polaganje specijalističkog ispita iz Analitičke toksikologije, te su imenovani kao glavni mentori u sklopu specijalističkog usavršavanja magistara farmacije za specijalizaciju ispitivanja i kontrole lijekova, a za čije provođenje je odgovorno Ministarstvo zdravstva.</w:t>
      </w:r>
    </w:p>
    <w:p w14:paraId="7C868BA0" w14:textId="77777777" w:rsidR="001E12A3" w:rsidRPr="000A0638" w:rsidRDefault="001E12A3" w:rsidP="00AE558F">
      <w:pPr>
        <w:spacing w:line="276" w:lineRule="auto"/>
        <w:jc w:val="both"/>
      </w:pPr>
    </w:p>
    <w:p w14:paraId="1CB68ABE" w14:textId="22B808AE" w:rsidR="00754449" w:rsidRDefault="00754449" w:rsidP="00754449">
      <w:pPr>
        <w:spacing w:line="276" w:lineRule="auto"/>
        <w:jc w:val="both"/>
      </w:pPr>
      <w:r w:rsidRPr="0026050A">
        <w:t xml:space="preserve">Zajedno s drugim dionicima u zdravstvu HALMED sudjeluje u slijedećim </w:t>
      </w:r>
      <w:r w:rsidRPr="00732413">
        <w:rPr>
          <w:b/>
        </w:rPr>
        <w:t xml:space="preserve">povjerenstvima i radnim skupinama </w:t>
      </w:r>
      <w:r w:rsidRPr="0026050A">
        <w:t>pri Ministarstvu zdravstva:</w:t>
      </w:r>
    </w:p>
    <w:p w14:paraId="0931ADF1" w14:textId="77777777" w:rsidR="00754449" w:rsidRPr="0026050A" w:rsidRDefault="00754449" w:rsidP="00754449">
      <w:pPr>
        <w:spacing w:line="276" w:lineRule="auto"/>
        <w:jc w:val="both"/>
      </w:pPr>
    </w:p>
    <w:p w14:paraId="798FBB6A" w14:textId="7AE65BBC" w:rsidR="00754449" w:rsidRDefault="00754449" w:rsidP="00754449">
      <w:pPr>
        <w:spacing w:line="276" w:lineRule="auto"/>
        <w:jc w:val="both"/>
      </w:pPr>
      <w:r>
        <w:t xml:space="preserve">a) </w:t>
      </w:r>
      <w:r w:rsidR="0026050A" w:rsidRPr="00754449">
        <w:t>Povjerenstv</w:t>
      </w:r>
      <w:r w:rsidRPr="00754449">
        <w:t>o</w:t>
      </w:r>
      <w:r w:rsidR="0026050A" w:rsidRPr="00754449">
        <w:t xml:space="preserve"> za dodatke prehrani, zdravstvene tvrdnje i tvari koje se mogu dodavati hrani</w:t>
      </w:r>
    </w:p>
    <w:p w14:paraId="31513BEF" w14:textId="187AA0C7" w:rsidR="0026050A" w:rsidRPr="0026050A" w:rsidRDefault="00754449" w:rsidP="00754449">
      <w:pPr>
        <w:spacing w:line="276" w:lineRule="auto"/>
        <w:jc w:val="both"/>
      </w:pPr>
      <w:r>
        <w:t>b) T</w:t>
      </w:r>
      <w:r w:rsidR="0026050A" w:rsidRPr="0026050A">
        <w:t>ematsk</w:t>
      </w:r>
      <w:r>
        <w:t>a</w:t>
      </w:r>
      <w:r w:rsidR="0026050A" w:rsidRPr="0026050A">
        <w:t xml:space="preserve"> radn</w:t>
      </w:r>
      <w:r>
        <w:t>a</w:t>
      </w:r>
      <w:r w:rsidR="0026050A" w:rsidRPr="0026050A">
        <w:t xml:space="preserve"> skupin</w:t>
      </w:r>
      <w:r>
        <w:t>a</w:t>
      </w:r>
      <w:r w:rsidR="0026050A" w:rsidRPr="0026050A">
        <w:t xml:space="preserve"> za zdravlje i kvalitetu života za izradu Nacionalne razvojne strategije do 2030. godine. </w:t>
      </w:r>
    </w:p>
    <w:p w14:paraId="6B71DFE9" w14:textId="514A9E81" w:rsidR="0026050A" w:rsidRPr="00754449" w:rsidRDefault="00754449" w:rsidP="00754449">
      <w:pPr>
        <w:spacing w:line="276" w:lineRule="auto"/>
        <w:jc w:val="both"/>
      </w:pPr>
      <w:r>
        <w:t xml:space="preserve">c) </w:t>
      </w:r>
      <w:r w:rsidR="0026050A" w:rsidRPr="00754449">
        <w:t xml:space="preserve">Radna skupina za izradu nacionalnog izvješća o procjeni učinkovitosti zdravstvenog sustava u </w:t>
      </w:r>
      <w:r>
        <w:t>R</w:t>
      </w:r>
      <w:r w:rsidRPr="00754449">
        <w:t xml:space="preserve">epublici </w:t>
      </w:r>
      <w:r w:rsidR="0026050A" w:rsidRPr="00754449">
        <w:t>Hrvatskoj (Health System performance Assessment-HSPA)</w:t>
      </w:r>
    </w:p>
    <w:p w14:paraId="0AA7DCEB" w14:textId="7F146128" w:rsidR="0026050A" w:rsidRPr="00754449" w:rsidRDefault="00754449" w:rsidP="00754449">
      <w:pPr>
        <w:spacing w:line="276" w:lineRule="auto"/>
        <w:jc w:val="both"/>
      </w:pPr>
      <w:r>
        <w:t xml:space="preserve">d) </w:t>
      </w:r>
      <w:r w:rsidR="0026050A" w:rsidRPr="00754449">
        <w:t>Radna skupina za pripremu i provedbu projekta (investicije) „Izrada sustava praćenja i preveniranja nestašice lijekova u Republici Hrvatskoj“ u okviru Nacionalnog plana oporavka i otpornosti Vlade RH 2021.-2026.</w:t>
      </w:r>
    </w:p>
    <w:p w14:paraId="19ABC7EA" w14:textId="77777777" w:rsidR="00754449" w:rsidRDefault="00754449" w:rsidP="00754449">
      <w:pPr>
        <w:spacing w:line="276" w:lineRule="auto"/>
        <w:jc w:val="both"/>
      </w:pPr>
      <w:r>
        <w:t xml:space="preserve">e) </w:t>
      </w:r>
      <w:r w:rsidR="0026050A" w:rsidRPr="00754449">
        <w:t>Radna skupina za pripremu i provedbu projekata „Uvođenje sustava praćenja ishoda liječenja izvanbolničkih kroničnih pacijenata u javnim ljekarnama u Republici Hrvatskoj</w:t>
      </w:r>
    </w:p>
    <w:p w14:paraId="772BA353" w14:textId="44D65CB7" w:rsidR="00754449" w:rsidRPr="00754449" w:rsidRDefault="00754449" w:rsidP="00754449">
      <w:pPr>
        <w:spacing w:line="276" w:lineRule="auto"/>
        <w:jc w:val="both"/>
      </w:pPr>
      <w:r>
        <w:t xml:space="preserve">f) </w:t>
      </w:r>
      <w:r w:rsidR="00800822" w:rsidRPr="00754449">
        <w:t>Radna skupina za izradu izmjena i dopuna Pravilnika o zdravst</w:t>
      </w:r>
      <w:r w:rsidR="00D27AC0" w:rsidRPr="00754449">
        <w:t>v</w:t>
      </w:r>
      <w:r w:rsidR="00800822" w:rsidRPr="00754449">
        <w:t>enim pregledima vozača i kandidata za vozače</w:t>
      </w:r>
      <w:r w:rsidR="00600605" w:rsidRPr="00754449">
        <w:t>.</w:t>
      </w:r>
      <w:r>
        <w:t xml:space="preserve">g) </w:t>
      </w:r>
    </w:p>
    <w:p w14:paraId="010E455C" w14:textId="6A8CD546" w:rsidR="00E409F2" w:rsidRPr="00754449" w:rsidRDefault="00754449" w:rsidP="00754449">
      <w:pPr>
        <w:spacing w:line="276" w:lineRule="auto"/>
        <w:jc w:val="both"/>
      </w:pPr>
      <w:r>
        <w:t xml:space="preserve">g) </w:t>
      </w:r>
      <w:r w:rsidR="00600605" w:rsidRPr="00754449">
        <w:t>Povjerenstvo za rijetke bolesti Ministarstva zdravstva RH, rad na izradi Nacionalnog programa za rijetke bolesti RH 2024.-2027.</w:t>
      </w:r>
    </w:p>
    <w:p w14:paraId="6E8E6DDF" w14:textId="77777777" w:rsidR="00600605" w:rsidRPr="00754449" w:rsidRDefault="00600605" w:rsidP="00754449">
      <w:pPr>
        <w:ind w:left="360"/>
        <w:jc w:val="both"/>
      </w:pPr>
    </w:p>
    <w:p w14:paraId="0607E5D6" w14:textId="38773574" w:rsidR="0026050A" w:rsidRDefault="007D441C" w:rsidP="007D441C">
      <w:r>
        <w:t>Više o sudjelovanju u ovim radnim skupinama</w:t>
      </w:r>
      <w:r w:rsidR="0026050A" w:rsidRPr="0026050A">
        <w:t xml:space="preserve"> nalazi se u poglavlju 2.</w:t>
      </w:r>
    </w:p>
    <w:p w14:paraId="1A3CEC11" w14:textId="08793A69" w:rsidR="00B82A50" w:rsidRDefault="009B1B8B" w:rsidP="007D441C">
      <w:pPr>
        <w:pStyle w:val="Heading3"/>
      </w:pPr>
      <w:bookmarkStart w:id="21" w:name="_Toc165035429"/>
      <w:r>
        <w:t>1.1.3. U</w:t>
      </w:r>
      <w:r w:rsidRPr="00EF2095">
        <w:t>pravljanje i struktura HALMED-a</w:t>
      </w:r>
      <w:bookmarkEnd w:id="21"/>
    </w:p>
    <w:p w14:paraId="50CEF95E" w14:textId="39A17D6F" w:rsidR="00AA41EB" w:rsidRPr="00E11A88" w:rsidRDefault="00AA41EB" w:rsidP="00AA41EB">
      <w:pPr>
        <w:spacing w:line="276" w:lineRule="auto"/>
      </w:pPr>
      <w:r w:rsidRPr="00E11A88">
        <w:t xml:space="preserve">Sukladno članku 13. Statuta HALMED-a, tijela HALMED-a su: </w:t>
      </w:r>
    </w:p>
    <w:p w14:paraId="2F4176AC" w14:textId="77777777" w:rsidR="00AA41EB" w:rsidRPr="009E2169" w:rsidRDefault="00AA41EB" w:rsidP="00AA41EB">
      <w:pPr>
        <w:pStyle w:val="ListParagraph"/>
        <w:numPr>
          <w:ilvl w:val="0"/>
          <w:numId w:val="2"/>
        </w:numPr>
        <w:shd w:val="clear" w:color="auto" w:fill="FFFFFF"/>
        <w:spacing w:before="0" w:after="0"/>
        <w:jc w:val="both"/>
        <w:rPr>
          <w:rFonts w:cstheme="minorHAnsi"/>
          <w:bCs/>
          <w:sz w:val="22"/>
          <w:szCs w:val="22"/>
        </w:rPr>
      </w:pPr>
      <w:r w:rsidRPr="009E2169">
        <w:rPr>
          <w:rFonts w:cstheme="minorHAnsi"/>
          <w:bCs/>
          <w:sz w:val="22"/>
          <w:szCs w:val="22"/>
        </w:rPr>
        <w:t>Upravno vijeće</w:t>
      </w:r>
      <w:r>
        <w:rPr>
          <w:rFonts w:cstheme="minorHAnsi"/>
          <w:bCs/>
          <w:sz w:val="22"/>
          <w:szCs w:val="22"/>
        </w:rPr>
        <w:t>,</w:t>
      </w:r>
      <w:r w:rsidRPr="009E2169">
        <w:rPr>
          <w:rFonts w:cstheme="minorHAnsi"/>
          <w:bCs/>
          <w:sz w:val="22"/>
          <w:szCs w:val="22"/>
        </w:rPr>
        <w:t xml:space="preserve"> </w:t>
      </w:r>
    </w:p>
    <w:p w14:paraId="7D72710F" w14:textId="77777777" w:rsidR="00AA41EB" w:rsidRPr="009E2169" w:rsidRDefault="00AA41EB" w:rsidP="00AA41EB">
      <w:pPr>
        <w:pStyle w:val="ListParagraph"/>
        <w:numPr>
          <w:ilvl w:val="0"/>
          <w:numId w:val="2"/>
        </w:numPr>
        <w:shd w:val="clear" w:color="auto" w:fill="FFFFFF"/>
        <w:spacing w:before="0" w:after="0"/>
        <w:jc w:val="both"/>
        <w:rPr>
          <w:rFonts w:cstheme="minorHAnsi"/>
          <w:bCs/>
          <w:sz w:val="22"/>
          <w:szCs w:val="22"/>
        </w:rPr>
      </w:pPr>
      <w:r w:rsidRPr="009E2169">
        <w:rPr>
          <w:rFonts w:cstheme="minorHAnsi"/>
          <w:bCs/>
          <w:sz w:val="22"/>
          <w:szCs w:val="22"/>
        </w:rPr>
        <w:t>Ravnatelj</w:t>
      </w:r>
      <w:r>
        <w:rPr>
          <w:rFonts w:cstheme="minorHAnsi"/>
          <w:bCs/>
          <w:sz w:val="22"/>
          <w:szCs w:val="22"/>
        </w:rPr>
        <w:t>,</w:t>
      </w:r>
      <w:r w:rsidRPr="009E2169">
        <w:rPr>
          <w:rFonts w:cstheme="minorHAnsi"/>
          <w:bCs/>
          <w:sz w:val="22"/>
          <w:szCs w:val="22"/>
        </w:rPr>
        <w:t xml:space="preserve"> </w:t>
      </w:r>
    </w:p>
    <w:p w14:paraId="2A683EB7" w14:textId="77777777" w:rsidR="00AA41EB" w:rsidRPr="009E2169" w:rsidRDefault="00AA41EB" w:rsidP="00AA41EB">
      <w:pPr>
        <w:pStyle w:val="ListParagraph"/>
        <w:numPr>
          <w:ilvl w:val="0"/>
          <w:numId w:val="2"/>
        </w:numPr>
        <w:shd w:val="clear" w:color="auto" w:fill="FFFFFF"/>
        <w:spacing w:before="0" w:after="0"/>
        <w:jc w:val="both"/>
        <w:rPr>
          <w:rFonts w:cstheme="minorHAnsi"/>
          <w:bCs/>
          <w:sz w:val="22"/>
          <w:szCs w:val="22"/>
        </w:rPr>
      </w:pPr>
      <w:r w:rsidRPr="009E2169">
        <w:rPr>
          <w:rFonts w:cstheme="minorHAnsi"/>
          <w:bCs/>
          <w:sz w:val="22"/>
          <w:szCs w:val="22"/>
        </w:rPr>
        <w:t>Stručno vijeće</w:t>
      </w:r>
      <w:r>
        <w:rPr>
          <w:rFonts w:cstheme="minorHAnsi"/>
          <w:bCs/>
          <w:sz w:val="22"/>
          <w:szCs w:val="22"/>
        </w:rPr>
        <w:t>.</w:t>
      </w:r>
    </w:p>
    <w:p w14:paraId="7C3ACC77" w14:textId="46FE42AC" w:rsidR="00AA41EB" w:rsidRPr="006A4000" w:rsidRDefault="00AA41EB" w:rsidP="00AA41EB">
      <w:pPr>
        <w:pStyle w:val="Heading4"/>
      </w:pPr>
      <w:bookmarkStart w:id="22" w:name="_Toc530140468"/>
      <w:r w:rsidRPr="006A4000">
        <w:lastRenderedPageBreak/>
        <w:t>1.1.</w:t>
      </w:r>
      <w:r w:rsidR="0026050A">
        <w:t>3</w:t>
      </w:r>
      <w:r w:rsidR="00D27AC0">
        <w:t>.</w:t>
      </w:r>
      <w:r w:rsidRPr="006A4000">
        <w:t xml:space="preserve">1. </w:t>
      </w:r>
      <w:r w:rsidRPr="004C51D2">
        <w:t>Upravno</w:t>
      </w:r>
      <w:r w:rsidRPr="006A4000">
        <w:t xml:space="preserve"> vijeće</w:t>
      </w:r>
      <w:bookmarkEnd w:id="22"/>
    </w:p>
    <w:p w14:paraId="76C2F733" w14:textId="77777777" w:rsidR="00AA41EB" w:rsidRDefault="00AA41EB" w:rsidP="00AA41EB">
      <w:pPr>
        <w:shd w:val="clear" w:color="auto" w:fill="FFFFFF"/>
        <w:spacing w:after="240" w:line="276" w:lineRule="auto"/>
        <w:jc w:val="both"/>
      </w:pPr>
      <w:r w:rsidRPr="00E11A88">
        <w:rPr>
          <w:rFonts w:cstheme="minorHAnsi"/>
        </w:rPr>
        <w:t xml:space="preserve">Sukladno članku 216. Zakona o lijekovima HALMED-om upravlja Upravno vijeće Agencije koje ima pet članova. </w:t>
      </w:r>
      <w:r w:rsidRPr="00E11A88">
        <w:rPr>
          <w:rFonts w:cstheme="minorHAnsi"/>
          <w:color w:val="000000"/>
        </w:rPr>
        <w:t xml:space="preserve">Predsjednika i članove Upravnog vijeća imenuje Vlada Republike Hrvatske na prijedlog ministra nadležnog za </w:t>
      </w:r>
      <w:r>
        <w:rPr>
          <w:rFonts w:cstheme="minorHAnsi"/>
          <w:color w:val="000000"/>
        </w:rPr>
        <w:t>zdravstvo</w:t>
      </w:r>
      <w:r w:rsidRPr="00E11A88">
        <w:rPr>
          <w:rFonts w:cstheme="minorHAnsi"/>
          <w:color w:val="000000"/>
        </w:rPr>
        <w:t>. Članovi Upravnog vijeća imenuju se na četiri godine. Poslovi Upravnog vijeća propisani su odredbama Zakona o lijekovima i Statuta.</w:t>
      </w:r>
    </w:p>
    <w:p w14:paraId="3092570A" w14:textId="14D736FE" w:rsidR="00AA41EB" w:rsidRDefault="00AA41EB" w:rsidP="00AA41EB">
      <w:pPr>
        <w:spacing w:line="276" w:lineRule="auto"/>
        <w:jc w:val="both"/>
      </w:pPr>
      <w:r w:rsidRPr="001A1ECE">
        <w:t xml:space="preserve">U razdoblju od 1. siječnja do </w:t>
      </w:r>
      <w:r w:rsidR="00754449">
        <w:t>3</w:t>
      </w:r>
      <w:r w:rsidR="007479F6">
        <w:t>1</w:t>
      </w:r>
      <w:r w:rsidR="00754449">
        <w:t xml:space="preserve">. </w:t>
      </w:r>
      <w:r w:rsidR="00B1059C">
        <w:t xml:space="preserve">prosinca </w:t>
      </w:r>
      <w:r>
        <w:t>202</w:t>
      </w:r>
      <w:r w:rsidR="0026050A">
        <w:t>3</w:t>
      </w:r>
      <w:r>
        <w:t xml:space="preserve">. </w:t>
      </w:r>
      <w:r w:rsidRPr="00C52E35">
        <w:t>Upravno vijeće Agencije djelovalo je u slijedećem sastavu:</w:t>
      </w:r>
    </w:p>
    <w:p w14:paraId="7921E9AE" w14:textId="77777777" w:rsidR="00AA41EB" w:rsidRPr="003B7EAB" w:rsidRDefault="00AA41EB" w:rsidP="00AA41EB">
      <w:pPr>
        <w:pStyle w:val="ListParagraph"/>
        <w:numPr>
          <w:ilvl w:val="0"/>
          <w:numId w:val="15"/>
        </w:numPr>
      </w:pPr>
      <w:r w:rsidRPr="00E760C7">
        <w:rPr>
          <w:sz w:val="22"/>
          <w:szCs w:val="22"/>
        </w:rPr>
        <w:t>prim. Stanko Belina, dr. med., spec. – predsjednik Upravnog vijeća</w:t>
      </w:r>
    </w:p>
    <w:p w14:paraId="250EAA41" w14:textId="77777777" w:rsidR="00AA41EB" w:rsidRPr="003B7EAB" w:rsidRDefault="00AA41EB" w:rsidP="00AA41EB">
      <w:pPr>
        <w:pStyle w:val="ListParagraph"/>
        <w:numPr>
          <w:ilvl w:val="0"/>
          <w:numId w:val="15"/>
        </w:numPr>
      </w:pPr>
      <w:r w:rsidRPr="00E760C7">
        <w:rPr>
          <w:sz w:val="22"/>
          <w:szCs w:val="22"/>
        </w:rPr>
        <w:t>Danica Kramarić, dr. med. – članica Upravnog vijeća</w:t>
      </w:r>
    </w:p>
    <w:p w14:paraId="3EA644C6" w14:textId="77777777" w:rsidR="00AA41EB" w:rsidRPr="003B7EAB" w:rsidRDefault="00AA41EB" w:rsidP="00AA41EB">
      <w:pPr>
        <w:pStyle w:val="ListParagraph"/>
        <w:numPr>
          <w:ilvl w:val="0"/>
          <w:numId w:val="15"/>
        </w:numPr>
      </w:pPr>
      <w:r w:rsidRPr="00E760C7">
        <w:rPr>
          <w:sz w:val="22"/>
          <w:szCs w:val="22"/>
        </w:rPr>
        <w:t>mr. sc. Fedor Dorčić, dr. med., spec. – član Upravnog vijeća</w:t>
      </w:r>
    </w:p>
    <w:p w14:paraId="0BA92C83" w14:textId="1CE36F34" w:rsidR="00AA41EB" w:rsidRPr="003B7EAB" w:rsidRDefault="00AA41EB" w:rsidP="00AA41EB">
      <w:pPr>
        <w:pStyle w:val="ListParagraph"/>
        <w:numPr>
          <w:ilvl w:val="0"/>
          <w:numId w:val="15"/>
        </w:numPr>
      </w:pPr>
      <w:r w:rsidRPr="00E760C7">
        <w:rPr>
          <w:sz w:val="22"/>
          <w:szCs w:val="22"/>
        </w:rPr>
        <w:t>Davorka Herman Mahečić, dr. med.</w:t>
      </w:r>
      <w:r w:rsidR="0012149B">
        <w:rPr>
          <w:sz w:val="22"/>
          <w:szCs w:val="22"/>
        </w:rPr>
        <w:t xml:space="preserve">, subspec. </w:t>
      </w:r>
      <w:r w:rsidRPr="00E760C7">
        <w:rPr>
          <w:sz w:val="22"/>
          <w:szCs w:val="22"/>
        </w:rPr>
        <w:t>- članica Upravnog vijeća.</w:t>
      </w:r>
    </w:p>
    <w:p w14:paraId="741D4320" w14:textId="77777777" w:rsidR="00AA41EB" w:rsidRPr="003B7EAB" w:rsidRDefault="00AA41EB" w:rsidP="00AA41EB">
      <w:pPr>
        <w:pStyle w:val="ListParagraph"/>
        <w:numPr>
          <w:ilvl w:val="0"/>
          <w:numId w:val="15"/>
        </w:numPr>
      </w:pPr>
      <w:r w:rsidRPr="00E760C7">
        <w:rPr>
          <w:sz w:val="22"/>
          <w:szCs w:val="22"/>
        </w:rPr>
        <w:t>mr. sc. Hrvoje Pezo, dr. dent. med., spec. – član Upravnog vijeća</w:t>
      </w:r>
    </w:p>
    <w:p w14:paraId="0BCBA785" w14:textId="5C448DFF" w:rsidR="00D27AC0" w:rsidRDefault="00AA41EB" w:rsidP="004A4135">
      <w:r w:rsidRPr="00744122">
        <w:t xml:space="preserve">U navedenom razdoblju Upravno vijeće Agencije je </w:t>
      </w:r>
      <w:r w:rsidRPr="00295CC0">
        <w:t xml:space="preserve">održalo </w:t>
      </w:r>
      <w:r w:rsidR="00C0219E">
        <w:t>19</w:t>
      </w:r>
      <w:r w:rsidR="004A4135" w:rsidRPr="004A4135">
        <w:t xml:space="preserve"> </w:t>
      </w:r>
      <w:r w:rsidRPr="00295CC0">
        <w:t>sjednica</w:t>
      </w:r>
      <w:r w:rsidRPr="00F00E3E">
        <w:t>.</w:t>
      </w:r>
      <w:bookmarkStart w:id="23" w:name="_Toc530140469"/>
    </w:p>
    <w:p w14:paraId="5738D08F" w14:textId="40EF4BBE" w:rsidR="00AA41EB" w:rsidRPr="006A4000" w:rsidRDefault="00AA41EB" w:rsidP="00A14857">
      <w:pPr>
        <w:pStyle w:val="Heading3"/>
      </w:pPr>
      <w:bookmarkStart w:id="24" w:name="_Toc165035430"/>
      <w:r w:rsidRPr="006A4000">
        <w:t>1.1.</w:t>
      </w:r>
      <w:r w:rsidR="0026050A">
        <w:t>3.</w:t>
      </w:r>
      <w:r w:rsidRPr="006A4000">
        <w:t xml:space="preserve">2. </w:t>
      </w:r>
      <w:r w:rsidRPr="004C51D2">
        <w:t>Ravnatelj</w:t>
      </w:r>
      <w:bookmarkEnd w:id="23"/>
      <w:bookmarkEnd w:id="24"/>
      <w:r w:rsidRPr="006A4000">
        <w:t xml:space="preserve"> </w:t>
      </w:r>
    </w:p>
    <w:p w14:paraId="39A5D338" w14:textId="77777777" w:rsidR="00AA41EB" w:rsidRDefault="00AA41EB" w:rsidP="00AA41EB">
      <w:pPr>
        <w:spacing w:line="276" w:lineRule="auto"/>
        <w:jc w:val="both"/>
        <w:rPr>
          <w:rFonts w:cstheme="minorHAnsi"/>
        </w:rPr>
      </w:pPr>
      <w:r w:rsidRPr="00E11A88">
        <w:rPr>
          <w:rFonts w:cstheme="minorHAnsi"/>
        </w:rPr>
        <w:t>Sukladno članku 220. Zakona o lijekovima</w:t>
      </w:r>
      <w:r>
        <w:rPr>
          <w:rFonts w:cstheme="minorHAnsi"/>
        </w:rPr>
        <w:t>,</w:t>
      </w:r>
      <w:r w:rsidRPr="00E11A88">
        <w:rPr>
          <w:rFonts w:cstheme="minorHAnsi"/>
        </w:rPr>
        <w:t xml:space="preserve"> ravnatelj upravlja i rukovodi poslovanjem HALMED-a. Sukladno članku 219. Zakona o lijekovima i članku 23. Statuta</w:t>
      </w:r>
      <w:r>
        <w:rPr>
          <w:rFonts w:cstheme="minorHAnsi"/>
        </w:rPr>
        <w:t>,</w:t>
      </w:r>
      <w:r w:rsidRPr="00E11A88">
        <w:rPr>
          <w:rFonts w:cstheme="minorHAnsi"/>
        </w:rPr>
        <w:t xml:space="preserve"> ravnatelj HALMED-a imenuje se na četiri godine. Nakon isteka </w:t>
      </w:r>
      <w:r w:rsidRPr="005D0C86">
        <w:rPr>
          <w:rFonts w:cstheme="minorHAnsi"/>
        </w:rPr>
        <w:t xml:space="preserve">mandata </w:t>
      </w:r>
      <w:r w:rsidRPr="00E11A88">
        <w:rPr>
          <w:rFonts w:cstheme="minorHAnsi"/>
        </w:rPr>
        <w:t xml:space="preserve">ravnatelj može biti ponovno imenovan, bez ograničenja broja mandata. Obveze i odgovornosti ravnatelja HALMED-a propisane su Zakonom o lijekovima i Statutom HALMED-a. </w:t>
      </w:r>
    </w:p>
    <w:p w14:paraId="29A4D9F2" w14:textId="4D303D79" w:rsidR="00AA41EB" w:rsidRPr="00DF0C25" w:rsidRDefault="003379A4" w:rsidP="00AA41EB">
      <w:pPr>
        <w:spacing w:line="276" w:lineRule="auto"/>
        <w:jc w:val="both"/>
      </w:pPr>
      <w:r w:rsidRPr="003379A4">
        <w:rPr>
          <w:rFonts w:eastAsiaTheme="majorEastAsia" w:cstheme="minorHAnsi"/>
        </w:rPr>
        <w:t>Upravno vijeće HALMED-a je dana 10. listopada 2023. godine na svojoj 46. sjednici donijelo Odluku o izboru i imenovanju prof. dr. sc. Siniše Tomića ravnateljem HALMED-a na mandatno razdoblje od 01. prosinca 2023. godine do 30. studenoga 2027. godine.</w:t>
      </w:r>
    </w:p>
    <w:p w14:paraId="3449E125" w14:textId="5872C79E" w:rsidR="00AA41EB" w:rsidRPr="006A4000" w:rsidRDefault="00AA41EB" w:rsidP="00AA41EB">
      <w:pPr>
        <w:pStyle w:val="Heading4"/>
      </w:pPr>
      <w:bookmarkStart w:id="25" w:name="_Toc530140470"/>
      <w:r w:rsidRPr="006A4000">
        <w:t>1.1.</w:t>
      </w:r>
      <w:r w:rsidR="0026050A">
        <w:t>3</w:t>
      </w:r>
      <w:r w:rsidR="00B82A50">
        <w:t>.</w:t>
      </w:r>
      <w:r w:rsidRPr="006A4000">
        <w:t>3. Stručno vijeće</w:t>
      </w:r>
      <w:bookmarkEnd w:id="25"/>
    </w:p>
    <w:p w14:paraId="114F262E" w14:textId="77777777" w:rsidR="00AA41EB" w:rsidRDefault="00AA41EB" w:rsidP="00AA41EB">
      <w:pPr>
        <w:shd w:val="clear" w:color="auto" w:fill="FFFFFF"/>
        <w:spacing w:before="120" w:after="240" w:line="276" w:lineRule="auto"/>
        <w:jc w:val="both"/>
        <w:rPr>
          <w:rFonts w:cstheme="minorHAnsi"/>
        </w:rPr>
      </w:pPr>
      <w:r>
        <w:rPr>
          <w:rFonts w:cstheme="minorHAnsi"/>
        </w:rPr>
        <w:t>Sukladno članku 215. Zakona o lijekovima, Stručno vijeće je jedno od tijela HALMED-a. U skladu sa Statutom HALMED-a Stručno vijeće je savjetodavno tijelo ravnatelja te je sastavljeno od predsjednika i četiri člana. Predsjednika i članove Stručnog vijeća imenuje ravnatelj. Člankom 33. Statuta HALMED-a propisani su poslovi Stručnog vijeća. Stručno vijeće donijelo je poslovnik o svom radu.</w:t>
      </w:r>
    </w:p>
    <w:p w14:paraId="24786F1B" w14:textId="078B5AF3" w:rsidR="00AA41EB" w:rsidRDefault="00AA41EB" w:rsidP="00AA41EB">
      <w:pPr>
        <w:shd w:val="clear" w:color="auto" w:fill="FFFFFF"/>
        <w:spacing w:before="120" w:after="240" w:line="276" w:lineRule="auto"/>
        <w:jc w:val="both"/>
        <w:rPr>
          <w:rFonts w:cstheme="minorHAnsi"/>
        </w:rPr>
      </w:pPr>
      <w:r w:rsidRPr="00D539B2">
        <w:rPr>
          <w:rFonts w:cstheme="minorHAnsi"/>
        </w:rPr>
        <w:t xml:space="preserve">Stručno vijeće Agencije </w:t>
      </w:r>
      <w:r>
        <w:rPr>
          <w:rFonts w:cstheme="minorHAnsi"/>
        </w:rPr>
        <w:t xml:space="preserve">u razdoblju od 1. siječnja do </w:t>
      </w:r>
      <w:r w:rsidR="009129A1">
        <w:rPr>
          <w:rFonts w:cstheme="minorHAnsi"/>
        </w:rPr>
        <w:t>31. prosinca</w:t>
      </w:r>
      <w:r w:rsidR="00CF0BB1">
        <w:rPr>
          <w:rFonts w:cstheme="minorHAnsi"/>
        </w:rPr>
        <w:t xml:space="preserve"> </w:t>
      </w:r>
      <w:r>
        <w:rPr>
          <w:rFonts w:cstheme="minorHAnsi"/>
        </w:rPr>
        <w:t>202</w:t>
      </w:r>
      <w:r w:rsidR="0026050A">
        <w:rPr>
          <w:rFonts w:cstheme="minorHAnsi"/>
        </w:rPr>
        <w:t>3</w:t>
      </w:r>
      <w:r>
        <w:rPr>
          <w:rFonts w:cstheme="minorHAnsi"/>
        </w:rPr>
        <w:t xml:space="preserve">. </w:t>
      </w:r>
      <w:r w:rsidRPr="00D539B2">
        <w:rPr>
          <w:rFonts w:cstheme="minorHAnsi"/>
        </w:rPr>
        <w:t>djelovalo je u sastavu:</w:t>
      </w:r>
      <w:r w:rsidR="00BC0E38" w:rsidRPr="00BC0E38">
        <w:rPr>
          <w:rFonts w:cstheme="minorHAnsi"/>
        </w:rPr>
        <w:t xml:space="preserve"> </w:t>
      </w:r>
      <w:r w:rsidR="00BC0E38" w:rsidRPr="00D539B2">
        <w:rPr>
          <w:rFonts w:cstheme="minorHAnsi"/>
        </w:rPr>
        <w:t>mr.sc. Tončica Vukman Kordić, mr.pharm., spec.</w:t>
      </w:r>
      <w:r w:rsidR="00BC0E38">
        <w:rPr>
          <w:rFonts w:cstheme="minorHAnsi"/>
        </w:rPr>
        <w:t>,</w:t>
      </w:r>
      <w:r w:rsidRPr="00D539B2">
        <w:rPr>
          <w:rFonts w:cstheme="minorHAnsi"/>
        </w:rPr>
        <w:t xml:space="preserve"> </w:t>
      </w:r>
      <w:r w:rsidR="00BC0E38">
        <w:rPr>
          <w:rFonts w:cstheme="minorHAnsi"/>
        </w:rPr>
        <w:t xml:space="preserve">predsjednica, </w:t>
      </w:r>
      <w:r w:rsidR="00BC0E38" w:rsidRPr="00D539B2">
        <w:rPr>
          <w:rFonts w:cstheme="minorHAnsi"/>
        </w:rPr>
        <w:t xml:space="preserve">članovi: </w:t>
      </w:r>
      <w:r w:rsidRPr="00D539B2">
        <w:rPr>
          <w:rFonts w:cstheme="minorHAnsi"/>
        </w:rPr>
        <w:t>mr. sc. Željka Davosir Klarić, mag. pharm., spec.</w:t>
      </w:r>
      <w:r>
        <w:rPr>
          <w:rFonts w:cstheme="minorHAnsi"/>
        </w:rPr>
        <w:t>,</w:t>
      </w:r>
      <w:r w:rsidRPr="00D539B2">
        <w:rPr>
          <w:rFonts w:cstheme="minorHAnsi"/>
        </w:rPr>
        <w:t xml:space="preserve"> Jasna Ikić Komesar, mr. pharm.; dr. sc. Suzana Jukić, mag. ing. bioproc. i Andreja Smolčić, dipl. iur. </w:t>
      </w:r>
    </w:p>
    <w:p w14:paraId="3B4B21B8" w14:textId="77777777" w:rsidR="00AA41EB" w:rsidRDefault="00AA41EB" w:rsidP="00AA41EB">
      <w:pPr>
        <w:shd w:val="clear" w:color="auto" w:fill="FFFFFF"/>
        <w:jc w:val="both"/>
        <w:rPr>
          <w:rFonts w:cstheme="minorHAnsi"/>
        </w:rPr>
      </w:pPr>
      <w:r>
        <w:rPr>
          <w:rFonts w:cstheme="minorHAnsi"/>
        </w:rPr>
        <w:t>Sukladno Statutu, Stručno vijeće HALMED-a:</w:t>
      </w:r>
    </w:p>
    <w:p w14:paraId="4C59718D" w14:textId="77777777" w:rsidR="00AA41EB" w:rsidRDefault="00AA41EB" w:rsidP="00AA41EB">
      <w:pPr>
        <w:pStyle w:val="ListParagraph"/>
        <w:numPr>
          <w:ilvl w:val="0"/>
          <w:numId w:val="4"/>
        </w:numPr>
        <w:shd w:val="clear" w:color="auto" w:fill="FFFFFF"/>
        <w:spacing w:before="0" w:after="0" w:line="240" w:lineRule="auto"/>
        <w:jc w:val="both"/>
        <w:rPr>
          <w:rFonts w:cstheme="minorHAnsi"/>
          <w:sz w:val="22"/>
          <w:szCs w:val="22"/>
        </w:rPr>
      </w:pPr>
      <w:r>
        <w:rPr>
          <w:rFonts w:cstheme="minorHAnsi"/>
          <w:sz w:val="22"/>
          <w:szCs w:val="22"/>
        </w:rPr>
        <w:t>raspravlja i odlučuje o pitanjima iz područja stručnog rada Agencije,</w:t>
      </w:r>
    </w:p>
    <w:p w14:paraId="1E6602AB" w14:textId="77777777" w:rsidR="00AA41EB" w:rsidRDefault="00AA41EB" w:rsidP="00AA41EB">
      <w:pPr>
        <w:pStyle w:val="ListParagraph"/>
        <w:numPr>
          <w:ilvl w:val="0"/>
          <w:numId w:val="4"/>
        </w:numPr>
        <w:shd w:val="clear" w:color="auto" w:fill="FFFFFF"/>
        <w:spacing w:before="120" w:after="240"/>
        <w:jc w:val="both"/>
        <w:rPr>
          <w:rFonts w:cstheme="minorHAnsi"/>
          <w:sz w:val="22"/>
          <w:szCs w:val="22"/>
        </w:rPr>
      </w:pPr>
      <w:r>
        <w:rPr>
          <w:rFonts w:cstheme="minorHAnsi"/>
          <w:sz w:val="22"/>
          <w:szCs w:val="22"/>
        </w:rPr>
        <w:t>predlaže stručna rješenja u sklopu djelatnosti Agencije,</w:t>
      </w:r>
    </w:p>
    <w:p w14:paraId="4A8128CC" w14:textId="77777777" w:rsidR="00AA41EB" w:rsidRDefault="00AA41EB" w:rsidP="00AA41EB">
      <w:pPr>
        <w:pStyle w:val="ListParagraph"/>
        <w:numPr>
          <w:ilvl w:val="0"/>
          <w:numId w:val="4"/>
        </w:numPr>
        <w:shd w:val="clear" w:color="auto" w:fill="FFFFFF"/>
        <w:spacing w:before="120" w:after="240"/>
        <w:jc w:val="both"/>
        <w:rPr>
          <w:rFonts w:cstheme="minorHAnsi"/>
          <w:sz w:val="22"/>
          <w:szCs w:val="22"/>
        </w:rPr>
      </w:pPr>
      <w:r>
        <w:rPr>
          <w:rFonts w:cstheme="minorHAnsi"/>
          <w:sz w:val="22"/>
          <w:szCs w:val="22"/>
        </w:rPr>
        <w:t>predlaže poduzimanje stručnih mjera radi poboljšanja organizacije rada i uvjeta za razvoj djelatnosti Agencije,</w:t>
      </w:r>
    </w:p>
    <w:p w14:paraId="5806E94F" w14:textId="77777777" w:rsidR="00AA41EB" w:rsidRDefault="00AA41EB" w:rsidP="00AA41EB">
      <w:pPr>
        <w:pStyle w:val="ListParagraph"/>
        <w:numPr>
          <w:ilvl w:val="0"/>
          <w:numId w:val="4"/>
        </w:numPr>
        <w:shd w:val="clear" w:color="auto" w:fill="FFFFFF"/>
        <w:spacing w:before="120" w:after="240"/>
        <w:jc w:val="both"/>
        <w:rPr>
          <w:rFonts w:cstheme="minorHAnsi"/>
          <w:sz w:val="22"/>
          <w:szCs w:val="22"/>
        </w:rPr>
      </w:pPr>
      <w:r>
        <w:rPr>
          <w:rFonts w:cstheme="minorHAnsi"/>
          <w:sz w:val="22"/>
          <w:szCs w:val="22"/>
        </w:rPr>
        <w:t>predlaže mjere za unapređenje kvalitete rada Agencije,</w:t>
      </w:r>
    </w:p>
    <w:p w14:paraId="1C315551" w14:textId="77777777" w:rsidR="00AA41EB" w:rsidRDefault="00AA41EB" w:rsidP="00AA41EB">
      <w:pPr>
        <w:pStyle w:val="ListParagraph"/>
        <w:numPr>
          <w:ilvl w:val="0"/>
          <w:numId w:val="4"/>
        </w:numPr>
        <w:shd w:val="clear" w:color="auto" w:fill="FFFFFF"/>
        <w:spacing w:before="120" w:after="240"/>
        <w:jc w:val="both"/>
        <w:rPr>
          <w:rFonts w:cstheme="minorHAnsi"/>
          <w:sz w:val="22"/>
          <w:szCs w:val="22"/>
        </w:rPr>
      </w:pPr>
      <w:r>
        <w:rPr>
          <w:rFonts w:cstheme="minorHAnsi"/>
          <w:sz w:val="22"/>
          <w:szCs w:val="22"/>
        </w:rPr>
        <w:t>razmatra potrebu stručnog usavršavanja radnika Agencije,</w:t>
      </w:r>
    </w:p>
    <w:p w14:paraId="2BA2C132" w14:textId="77777777" w:rsidR="00AA41EB" w:rsidRPr="00E760C7" w:rsidRDefault="00AA41EB" w:rsidP="00AA41EB">
      <w:pPr>
        <w:pStyle w:val="ListParagraph"/>
        <w:numPr>
          <w:ilvl w:val="0"/>
          <w:numId w:val="4"/>
        </w:numPr>
        <w:shd w:val="clear" w:color="auto" w:fill="FFFFFF"/>
        <w:spacing w:before="120" w:after="240"/>
        <w:jc w:val="both"/>
        <w:rPr>
          <w:rFonts w:cs="Times New Roman"/>
          <w:sz w:val="22"/>
          <w:szCs w:val="22"/>
        </w:rPr>
      </w:pPr>
      <w:r w:rsidRPr="00E760C7">
        <w:rPr>
          <w:rFonts w:cstheme="minorHAnsi"/>
          <w:sz w:val="22"/>
          <w:szCs w:val="22"/>
        </w:rPr>
        <w:t>raspravlja i donosi mišljenja o stručnim pitanjima prema zahtjevu ravnatelja.</w:t>
      </w:r>
    </w:p>
    <w:p w14:paraId="1C63D379" w14:textId="2068D7E5" w:rsidR="00E47C60" w:rsidRPr="007D441C" w:rsidRDefault="00B91BF0" w:rsidP="00295CC0">
      <w:pPr>
        <w:spacing w:line="276" w:lineRule="auto"/>
        <w:jc w:val="both"/>
      </w:pPr>
      <w:r w:rsidRPr="004E6CEC">
        <w:rPr>
          <w:rFonts w:cstheme="minorHAnsi"/>
        </w:rPr>
        <w:lastRenderedPageBreak/>
        <w:t xml:space="preserve">U 2023. </w:t>
      </w:r>
      <w:r w:rsidR="00EE77C7">
        <w:rPr>
          <w:rFonts w:cstheme="minorHAnsi"/>
        </w:rPr>
        <w:t xml:space="preserve">godini </w:t>
      </w:r>
      <w:r w:rsidR="00F756EC" w:rsidRPr="004E6CEC">
        <w:rPr>
          <w:rFonts w:cstheme="minorHAnsi"/>
        </w:rPr>
        <w:t xml:space="preserve">održano je </w:t>
      </w:r>
      <w:r w:rsidR="004E6CEC" w:rsidRPr="007479F6">
        <w:rPr>
          <w:rFonts w:cstheme="minorHAnsi"/>
        </w:rPr>
        <w:t>9</w:t>
      </w:r>
      <w:r w:rsidR="004E6CEC" w:rsidRPr="004E6CEC">
        <w:rPr>
          <w:rFonts w:cstheme="minorHAnsi"/>
        </w:rPr>
        <w:t xml:space="preserve"> </w:t>
      </w:r>
      <w:r w:rsidR="00F756EC" w:rsidRPr="004E6CEC">
        <w:rPr>
          <w:rFonts w:cstheme="minorHAnsi"/>
        </w:rPr>
        <w:t xml:space="preserve">redovnih </w:t>
      </w:r>
      <w:r w:rsidRPr="004E6CEC">
        <w:rPr>
          <w:rFonts w:cstheme="minorHAnsi"/>
        </w:rPr>
        <w:t xml:space="preserve">i 1 izvanredna sjednica Stručnog vijeća. Na sjednicama se raspravljalo o izradi Plana uzorkovanja lijekova koje </w:t>
      </w:r>
      <w:r w:rsidR="00AF42DE" w:rsidRPr="004E6CEC">
        <w:rPr>
          <w:rFonts w:cstheme="minorHAnsi"/>
        </w:rPr>
        <w:t xml:space="preserve">će </w:t>
      </w:r>
      <w:r w:rsidRPr="004E6CEC">
        <w:rPr>
          <w:rFonts w:cstheme="minorHAnsi"/>
        </w:rPr>
        <w:t>se izra</w:t>
      </w:r>
      <w:r w:rsidR="00AF42DE" w:rsidRPr="004E6CEC">
        <w:rPr>
          <w:rFonts w:cstheme="minorHAnsi"/>
        </w:rPr>
        <w:t xml:space="preserve">diti </w:t>
      </w:r>
      <w:r w:rsidRPr="004E6CEC">
        <w:rPr>
          <w:rFonts w:cstheme="minorHAnsi"/>
        </w:rPr>
        <w:t>krajem</w:t>
      </w:r>
      <w:r w:rsidR="00FF0B57" w:rsidRPr="004E6CEC">
        <w:rPr>
          <w:rFonts w:cstheme="minorHAnsi"/>
        </w:rPr>
        <w:t xml:space="preserve"> 2023. </w:t>
      </w:r>
      <w:r w:rsidRPr="004E6CEC">
        <w:rPr>
          <w:rFonts w:cstheme="minorHAnsi"/>
        </w:rPr>
        <w:t xml:space="preserve">godine za </w:t>
      </w:r>
      <w:r w:rsidR="00FF0B57" w:rsidRPr="004E6CEC">
        <w:rPr>
          <w:rFonts w:cstheme="minorHAnsi"/>
        </w:rPr>
        <w:t xml:space="preserve">2024. </w:t>
      </w:r>
      <w:r w:rsidRPr="004E6CEC">
        <w:rPr>
          <w:rFonts w:cstheme="minorHAnsi"/>
        </w:rPr>
        <w:t>godinu, o objavi  Hrvatske ljekarničke komore upućene članovima vezanim za izradu oralne suspenzije beta-laktamskih antibiotika u javnim ljekarnama zbog nestašica te je nastavno na navedeno pozvana HLJK na sastanak u HALMED nakon kojeg je proveden e-stručni skup na kojem je sudjelovala i djelatnica HALMED-a koja je ukazala na potencijalnu rizičnost pri izradi navedenih pripravaka</w:t>
      </w:r>
      <w:r w:rsidRPr="00A22291">
        <w:rPr>
          <w:rFonts w:cstheme="minorHAnsi"/>
        </w:rPr>
        <w:t>. Također se raspravljalo u čij</w:t>
      </w:r>
      <w:r w:rsidR="000A0638" w:rsidRPr="00A22291">
        <w:rPr>
          <w:rFonts w:cstheme="minorHAnsi"/>
        </w:rPr>
        <w:t>oj su nadležnosti nepoželjni događaji</w:t>
      </w:r>
      <w:r w:rsidRPr="00A22291">
        <w:rPr>
          <w:rFonts w:cstheme="minorHAnsi"/>
        </w:rPr>
        <w:t xml:space="preserve"> u kliničkim ispitivanjima medicinskih proizvoda</w:t>
      </w:r>
      <w:r w:rsidRPr="004E6CEC">
        <w:rPr>
          <w:rFonts w:cstheme="minorHAnsi"/>
        </w:rPr>
        <w:t xml:space="preserve">, </w:t>
      </w:r>
      <w:r w:rsidR="00B2473D" w:rsidRPr="004E6CEC">
        <w:rPr>
          <w:rFonts w:cstheme="minorHAnsi"/>
        </w:rPr>
        <w:t xml:space="preserve">o reguliranju sustava distributera za medicinske proizvode na području RH </w:t>
      </w:r>
      <w:r w:rsidRPr="004E6CEC">
        <w:rPr>
          <w:rFonts w:cstheme="minorHAnsi"/>
        </w:rPr>
        <w:t>te o upitu Europskog ravnateljstva za kakvoću lijekova o uključivanju HALMED-a u Radnu grupu za nadzor nad medicinskim proizvodima. Ponovljena je i tema nitrozaminska onečišćenja obzirom na nove spoznaje</w:t>
      </w:r>
      <w:r w:rsidR="00B2473D" w:rsidRPr="004E6CEC">
        <w:rPr>
          <w:rFonts w:cstheme="minorHAnsi"/>
        </w:rPr>
        <w:t xml:space="preserve"> te je raspravljano o organizaciji konferencije povodom 20. godina HALMED-a, kao i o projektu e</w:t>
      </w:r>
      <w:r w:rsidR="00C16A0A" w:rsidRPr="004E6CEC">
        <w:rPr>
          <w:rFonts w:cstheme="minorHAnsi"/>
        </w:rPr>
        <w:t>-</w:t>
      </w:r>
      <w:r w:rsidR="00B2473D" w:rsidRPr="004E6CEC">
        <w:rPr>
          <w:rFonts w:cstheme="minorHAnsi"/>
        </w:rPr>
        <w:t>lijekovi</w:t>
      </w:r>
      <w:r w:rsidR="007A7C32">
        <w:rPr>
          <w:rFonts w:cstheme="minorHAnsi"/>
        </w:rPr>
        <w:t xml:space="preserve">, </w:t>
      </w:r>
      <w:r w:rsidR="00BC0E38" w:rsidRPr="004E6CEC">
        <w:rPr>
          <w:rFonts w:cstheme="minorHAnsi"/>
        </w:rPr>
        <w:t xml:space="preserve">prezentiran je rad mreže </w:t>
      </w:r>
      <w:r w:rsidR="00BC0E38" w:rsidRPr="004E6CEC">
        <w:rPr>
          <w:rFonts w:cstheme="minorHAnsi"/>
          <w:i/>
        </w:rPr>
        <w:t>Pharmaceutical Inspection Convention</w:t>
      </w:r>
      <w:r w:rsidR="00BC0E38" w:rsidRPr="004E6CEC">
        <w:rPr>
          <w:rFonts w:cstheme="minorHAnsi"/>
        </w:rPr>
        <w:t xml:space="preserve"> i </w:t>
      </w:r>
      <w:r w:rsidR="00BC0E38" w:rsidRPr="004E6CEC">
        <w:rPr>
          <w:rFonts w:cstheme="minorHAnsi"/>
          <w:i/>
        </w:rPr>
        <w:t>Pharmaceutical Inspection Co-operation Scheme</w:t>
      </w:r>
      <w:r w:rsidR="00BC0E38" w:rsidRPr="004E6CEC">
        <w:rPr>
          <w:rFonts w:cstheme="minorHAnsi"/>
        </w:rPr>
        <w:t xml:space="preserve"> (PIC/S) čiji je HALMED član od 1.1.2016. godine te je raspravljano o mogućnosti organizacije PIC/S seminara u Hrvatskoj</w:t>
      </w:r>
      <w:r w:rsidR="00B957ED" w:rsidRPr="004E6CEC">
        <w:rPr>
          <w:rFonts w:cstheme="minorHAnsi"/>
        </w:rPr>
        <w:t xml:space="preserve">,  raspravljano </w:t>
      </w:r>
      <w:r w:rsidR="007A7C32">
        <w:rPr>
          <w:rFonts w:cstheme="minorHAnsi"/>
        </w:rPr>
        <w:t xml:space="preserve">je </w:t>
      </w:r>
      <w:r w:rsidR="00B957ED" w:rsidRPr="004E6CEC">
        <w:rPr>
          <w:rFonts w:cstheme="minorHAnsi"/>
        </w:rPr>
        <w:t>o prijedlozima tema</w:t>
      </w:r>
      <w:r w:rsidR="00BC0E38" w:rsidRPr="004E6CEC">
        <w:rPr>
          <w:rFonts w:cstheme="minorHAnsi"/>
        </w:rPr>
        <w:t xml:space="preserve"> </w:t>
      </w:r>
      <w:r w:rsidR="00B957ED" w:rsidRPr="004E6CEC">
        <w:rPr>
          <w:rFonts w:cstheme="minorHAnsi"/>
        </w:rPr>
        <w:t>za predavanja na 7. hrvatskom kongresu farmacije s međunarodnim sudjelovanjem</w:t>
      </w:r>
      <w:r w:rsidR="00FF1651" w:rsidRPr="004E6CEC">
        <w:rPr>
          <w:rFonts w:cstheme="minorHAnsi"/>
        </w:rPr>
        <w:t xml:space="preserve"> u svibnju 2024</w:t>
      </w:r>
      <w:r w:rsidR="007A7C32">
        <w:rPr>
          <w:rFonts w:cstheme="minorHAnsi"/>
        </w:rPr>
        <w:t xml:space="preserve">, </w:t>
      </w:r>
      <w:bookmarkStart w:id="26" w:name="_Toc514929932"/>
      <w:bookmarkStart w:id="27" w:name="_Toc530140471"/>
      <w:r w:rsidR="004E6CEC" w:rsidRPr="004E6CEC">
        <w:rPr>
          <w:rFonts w:cstheme="minorHAnsi"/>
        </w:rPr>
        <w:t>raspravljalo se o izmjeni procesa ustrojstvenih jedinica HALME</w:t>
      </w:r>
      <w:r w:rsidR="004E6CEC">
        <w:rPr>
          <w:rFonts w:cstheme="minorHAnsi"/>
        </w:rPr>
        <w:t>D</w:t>
      </w:r>
      <w:r w:rsidR="004E6CEC" w:rsidRPr="004E6CEC">
        <w:rPr>
          <w:rFonts w:cstheme="minorHAnsi"/>
        </w:rPr>
        <w:t>-a (OZOL, OMCL, OLIMP) u cilju usklađivanja sa Zakonom o općem upravnom postupku i Uredbom o uredskom poslovanju</w:t>
      </w:r>
      <w:r w:rsidR="007A7C32">
        <w:rPr>
          <w:rFonts w:cstheme="minorHAnsi"/>
        </w:rPr>
        <w:t xml:space="preserve"> te</w:t>
      </w:r>
      <w:r w:rsidR="004E6CEC" w:rsidRPr="004E6CEC">
        <w:rPr>
          <w:rFonts w:cstheme="minorHAnsi"/>
        </w:rPr>
        <w:t xml:space="preserve"> o završnim koracima projekta  e</w:t>
      </w:r>
      <w:r w:rsidR="007479F6">
        <w:rPr>
          <w:rFonts w:cstheme="minorHAnsi"/>
        </w:rPr>
        <w:t>-</w:t>
      </w:r>
      <w:r w:rsidR="007A7C32">
        <w:rPr>
          <w:rFonts w:cstheme="minorHAnsi"/>
        </w:rPr>
        <w:t>L</w:t>
      </w:r>
      <w:r w:rsidR="004E6CEC" w:rsidRPr="004E6CEC">
        <w:rPr>
          <w:rFonts w:cstheme="minorHAnsi"/>
        </w:rPr>
        <w:t>ijekovi.</w:t>
      </w:r>
    </w:p>
    <w:p w14:paraId="5CD0C6B0" w14:textId="7D58CE28" w:rsidR="00AA41EB" w:rsidRPr="00571157" w:rsidRDefault="00AA41EB" w:rsidP="00AA41EB">
      <w:pPr>
        <w:pStyle w:val="Heading3"/>
        <w:rPr>
          <w:b/>
        </w:rPr>
      </w:pPr>
      <w:bookmarkStart w:id="28" w:name="_Toc165035431"/>
      <w:r w:rsidRPr="00571157">
        <w:t>1.1.</w:t>
      </w:r>
      <w:r w:rsidR="0026050A">
        <w:t>4</w:t>
      </w:r>
      <w:r w:rsidRPr="00571157">
        <w:t>. Unutarnji ustroj</w:t>
      </w:r>
      <w:bookmarkEnd w:id="26"/>
      <w:bookmarkEnd w:id="27"/>
      <w:bookmarkEnd w:id="28"/>
      <w:r w:rsidRPr="00571157">
        <w:t xml:space="preserve"> </w:t>
      </w:r>
    </w:p>
    <w:p w14:paraId="50632441" w14:textId="77777777" w:rsidR="00AA41EB" w:rsidRPr="00E11A88" w:rsidRDefault="00AA41EB" w:rsidP="00AA41EB">
      <w:pPr>
        <w:spacing w:after="240" w:line="276" w:lineRule="auto"/>
        <w:jc w:val="both"/>
      </w:pPr>
      <w:r w:rsidRPr="00E11A88">
        <w:t xml:space="preserve">Sukladno Pravilniku o organizaciji i sistematizaciji radnih mjesta, </w:t>
      </w:r>
      <w:r>
        <w:t xml:space="preserve">ustrojstvene jedinice </w:t>
      </w:r>
      <w:r w:rsidRPr="00E11A88">
        <w:t>HAL</w:t>
      </w:r>
      <w:r>
        <w:t xml:space="preserve">MED-a su: Ravnateljstvo, </w:t>
      </w:r>
      <w:r w:rsidRPr="00A16E6E">
        <w:rPr>
          <w:rFonts w:cstheme="minorHAnsi"/>
        </w:rPr>
        <w:t xml:space="preserve">Odjel službenog laboratorija za provjeru lijekova – OMCL, Odjel za odobravanje lijekova, </w:t>
      </w:r>
      <w:r w:rsidRPr="00A16E6E">
        <w:rPr>
          <w:rFonts w:cstheme="minorHAnsi"/>
          <w:bCs/>
        </w:rPr>
        <w:t>Odjel za sigurnu primjenu lijekova i medicinskih proizvoda</w:t>
      </w:r>
      <w:r>
        <w:rPr>
          <w:rFonts w:cstheme="minorHAnsi"/>
          <w:bCs/>
        </w:rPr>
        <w:t xml:space="preserve"> i</w:t>
      </w:r>
      <w:r w:rsidRPr="00A16E6E">
        <w:rPr>
          <w:rFonts w:cstheme="minorHAnsi"/>
          <w:bCs/>
        </w:rPr>
        <w:t xml:space="preserve"> Odjel za pravne, ekonomske, informacijske i opće poslove.</w:t>
      </w:r>
      <w:r>
        <w:rPr>
          <w:rFonts w:cstheme="minorHAnsi"/>
          <w:bCs/>
        </w:rPr>
        <w:t xml:space="preserve"> U nastavku se nalaze opisi poslova ustrojstvenih jedinica.</w:t>
      </w:r>
    </w:p>
    <w:p w14:paraId="0672B50C" w14:textId="5BCC5E25" w:rsidR="00AA41EB" w:rsidRPr="006A4000" w:rsidRDefault="00AA41EB" w:rsidP="00AA41EB">
      <w:pPr>
        <w:pStyle w:val="Heading4"/>
        <w:rPr>
          <w:b/>
        </w:rPr>
      </w:pPr>
      <w:bookmarkStart w:id="29" w:name="_Toc530140472"/>
      <w:r w:rsidRPr="006A4000">
        <w:t>1.1.</w:t>
      </w:r>
      <w:r w:rsidR="002A606C">
        <w:t>4</w:t>
      </w:r>
      <w:r w:rsidRPr="006A4000">
        <w:t>.</w:t>
      </w:r>
      <w:r w:rsidR="002A606C">
        <w:t>1</w:t>
      </w:r>
      <w:r w:rsidRPr="006A4000">
        <w:t xml:space="preserve">. </w:t>
      </w:r>
      <w:r w:rsidRPr="004C51D2">
        <w:t>Ravnateljstvo</w:t>
      </w:r>
      <w:bookmarkEnd w:id="29"/>
    </w:p>
    <w:p w14:paraId="79984241" w14:textId="29758F05" w:rsidR="00AA41EB" w:rsidRDefault="00AA41EB" w:rsidP="00AA41EB">
      <w:pPr>
        <w:autoSpaceDE w:val="0"/>
        <w:autoSpaceDN w:val="0"/>
        <w:adjustRightInd w:val="0"/>
        <w:spacing w:line="276" w:lineRule="auto"/>
        <w:jc w:val="both"/>
      </w:pPr>
      <w:r w:rsidRPr="005945B7">
        <w:t xml:space="preserve">Ravnateljstvo je ustrojstvena jedinica HALMED-a </w:t>
      </w:r>
      <w:r>
        <w:t>s unutarnjom organizacijom koja se sastoji od ureda</w:t>
      </w:r>
      <w:r w:rsidRPr="00FE2674">
        <w:t>.</w:t>
      </w:r>
      <w:r>
        <w:t xml:space="preserve"> Ured ravnatelja </w:t>
      </w:r>
      <w:r w:rsidRPr="005945B7">
        <w:t xml:space="preserve">obavlja poslove </w:t>
      </w:r>
      <w:r>
        <w:t>planiranja</w:t>
      </w:r>
      <w:r w:rsidRPr="005945B7">
        <w:t xml:space="preserve"> i </w:t>
      </w:r>
      <w:r>
        <w:t>praćenja</w:t>
      </w:r>
      <w:r w:rsidRPr="005945B7">
        <w:t xml:space="preserve"> </w:t>
      </w:r>
      <w:r>
        <w:t>izvršenja svih poslovnih aktivnosti HALMED-a, organizira sjednice Upravnog</w:t>
      </w:r>
      <w:r w:rsidRPr="005945B7">
        <w:t xml:space="preserve"> vijeća</w:t>
      </w:r>
      <w:r>
        <w:t xml:space="preserve"> HALMED-a</w:t>
      </w:r>
      <w:r w:rsidR="000E4A59">
        <w:t xml:space="preserve">, </w:t>
      </w:r>
      <w:r>
        <w:t xml:space="preserve"> predlaže</w:t>
      </w:r>
      <w:r w:rsidRPr="005945B7">
        <w:t xml:space="preserve"> mjer</w:t>
      </w:r>
      <w:r>
        <w:t>e</w:t>
      </w:r>
      <w:r w:rsidRPr="005945B7">
        <w:t xml:space="preserve"> iz područja nacionalne politike lijekova</w:t>
      </w:r>
      <w:r>
        <w:t xml:space="preserve"> i medicinskih proizvoda</w:t>
      </w:r>
      <w:r w:rsidR="000E4A59">
        <w:t xml:space="preserve"> i poslove zaštite na radu i zaštite okoliša</w:t>
      </w:r>
      <w:r>
        <w:t>. U radu ostalih ureda ravnateljstva obavljaju se poslovi upravljanja</w:t>
      </w:r>
      <w:r w:rsidRPr="005945B7">
        <w:t xml:space="preserve"> kakvoć</w:t>
      </w:r>
      <w:r>
        <w:t>om,</w:t>
      </w:r>
      <w:r w:rsidRPr="00C90419">
        <w:t xml:space="preserve"> </w:t>
      </w:r>
      <w:r>
        <w:t>poslovi vezani</w:t>
      </w:r>
      <w:r w:rsidRPr="005945B7">
        <w:t xml:space="preserve"> uz odnose s javnoš</w:t>
      </w:r>
      <w:r>
        <w:t>ću i poslovi vezani</w:t>
      </w:r>
      <w:r w:rsidRPr="005945B7">
        <w:t xml:space="preserve"> uz ostvarivanje međunarodne suradnje na području lijekova i medicinskih proizvoda.</w:t>
      </w:r>
      <w:r>
        <w:t xml:space="preserve"> </w:t>
      </w:r>
    </w:p>
    <w:p w14:paraId="6132C0F5" w14:textId="29DE481E" w:rsidR="00AA41EB" w:rsidRPr="006A4000" w:rsidRDefault="00AA41EB" w:rsidP="00AA41EB">
      <w:pPr>
        <w:pStyle w:val="Heading4"/>
        <w:rPr>
          <w:b/>
        </w:rPr>
      </w:pPr>
      <w:bookmarkStart w:id="30" w:name="_Toc530140474"/>
      <w:r w:rsidRPr="006A4000">
        <w:t>1.1.</w:t>
      </w:r>
      <w:r w:rsidR="002A606C">
        <w:t>4</w:t>
      </w:r>
      <w:r w:rsidRPr="006A4000">
        <w:t>.</w:t>
      </w:r>
      <w:r w:rsidR="002A606C">
        <w:t>2</w:t>
      </w:r>
      <w:r w:rsidRPr="006A4000">
        <w:t xml:space="preserve">. </w:t>
      </w:r>
      <w:r w:rsidRPr="004C51D2">
        <w:t>Odjel</w:t>
      </w:r>
      <w:r w:rsidRPr="006A4000">
        <w:t xml:space="preserve"> službenog laboratorija za provjeru kakvoće lijekova – OMCL</w:t>
      </w:r>
      <w:bookmarkEnd w:id="30"/>
    </w:p>
    <w:p w14:paraId="73214EE4" w14:textId="77777777" w:rsidR="00AA41EB" w:rsidRPr="00FC19BD" w:rsidRDefault="00AA41EB" w:rsidP="00AA41EB">
      <w:pPr>
        <w:spacing w:after="240" w:line="276" w:lineRule="auto"/>
        <w:jc w:val="both"/>
      </w:pPr>
      <w:r w:rsidRPr="00E11A88">
        <w:t>Odjel službenog laboratorija za provjeru kakvoće lijekova – OMCL</w:t>
      </w:r>
      <w:r>
        <w:rPr>
          <w:rStyle w:val="FootnoteReference"/>
        </w:rPr>
        <w:footnoteReference w:id="1"/>
      </w:r>
      <w:r w:rsidRPr="00E11A88">
        <w:t xml:space="preserve"> je ustrojstvena jedinica koja obavlja stručne poslove vezane uz laboratorijsko ispitivanje i provjeru kakvoće lijekova, </w:t>
      </w:r>
      <w:r>
        <w:t xml:space="preserve">homeopatskih lijekova i </w:t>
      </w:r>
      <w:r w:rsidRPr="00E11A88">
        <w:t xml:space="preserve">medicinskih proizvoda te krivotvorina, kao i davanje nalaza o obavljenoj provjeri kakvoće odnosno davanje certifikata o posebnoj provjeri kakvoće. </w:t>
      </w:r>
      <w:r>
        <w:t>HALMED-ov službeni laboratorij je</w:t>
      </w:r>
      <w:r w:rsidRPr="00E11A88">
        <w:t xml:space="preserve"> dio </w:t>
      </w:r>
      <w:r>
        <w:t>tzv</w:t>
      </w:r>
      <w:r w:rsidRPr="00AD65B7">
        <w:t xml:space="preserve">. </w:t>
      </w:r>
      <w:hyperlink r:id="rId15" w:history="1">
        <w:r w:rsidRPr="00136B03">
          <w:rPr>
            <w:rStyle w:val="Hyperlink"/>
            <w:color w:val="auto"/>
            <w:u w:val="none"/>
          </w:rPr>
          <w:t>OMCL mreže</w:t>
        </w:r>
      </w:hyperlink>
      <w:r w:rsidRPr="00136B03">
        <w:t>,</w:t>
      </w:r>
      <w:r w:rsidRPr="00B352FD">
        <w:t xml:space="preserve"> </w:t>
      </w:r>
      <w:r w:rsidRPr="00DB4DF3">
        <w:t xml:space="preserve">odnosno Europske mreže službenih laboratorija za kontrolu lijekova. Svojim aktivnostima Odjel službenog laboratorija osigurava opskrbu hrvatskog tržišta lijekovima, homeopatskim lijekovima i medicinskim proizvodima propisane kakvoće. Odjel surađuje s međunarodnim organizacijama na području lijekova, </w:t>
      </w:r>
      <w:r w:rsidRPr="00DB4DF3">
        <w:lastRenderedPageBreak/>
        <w:t xml:space="preserve">homeopatskih lijekova i medicinskih proizvoda u sklopu OMCL mreže te Europskom farmakopejom u okviru </w:t>
      </w:r>
      <w:hyperlink r:id="rId16" w:history="1">
        <w:r w:rsidRPr="00136B03">
          <w:rPr>
            <w:rStyle w:val="Hyperlink"/>
            <w:color w:val="auto"/>
            <w:u w:val="none"/>
          </w:rPr>
          <w:t>Europskog ravnateljstva za kakvoću lijekova i zdravstvenu skrb</w:t>
        </w:r>
      </w:hyperlink>
      <w:r w:rsidRPr="00B352FD">
        <w:t xml:space="preserve"> </w:t>
      </w:r>
      <w:r w:rsidRPr="00AD65B7">
        <w:t>(</w:t>
      </w:r>
      <w:r w:rsidRPr="00DB4DF3">
        <w:rPr>
          <w:i/>
        </w:rPr>
        <w:t>Eu</w:t>
      </w:r>
      <w:r w:rsidRPr="00E11A88">
        <w:rPr>
          <w:i/>
        </w:rPr>
        <w:t>ropean Directory for the Quality of Medicines and Healthcare</w:t>
      </w:r>
      <w:r>
        <w:t>, EDQM</w:t>
      </w:r>
      <w:r w:rsidRPr="00E11A88">
        <w:t xml:space="preserve">), </w:t>
      </w:r>
      <w:r>
        <w:t>kao</w:t>
      </w:r>
      <w:r w:rsidRPr="00E11A88">
        <w:t xml:space="preserve"> i s OMCL-ima</w:t>
      </w:r>
      <w:r>
        <w:t xml:space="preserve">, odnosno službenim laboratorijima </w:t>
      </w:r>
      <w:r w:rsidRPr="00E11A88">
        <w:t>drugih zemalja</w:t>
      </w:r>
      <w:r>
        <w:t>, te</w:t>
      </w:r>
      <w:r w:rsidRPr="00E11A88">
        <w:t xml:space="preserve"> sudjeluje na stručnim i znanstvenim skupovima s temama iz područja lijekova. Odjel sudjeluje u međulaboratorijskim ispitivanjima</w:t>
      </w:r>
      <w:r>
        <w:t xml:space="preserve"> i </w:t>
      </w:r>
      <w:r w:rsidRPr="00E11A88">
        <w:t>u uzorkovanju lijekova iz prometa.</w:t>
      </w:r>
      <w:r>
        <w:t xml:space="preserve"> Također, Odjel vodi poslove vezane uz Hrvatsku farmakopeju i sudjeluje u radu tijela vezanih uz Europsku i Internacionalnu farmakopeju.</w:t>
      </w:r>
    </w:p>
    <w:p w14:paraId="5FDC8380" w14:textId="422CFC82" w:rsidR="00AA41EB" w:rsidRPr="006A4000" w:rsidRDefault="00AA41EB" w:rsidP="00AA41EB">
      <w:pPr>
        <w:pStyle w:val="Heading4"/>
        <w:rPr>
          <w:b/>
        </w:rPr>
      </w:pPr>
      <w:bookmarkStart w:id="31" w:name="_Toc530140475"/>
      <w:r w:rsidRPr="006A4000">
        <w:t>1.1.</w:t>
      </w:r>
      <w:r w:rsidR="002A606C">
        <w:t>4</w:t>
      </w:r>
      <w:r w:rsidRPr="006A4000">
        <w:t>.</w:t>
      </w:r>
      <w:r w:rsidR="002A606C">
        <w:t>3</w:t>
      </w:r>
      <w:r w:rsidRPr="006A4000">
        <w:t>. Odjel za odobravanje lijekova</w:t>
      </w:r>
      <w:bookmarkEnd w:id="31"/>
    </w:p>
    <w:p w14:paraId="29ADBD50" w14:textId="77777777" w:rsidR="00AA41EB" w:rsidRPr="00E11A88" w:rsidRDefault="00AA41EB" w:rsidP="00AA41EB">
      <w:pPr>
        <w:pStyle w:val="t-9-8"/>
        <w:spacing w:after="240" w:afterAutospacing="0" w:line="276" w:lineRule="auto"/>
        <w:jc w:val="both"/>
        <w:rPr>
          <w:rFonts w:asciiTheme="minorHAnsi" w:hAnsiTheme="minorHAnsi" w:cstheme="minorHAnsi"/>
          <w:sz w:val="22"/>
          <w:szCs w:val="22"/>
        </w:rPr>
      </w:pPr>
      <w:r w:rsidRPr="00E11A88">
        <w:rPr>
          <w:rFonts w:asciiTheme="minorHAnsi" w:hAnsiTheme="minorHAnsi" w:cstheme="minorHAnsi"/>
          <w:sz w:val="22"/>
          <w:szCs w:val="22"/>
        </w:rPr>
        <w:t>Odjel za odobravanje lijekova je ustrojstvena jedinica koja obavlja stručne i regulatorne poslove u postup</w:t>
      </w:r>
      <w:r>
        <w:rPr>
          <w:rFonts w:asciiTheme="minorHAnsi" w:hAnsiTheme="minorHAnsi" w:cstheme="minorHAnsi"/>
          <w:sz w:val="22"/>
          <w:szCs w:val="22"/>
        </w:rPr>
        <w:t>cima</w:t>
      </w:r>
      <w:r w:rsidRPr="00E11A88">
        <w:rPr>
          <w:rFonts w:asciiTheme="minorHAnsi" w:hAnsiTheme="minorHAnsi" w:cstheme="minorHAnsi"/>
          <w:sz w:val="22"/>
          <w:szCs w:val="22"/>
        </w:rPr>
        <w:t xml:space="preserve"> davanja, obnove, izmjene, ukidanja, prijenosa i obustave izvršenja odobrenja za stavljanje lijeka i homeopatskog lijeka u promet te registracije tradicionalnog biljnog i homeopatskog lijeka</w:t>
      </w:r>
      <w:r>
        <w:rPr>
          <w:rFonts w:asciiTheme="minorHAnsi" w:hAnsiTheme="minorHAnsi" w:cstheme="minorHAnsi"/>
          <w:sz w:val="22"/>
          <w:szCs w:val="22"/>
        </w:rPr>
        <w:t xml:space="preserve">. U sklopu navedenih poslova, Odjel </w:t>
      </w:r>
      <w:r w:rsidRPr="00E11A88">
        <w:rPr>
          <w:rFonts w:asciiTheme="minorHAnsi" w:hAnsiTheme="minorHAnsi" w:cstheme="minorHAnsi"/>
          <w:sz w:val="22"/>
          <w:szCs w:val="22"/>
        </w:rPr>
        <w:t>evidentira podatke o zaprimljenim zahtjevima, utvrđuje urednost zahtjeva, koordinira vođenje postupaka, provodi stručnu ocjenu kakvoće, djelotvornosti i sigurnosti primjene lijekova, organizira poslove vezane uz rad Povjerenstva za lijekove Agencije</w:t>
      </w:r>
      <w:r>
        <w:rPr>
          <w:rFonts w:asciiTheme="minorHAnsi" w:hAnsiTheme="minorHAnsi" w:cstheme="minorHAnsi"/>
          <w:sz w:val="22"/>
          <w:szCs w:val="22"/>
        </w:rPr>
        <w:t>,</w:t>
      </w:r>
      <w:r w:rsidRPr="00E11A88">
        <w:rPr>
          <w:rFonts w:asciiTheme="minorHAnsi" w:hAnsiTheme="minorHAnsi" w:cstheme="minorHAnsi"/>
          <w:sz w:val="22"/>
          <w:szCs w:val="22"/>
        </w:rPr>
        <w:t xml:space="preserve"> uključujući suradnju s vanjskim stručnjacima Agencije, priprema izlazne akte i dokumente te podržava rad i razvoj Nacionalnog registra lijekova. Odjel daje stručne savjete iz područja svoje djelatnosti, sudjeluje u izradi stručnih smjernica i propisa iz područja svoje djelatnosti, sudjeluje u usklađivanju propisa na području lijekova s propisima i smjernicama Europske unije i međunarodnih institucija, pridonosi ostvarivanju međunarodne suradnje, </w:t>
      </w:r>
      <w:r w:rsidRPr="00E11A88">
        <w:rPr>
          <w:rFonts w:asciiTheme="minorHAnsi" w:hAnsiTheme="minorHAnsi" w:cstheme="minorHAnsi"/>
          <w:color w:val="000000"/>
          <w:sz w:val="22"/>
          <w:szCs w:val="22"/>
        </w:rPr>
        <w:t xml:space="preserve">sudjeluje u radu tijela Europske unije za područje lijekova, </w:t>
      </w:r>
      <w:r w:rsidRPr="00E11A88">
        <w:rPr>
          <w:rFonts w:asciiTheme="minorHAnsi" w:hAnsiTheme="minorHAnsi" w:cstheme="minorHAnsi"/>
          <w:sz w:val="22"/>
          <w:szCs w:val="22"/>
        </w:rPr>
        <w:t xml:space="preserve">predlaže mjere od javnog interesa iz područja nacionalne politike lijekova te obavlja druge poslove na području lijekova sukladno Zakonu o lijekovima i propisima donesenim na temelju Zakona. </w:t>
      </w:r>
    </w:p>
    <w:p w14:paraId="09446A8D" w14:textId="091E7127" w:rsidR="00AA41EB" w:rsidRPr="006A4000" w:rsidRDefault="00AA41EB" w:rsidP="00AA41EB">
      <w:pPr>
        <w:pStyle w:val="Heading4"/>
        <w:rPr>
          <w:b/>
        </w:rPr>
      </w:pPr>
      <w:bookmarkStart w:id="32" w:name="_Toc530140476"/>
      <w:r w:rsidRPr="006A4000">
        <w:t>1.1.</w:t>
      </w:r>
      <w:r w:rsidR="002A606C">
        <w:t>4</w:t>
      </w:r>
      <w:r w:rsidRPr="006A4000">
        <w:t>.</w:t>
      </w:r>
      <w:r w:rsidR="002A606C">
        <w:t>4</w:t>
      </w:r>
      <w:r w:rsidRPr="006A4000">
        <w:t xml:space="preserve">. </w:t>
      </w:r>
      <w:r w:rsidRPr="004C51D2">
        <w:t>Odjel</w:t>
      </w:r>
      <w:r w:rsidRPr="006A4000">
        <w:t xml:space="preserve"> za sigurnu primjenu lijekova i medicinskih proizvoda</w:t>
      </w:r>
      <w:bookmarkEnd w:id="32"/>
    </w:p>
    <w:p w14:paraId="20B85773" w14:textId="31E7FAA0" w:rsidR="00AA41EB" w:rsidRDefault="00AA41EB" w:rsidP="00AA41EB">
      <w:pPr>
        <w:spacing w:after="240" w:line="276" w:lineRule="auto"/>
        <w:jc w:val="both"/>
      </w:pPr>
      <w:r w:rsidRPr="00D75E53">
        <w:t xml:space="preserve">Odjel za sigurnu primjenu lijekova i medicinskih proizvoda obavlja stručne i upravne poslove vezane uz izdavanje dozvola za neintervencijska ispitivanja, upis u očevidnik medicinskih proizvoda, očevidnik proizvođača i veleprodaja medicinskih proizvoda, te izdavanje drugih dozvola, potvrda, mišljenja i suglasnosti propisanih Zakonom o lijekovima i Zakonom o medicinskim proizvodima. </w:t>
      </w:r>
      <w:r>
        <w:t xml:space="preserve">Odjel obavlja </w:t>
      </w:r>
      <w:r w:rsidRPr="009D7F8B">
        <w:t>poslove inspekcije dobre proizvođačke prakse i farmakovigilancijske inspekcije te poslove davanja dozvola za proizvodnju i dozvola za promet.</w:t>
      </w:r>
      <w:r>
        <w:t xml:space="preserve"> </w:t>
      </w:r>
      <w:r w:rsidRPr="00D75E53">
        <w:t xml:space="preserve">Također, Odjel obavlja poslove vezane uz rad Povjerenstva za sigurnost primjene lijekova, izdavanje obavijesti za medicinske proizvode, praćenje potrošnje lijekova i promicanje racionalne farmakoterapije, praćenje štetnih događaja medicinskih proizvoda, zaprimanje prijava sumnji na </w:t>
      </w:r>
      <w:r w:rsidR="00C16A0A">
        <w:t xml:space="preserve">nuspojave </w:t>
      </w:r>
      <w:r w:rsidRPr="00D75E53">
        <w:t>lijekove i cjepiva i detekciju sigurnosnih signala, ocjenu pitanja vezanih uz sigurnost primjene lijekova i medicinskih proizvoda, informiranje i edukaciju zdravstvenih radnika, pacijenata i šire javnosti o sigurnosti primjene lijekova i medicinskih proizvoda, suradnje na području sigurnosti primjene lijekova i medicinskih proizvoda s nacionalnim i drugim organizacijama</w:t>
      </w:r>
      <w:r w:rsidR="0023184B">
        <w:t>, poslove određivanja najviše dozvoljene cijene lijeka, odnosno iznimno više</w:t>
      </w:r>
      <w:r w:rsidR="0023184B" w:rsidRPr="0023184B">
        <w:t xml:space="preserve"> od najviše dozvoljene cijene lijeka koji ima odobrenje za stavljanje u promet u Republici Hrvatskoj i provodi postupak godišnjeg izračuna cijene lijeka</w:t>
      </w:r>
      <w:r w:rsidR="005B1D2D">
        <w:t xml:space="preserve"> te</w:t>
      </w:r>
      <w:r w:rsidR="0023184B" w:rsidRPr="0023184B">
        <w:t xml:space="preserve"> </w:t>
      </w:r>
      <w:r w:rsidRPr="00D75E53">
        <w:t>drug</w:t>
      </w:r>
      <w:r w:rsidR="0023184B">
        <w:t>e</w:t>
      </w:r>
      <w:r w:rsidRPr="00D75E53">
        <w:t xml:space="preserve"> poslov</w:t>
      </w:r>
      <w:r w:rsidR="00C16A0A">
        <w:t>e</w:t>
      </w:r>
      <w:r w:rsidRPr="00D75E53">
        <w:t xml:space="preserve"> na području lijekova i medicinskih proizvoda sukladno Zakonu o lijekovima i Zakonu o medicinskim proizvodima i propisima donesenim na temelju ovih Zakona.</w:t>
      </w:r>
    </w:p>
    <w:p w14:paraId="5AFFA168" w14:textId="3560FB92" w:rsidR="00AA41EB" w:rsidRPr="006A4000" w:rsidRDefault="00AA41EB" w:rsidP="00AA41EB">
      <w:pPr>
        <w:pStyle w:val="Heading4"/>
        <w:rPr>
          <w:b/>
        </w:rPr>
      </w:pPr>
      <w:bookmarkStart w:id="33" w:name="_Toc530140477"/>
      <w:r w:rsidRPr="006A4000">
        <w:lastRenderedPageBreak/>
        <w:t>1.1.</w:t>
      </w:r>
      <w:r w:rsidR="002A606C">
        <w:t>4</w:t>
      </w:r>
      <w:r w:rsidRPr="006A4000">
        <w:t>.</w:t>
      </w:r>
      <w:r w:rsidR="002A606C">
        <w:t>5</w:t>
      </w:r>
      <w:r w:rsidRPr="006A4000">
        <w:t xml:space="preserve">. </w:t>
      </w:r>
      <w:r w:rsidRPr="004C51D2">
        <w:t>Odjel</w:t>
      </w:r>
      <w:r w:rsidRPr="006A4000">
        <w:t xml:space="preserve"> za pravne, ekonomske, informacijske i opće poslove</w:t>
      </w:r>
      <w:bookmarkEnd w:id="33"/>
    </w:p>
    <w:p w14:paraId="1BDFE953" w14:textId="77777777" w:rsidR="00AA41EB" w:rsidRPr="00A643F0" w:rsidRDefault="00AA41EB" w:rsidP="00AA41EB">
      <w:pPr>
        <w:spacing w:line="276" w:lineRule="auto"/>
        <w:jc w:val="both"/>
        <w:rPr>
          <w:bCs/>
        </w:rPr>
      </w:pPr>
      <w:r w:rsidRPr="00FA11BE">
        <w:rPr>
          <w:bCs/>
        </w:rPr>
        <w:t xml:space="preserve">Odjel za pravne, ekonomske, informacijske i opće poslove je ustrojstvena jedinica koja obavlja sve pravne, financijske, računovodstvene, knjigovodstvene, </w:t>
      </w:r>
      <w:r>
        <w:rPr>
          <w:bCs/>
        </w:rPr>
        <w:t xml:space="preserve">informatičke, </w:t>
      </w:r>
      <w:r w:rsidRPr="00FA11BE">
        <w:rPr>
          <w:bCs/>
        </w:rPr>
        <w:t xml:space="preserve">administrativne, kadrovske i opće poslove neophodne za samostalno obavljanje djelatnosti i rad Agencije, </w:t>
      </w:r>
      <w:r w:rsidRPr="00A643F0">
        <w:rPr>
          <w:bCs/>
        </w:rPr>
        <w:t>te administrativne poslove za Središnje etičko povjerenstvo.</w:t>
      </w:r>
    </w:p>
    <w:p w14:paraId="7806E71F" w14:textId="77777777" w:rsidR="00AA41EB" w:rsidRPr="00FA11BE" w:rsidRDefault="00AA41EB" w:rsidP="00AA41EB">
      <w:pPr>
        <w:ind w:firstLine="706"/>
        <w:jc w:val="both"/>
        <w:rPr>
          <w:bCs/>
          <w:color w:val="FF0000"/>
        </w:rPr>
      </w:pPr>
    </w:p>
    <w:p w14:paraId="3BDD8586" w14:textId="77777777" w:rsidR="00AA41EB" w:rsidRDefault="00AA41EB" w:rsidP="00AA41EB">
      <w:pPr>
        <w:spacing w:after="240" w:line="276" w:lineRule="auto"/>
        <w:jc w:val="both"/>
      </w:pPr>
    </w:p>
    <w:p w14:paraId="3C5849DC" w14:textId="451615DB" w:rsidR="00AA41EB" w:rsidRDefault="00AA41EB" w:rsidP="00AA41EB">
      <w:pPr>
        <w:spacing w:after="240"/>
        <w:jc w:val="both"/>
        <w:rPr>
          <w:sz w:val="24"/>
          <w:szCs w:val="24"/>
        </w:rPr>
      </w:pPr>
    </w:p>
    <w:p w14:paraId="22165125" w14:textId="5623B15A" w:rsidR="00AA41EB" w:rsidRDefault="007D441C" w:rsidP="00AA41EB">
      <w:pPr>
        <w:spacing w:after="240"/>
        <w:jc w:val="both"/>
        <w:rPr>
          <w:sz w:val="24"/>
          <w:szCs w:val="24"/>
        </w:rPr>
      </w:pPr>
      <w:r w:rsidRPr="007D441C">
        <w:rPr>
          <w:noProof/>
          <w:sz w:val="24"/>
          <w:szCs w:val="24"/>
          <w:lang w:eastAsia="hr-HR"/>
        </w:rPr>
        <w:drawing>
          <wp:inline distT="0" distB="0" distL="0" distR="0" wp14:anchorId="7106B547" wp14:editId="6DA83BC8">
            <wp:extent cx="5760720" cy="4073029"/>
            <wp:effectExtent l="0" t="0" r="0" b="3810"/>
            <wp:docPr id="3" name="Picture 3" descr="C:\Users\rtruban\Pictures\Organigram_HALMED_hr-202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truban\Pictures\Organigram_HALMED_hr-2023 (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0720" cy="4073029"/>
                    </a:xfrm>
                    <a:prstGeom prst="rect">
                      <a:avLst/>
                    </a:prstGeom>
                    <a:noFill/>
                    <a:ln>
                      <a:noFill/>
                    </a:ln>
                  </pic:spPr>
                </pic:pic>
              </a:graphicData>
            </a:graphic>
          </wp:inline>
        </w:drawing>
      </w:r>
    </w:p>
    <w:p w14:paraId="4D33B236" w14:textId="77777777" w:rsidR="00AA41EB" w:rsidRDefault="00AA41EB" w:rsidP="00AA41EB">
      <w:pPr>
        <w:spacing w:after="240"/>
        <w:jc w:val="both"/>
        <w:rPr>
          <w:sz w:val="24"/>
          <w:szCs w:val="24"/>
        </w:rPr>
      </w:pPr>
    </w:p>
    <w:p w14:paraId="53489D2E" w14:textId="77777777" w:rsidR="00AA41EB" w:rsidRPr="002750FD" w:rsidRDefault="00AA41EB" w:rsidP="00AA41EB">
      <w:pPr>
        <w:pStyle w:val="Heading2"/>
      </w:pPr>
      <w:bookmarkStart w:id="34" w:name="_Toc514929934"/>
      <w:bookmarkStart w:id="35" w:name="_Toc530140478"/>
      <w:bookmarkStart w:id="36" w:name="_Toc165035432"/>
      <w:r>
        <w:t xml:space="preserve">1.2. </w:t>
      </w:r>
      <w:r w:rsidRPr="002750FD">
        <w:t>Poslovi HALMED-a</w:t>
      </w:r>
      <w:bookmarkEnd w:id="34"/>
      <w:bookmarkEnd w:id="35"/>
      <w:bookmarkEnd w:id="36"/>
    </w:p>
    <w:p w14:paraId="23C2C634" w14:textId="77777777" w:rsidR="00AA41EB" w:rsidRPr="00EF2095" w:rsidRDefault="00AA41EB" w:rsidP="00AA41EB">
      <w:pPr>
        <w:pStyle w:val="Heading3"/>
        <w:rPr>
          <w:b/>
        </w:rPr>
      </w:pPr>
      <w:bookmarkStart w:id="37" w:name="_Toc466277876"/>
      <w:bookmarkStart w:id="38" w:name="_Toc514929935"/>
      <w:bookmarkStart w:id="39" w:name="_Toc530140479"/>
      <w:bookmarkStart w:id="40" w:name="_Toc165035433"/>
      <w:r w:rsidRPr="00EF2095">
        <w:t xml:space="preserve">1.2.1. </w:t>
      </w:r>
      <w:bookmarkEnd w:id="37"/>
      <w:r w:rsidRPr="00EF2095">
        <w:t>Nacionalni poslovi</w:t>
      </w:r>
      <w:bookmarkEnd w:id="38"/>
      <w:bookmarkEnd w:id="39"/>
      <w:bookmarkEnd w:id="40"/>
    </w:p>
    <w:p w14:paraId="023A803A" w14:textId="77777777" w:rsidR="00AA41EB" w:rsidRDefault="00AA41EB" w:rsidP="00AA41EB">
      <w:r>
        <w:t>Sukladno Zakonu o lijekovima, HALMED-a obavlja sljedeće poslove:</w:t>
      </w:r>
    </w:p>
    <w:p w14:paraId="1955E18D" w14:textId="77777777" w:rsidR="00AA41EB" w:rsidRDefault="00AA41EB" w:rsidP="00AA41EB">
      <w:pPr>
        <w:numPr>
          <w:ilvl w:val="0"/>
          <w:numId w:val="3"/>
        </w:numPr>
        <w:spacing w:before="120"/>
        <w:contextualSpacing/>
        <w:jc w:val="both"/>
        <w:rPr>
          <w:rFonts w:eastAsia="Times New Roman" w:cstheme="minorHAnsi"/>
          <w:color w:val="000000"/>
        </w:rPr>
      </w:pPr>
      <w:r>
        <w:rPr>
          <w:rFonts w:eastAsia="Times New Roman" w:cstheme="minorHAnsi"/>
          <w:color w:val="000000"/>
        </w:rPr>
        <w:t>daje odobrenje za stavljanje lijeka i homeopatskog lijeka u promet</w:t>
      </w:r>
    </w:p>
    <w:p w14:paraId="0EBAA5B6" w14:textId="77777777" w:rsidR="00AA41EB" w:rsidRDefault="00AA41EB" w:rsidP="00AA41EB">
      <w:pPr>
        <w:numPr>
          <w:ilvl w:val="0"/>
          <w:numId w:val="3"/>
        </w:numPr>
        <w:spacing w:before="120" w:after="240" w:line="276" w:lineRule="auto"/>
        <w:contextualSpacing/>
        <w:jc w:val="both"/>
        <w:rPr>
          <w:rFonts w:eastAsia="Times New Roman" w:cstheme="minorHAnsi"/>
          <w:color w:val="000000"/>
        </w:rPr>
      </w:pPr>
      <w:r>
        <w:rPr>
          <w:rFonts w:eastAsia="Times New Roman" w:cstheme="minorHAnsi"/>
          <w:color w:val="000000"/>
        </w:rPr>
        <w:t>provodi postupak registracije tradicionalnog biljnog i homeopatskog lijeka</w:t>
      </w:r>
    </w:p>
    <w:p w14:paraId="2973E62D" w14:textId="77777777" w:rsidR="00AA41EB" w:rsidRDefault="00AA41EB" w:rsidP="00AA41EB">
      <w:pPr>
        <w:numPr>
          <w:ilvl w:val="0"/>
          <w:numId w:val="3"/>
        </w:numPr>
        <w:spacing w:before="120" w:after="240" w:line="276" w:lineRule="auto"/>
        <w:contextualSpacing/>
        <w:jc w:val="both"/>
        <w:rPr>
          <w:rFonts w:eastAsia="Times New Roman" w:cstheme="minorHAnsi"/>
          <w:color w:val="000000"/>
        </w:rPr>
      </w:pPr>
      <w:r>
        <w:rPr>
          <w:rFonts w:eastAsia="Times New Roman" w:cstheme="minorHAnsi"/>
          <w:color w:val="000000"/>
        </w:rPr>
        <w:t>daje odobrenje za paralelni uvoz lijeka</w:t>
      </w:r>
    </w:p>
    <w:p w14:paraId="5E520285" w14:textId="77777777" w:rsidR="00AA41EB" w:rsidRDefault="00AA41EB" w:rsidP="00AA41EB">
      <w:pPr>
        <w:numPr>
          <w:ilvl w:val="0"/>
          <w:numId w:val="3"/>
        </w:numPr>
        <w:spacing w:before="120" w:after="240" w:line="276" w:lineRule="auto"/>
        <w:contextualSpacing/>
        <w:jc w:val="both"/>
        <w:rPr>
          <w:rFonts w:eastAsia="Times New Roman" w:cstheme="minorHAnsi"/>
          <w:color w:val="000000"/>
        </w:rPr>
      </w:pPr>
      <w:r>
        <w:rPr>
          <w:rFonts w:eastAsia="Times New Roman" w:cstheme="minorHAnsi"/>
          <w:color w:val="000000"/>
        </w:rPr>
        <w:t>daje stručnu ocjenu kakvoće, djelotvornosti i sigurnosti primjene lijeka</w:t>
      </w:r>
    </w:p>
    <w:p w14:paraId="0B378EAC" w14:textId="77777777" w:rsidR="00AA41EB" w:rsidRDefault="00AA41EB" w:rsidP="00AA41EB">
      <w:pPr>
        <w:numPr>
          <w:ilvl w:val="0"/>
          <w:numId w:val="3"/>
        </w:numPr>
        <w:spacing w:before="120" w:after="240" w:line="276" w:lineRule="auto"/>
        <w:contextualSpacing/>
        <w:jc w:val="both"/>
        <w:rPr>
          <w:rFonts w:eastAsia="Times New Roman" w:cstheme="minorHAnsi"/>
          <w:color w:val="000000"/>
        </w:rPr>
      </w:pPr>
      <w:r>
        <w:rPr>
          <w:rFonts w:eastAsia="Times New Roman" w:cstheme="minorHAnsi"/>
          <w:color w:val="000000"/>
        </w:rPr>
        <w:t>obavlja laboratorijsko ispitivanje medicinskog proizvoda</w:t>
      </w:r>
    </w:p>
    <w:p w14:paraId="6D69149A" w14:textId="77777777" w:rsidR="00AA41EB" w:rsidRDefault="00AA41EB" w:rsidP="00AA41EB">
      <w:pPr>
        <w:numPr>
          <w:ilvl w:val="0"/>
          <w:numId w:val="3"/>
        </w:numPr>
        <w:spacing w:before="120" w:after="240" w:line="276" w:lineRule="auto"/>
        <w:contextualSpacing/>
        <w:jc w:val="both"/>
        <w:rPr>
          <w:rFonts w:eastAsia="Times New Roman" w:cstheme="minorHAnsi"/>
          <w:color w:val="000000"/>
        </w:rPr>
      </w:pPr>
      <w:r>
        <w:rPr>
          <w:rFonts w:eastAsia="Times New Roman" w:cstheme="minorHAnsi"/>
          <w:color w:val="000000"/>
        </w:rPr>
        <w:t>obavlja poslove službenog laboratorija za provjeru kakvoće za Republiku Hrvatsku</w:t>
      </w:r>
    </w:p>
    <w:p w14:paraId="73485A05" w14:textId="77777777" w:rsidR="00AA41EB" w:rsidRDefault="00AA41EB" w:rsidP="00AA41EB">
      <w:pPr>
        <w:numPr>
          <w:ilvl w:val="0"/>
          <w:numId w:val="3"/>
        </w:numPr>
        <w:spacing w:before="120" w:after="240" w:line="276" w:lineRule="auto"/>
        <w:contextualSpacing/>
        <w:jc w:val="both"/>
        <w:rPr>
          <w:rFonts w:eastAsia="Times New Roman" w:cstheme="minorHAnsi"/>
          <w:color w:val="000000"/>
        </w:rPr>
      </w:pPr>
      <w:r>
        <w:rPr>
          <w:rFonts w:eastAsia="Times New Roman" w:cstheme="minorHAnsi"/>
          <w:color w:val="000000"/>
        </w:rPr>
        <w:lastRenderedPageBreak/>
        <w:t>obavlja provjeru kakvoće lijeka i homeopatskog lijeka te daje nalaz o obavljenoj provjeri kakvoće</w:t>
      </w:r>
    </w:p>
    <w:p w14:paraId="39B2583E" w14:textId="77777777" w:rsidR="00AA41EB" w:rsidRDefault="00AA41EB" w:rsidP="00AA41EB">
      <w:pPr>
        <w:numPr>
          <w:ilvl w:val="0"/>
          <w:numId w:val="3"/>
        </w:numPr>
        <w:spacing w:before="120" w:after="240" w:line="276" w:lineRule="auto"/>
        <w:contextualSpacing/>
        <w:jc w:val="both"/>
        <w:rPr>
          <w:rFonts w:eastAsia="Times New Roman" w:cstheme="minorHAnsi"/>
          <w:color w:val="000000"/>
        </w:rPr>
      </w:pPr>
      <w:r>
        <w:rPr>
          <w:rFonts w:eastAsia="Times New Roman" w:cstheme="minorHAnsi"/>
          <w:color w:val="000000"/>
        </w:rPr>
        <w:t>analizira i ocjenjuje nuspojave i sigurnost ispitanika u kliničkim ispitivanjima</w:t>
      </w:r>
    </w:p>
    <w:p w14:paraId="09F0280E" w14:textId="77777777" w:rsidR="00AA41EB" w:rsidRDefault="00AA41EB" w:rsidP="00AA41EB">
      <w:pPr>
        <w:numPr>
          <w:ilvl w:val="0"/>
          <w:numId w:val="3"/>
        </w:numPr>
        <w:spacing w:before="120" w:after="240" w:line="276" w:lineRule="auto"/>
        <w:contextualSpacing/>
        <w:jc w:val="both"/>
        <w:rPr>
          <w:rFonts w:eastAsia="Times New Roman" w:cstheme="minorHAnsi"/>
          <w:color w:val="000000"/>
        </w:rPr>
      </w:pPr>
      <w:r>
        <w:rPr>
          <w:rFonts w:eastAsia="Times New Roman" w:cstheme="minorHAnsi"/>
          <w:color w:val="000000"/>
        </w:rPr>
        <w:t>izrađuje Hrvatsku farmakopeju</w:t>
      </w:r>
    </w:p>
    <w:p w14:paraId="5D3D5948" w14:textId="77777777" w:rsidR="00AA41EB" w:rsidRDefault="00AA41EB" w:rsidP="00AA41EB">
      <w:pPr>
        <w:numPr>
          <w:ilvl w:val="0"/>
          <w:numId w:val="3"/>
        </w:numPr>
        <w:spacing w:before="120" w:after="240" w:line="276" w:lineRule="auto"/>
        <w:contextualSpacing/>
        <w:jc w:val="both"/>
        <w:rPr>
          <w:rFonts w:eastAsia="Times New Roman" w:cstheme="minorHAnsi"/>
          <w:color w:val="000000"/>
        </w:rPr>
      </w:pPr>
      <w:r>
        <w:rPr>
          <w:rFonts w:eastAsia="Times New Roman" w:cstheme="minorHAnsi"/>
          <w:color w:val="000000"/>
        </w:rPr>
        <w:t>izdaje Hrvatsku farmakopeju te druge stručne publikacije iz područja svoga rada</w:t>
      </w:r>
    </w:p>
    <w:p w14:paraId="159701D7" w14:textId="77777777" w:rsidR="00AA41EB" w:rsidRDefault="00AA41EB" w:rsidP="00AA41EB">
      <w:pPr>
        <w:numPr>
          <w:ilvl w:val="0"/>
          <w:numId w:val="3"/>
        </w:numPr>
        <w:spacing w:before="120" w:after="240" w:line="276" w:lineRule="auto"/>
        <w:contextualSpacing/>
        <w:jc w:val="both"/>
        <w:rPr>
          <w:rFonts w:eastAsia="Times New Roman" w:cstheme="minorHAnsi"/>
          <w:color w:val="000000"/>
        </w:rPr>
      </w:pPr>
      <w:r>
        <w:rPr>
          <w:rFonts w:eastAsia="Times New Roman" w:cstheme="minorHAnsi"/>
          <w:color w:val="000000"/>
        </w:rPr>
        <w:t>provodi farmakovigilancijske aktivnosti</w:t>
      </w:r>
    </w:p>
    <w:p w14:paraId="5D2E510C" w14:textId="77777777" w:rsidR="00AA41EB" w:rsidRDefault="00AA41EB" w:rsidP="00AA41EB">
      <w:pPr>
        <w:numPr>
          <w:ilvl w:val="0"/>
          <w:numId w:val="3"/>
        </w:numPr>
        <w:spacing w:before="120" w:after="240" w:line="276" w:lineRule="auto"/>
        <w:contextualSpacing/>
        <w:jc w:val="both"/>
        <w:rPr>
          <w:rFonts w:eastAsia="Times New Roman" w:cstheme="minorHAnsi"/>
          <w:color w:val="000000"/>
        </w:rPr>
      </w:pPr>
      <w:r>
        <w:rPr>
          <w:rFonts w:eastAsia="Times New Roman" w:cstheme="minorHAnsi"/>
          <w:color w:val="000000"/>
        </w:rPr>
        <w:t>daje proizvodnu dozvolu proizvođačima i uvoznicima lijeka, odnosno ispitivanog lijeka</w:t>
      </w:r>
    </w:p>
    <w:p w14:paraId="54E81F30" w14:textId="77777777" w:rsidR="00AA41EB" w:rsidRDefault="00AA41EB" w:rsidP="00AA41EB">
      <w:pPr>
        <w:numPr>
          <w:ilvl w:val="0"/>
          <w:numId w:val="3"/>
        </w:numPr>
        <w:spacing w:before="120" w:after="240" w:line="276" w:lineRule="auto"/>
        <w:contextualSpacing/>
        <w:jc w:val="both"/>
        <w:rPr>
          <w:rFonts w:eastAsia="Times New Roman" w:cstheme="minorHAnsi"/>
          <w:color w:val="000000"/>
        </w:rPr>
      </w:pPr>
      <w:r>
        <w:rPr>
          <w:rFonts w:eastAsia="Times New Roman" w:cstheme="minorHAnsi"/>
          <w:color w:val="000000"/>
        </w:rPr>
        <w:t>vodi očevidnik proizvođača, uvoznika i veleprodaja djelatnih i pomoćnih tvari</w:t>
      </w:r>
    </w:p>
    <w:p w14:paraId="68014881" w14:textId="77777777" w:rsidR="00AA41EB" w:rsidRDefault="00AA41EB" w:rsidP="00AA41EB">
      <w:pPr>
        <w:numPr>
          <w:ilvl w:val="0"/>
          <w:numId w:val="3"/>
        </w:numPr>
        <w:spacing w:before="120" w:after="240" w:line="276" w:lineRule="auto"/>
        <w:contextualSpacing/>
        <w:jc w:val="both"/>
        <w:rPr>
          <w:rFonts w:eastAsia="Times New Roman" w:cstheme="minorHAnsi"/>
          <w:color w:val="000000"/>
        </w:rPr>
      </w:pPr>
      <w:r>
        <w:rPr>
          <w:rFonts w:eastAsia="Times New Roman" w:cstheme="minorHAnsi"/>
          <w:color w:val="000000"/>
        </w:rPr>
        <w:t>daje dozvolu za obavljanje prometa na veliko lijekovima</w:t>
      </w:r>
    </w:p>
    <w:p w14:paraId="1447756D" w14:textId="77777777" w:rsidR="00AA41EB" w:rsidRDefault="00AA41EB" w:rsidP="00AA41EB">
      <w:pPr>
        <w:numPr>
          <w:ilvl w:val="0"/>
          <w:numId w:val="3"/>
        </w:numPr>
        <w:spacing w:before="120" w:after="240" w:line="276" w:lineRule="auto"/>
        <w:contextualSpacing/>
        <w:jc w:val="both"/>
        <w:rPr>
          <w:rFonts w:eastAsia="Times New Roman" w:cstheme="minorHAnsi"/>
          <w:color w:val="000000"/>
        </w:rPr>
      </w:pPr>
      <w:r>
        <w:rPr>
          <w:rFonts w:eastAsia="Times New Roman" w:cstheme="minorHAnsi"/>
          <w:color w:val="000000"/>
        </w:rPr>
        <w:t>daje dozvolu za obavljanje prometa na malo lijekovima u specijaliziranim prodavaonicama</w:t>
      </w:r>
    </w:p>
    <w:p w14:paraId="1470940B" w14:textId="77777777" w:rsidR="00AA41EB" w:rsidRDefault="00AA41EB" w:rsidP="00AA41EB">
      <w:pPr>
        <w:numPr>
          <w:ilvl w:val="0"/>
          <w:numId w:val="3"/>
        </w:numPr>
        <w:spacing w:before="120" w:after="240" w:line="276" w:lineRule="auto"/>
        <w:contextualSpacing/>
        <w:jc w:val="both"/>
        <w:rPr>
          <w:rFonts w:eastAsia="Times New Roman" w:cstheme="minorHAnsi"/>
          <w:color w:val="000000"/>
        </w:rPr>
      </w:pPr>
      <w:r>
        <w:rPr>
          <w:rFonts w:eastAsia="Times New Roman" w:cstheme="minorHAnsi"/>
          <w:color w:val="000000"/>
        </w:rPr>
        <w:t>daje dozvolu za posredovanje lijekovima</w:t>
      </w:r>
    </w:p>
    <w:p w14:paraId="3DEC1B60" w14:textId="77777777" w:rsidR="00AA41EB" w:rsidRDefault="00AA41EB" w:rsidP="00AA41EB">
      <w:pPr>
        <w:numPr>
          <w:ilvl w:val="0"/>
          <w:numId w:val="3"/>
        </w:numPr>
        <w:spacing w:before="120" w:after="240" w:line="276" w:lineRule="auto"/>
        <w:contextualSpacing/>
        <w:jc w:val="both"/>
        <w:rPr>
          <w:rFonts w:eastAsia="Times New Roman" w:cstheme="minorHAnsi"/>
          <w:color w:val="000000"/>
        </w:rPr>
      </w:pPr>
      <w:r>
        <w:rPr>
          <w:rFonts w:eastAsia="Times New Roman" w:cstheme="minorHAnsi"/>
          <w:color w:val="000000"/>
        </w:rPr>
        <w:t>daje suglasnost za unos i uvoz lijeka</w:t>
      </w:r>
    </w:p>
    <w:p w14:paraId="25E30040" w14:textId="77777777" w:rsidR="00AA41EB" w:rsidRDefault="00AA41EB" w:rsidP="00AA41EB">
      <w:pPr>
        <w:numPr>
          <w:ilvl w:val="0"/>
          <w:numId w:val="3"/>
        </w:numPr>
        <w:spacing w:before="120" w:after="240" w:line="276" w:lineRule="auto"/>
        <w:contextualSpacing/>
        <w:jc w:val="both"/>
        <w:rPr>
          <w:rFonts w:eastAsia="Times New Roman" w:cstheme="minorHAnsi"/>
          <w:color w:val="000000"/>
        </w:rPr>
      </w:pPr>
      <w:r>
        <w:rPr>
          <w:rFonts w:eastAsia="Times New Roman" w:cstheme="minorHAnsi"/>
          <w:color w:val="000000"/>
        </w:rPr>
        <w:t>daje suglasnost za izvanredni unos i uvoz lijeka</w:t>
      </w:r>
    </w:p>
    <w:p w14:paraId="108D70F1" w14:textId="77777777" w:rsidR="00AA41EB" w:rsidRDefault="00AA41EB" w:rsidP="00AA41EB">
      <w:pPr>
        <w:numPr>
          <w:ilvl w:val="0"/>
          <w:numId w:val="3"/>
        </w:numPr>
        <w:spacing w:before="120" w:after="240" w:line="276" w:lineRule="auto"/>
        <w:contextualSpacing/>
        <w:jc w:val="both"/>
        <w:rPr>
          <w:rFonts w:eastAsia="Times New Roman" w:cstheme="minorHAnsi"/>
          <w:color w:val="000000"/>
        </w:rPr>
      </w:pPr>
      <w:r>
        <w:rPr>
          <w:rFonts w:eastAsia="Times New Roman" w:cstheme="minorHAnsi"/>
          <w:color w:val="000000"/>
        </w:rPr>
        <w:t>prati nuspojave i neispravnosti lijekova</w:t>
      </w:r>
    </w:p>
    <w:p w14:paraId="1D32914A" w14:textId="77777777" w:rsidR="00AA41EB" w:rsidRDefault="00AA41EB" w:rsidP="00AA41EB">
      <w:pPr>
        <w:numPr>
          <w:ilvl w:val="0"/>
          <w:numId w:val="3"/>
        </w:numPr>
        <w:spacing w:before="120" w:after="240" w:line="276" w:lineRule="auto"/>
        <w:contextualSpacing/>
        <w:jc w:val="both"/>
        <w:rPr>
          <w:rFonts w:eastAsia="Times New Roman" w:cstheme="minorHAnsi"/>
          <w:color w:val="000000"/>
        </w:rPr>
      </w:pPr>
      <w:r>
        <w:rPr>
          <w:rFonts w:eastAsia="Times New Roman" w:cstheme="minorHAnsi"/>
          <w:color w:val="000000"/>
        </w:rPr>
        <w:t>pokreće postupak obustave stavljanja lijeka u promet i povlačenja lijeka iz prometa</w:t>
      </w:r>
    </w:p>
    <w:p w14:paraId="37FC7F27" w14:textId="77777777" w:rsidR="00AA41EB" w:rsidRDefault="00AA41EB" w:rsidP="00AA41EB">
      <w:pPr>
        <w:numPr>
          <w:ilvl w:val="0"/>
          <w:numId w:val="3"/>
        </w:numPr>
        <w:spacing w:before="120" w:after="240" w:line="276" w:lineRule="auto"/>
        <w:contextualSpacing/>
        <w:jc w:val="both"/>
        <w:rPr>
          <w:rFonts w:eastAsia="Times New Roman" w:cstheme="minorHAnsi"/>
          <w:color w:val="000000"/>
        </w:rPr>
      </w:pPr>
      <w:r>
        <w:rPr>
          <w:rFonts w:eastAsia="Times New Roman" w:cstheme="minorHAnsi"/>
          <w:color w:val="000000"/>
        </w:rPr>
        <w:t>prati opskrbu lijekovima</w:t>
      </w:r>
    </w:p>
    <w:p w14:paraId="6CA6C8A4" w14:textId="77777777" w:rsidR="00AA41EB" w:rsidRDefault="00AA41EB" w:rsidP="00AA41EB">
      <w:pPr>
        <w:numPr>
          <w:ilvl w:val="0"/>
          <w:numId w:val="3"/>
        </w:numPr>
        <w:spacing w:before="120" w:after="240" w:line="276" w:lineRule="auto"/>
        <w:contextualSpacing/>
        <w:jc w:val="both"/>
        <w:rPr>
          <w:rFonts w:eastAsia="Times New Roman" w:cstheme="minorHAnsi"/>
          <w:color w:val="000000"/>
        </w:rPr>
      </w:pPr>
      <w:r>
        <w:rPr>
          <w:rFonts w:eastAsia="Times New Roman" w:cstheme="minorHAnsi"/>
          <w:color w:val="000000"/>
        </w:rPr>
        <w:t>prati potrošnju lijekova i promiče racionalnu uporabu lijekova</w:t>
      </w:r>
    </w:p>
    <w:p w14:paraId="556C34BC" w14:textId="77777777" w:rsidR="00AA41EB" w:rsidRDefault="00AA41EB" w:rsidP="00AA41EB">
      <w:pPr>
        <w:numPr>
          <w:ilvl w:val="0"/>
          <w:numId w:val="3"/>
        </w:numPr>
        <w:spacing w:before="120" w:after="240" w:line="276" w:lineRule="auto"/>
        <w:contextualSpacing/>
        <w:jc w:val="both"/>
        <w:rPr>
          <w:rFonts w:eastAsia="Times New Roman" w:cstheme="minorHAnsi"/>
          <w:color w:val="000000"/>
        </w:rPr>
      </w:pPr>
      <w:r>
        <w:rPr>
          <w:rFonts w:eastAsia="Times New Roman" w:cstheme="minorHAnsi"/>
          <w:color w:val="000000"/>
        </w:rPr>
        <w:t>predlaže ministru mjere nadzora nad potrošnjom lijekova</w:t>
      </w:r>
    </w:p>
    <w:p w14:paraId="33300590" w14:textId="77777777" w:rsidR="00AA41EB" w:rsidRDefault="00AA41EB" w:rsidP="00AA41EB">
      <w:pPr>
        <w:numPr>
          <w:ilvl w:val="0"/>
          <w:numId w:val="3"/>
        </w:numPr>
        <w:spacing w:before="120" w:after="240" w:line="276" w:lineRule="auto"/>
        <w:contextualSpacing/>
        <w:jc w:val="both"/>
        <w:rPr>
          <w:rFonts w:eastAsia="Times New Roman" w:cstheme="minorHAnsi"/>
          <w:color w:val="000000"/>
        </w:rPr>
      </w:pPr>
      <w:r>
        <w:rPr>
          <w:rFonts w:eastAsia="Times New Roman" w:cstheme="minorHAnsi"/>
          <w:color w:val="000000"/>
        </w:rPr>
        <w:t>obavlja poslove gospodarenja otpadom (za vlastite potrebe)</w:t>
      </w:r>
    </w:p>
    <w:p w14:paraId="5452230D" w14:textId="77777777" w:rsidR="00AA41EB" w:rsidRDefault="00AA41EB" w:rsidP="00AA41EB">
      <w:pPr>
        <w:numPr>
          <w:ilvl w:val="0"/>
          <w:numId w:val="3"/>
        </w:numPr>
        <w:spacing w:before="120" w:after="240" w:line="276" w:lineRule="auto"/>
        <w:contextualSpacing/>
        <w:jc w:val="both"/>
        <w:rPr>
          <w:rFonts w:eastAsia="Times New Roman" w:cstheme="minorHAnsi"/>
          <w:color w:val="000000"/>
        </w:rPr>
      </w:pPr>
      <w:r>
        <w:rPr>
          <w:rFonts w:eastAsia="Times New Roman" w:cstheme="minorHAnsi"/>
          <w:color w:val="000000"/>
        </w:rPr>
        <w:t>obavlja poslove informiranja i edukacije o lijekovima</w:t>
      </w:r>
    </w:p>
    <w:p w14:paraId="6E179D56" w14:textId="77777777" w:rsidR="00AA41EB" w:rsidRDefault="00AA41EB" w:rsidP="00AA41EB">
      <w:pPr>
        <w:numPr>
          <w:ilvl w:val="0"/>
          <w:numId w:val="3"/>
        </w:numPr>
        <w:spacing w:before="120" w:after="240" w:line="276" w:lineRule="auto"/>
        <w:contextualSpacing/>
        <w:jc w:val="both"/>
        <w:rPr>
          <w:rFonts w:eastAsia="Times New Roman" w:cstheme="minorHAnsi"/>
          <w:color w:val="000000"/>
        </w:rPr>
      </w:pPr>
      <w:r>
        <w:rPr>
          <w:rFonts w:eastAsia="Times New Roman" w:cstheme="minorHAnsi"/>
          <w:color w:val="000000"/>
        </w:rPr>
        <w:t>daje stručne savjete iz područja svoje djelatnosti</w:t>
      </w:r>
    </w:p>
    <w:p w14:paraId="1AFBD080" w14:textId="77777777" w:rsidR="00AA41EB" w:rsidRDefault="00AA41EB" w:rsidP="00AA41EB">
      <w:pPr>
        <w:numPr>
          <w:ilvl w:val="0"/>
          <w:numId w:val="3"/>
        </w:numPr>
        <w:spacing w:before="120" w:after="240" w:line="276" w:lineRule="auto"/>
        <w:contextualSpacing/>
        <w:jc w:val="both"/>
        <w:rPr>
          <w:rFonts w:eastAsia="Times New Roman" w:cstheme="minorHAnsi"/>
          <w:color w:val="000000"/>
        </w:rPr>
      </w:pPr>
      <w:r>
        <w:rPr>
          <w:rFonts w:eastAsia="Times New Roman" w:cstheme="minorHAnsi"/>
          <w:color w:val="000000"/>
        </w:rPr>
        <w:t>daje stručne smjernice iz područja svoje djelatnosti</w:t>
      </w:r>
    </w:p>
    <w:p w14:paraId="497A7379" w14:textId="77777777" w:rsidR="00AA41EB" w:rsidRDefault="00AA41EB" w:rsidP="00AA41EB">
      <w:pPr>
        <w:numPr>
          <w:ilvl w:val="0"/>
          <w:numId w:val="3"/>
        </w:numPr>
        <w:spacing w:before="120" w:after="240" w:line="276" w:lineRule="auto"/>
        <w:contextualSpacing/>
        <w:jc w:val="both"/>
        <w:rPr>
          <w:rFonts w:eastAsia="Times New Roman" w:cstheme="minorHAnsi"/>
          <w:color w:val="000000"/>
        </w:rPr>
      </w:pPr>
      <w:r>
        <w:rPr>
          <w:rFonts w:eastAsia="Times New Roman" w:cstheme="minorHAnsi"/>
          <w:color w:val="000000"/>
        </w:rPr>
        <w:t>predlaže usklađivanje propisa na području lijekova s propisima Europske unije i propisima i smjernicama međunarodnih institucija</w:t>
      </w:r>
    </w:p>
    <w:p w14:paraId="79ACD2E7" w14:textId="77777777" w:rsidR="00AA41EB" w:rsidRDefault="00AA41EB" w:rsidP="00AA41EB">
      <w:pPr>
        <w:numPr>
          <w:ilvl w:val="0"/>
          <w:numId w:val="3"/>
        </w:numPr>
        <w:spacing w:before="120" w:after="240" w:line="276" w:lineRule="auto"/>
        <w:contextualSpacing/>
        <w:jc w:val="both"/>
        <w:rPr>
          <w:rFonts w:eastAsia="Times New Roman" w:cstheme="minorHAnsi"/>
          <w:color w:val="000000"/>
        </w:rPr>
      </w:pPr>
      <w:r>
        <w:rPr>
          <w:rFonts w:eastAsia="Times New Roman" w:cstheme="minorHAnsi"/>
          <w:color w:val="000000"/>
        </w:rPr>
        <w:t>ostvaruje međunarodnu suradnju na području lijekova</w:t>
      </w:r>
    </w:p>
    <w:p w14:paraId="7623E1F9" w14:textId="77777777" w:rsidR="00AA41EB" w:rsidRDefault="00AA41EB" w:rsidP="00AA41EB">
      <w:pPr>
        <w:numPr>
          <w:ilvl w:val="0"/>
          <w:numId w:val="3"/>
        </w:numPr>
        <w:spacing w:before="120" w:after="240" w:line="276" w:lineRule="auto"/>
        <w:contextualSpacing/>
        <w:jc w:val="both"/>
        <w:rPr>
          <w:rFonts w:eastAsia="Times New Roman" w:cstheme="minorHAnsi"/>
          <w:color w:val="000000"/>
        </w:rPr>
      </w:pPr>
      <w:r>
        <w:rPr>
          <w:rFonts w:eastAsia="Times New Roman" w:cstheme="minorHAnsi"/>
          <w:color w:val="000000"/>
        </w:rPr>
        <w:t>provodi inspekcijski nadzor nad proizvodnjom lijekova, ispitivanih lijekova, djelatnih i pomoćnih tvari i inspekcijski nadzor nad farmakovigilancijom</w:t>
      </w:r>
    </w:p>
    <w:p w14:paraId="59A1099D" w14:textId="77777777" w:rsidR="00AA41EB" w:rsidRDefault="00AA41EB" w:rsidP="00AA41EB">
      <w:pPr>
        <w:numPr>
          <w:ilvl w:val="0"/>
          <w:numId w:val="3"/>
        </w:numPr>
        <w:spacing w:before="120" w:after="240" w:line="276" w:lineRule="auto"/>
        <w:contextualSpacing/>
        <w:jc w:val="both"/>
        <w:rPr>
          <w:rFonts w:eastAsia="Times New Roman" w:cstheme="minorHAnsi"/>
          <w:color w:val="000000"/>
        </w:rPr>
      </w:pPr>
      <w:r>
        <w:rPr>
          <w:rFonts w:eastAsia="Times New Roman" w:cstheme="minorHAnsi"/>
          <w:color w:val="000000"/>
        </w:rPr>
        <w:t>vodi očevidnik proizvođača medicinskih proizvoda, očevidnik medicinskih proizvoda i očevidnik veleprodaja medicinskih proizvoda</w:t>
      </w:r>
    </w:p>
    <w:p w14:paraId="11FAA521" w14:textId="77777777" w:rsidR="00AA41EB" w:rsidRDefault="00AA41EB" w:rsidP="00AA41EB">
      <w:pPr>
        <w:numPr>
          <w:ilvl w:val="0"/>
          <w:numId w:val="3"/>
        </w:numPr>
        <w:spacing w:before="120" w:after="240" w:line="276" w:lineRule="auto"/>
        <w:contextualSpacing/>
        <w:jc w:val="both"/>
        <w:rPr>
          <w:rFonts w:eastAsia="Times New Roman" w:cstheme="minorHAnsi"/>
          <w:color w:val="000000"/>
        </w:rPr>
      </w:pPr>
      <w:r>
        <w:rPr>
          <w:rFonts w:eastAsia="Times New Roman" w:cstheme="minorHAnsi"/>
          <w:color w:val="000000"/>
        </w:rPr>
        <w:t>analizira i ocjenjuje štetne događaje u kliničkim ispitivanjima medicinskih proizvoda</w:t>
      </w:r>
    </w:p>
    <w:p w14:paraId="579D9557" w14:textId="77777777" w:rsidR="00AA41EB" w:rsidRDefault="00AA41EB" w:rsidP="00AA41EB">
      <w:pPr>
        <w:numPr>
          <w:ilvl w:val="0"/>
          <w:numId w:val="3"/>
        </w:numPr>
        <w:spacing w:before="120" w:after="240" w:line="276" w:lineRule="auto"/>
        <w:contextualSpacing/>
        <w:jc w:val="both"/>
        <w:rPr>
          <w:rFonts w:eastAsia="Times New Roman" w:cstheme="minorHAnsi"/>
          <w:color w:val="000000"/>
        </w:rPr>
      </w:pPr>
      <w:r>
        <w:rPr>
          <w:rFonts w:eastAsia="Times New Roman" w:cstheme="minorHAnsi"/>
          <w:color w:val="000000"/>
        </w:rPr>
        <w:t>daje dozvolu za obavljanje prometa na malo medicinskim proizvodima u specijaliziranim prodavaonicama</w:t>
      </w:r>
    </w:p>
    <w:p w14:paraId="537706D7" w14:textId="77777777" w:rsidR="00AA41EB" w:rsidRDefault="00AA41EB" w:rsidP="00AA41EB">
      <w:pPr>
        <w:numPr>
          <w:ilvl w:val="0"/>
          <w:numId w:val="3"/>
        </w:numPr>
        <w:spacing w:before="120" w:after="240" w:line="276" w:lineRule="auto"/>
        <w:contextualSpacing/>
        <w:jc w:val="both"/>
        <w:rPr>
          <w:rFonts w:eastAsia="Times New Roman" w:cstheme="minorHAnsi"/>
          <w:color w:val="000000"/>
        </w:rPr>
      </w:pPr>
      <w:r>
        <w:rPr>
          <w:rFonts w:eastAsia="Times New Roman" w:cstheme="minorHAnsi"/>
          <w:color w:val="000000"/>
        </w:rPr>
        <w:t>vodi evidenciju medicinskih proizvoda koji su u prometu u Republici Hrvatskoj</w:t>
      </w:r>
    </w:p>
    <w:p w14:paraId="184E56F3" w14:textId="77777777" w:rsidR="00AA41EB" w:rsidRDefault="00AA41EB" w:rsidP="00AA41EB">
      <w:pPr>
        <w:numPr>
          <w:ilvl w:val="0"/>
          <w:numId w:val="3"/>
        </w:numPr>
        <w:spacing w:before="120" w:after="240" w:line="276" w:lineRule="auto"/>
        <w:contextualSpacing/>
        <w:jc w:val="both"/>
        <w:rPr>
          <w:rFonts w:eastAsia="Times New Roman" w:cstheme="minorHAnsi"/>
          <w:color w:val="000000"/>
        </w:rPr>
      </w:pPr>
      <w:r>
        <w:rPr>
          <w:rFonts w:eastAsia="Times New Roman" w:cstheme="minorHAnsi"/>
          <w:color w:val="000000"/>
        </w:rPr>
        <w:t>prati vigilanciju i sigurnost medicinskih proizvoda</w:t>
      </w:r>
    </w:p>
    <w:p w14:paraId="106A70E3" w14:textId="77777777" w:rsidR="00AA41EB" w:rsidRDefault="00AA41EB" w:rsidP="00AA41EB">
      <w:pPr>
        <w:numPr>
          <w:ilvl w:val="0"/>
          <w:numId w:val="3"/>
        </w:numPr>
        <w:spacing w:before="120" w:after="240" w:line="276" w:lineRule="auto"/>
        <w:contextualSpacing/>
        <w:jc w:val="both"/>
        <w:rPr>
          <w:rFonts w:eastAsia="Times New Roman" w:cstheme="minorHAnsi"/>
          <w:color w:val="000000"/>
        </w:rPr>
      </w:pPr>
      <w:r>
        <w:rPr>
          <w:rFonts w:eastAsia="Times New Roman" w:cstheme="minorHAnsi"/>
          <w:color w:val="000000"/>
        </w:rPr>
        <w:t>provodi postupak razvrstavanja medicinskog proizvoda</w:t>
      </w:r>
    </w:p>
    <w:p w14:paraId="5E796850" w14:textId="77777777" w:rsidR="00AA41EB" w:rsidRDefault="00AA41EB" w:rsidP="00AA41EB">
      <w:pPr>
        <w:numPr>
          <w:ilvl w:val="0"/>
          <w:numId w:val="3"/>
        </w:numPr>
        <w:spacing w:before="120" w:after="240" w:line="276" w:lineRule="auto"/>
        <w:contextualSpacing/>
        <w:jc w:val="both"/>
        <w:rPr>
          <w:rFonts w:eastAsia="Times New Roman" w:cstheme="minorHAnsi"/>
          <w:color w:val="000000"/>
        </w:rPr>
      </w:pPr>
      <w:r>
        <w:rPr>
          <w:rFonts w:eastAsia="Times New Roman" w:cstheme="minorHAnsi"/>
          <w:color w:val="000000"/>
        </w:rPr>
        <w:t>daje potvrdu o slobodnoj prodaji medicinskog proizvoda</w:t>
      </w:r>
    </w:p>
    <w:p w14:paraId="72A3B993" w14:textId="77777777" w:rsidR="00AA41EB" w:rsidRDefault="00AA41EB" w:rsidP="00AA41EB">
      <w:pPr>
        <w:numPr>
          <w:ilvl w:val="0"/>
          <w:numId w:val="3"/>
        </w:numPr>
        <w:spacing w:before="120" w:after="240" w:line="276" w:lineRule="auto"/>
        <w:contextualSpacing/>
        <w:jc w:val="both"/>
        <w:rPr>
          <w:rFonts w:eastAsia="Times New Roman" w:cstheme="minorHAnsi"/>
          <w:color w:val="000000"/>
        </w:rPr>
      </w:pPr>
      <w:r>
        <w:rPr>
          <w:rFonts w:eastAsia="Times New Roman" w:cstheme="minorHAnsi"/>
          <w:color w:val="000000"/>
        </w:rPr>
        <w:t>obavlja poslove informiranja i edukacije o medicinskim proizvodima</w:t>
      </w:r>
    </w:p>
    <w:p w14:paraId="0E13278E" w14:textId="77777777" w:rsidR="00AA41EB" w:rsidRDefault="00AA41EB" w:rsidP="00AA41EB">
      <w:pPr>
        <w:numPr>
          <w:ilvl w:val="0"/>
          <w:numId w:val="3"/>
        </w:numPr>
        <w:spacing w:before="120" w:after="240" w:line="276" w:lineRule="auto"/>
        <w:contextualSpacing/>
        <w:jc w:val="both"/>
        <w:rPr>
          <w:rFonts w:eastAsia="Times New Roman" w:cstheme="minorHAnsi"/>
          <w:color w:val="000000"/>
        </w:rPr>
      </w:pPr>
      <w:r>
        <w:rPr>
          <w:rFonts w:eastAsia="Times New Roman" w:cstheme="minorHAnsi"/>
          <w:color w:val="000000"/>
        </w:rPr>
        <w:t>ostvaruje međunarodnu suradnju na području medicinskih proizvoda</w:t>
      </w:r>
    </w:p>
    <w:p w14:paraId="0FE11C79" w14:textId="77777777" w:rsidR="00AA41EB" w:rsidRDefault="00AA41EB" w:rsidP="00AA41EB">
      <w:pPr>
        <w:numPr>
          <w:ilvl w:val="0"/>
          <w:numId w:val="3"/>
        </w:numPr>
        <w:spacing w:before="120" w:after="240" w:line="276" w:lineRule="auto"/>
        <w:contextualSpacing/>
        <w:jc w:val="both"/>
        <w:rPr>
          <w:rFonts w:eastAsia="Times New Roman" w:cstheme="minorHAnsi"/>
          <w:color w:val="000000"/>
        </w:rPr>
      </w:pPr>
      <w:r>
        <w:rPr>
          <w:rFonts w:eastAsia="Times New Roman" w:cstheme="minorHAnsi"/>
          <w:color w:val="000000"/>
        </w:rPr>
        <w:t>predlaže usklađivanje propisa na području medicinskih proizvoda s propisima Europske unije i propisima i smjernicama međunarodnih institucija</w:t>
      </w:r>
    </w:p>
    <w:p w14:paraId="4A0E160A" w14:textId="77777777" w:rsidR="00AA41EB" w:rsidRDefault="00AA41EB" w:rsidP="00AA41EB">
      <w:pPr>
        <w:numPr>
          <w:ilvl w:val="0"/>
          <w:numId w:val="3"/>
        </w:numPr>
        <w:spacing w:before="120" w:after="240" w:line="276" w:lineRule="auto"/>
        <w:contextualSpacing/>
        <w:jc w:val="both"/>
        <w:rPr>
          <w:rFonts w:eastAsia="Times New Roman" w:cstheme="minorHAnsi"/>
          <w:color w:val="000000"/>
        </w:rPr>
      </w:pPr>
      <w:r w:rsidRPr="00FB70E4">
        <w:rPr>
          <w:rFonts w:eastAsia="Times New Roman" w:cstheme="minorHAnsi"/>
          <w:color w:val="000000"/>
        </w:rPr>
        <w:t xml:space="preserve">određuje najvišu dozvoljenu cijenu lijeka, odnosno iznimno višu od najviše dozvoljene cijene lijeka koji ima odobrenje za stavljanje u promet u Republici Hrvatskoj i provodi postupak godišnjeg izračuna cijene lijeka </w:t>
      </w:r>
    </w:p>
    <w:p w14:paraId="19704D6F" w14:textId="77777777" w:rsidR="00AA41EB" w:rsidRDefault="00AA41EB" w:rsidP="00AA41EB">
      <w:pPr>
        <w:numPr>
          <w:ilvl w:val="0"/>
          <w:numId w:val="3"/>
        </w:numPr>
        <w:spacing w:before="120" w:after="240" w:line="276" w:lineRule="auto"/>
        <w:contextualSpacing/>
        <w:jc w:val="both"/>
        <w:rPr>
          <w:rFonts w:eastAsia="Times New Roman" w:cstheme="minorHAnsi"/>
          <w:color w:val="000000"/>
        </w:rPr>
      </w:pPr>
      <w:r>
        <w:rPr>
          <w:rFonts w:eastAsia="Times New Roman" w:cstheme="minorHAnsi"/>
          <w:color w:val="000000"/>
        </w:rPr>
        <w:lastRenderedPageBreak/>
        <w:t>obavlja i druge poslove na području lijekova sukladno ovome Zakonu i propisima donesenim na temelju ovoga Zakona te na području medicinskih proizvoda sukladno Zakonu o medicinskim proizvodima i propisima donesenim na temelju toga Zakona.</w:t>
      </w:r>
    </w:p>
    <w:p w14:paraId="04575FF6" w14:textId="77777777" w:rsidR="00AA41EB" w:rsidRDefault="00AA41EB" w:rsidP="00AA41EB">
      <w:pPr>
        <w:spacing w:before="120" w:after="240" w:line="276" w:lineRule="auto"/>
        <w:contextualSpacing/>
        <w:jc w:val="both"/>
        <w:rPr>
          <w:rFonts w:eastAsia="Times New Roman" w:cstheme="minorHAnsi"/>
          <w:color w:val="000000"/>
        </w:rPr>
      </w:pPr>
    </w:p>
    <w:p w14:paraId="27092288" w14:textId="77777777" w:rsidR="00AA41EB" w:rsidRDefault="00AA41EB" w:rsidP="00AA41EB">
      <w:pPr>
        <w:spacing w:line="276" w:lineRule="auto"/>
        <w:jc w:val="both"/>
      </w:pPr>
      <w:r>
        <w:t>Sukladno Zakonu o veterinarsko-medicinskim proizvodima (VMP), HALMED-a obavlja sljedeće poslove:</w:t>
      </w:r>
    </w:p>
    <w:p w14:paraId="247E7DCB" w14:textId="77777777" w:rsidR="00AA41EB" w:rsidRPr="00536DA4" w:rsidRDefault="00AA41EB" w:rsidP="00AA41EB">
      <w:pPr>
        <w:numPr>
          <w:ilvl w:val="0"/>
          <w:numId w:val="15"/>
        </w:numPr>
        <w:spacing w:line="276" w:lineRule="auto"/>
        <w:jc w:val="both"/>
        <w:rPr>
          <w:rFonts w:cs="Calibri"/>
        </w:rPr>
      </w:pPr>
      <w:r w:rsidRPr="00536DA4">
        <w:rPr>
          <w:rFonts w:cs="Calibri"/>
        </w:rPr>
        <w:t>izdavanje odobrenja za proizvodnju VMP</w:t>
      </w:r>
      <w:r>
        <w:rPr>
          <w:rFonts w:cs="Calibri"/>
        </w:rPr>
        <w:t>,</w:t>
      </w:r>
    </w:p>
    <w:p w14:paraId="23ACAC0A" w14:textId="77777777" w:rsidR="00AA41EB" w:rsidRPr="00536DA4" w:rsidRDefault="00AA41EB" w:rsidP="00AA41EB">
      <w:pPr>
        <w:numPr>
          <w:ilvl w:val="0"/>
          <w:numId w:val="15"/>
        </w:numPr>
        <w:spacing w:line="276" w:lineRule="auto"/>
        <w:jc w:val="both"/>
        <w:rPr>
          <w:rFonts w:cs="Calibri"/>
        </w:rPr>
      </w:pPr>
      <w:r w:rsidRPr="00536DA4">
        <w:rPr>
          <w:rFonts w:cs="Calibri"/>
        </w:rPr>
        <w:t>nadzor dobre proizvođačke prakse VMP</w:t>
      </w:r>
      <w:r>
        <w:rPr>
          <w:rFonts w:cs="Calibri"/>
        </w:rPr>
        <w:t>,</w:t>
      </w:r>
    </w:p>
    <w:p w14:paraId="3250C690" w14:textId="77777777" w:rsidR="00AA41EB" w:rsidRPr="00536DA4" w:rsidRDefault="00AA41EB" w:rsidP="00AA41EB">
      <w:pPr>
        <w:numPr>
          <w:ilvl w:val="0"/>
          <w:numId w:val="15"/>
        </w:numPr>
        <w:spacing w:line="276" w:lineRule="auto"/>
        <w:jc w:val="both"/>
        <w:rPr>
          <w:rFonts w:cs="Calibri"/>
        </w:rPr>
      </w:pPr>
      <w:r w:rsidRPr="00536DA4">
        <w:rPr>
          <w:rFonts w:cs="Calibri"/>
        </w:rPr>
        <w:t>izdavanje odobrenja za promet VMP na veliko</w:t>
      </w:r>
      <w:r>
        <w:rPr>
          <w:rFonts w:cs="Calibri"/>
        </w:rPr>
        <w:t>,</w:t>
      </w:r>
    </w:p>
    <w:p w14:paraId="5FDE4E5D" w14:textId="77777777" w:rsidR="00AA41EB" w:rsidRPr="00325D45" w:rsidRDefault="00AA41EB" w:rsidP="00AA41EB">
      <w:pPr>
        <w:numPr>
          <w:ilvl w:val="0"/>
          <w:numId w:val="15"/>
        </w:numPr>
        <w:spacing w:line="276" w:lineRule="auto"/>
        <w:jc w:val="both"/>
        <w:rPr>
          <w:rFonts w:ascii="Times New Roman" w:hAnsi="Times New Roman"/>
        </w:rPr>
      </w:pPr>
      <w:r w:rsidRPr="00536DA4">
        <w:rPr>
          <w:rFonts w:cs="Calibri"/>
        </w:rPr>
        <w:t>nadzor prometa VMP na veliko</w:t>
      </w:r>
      <w:r>
        <w:rPr>
          <w:rFonts w:cs="Calibri"/>
        </w:rPr>
        <w:t>.</w:t>
      </w:r>
      <w:r w:rsidRPr="0077261B">
        <w:rPr>
          <w:rFonts w:ascii="Times New Roman" w:hAnsi="Times New Roman"/>
        </w:rPr>
        <w:t xml:space="preserve"> </w:t>
      </w:r>
    </w:p>
    <w:p w14:paraId="6E712DA2" w14:textId="77777777" w:rsidR="00AA41EB" w:rsidRPr="006A4000" w:rsidRDefault="00AA41EB" w:rsidP="00AA41EB">
      <w:pPr>
        <w:pStyle w:val="Heading4"/>
      </w:pPr>
      <w:bookmarkStart w:id="41" w:name="_Toc530140480"/>
      <w:r w:rsidRPr="006A4000">
        <w:t xml:space="preserve">1.2.1.1. </w:t>
      </w:r>
      <w:r w:rsidRPr="004C51D2">
        <w:t>Suradnja</w:t>
      </w:r>
      <w:r w:rsidRPr="006A4000">
        <w:t xml:space="preserve"> s nacionalnim institucijama u Republici Hrvatskoj</w:t>
      </w:r>
      <w:bookmarkEnd w:id="41"/>
    </w:p>
    <w:p w14:paraId="06F0969E" w14:textId="77777777" w:rsidR="00AA41EB" w:rsidRDefault="00AA41EB" w:rsidP="00AA41EB">
      <w:pPr>
        <w:spacing w:after="240" w:line="276" w:lineRule="auto"/>
        <w:jc w:val="both"/>
      </w:pPr>
      <w:r>
        <w:t>U obavljanju nacionalnih poslova na području lijekova i medicinskih proizvoda HALMED surađuje sa sljedećim institucijama u Republici Hrvatskoj:</w:t>
      </w:r>
    </w:p>
    <w:p w14:paraId="58B94F83" w14:textId="77777777" w:rsidR="00AA41EB" w:rsidRDefault="00AA41EB" w:rsidP="00AA41EB">
      <w:pPr>
        <w:pStyle w:val="ListParagraph"/>
        <w:numPr>
          <w:ilvl w:val="0"/>
          <w:numId w:val="11"/>
        </w:numPr>
        <w:spacing w:after="240"/>
        <w:rPr>
          <w:sz w:val="22"/>
          <w:szCs w:val="22"/>
        </w:rPr>
      </w:pPr>
      <w:r>
        <w:rPr>
          <w:sz w:val="22"/>
          <w:szCs w:val="22"/>
        </w:rPr>
        <w:t xml:space="preserve">Hrvatski zavod za javno zdravstvo </w:t>
      </w:r>
    </w:p>
    <w:p w14:paraId="582C3C37" w14:textId="77777777" w:rsidR="00AA41EB" w:rsidRDefault="00AA41EB" w:rsidP="00AA41EB">
      <w:pPr>
        <w:pStyle w:val="ListParagraph"/>
        <w:numPr>
          <w:ilvl w:val="0"/>
          <w:numId w:val="11"/>
        </w:numPr>
        <w:spacing w:after="240"/>
        <w:rPr>
          <w:sz w:val="22"/>
          <w:szCs w:val="22"/>
        </w:rPr>
      </w:pPr>
      <w:r>
        <w:rPr>
          <w:sz w:val="22"/>
          <w:szCs w:val="22"/>
        </w:rPr>
        <w:t xml:space="preserve">Hrvatski zavod za zdravstveno osiguranje </w:t>
      </w:r>
    </w:p>
    <w:p w14:paraId="340EEBD6" w14:textId="77777777" w:rsidR="00AA41EB" w:rsidRDefault="00AA41EB" w:rsidP="00AA41EB">
      <w:pPr>
        <w:pStyle w:val="ListParagraph"/>
        <w:numPr>
          <w:ilvl w:val="0"/>
          <w:numId w:val="11"/>
        </w:numPr>
        <w:spacing w:after="240"/>
        <w:jc w:val="both"/>
        <w:rPr>
          <w:rFonts w:eastAsia="Times New Roman" w:cstheme="minorHAnsi"/>
          <w:sz w:val="22"/>
          <w:szCs w:val="22"/>
        </w:rPr>
      </w:pPr>
      <w:r>
        <w:rPr>
          <w:rFonts w:eastAsia="Times New Roman" w:cstheme="minorHAnsi"/>
          <w:sz w:val="22"/>
          <w:szCs w:val="22"/>
        </w:rPr>
        <w:t>Ministarstvo financija – Carinska uprava</w:t>
      </w:r>
    </w:p>
    <w:p w14:paraId="3B7A5320" w14:textId="77777777" w:rsidR="00AA41EB" w:rsidRDefault="00AA41EB" w:rsidP="00AA41EB">
      <w:pPr>
        <w:pStyle w:val="ListParagraph"/>
        <w:numPr>
          <w:ilvl w:val="0"/>
          <w:numId w:val="11"/>
        </w:numPr>
        <w:spacing w:after="240"/>
        <w:jc w:val="both"/>
        <w:rPr>
          <w:rFonts w:eastAsia="Times New Roman" w:cstheme="minorHAnsi"/>
          <w:sz w:val="22"/>
          <w:szCs w:val="22"/>
        </w:rPr>
      </w:pPr>
      <w:r>
        <w:rPr>
          <w:rFonts w:eastAsia="Times New Roman" w:cstheme="minorHAnsi"/>
          <w:sz w:val="22"/>
          <w:szCs w:val="22"/>
        </w:rPr>
        <w:t>Ministarstvo unutarnjih poslova – policijske uprave</w:t>
      </w:r>
    </w:p>
    <w:p w14:paraId="5ED3B90E" w14:textId="77777777" w:rsidR="00AA41EB" w:rsidRDefault="00AA41EB" w:rsidP="00AA41EB">
      <w:pPr>
        <w:pStyle w:val="ListParagraph"/>
        <w:numPr>
          <w:ilvl w:val="0"/>
          <w:numId w:val="11"/>
        </w:numPr>
        <w:spacing w:after="240"/>
        <w:jc w:val="both"/>
        <w:rPr>
          <w:rFonts w:eastAsia="Times New Roman" w:cstheme="minorHAnsi"/>
          <w:sz w:val="22"/>
          <w:szCs w:val="22"/>
        </w:rPr>
      </w:pPr>
      <w:r>
        <w:rPr>
          <w:rFonts w:eastAsia="Times New Roman" w:cstheme="minorHAnsi"/>
          <w:sz w:val="22"/>
          <w:szCs w:val="22"/>
        </w:rPr>
        <w:t>Državno odvjetništvo Republike Hrvatske</w:t>
      </w:r>
    </w:p>
    <w:p w14:paraId="7B6F4465" w14:textId="77777777" w:rsidR="00AA41EB" w:rsidRDefault="00AA41EB" w:rsidP="00AA41EB">
      <w:pPr>
        <w:pStyle w:val="ListParagraph"/>
        <w:numPr>
          <w:ilvl w:val="0"/>
          <w:numId w:val="11"/>
        </w:numPr>
        <w:spacing w:after="240"/>
        <w:jc w:val="both"/>
        <w:rPr>
          <w:rFonts w:eastAsia="Times New Roman" w:cstheme="minorHAnsi"/>
          <w:sz w:val="22"/>
          <w:szCs w:val="22"/>
        </w:rPr>
      </w:pPr>
      <w:r>
        <w:rPr>
          <w:rFonts w:eastAsia="Times New Roman" w:cstheme="minorHAnsi"/>
          <w:sz w:val="22"/>
          <w:szCs w:val="22"/>
        </w:rPr>
        <w:t>Ministarstvo poljoprivrede</w:t>
      </w:r>
    </w:p>
    <w:p w14:paraId="769FCF9F" w14:textId="77777777" w:rsidR="00AA41EB" w:rsidRDefault="00AA41EB" w:rsidP="00AA41EB">
      <w:pPr>
        <w:pStyle w:val="ListParagraph"/>
        <w:numPr>
          <w:ilvl w:val="0"/>
          <w:numId w:val="11"/>
        </w:numPr>
        <w:spacing w:after="240"/>
        <w:jc w:val="both"/>
        <w:rPr>
          <w:rFonts w:eastAsia="Times New Roman" w:cstheme="minorHAnsi"/>
          <w:sz w:val="22"/>
          <w:szCs w:val="22"/>
        </w:rPr>
      </w:pPr>
      <w:r>
        <w:rPr>
          <w:rFonts w:eastAsia="Times New Roman" w:cstheme="minorHAnsi"/>
          <w:sz w:val="22"/>
          <w:szCs w:val="22"/>
        </w:rPr>
        <w:t xml:space="preserve">Hrvatski veterinarski institut </w:t>
      </w:r>
    </w:p>
    <w:p w14:paraId="6BED0D8E" w14:textId="77777777" w:rsidR="00AA41EB" w:rsidRDefault="00AA41EB" w:rsidP="00AA41EB">
      <w:pPr>
        <w:pStyle w:val="ListParagraph"/>
        <w:numPr>
          <w:ilvl w:val="0"/>
          <w:numId w:val="11"/>
        </w:numPr>
        <w:spacing w:after="240"/>
        <w:jc w:val="both"/>
        <w:rPr>
          <w:rFonts w:eastAsia="Times New Roman" w:cstheme="minorHAnsi"/>
          <w:sz w:val="22"/>
          <w:szCs w:val="22"/>
        </w:rPr>
      </w:pPr>
      <w:r>
        <w:rPr>
          <w:rFonts w:eastAsia="Times New Roman" w:cstheme="minorHAnsi"/>
          <w:sz w:val="22"/>
          <w:szCs w:val="22"/>
        </w:rPr>
        <w:t xml:space="preserve">Hrvatska ljekarnička komora </w:t>
      </w:r>
    </w:p>
    <w:p w14:paraId="002DF81A" w14:textId="7281F59C" w:rsidR="00AA41EB" w:rsidRDefault="00AA41EB" w:rsidP="00AA41EB">
      <w:pPr>
        <w:pStyle w:val="ListParagraph"/>
        <w:numPr>
          <w:ilvl w:val="0"/>
          <w:numId w:val="11"/>
        </w:numPr>
        <w:spacing w:after="240"/>
        <w:jc w:val="both"/>
        <w:rPr>
          <w:rFonts w:eastAsia="Times New Roman" w:cstheme="minorHAnsi"/>
          <w:sz w:val="22"/>
          <w:szCs w:val="22"/>
        </w:rPr>
      </w:pPr>
      <w:r>
        <w:rPr>
          <w:rFonts w:eastAsia="Times New Roman" w:cstheme="minorHAnsi"/>
          <w:sz w:val="22"/>
          <w:szCs w:val="22"/>
        </w:rPr>
        <w:t xml:space="preserve">Hrvatska liječnička komora </w:t>
      </w:r>
    </w:p>
    <w:p w14:paraId="7EB85D13" w14:textId="3659AA1C" w:rsidR="00C25FC5" w:rsidRDefault="00C25FC5" w:rsidP="00AA41EB">
      <w:pPr>
        <w:pStyle w:val="ListParagraph"/>
        <w:numPr>
          <w:ilvl w:val="0"/>
          <w:numId w:val="11"/>
        </w:numPr>
        <w:spacing w:after="240"/>
        <w:jc w:val="both"/>
        <w:rPr>
          <w:rFonts w:eastAsia="Times New Roman" w:cstheme="minorHAnsi"/>
          <w:sz w:val="22"/>
          <w:szCs w:val="22"/>
        </w:rPr>
      </w:pPr>
      <w:r>
        <w:rPr>
          <w:rFonts w:eastAsia="Times New Roman" w:cstheme="minorHAnsi"/>
          <w:sz w:val="22"/>
          <w:szCs w:val="22"/>
        </w:rPr>
        <w:t>Hrvatska komora medicinskih sestara</w:t>
      </w:r>
    </w:p>
    <w:p w14:paraId="7E93A621" w14:textId="77777777" w:rsidR="00AA41EB" w:rsidRDefault="00AA41EB" w:rsidP="00AA41EB">
      <w:pPr>
        <w:pStyle w:val="ListParagraph"/>
        <w:numPr>
          <w:ilvl w:val="0"/>
          <w:numId w:val="11"/>
        </w:numPr>
        <w:spacing w:after="240"/>
        <w:jc w:val="both"/>
        <w:rPr>
          <w:rFonts w:eastAsia="Times New Roman" w:cstheme="minorHAnsi"/>
          <w:sz w:val="22"/>
          <w:szCs w:val="22"/>
        </w:rPr>
      </w:pPr>
      <w:r>
        <w:rPr>
          <w:rFonts w:eastAsia="Times New Roman" w:cstheme="minorHAnsi"/>
          <w:sz w:val="22"/>
          <w:szCs w:val="22"/>
        </w:rPr>
        <w:t xml:space="preserve">Hrvatsko farmaceutsko društvo </w:t>
      </w:r>
    </w:p>
    <w:p w14:paraId="55E1304D" w14:textId="77777777" w:rsidR="00AA41EB" w:rsidRDefault="00AA41EB" w:rsidP="00AA41EB">
      <w:pPr>
        <w:pStyle w:val="ListParagraph"/>
        <w:numPr>
          <w:ilvl w:val="0"/>
          <w:numId w:val="11"/>
        </w:numPr>
        <w:spacing w:after="240"/>
        <w:jc w:val="both"/>
        <w:rPr>
          <w:rFonts w:eastAsia="Times New Roman" w:cstheme="minorHAnsi"/>
          <w:sz w:val="22"/>
          <w:szCs w:val="22"/>
        </w:rPr>
      </w:pPr>
      <w:r>
        <w:rPr>
          <w:rFonts w:eastAsia="Times New Roman" w:cstheme="minorHAnsi"/>
          <w:sz w:val="22"/>
          <w:szCs w:val="22"/>
        </w:rPr>
        <w:t xml:space="preserve">Institut za medicinska istraživanja </w:t>
      </w:r>
    </w:p>
    <w:p w14:paraId="3B06DA2F" w14:textId="77777777" w:rsidR="00AA41EB" w:rsidRDefault="00AA41EB" w:rsidP="00AA41EB">
      <w:pPr>
        <w:pStyle w:val="ListParagraph"/>
        <w:numPr>
          <w:ilvl w:val="0"/>
          <w:numId w:val="11"/>
        </w:numPr>
        <w:spacing w:after="240"/>
        <w:jc w:val="both"/>
        <w:rPr>
          <w:rFonts w:eastAsia="Times New Roman" w:cstheme="minorHAnsi"/>
          <w:sz w:val="22"/>
          <w:szCs w:val="22"/>
        </w:rPr>
      </w:pPr>
      <w:r>
        <w:rPr>
          <w:rFonts w:eastAsia="Times New Roman" w:cstheme="minorHAnsi"/>
          <w:sz w:val="22"/>
          <w:szCs w:val="22"/>
        </w:rPr>
        <w:t xml:space="preserve">Klinički bolnički centar Zagreb </w:t>
      </w:r>
    </w:p>
    <w:p w14:paraId="10ED04B5" w14:textId="68EDD7D1" w:rsidR="00AA41EB" w:rsidRDefault="00AA41EB" w:rsidP="00AA41EB">
      <w:pPr>
        <w:pStyle w:val="ListParagraph"/>
        <w:numPr>
          <w:ilvl w:val="0"/>
          <w:numId w:val="11"/>
        </w:numPr>
        <w:spacing w:after="240"/>
        <w:jc w:val="both"/>
        <w:rPr>
          <w:rFonts w:eastAsia="Times New Roman" w:cstheme="minorHAnsi"/>
        </w:rPr>
      </w:pPr>
      <w:r>
        <w:rPr>
          <w:rFonts w:eastAsia="Times New Roman" w:cstheme="minorHAnsi"/>
          <w:sz w:val="22"/>
        </w:rPr>
        <w:t>Sveučilišta (Farmaceutsko-biokemijski fakultet Sveučilišta u Zagrebu, Studij farmacije Sveučilišta u Splitu, Medicinski fakultet Sveučilišta u Zagrebu, Sveučilište u Rijeci)</w:t>
      </w:r>
    </w:p>
    <w:p w14:paraId="6FDA601A" w14:textId="5E46A761" w:rsidR="00AA41EB" w:rsidRPr="00EF2095" w:rsidRDefault="00AA41EB" w:rsidP="00AA41EB">
      <w:pPr>
        <w:pStyle w:val="Heading3"/>
      </w:pPr>
      <w:bookmarkStart w:id="42" w:name="_Toc466277877"/>
      <w:bookmarkStart w:id="43" w:name="_Toc514929936"/>
      <w:bookmarkStart w:id="44" w:name="_Toc530140481"/>
      <w:bookmarkStart w:id="45" w:name="_Toc165035434"/>
      <w:r w:rsidRPr="00EF2095">
        <w:t xml:space="preserve">1.2.2. Europski </w:t>
      </w:r>
      <w:bookmarkEnd w:id="42"/>
      <w:r w:rsidRPr="00EF2095">
        <w:t>poslovi</w:t>
      </w:r>
      <w:bookmarkEnd w:id="43"/>
      <w:bookmarkEnd w:id="44"/>
      <w:bookmarkEnd w:id="45"/>
    </w:p>
    <w:p w14:paraId="27A5C92C" w14:textId="77777777" w:rsidR="00AA41EB" w:rsidRDefault="00AA41EB" w:rsidP="00AA41EB">
      <w:pPr>
        <w:spacing w:before="120" w:after="240" w:line="276" w:lineRule="auto"/>
        <w:contextualSpacing/>
        <w:jc w:val="both"/>
        <w:rPr>
          <w:rFonts w:eastAsia="Times New Roman" w:cstheme="minorHAnsi"/>
        </w:rPr>
      </w:pPr>
      <w:r>
        <w:t>Sukladno članku 212. stavku 2. Zakona o lijekovima</w:t>
      </w:r>
      <w:r>
        <w:rPr>
          <w:rFonts w:ascii="Calibri" w:hAnsi="Calibri" w:cs="Helvetica"/>
        </w:rPr>
        <w:t xml:space="preserve"> predstavnici HALMED-a sudjeluju u radu </w:t>
      </w:r>
      <w:r>
        <w:t xml:space="preserve">slijedećih </w:t>
      </w:r>
      <w:r>
        <w:rPr>
          <w:rFonts w:ascii="Calibri" w:hAnsi="Calibri" w:cs="Helvetica"/>
        </w:rPr>
        <w:t xml:space="preserve">tijela Europske unije za područje lijekova i medicinskih proizvoda: </w:t>
      </w:r>
    </w:p>
    <w:p w14:paraId="1E235D0D" w14:textId="77777777" w:rsidR="00AA41EB" w:rsidRDefault="00AA41EB" w:rsidP="00AA41EB">
      <w:pPr>
        <w:pStyle w:val="ListParagraph"/>
        <w:numPr>
          <w:ilvl w:val="0"/>
          <w:numId w:val="11"/>
        </w:numPr>
        <w:spacing w:after="240"/>
        <w:jc w:val="both"/>
        <w:rPr>
          <w:rFonts w:eastAsia="Times New Roman" w:cstheme="minorHAnsi"/>
        </w:rPr>
      </w:pPr>
      <w:r>
        <w:rPr>
          <w:rFonts w:eastAsia="Times New Roman" w:cstheme="minorHAnsi"/>
          <w:sz w:val="22"/>
        </w:rPr>
        <w:t>Europska komisija (EK)</w:t>
      </w:r>
    </w:p>
    <w:p w14:paraId="4DB57AD0" w14:textId="77777777" w:rsidR="00AA41EB" w:rsidRDefault="00AA41EB" w:rsidP="00AA41EB">
      <w:pPr>
        <w:pStyle w:val="ListParagraph"/>
        <w:numPr>
          <w:ilvl w:val="0"/>
          <w:numId w:val="11"/>
        </w:numPr>
        <w:spacing w:after="240"/>
        <w:jc w:val="both"/>
        <w:rPr>
          <w:rFonts w:eastAsia="Times New Roman" w:cstheme="minorHAnsi"/>
        </w:rPr>
      </w:pPr>
      <w:r>
        <w:rPr>
          <w:rFonts w:eastAsia="Times New Roman" w:cstheme="minorHAnsi"/>
          <w:sz w:val="22"/>
        </w:rPr>
        <w:t>Vijeće Europske unije</w:t>
      </w:r>
    </w:p>
    <w:p w14:paraId="46355527" w14:textId="77777777" w:rsidR="00AA41EB" w:rsidRDefault="00AA41EB" w:rsidP="00AA41EB">
      <w:pPr>
        <w:pStyle w:val="ListParagraph"/>
        <w:numPr>
          <w:ilvl w:val="0"/>
          <w:numId w:val="11"/>
        </w:numPr>
        <w:spacing w:after="240"/>
        <w:jc w:val="both"/>
        <w:rPr>
          <w:rFonts w:eastAsia="Times New Roman" w:cstheme="minorHAnsi"/>
        </w:rPr>
      </w:pPr>
      <w:r>
        <w:rPr>
          <w:rFonts w:eastAsia="Times New Roman" w:cstheme="minorHAnsi"/>
          <w:sz w:val="22"/>
        </w:rPr>
        <w:t>Europska agencija za lijekove (EMA)</w:t>
      </w:r>
    </w:p>
    <w:p w14:paraId="07109FF9" w14:textId="77777777" w:rsidR="00AA41EB" w:rsidRDefault="00AA41EB" w:rsidP="00AA41EB">
      <w:pPr>
        <w:pStyle w:val="ListParagraph"/>
        <w:numPr>
          <w:ilvl w:val="0"/>
          <w:numId w:val="11"/>
        </w:numPr>
        <w:spacing w:after="240"/>
        <w:jc w:val="both"/>
        <w:rPr>
          <w:rFonts w:eastAsia="Times New Roman" w:cstheme="minorHAnsi"/>
        </w:rPr>
      </w:pPr>
      <w:r>
        <w:rPr>
          <w:rFonts w:eastAsia="Times New Roman" w:cstheme="minorHAnsi"/>
          <w:sz w:val="22"/>
        </w:rPr>
        <w:t>Europsko ravnateljstvo za kakvoću lijekova i zdravstvenu skrb (EDQM)</w:t>
      </w:r>
    </w:p>
    <w:p w14:paraId="23D5CF07" w14:textId="77777777" w:rsidR="00AA41EB" w:rsidRDefault="00AA41EB" w:rsidP="00AA41EB">
      <w:pPr>
        <w:pStyle w:val="ListParagraph"/>
        <w:numPr>
          <w:ilvl w:val="0"/>
          <w:numId w:val="11"/>
        </w:numPr>
        <w:spacing w:after="240"/>
        <w:jc w:val="both"/>
        <w:rPr>
          <w:rFonts w:eastAsia="Times New Roman" w:cstheme="minorHAnsi"/>
        </w:rPr>
      </w:pPr>
      <w:r>
        <w:rPr>
          <w:rFonts w:eastAsia="Times New Roman" w:cstheme="minorHAnsi"/>
          <w:sz w:val="22"/>
        </w:rPr>
        <w:t>Mreža nacionalnih agencija za lijekove (HMA)</w:t>
      </w:r>
    </w:p>
    <w:p w14:paraId="5C740287" w14:textId="77777777" w:rsidR="00AA41EB" w:rsidRDefault="00AA41EB" w:rsidP="00AA41EB">
      <w:pPr>
        <w:pStyle w:val="ListParagraph"/>
        <w:numPr>
          <w:ilvl w:val="0"/>
          <w:numId w:val="11"/>
        </w:numPr>
        <w:spacing w:after="240"/>
        <w:jc w:val="both"/>
        <w:rPr>
          <w:rFonts w:eastAsia="Times New Roman" w:cstheme="minorHAnsi"/>
        </w:rPr>
      </w:pPr>
      <w:r>
        <w:rPr>
          <w:rFonts w:eastAsia="Times New Roman" w:cstheme="minorHAnsi"/>
          <w:sz w:val="22"/>
        </w:rPr>
        <w:t>Mreža nacionalnih agencija za medicinske proizvode (CAMD).</w:t>
      </w:r>
    </w:p>
    <w:p w14:paraId="6991DDB7" w14:textId="77777777" w:rsidR="00AA41EB" w:rsidRPr="006A4E9D" w:rsidRDefault="00AA41EB" w:rsidP="00AA41EB">
      <w:pPr>
        <w:pStyle w:val="Heading4"/>
      </w:pPr>
      <w:bookmarkStart w:id="46" w:name="_Toc530140482"/>
      <w:r w:rsidRPr="006A4E9D">
        <w:lastRenderedPageBreak/>
        <w:t xml:space="preserve">1.2.2.1. </w:t>
      </w:r>
      <w:r w:rsidRPr="004C51D2">
        <w:t>Europska</w:t>
      </w:r>
      <w:r w:rsidRPr="006A4E9D">
        <w:t xml:space="preserve"> komisija (EK)</w:t>
      </w:r>
      <w:bookmarkEnd w:id="46"/>
    </w:p>
    <w:p w14:paraId="1BF3AC2B" w14:textId="77777777" w:rsidR="00AA41EB" w:rsidRDefault="008B34CD" w:rsidP="00AA41EB">
      <w:pPr>
        <w:spacing w:after="240" w:line="276" w:lineRule="auto"/>
        <w:jc w:val="both"/>
        <w:rPr>
          <w:rFonts w:eastAsia="Times New Roman" w:cstheme="minorHAnsi"/>
          <w:bCs/>
          <w:color w:val="000000"/>
          <w:lang w:eastAsia="hr-HR"/>
        </w:rPr>
      </w:pPr>
      <w:hyperlink r:id="rId18" w:history="1">
        <w:r w:rsidR="00AA41EB" w:rsidRPr="00136B03">
          <w:rPr>
            <w:rStyle w:val="Hyperlink"/>
            <w:rFonts w:eastAsia="Times New Roman"/>
            <w:color w:val="auto"/>
            <w:u w:val="none"/>
          </w:rPr>
          <w:t>Europska komisija (EK)</w:t>
        </w:r>
      </w:hyperlink>
      <w:r w:rsidR="00AA41EB" w:rsidRPr="00893530">
        <w:rPr>
          <w:rFonts w:eastAsia="Times New Roman" w:cstheme="minorHAnsi"/>
        </w:rPr>
        <w:t xml:space="preserve"> </w:t>
      </w:r>
      <w:r w:rsidR="00AA41EB">
        <w:rPr>
          <w:rFonts w:eastAsia="Times New Roman" w:cstheme="minorHAnsi"/>
        </w:rPr>
        <w:t xml:space="preserve">odgovorna je za izradu prijedloga i provođenje europskog zakonodavstva. </w:t>
      </w:r>
      <w:r w:rsidR="00AA41EB">
        <w:rPr>
          <w:rFonts w:eastAsia="Times New Roman" w:cstheme="minorHAnsi"/>
          <w:bCs/>
          <w:color w:val="000000"/>
          <w:lang w:eastAsia="hr-HR"/>
        </w:rPr>
        <w:t>Predstavnici HALMED-a sudjeluju u radu sljedećih odbora i radnih skupina EK-e</w:t>
      </w:r>
      <w:r w:rsidR="00AA41EB">
        <w:rPr>
          <w:rFonts w:eastAsia="Times New Roman" w:cstheme="minorHAnsi"/>
        </w:rPr>
        <w:t xml:space="preserve"> za područje lijekova i medicinskih proizvoda</w:t>
      </w:r>
      <w:r w:rsidR="00AA41EB">
        <w:rPr>
          <w:rFonts w:eastAsia="Times New Roman" w:cstheme="minorHAnsi"/>
          <w:bCs/>
          <w:color w:val="000000"/>
          <w:lang w:eastAsia="hr-HR"/>
        </w:rPr>
        <w:t>:</w:t>
      </w:r>
    </w:p>
    <w:p w14:paraId="6E20BCAB" w14:textId="612D8497" w:rsidR="00AA41EB" w:rsidRDefault="0071121B" w:rsidP="0071121B">
      <w:pPr>
        <w:pStyle w:val="Default"/>
        <w:numPr>
          <w:ilvl w:val="0"/>
          <w:numId w:val="5"/>
        </w:numPr>
        <w:spacing w:before="0" w:after="120" w:line="276" w:lineRule="auto"/>
        <w:jc w:val="both"/>
        <w:rPr>
          <w:rFonts w:asciiTheme="minorHAnsi" w:hAnsiTheme="minorHAnsi"/>
          <w:sz w:val="22"/>
          <w:szCs w:val="22"/>
        </w:rPr>
      </w:pPr>
      <w:r w:rsidRPr="0071121B">
        <w:rPr>
          <w:rFonts w:asciiTheme="minorHAnsi" w:hAnsiTheme="minorHAnsi" w:cs="Calibri"/>
          <w:b/>
          <w:color w:val="auto"/>
          <w:sz w:val="22"/>
          <w:szCs w:val="22"/>
        </w:rPr>
        <w:t xml:space="preserve">Odbor Europske komisije za lijekove za humanu primjenu </w:t>
      </w:r>
      <w:r w:rsidR="00AA41EB">
        <w:rPr>
          <w:rFonts w:asciiTheme="minorHAnsi" w:hAnsiTheme="minorHAnsi" w:cs="Calibri"/>
          <w:color w:val="auto"/>
          <w:sz w:val="22"/>
          <w:szCs w:val="22"/>
        </w:rPr>
        <w:t>(</w:t>
      </w:r>
      <w:r w:rsidR="00AA41EB">
        <w:rPr>
          <w:rFonts w:asciiTheme="minorHAnsi" w:hAnsiTheme="minorHAnsi" w:cs="Calibri"/>
          <w:i/>
          <w:color w:val="auto"/>
          <w:sz w:val="22"/>
          <w:szCs w:val="22"/>
        </w:rPr>
        <w:t>Pharmaceutical Committee</w:t>
      </w:r>
      <w:r w:rsidR="00AA41EB">
        <w:rPr>
          <w:rFonts w:asciiTheme="minorHAnsi" w:hAnsiTheme="minorHAnsi" w:cs="Calibri"/>
          <w:color w:val="auto"/>
          <w:sz w:val="22"/>
          <w:szCs w:val="22"/>
        </w:rPr>
        <w:t xml:space="preserve">) </w:t>
      </w:r>
    </w:p>
    <w:p w14:paraId="78F2DE29" w14:textId="2A448AA5" w:rsidR="00AA41EB" w:rsidRPr="006A4E9D" w:rsidRDefault="00AA41EB" w:rsidP="00AA41EB">
      <w:pPr>
        <w:pStyle w:val="Default"/>
        <w:numPr>
          <w:ilvl w:val="0"/>
          <w:numId w:val="5"/>
        </w:numPr>
        <w:spacing w:before="0" w:after="120" w:line="276" w:lineRule="auto"/>
        <w:ind w:left="426" w:hanging="426"/>
        <w:jc w:val="both"/>
        <w:rPr>
          <w:rFonts w:asciiTheme="minorHAnsi" w:hAnsiTheme="minorHAnsi"/>
          <w:i/>
          <w:sz w:val="22"/>
          <w:szCs w:val="22"/>
        </w:rPr>
      </w:pPr>
      <w:r>
        <w:rPr>
          <w:rFonts w:asciiTheme="minorHAnsi" w:hAnsiTheme="minorHAnsi" w:cs="Calibri"/>
          <w:b/>
          <w:iCs/>
          <w:color w:val="auto"/>
          <w:sz w:val="22"/>
          <w:szCs w:val="22"/>
        </w:rPr>
        <w:t xml:space="preserve">Stalni odbor za lijekove za </w:t>
      </w:r>
      <w:r w:rsidR="0071121B">
        <w:rPr>
          <w:rFonts w:asciiTheme="minorHAnsi" w:hAnsiTheme="minorHAnsi" w:cs="Calibri"/>
          <w:b/>
          <w:iCs/>
          <w:color w:val="auto"/>
          <w:sz w:val="22"/>
          <w:szCs w:val="22"/>
        </w:rPr>
        <w:t xml:space="preserve">humanu </w:t>
      </w:r>
      <w:r>
        <w:rPr>
          <w:rFonts w:asciiTheme="minorHAnsi" w:hAnsiTheme="minorHAnsi" w:cs="Calibri"/>
          <w:b/>
          <w:iCs/>
          <w:color w:val="auto"/>
          <w:sz w:val="22"/>
          <w:szCs w:val="22"/>
        </w:rPr>
        <w:t xml:space="preserve">primjenu </w:t>
      </w:r>
      <w:r w:rsidRPr="006A4E9D">
        <w:rPr>
          <w:rFonts w:asciiTheme="minorHAnsi" w:hAnsiTheme="minorHAnsi" w:cs="Calibri"/>
          <w:i/>
          <w:iCs/>
          <w:sz w:val="22"/>
          <w:szCs w:val="22"/>
        </w:rPr>
        <w:t xml:space="preserve">(Standing Committee on Medicinal Products for Human Use) </w:t>
      </w:r>
    </w:p>
    <w:p w14:paraId="1841B66B" w14:textId="77777777" w:rsidR="00D61F56" w:rsidRDefault="00AA41EB" w:rsidP="00CD7DB5">
      <w:pPr>
        <w:numPr>
          <w:ilvl w:val="0"/>
          <w:numId w:val="5"/>
        </w:numPr>
        <w:spacing w:after="120" w:line="276" w:lineRule="auto"/>
        <w:ind w:left="426" w:hanging="426"/>
        <w:jc w:val="both"/>
        <w:rPr>
          <w:rFonts w:cs="Calibri"/>
          <w:i/>
          <w:iCs/>
        </w:rPr>
      </w:pPr>
      <w:r>
        <w:rPr>
          <w:rFonts w:eastAsia="Times New Roman" w:cs="Calibri"/>
          <w:b/>
          <w:iCs/>
          <w:lang w:eastAsia="hr-HR"/>
        </w:rPr>
        <w:t>Radna skupina za upute podnositeljima zahtjeva</w:t>
      </w:r>
      <w:r>
        <w:rPr>
          <w:rFonts w:cs="Calibri"/>
          <w:b/>
          <w:color w:val="00B0F0"/>
        </w:rPr>
        <w:t xml:space="preserve"> </w:t>
      </w:r>
      <w:r w:rsidRPr="006A4E9D">
        <w:rPr>
          <w:rFonts w:cs="Calibri"/>
          <w:i/>
        </w:rPr>
        <w:t xml:space="preserve">(Notice to applicants working group) </w:t>
      </w:r>
    </w:p>
    <w:p w14:paraId="2BFFF386" w14:textId="77777777" w:rsidR="00F121A7" w:rsidRDefault="00D61F56" w:rsidP="00CD7DB5">
      <w:pPr>
        <w:numPr>
          <w:ilvl w:val="0"/>
          <w:numId w:val="5"/>
        </w:numPr>
        <w:spacing w:after="120" w:line="276" w:lineRule="auto"/>
        <w:ind w:left="426" w:hanging="426"/>
        <w:jc w:val="both"/>
        <w:rPr>
          <w:rFonts w:cs="Calibri"/>
          <w:i/>
          <w:iCs/>
        </w:rPr>
      </w:pPr>
      <w:r w:rsidRPr="00CD7DB5">
        <w:rPr>
          <w:rFonts w:cs="Calibri"/>
          <w:b/>
          <w:iCs/>
        </w:rPr>
        <w:t>Ekspertna grupa za donošenje delegiranog akta o serijalizaciji lijekova za humanu uporabu</w:t>
      </w:r>
      <w:r w:rsidRPr="00D61F56">
        <w:rPr>
          <w:rFonts w:cs="Calibri"/>
          <w:i/>
          <w:iCs/>
        </w:rPr>
        <w:t xml:space="preserve"> (ENG)</w:t>
      </w:r>
    </w:p>
    <w:p w14:paraId="152E2E8E" w14:textId="77777777" w:rsidR="00F121A7" w:rsidRDefault="00F121A7" w:rsidP="00CD7DB5">
      <w:pPr>
        <w:numPr>
          <w:ilvl w:val="0"/>
          <w:numId w:val="5"/>
        </w:numPr>
        <w:spacing w:after="120" w:line="276" w:lineRule="auto"/>
        <w:ind w:left="426" w:hanging="426"/>
        <w:jc w:val="both"/>
        <w:rPr>
          <w:rFonts w:cs="Calibri"/>
          <w:i/>
          <w:iCs/>
        </w:rPr>
      </w:pPr>
      <w:r w:rsidRPr="00CD7DB5">
        <w:rPr>
          <w:rFonts w:cs="Calibri"/>
          <w:b/>
          <w:iCs/>
        </w:rPr>
        <w:t>Radna skupina SPOC (jedinstvena kontaktna točka) za nestašice lijekova</w:t>
      </w:r>
      <w:r w:rsidRPr="00F121A7">
        <w:rPr>
          <w:rFonts w:cs="Calibri"/>
          <w:i/>
          <w:iCs/>
        </w:rPr>
        <w:t xml:space="preserve"> (Medicine Shortages (SPOC) Working Party, SPOC WP)</w:t>
      </w:r>
    </w:p>
    <w:p w14:paraId="27BCAD04" w14:textId="77777777" w:rsidR="00F121A7" w:rsidRPr="00F121A7" w:rsidRDefault="00F121A7" w:rsidP="00CD7DB5">
      <w:pPr>
        <w:numPr>
          <w:ilvl w:val="0"/>
          <w:numId w:val="5"/>
        </w:numPr>
        <w:spacing w:after="120" w:line="276" w:lineRule="auto"/>
        <w:ind w:left="426" w:hanging="426"/>
        <w:jc w:val="both"/>
        <w:rPr>
          <w:rFonts w:cs="Calibri"/>
          <w:i/>
          <w:iCs/>
        </w:rPr>
      </w:pPr>
      <w:r w:rsidRPr="00CD7DB5">
        <w:rPr>
          <w:rFonts w:cs="Calibri"/>
          <w:b/>
          <w:iCs/>
        </w:rPr>
        <w:t>Radna skupina Europske komisije za regulatorna tijela s područja cijena lijekova</w:t>
      </w:r>
      <w:r w:rsidRPr="00F121A7">
        <w:rPr>
          <w:rFonts w:cs="Calibri"/>
          <w:i/>
          <w:iCs/>
        </w:rPr>
        <w:t xml:space="preserve"> (National authorities on pricing, reimbursement and public healthcare payers (NCAPR))</w:t>
      </w:r>
    </w:p>
    <w:p w14:paraId="6426D48F" w14:textId="77777777" w:rsidR="0068665B" w:rsidRDefault="00AA41EB" w:rsidP="00BE6E42">
      <w:pPr>
        <w:numPr>
          <w:ilvl w:val="0"/>
          <w:numId w:val="5"/>
        </w:numPr>
        <w:spacing w:after="120" w:line="276" w:lineRule="auto"/>
        <w:ind w:left="426" w:hanging="426"/>
        <w:jc w:val="both"/>
        <w:rPr>
          <w:rFonts w:cs="Calibri"/>
          <w:i/>
          <w:iCs/>
        </w:rPr>
      </w:pPr>
      <w:r>
        <w:rPr>
          <w:rFonts w:eastAsia="Times New Roman" w:cs="Calibri"/>
          <w:b/>
          <w:iCs/>
          <w:lang w:eastAsia="hr-HR"/>
        </w:rPr>
        <w:t xml:space="preserve">Ekspertna skupina Europske komisije za siguran i pravovremen pristup lijekova bolesnicima </w:t>
      </w:r>
      <w:r w:rsidRPr="006A4E9D">
        <w:rPr>
          <w:rFonts w:cs="Calibri"/>
          <w:i/>
        </w:rPr>
        <w:t>(</w:t>
      </w:r>
      <w:r w:rsidRPr="006A4E9D">
        <w:rPr>
          <w:i/>
        </w:rPr>
        <w:t>Commission Expert Group on Safe and Timely Access to Medicines for Patients, STAMP)</w:t>
      </w:r>
    </w:p>
    <w:p w14:paraId="11801F5B" w14:textId="088B8ABD" w:rsidR="00CF0BB1" w:rsidRPr="00BE6E42" w:rsidRDefault="0068665B" w:rsidP="00BE6E42">
      <w:pPr>
        <w:numPr>
          <w:ilvl w:val="0"/>
          <w:numId w:val="5"/>
        </w:numPr>
        <w:spacing w:after="120" w:line="276" w:lineRule="auto"/>
        <w:ind w:left="426" w:hanging="426"/>
        <w:jc w:val="both"/>
        <w:rPr>
          <w:rFonts w:cs="Calibri"/>
          <w:b/>
          <w:i/>
          <w:iCs/>
        </w:rPr>
      </w:pPr>
      <w:r w:rsidRPr="00BE6E42">
        <w:rPr>
          <w:rFonts w:cs="Calibri"/>
          <w:b/>
          <w:iCs/>
        </w:rPr>
        <w:t>Ekspertna skupina nadležnih nacionalnih tijela za određivanje cijena i naknada (reimbursement) za lijekove (NCAPR)</w:t>
      </w:r>
    </w:p>
    <w:p w14:paraId="1CCA9E5B" w14:textId="5B345283" w:rsidR="0068665B" w:rsidRPr="00CF0BB1" w:rsidRDefault="0068665B" w:rsidP="00CF0BB1">
      <w:pPr>
        <w:numPr>
          <w:ilvl w:val="0"/>
          <w:numId w:val="5"/>
        </w:numPr>
        <w:spacing w:after="120" w:line="276" w:lineRule="auto"/>
        <w:ind w:left="426" w:hanging="426"/>
        <w:jc w:val="both"/>
        <w:rPr>
          <w:rFonts w:cs="Calibri"/>
          <w:b/>
          <w:i/>
          <w:iCs/>
        </w:rPr>
      </w:pPr>
      <w:r w:rsidRPr="00CF0BB1">
        <w:rPr>
          <w:rFonts w:cs="Calibri"/>
          <w:b/>
          <w:iCs/>
        </w:rPr>
        <w:t>Radna skupina za bioslične lijekove</w:t>
      </w:r>
    </w:p>
    <w:p w14:paraId="4A30128A" w14:textId="77777777" w:rsidR="00CF0BB1" w:rsidRPr="00CF0BB1" w:rsidRDefault="0068665B" w:rsidP="007D441C">
      <w:pPr>
        <w:numPr>
          <w:ilvl w:val="0"/>
          <w:numId w:val="5"/>
        </w:numPr>
        <w:spacing w:after="120" w:line="276" w:lineRule="auto"/>
        <w:ind w:left="426" w:hanging="426"/>
        <w:jc w:val="both"/>
        <w:rPr>
          <w:rFonts w:cs="Calibri"/>
          <w:i/>
          <w:iCs/>
        </w:rPr>
      </w:pPr>
      <w:r w:rsidRPr="00BE6E42">
        <w:rPr>
          <w:rFonts w:cs="Calibri"/>
          <w:b/>
          <w:iCs/>
        </w:rPr>
        <w:t>EURIPID kolaboracija</w:t>
      </w:r>
    </w:p>
    <w:p w14:paraId="3E7E11CD" w14:textId="57C5613C" w:rsidR="00570FC3" w:rsidRDefault="00570FC3" w:rsidP="007D441C">
      <w:pPr>
        <w:numPr>
          <w:ilvl w:val="0"/>
          <w:numId w:val="5"/>
        </w:numPr>
        <w:spacing w:after="120" w:line="276" w:lineRule="auto"/>
        <w:ind w:left="426" w:hanging="426"/>
        <w:jc w:val="both"/>
        <w:rPr>
          <w:rFonts w:cs="Calibri"/>
          <w:i/>
          <w:iCs/>
        </w:rPr>
      </w:pPr>
      <w:r w:rsidRPr="007D441C">
        <w:rPr>
          <w:rFonts w:cs="Calibri"/>
          <w:b/>
          <w:iCs/>
        </w:rPr>
        <w:t>Koordinacijska skupina za procjenu zdravstvenih tehnologija</w:t>
      </w:r>
      <w:r w:rsidRPr="00570FC3">
        <w:rPr>
          <w:rFonts w:cs="Calibri"/>
          <w:i/>
          <w:iCs/>
        </w:rPr>
        <w:t xml:space="preserve"> (Coordination Group on Health Technology Assessment, HTACG)</w:t>
      </w:r>
    </w:p>
    <w:p w14:paraId="349B7DEB" w14:textId="1C95EBA6" w:rsidR="00570FC3" w:rsidRPr="00570FC3" w:rsidRDefault="00570FC3" w:rsidP="007D441C">
      <w:pPr>
        <w:numPr>
          <w:ilvl w:val="0"/>
          <w:numId w:val="5"/>
        </w:numPr>
        <w:spacing w:after="120" w:line="276" w:lineRule="auto"/>
        <w:ind w:left="426" w:hanging="426"/>
        <w:jc w:val="both"/>
        <w:rPr>
          <w:rFonts w:cs="Calibri"/>
          <w:i/>
          <w:iCs/>
        </w:rPr>
      </w:pPr>
      <w:r w:rsidRPr="007D441C">
        <w:rPr>
          <w:rFonts w:cs="Calibri"/>
          <w:b/>
          <w:iCs/>
        </w:rPr>
        <w:t>Stručna radna skupina za medicinske protumjere</w:t>
      </w:r>
      <w:r w:rsidRPr="00570FC3">
        <w:rPr>
          <w:rFonts w:cs="Calibri"/>
          <w:i/>
          <w:iCs/>
        </w:rPr>
        <w:t xml:space="preserve"> (Health Emergency Preparedness and Response Authority, HERA MCM)</w:t>
      </w:r>
    </w:p>
    <w:p w14:paraId="184E6719" w14:textId="77777777" w:rsidR="00CF7267" w:rsidRPr="007D441C" w:rsidRDefault="00CF7267" w:rsidP="00CF7267">
      <w:pPr>
        <w:numPr>
          <w:ilvl w:val="0"/>
          <w:numId w:val="5"/>
        </w:numPr>
        <w:spacing w:after="120" w:line="276" w:lineRule="auto"/>
        <w:ind w:left="426" w:hanging="426"/>
        <w:jc w:val="both"/>
        <w:rPr>
          <w:rFonts w:ascii="Calibri" w:hAnsi="Calibri" w:cs="Calibri"/>
        </w:rPr>
      </w:pPr>
      <w:r w:rsidRPr="00BF1479">
        <w:rPr>
          <w:rFonts w:ascii="Calibri" w:hAnsi="Calibri" w:cs="Calibri"/>
          <w:b/>
        </w:rPr>
        <w:t>Mreža nacionalnih agencija za medicinske proizvode</w:t>
      </w:r>
      <w:r w:rsidRPr="00BF1479">
        <w:rPr>
          <w:rFonts w:ascii="Calibri" w:hAnsi="Calibri" w:cs="Calibri"/>
        </w:rPr>
        <w:t xml:space="preserve"> (</w:t>
      </w:r>
      <w:r w:rsidRPr="00BF1479">
        <w:rPr>
          <w:rFonts w:ascii="Calibri" w:hAnsi="Calibri" w:cs="Calibri"/>
          <w:i/>
        </w:rPr>
        <w:t>CAMD</w:t>
      </w:r>
      <w:r w:rsidRPr="00BF1479">
        <w:rPr>
          <w:rFonts w:ascii="Calibri" w:hAnsi="Calibri" w:cs="Calibri"/>
        </w:rPr>
        <w:t>)</w:t>
      </w:r>
    </w:p>
    <w:p w14:paraId="5B5CDB6F" w14:textId="6C30698E" w:rsidR="00CF7267" w:rsidRPr="007D441C" w:rsidRDefault="00CF7267" w:rsidP="00CF7267">
      <w:pPr>
        <w:numPr>
          <w:ilvl w:val="0"/>
          <w:numId w:val="5"/>
        </w:numPr>
        <w:spacing w:after="120" w:line="276" w:lineRule="auto"/>
        <w:ind w:left="426" w:hanging="426"/>
        <w:jc w:val="both"/>
        <w:rPr>
          <w:rFonts w:ascii="Calibri" w:hAnsi="Calibri" w:cs="Calibri"/>
        </w:rPr>
      </w:pPr>
      <w:r w:rsidRPr="00BF1479">
        <w:rPr>
          <w:rFonts w:ascii="Calibri" w:hAnsi="Calibri" w:cs="Calibri"/>
          <w:b/>
        </w:rPr>
        <w:t>Odbor za medicinske tehnologije</w:t>
      </w:r>
      <w:r w:rsidRPr="00BF1479">
        <w:rPr>
          <w:rFonts w:ascii="Calibri" w:hAnsi="Calibri" w:cs="Calibri"/>
        </w:rPr>
        <w:t xml:space="preserve"> (</w:t>
      </w:r>
      <w:r w:rsidRPr="00BF1479">
        <w:rPr>
          <w:rFonts w:ascii="Calibri" w:hAnsi="Calibri" w:cs="Calibri"/>
          <w:i/>
        </w:rPr>
        <w:t>Medical Devices Commitee – MDC</w:t>
      </w:r>
      <w:r w:rsidRPr="00BF1479">
        <w:rPr>
          <w:rFonts w:ascii="Calibri" w:hAnsi="Calibri" w:cs="Calibri"/>
        </w:rPr>
        <w:t>)</w:t>
      </w:r>
    </w:p>
    <w:p w14:paraId="00999E41" w14:textId="77777777" w:rsidR="00CD7DB5" w:rsidRDefault="00CD7DB5" w:rsidP="00CD7DB5">
      <w:pPr>
        <w:numPr>
          <w:ilvl w:val="0"/>
          <w:numId w:val="5"/>
        </w:numPr>
        <w:spacing w:after="120" w:line="276" w:lineRule="auto"/>
        <w:ind w:left="426" w:hanging="426"/>
        <w:jc w:val="both"/>
        <w:rPr>
          <w:rFonts w:ascii="Calibri" w:hAnsi="Calibri" w:cs="Calibri"/>
        </w:rPr>
      </w:pPr>
      <w:r w:rsidRPr="00CD7DB5">
        <w:rPr>
          <w:rFonts w:ascii="Calibri" w:hAnsi="Calibri" w:cs="Calibri"/>
          <w:b/>
        </w:rPr>
        <w:t>Koordinacijska skupina za medicinske proizvode</w:t>
      </w:r>
      <w:r w:rsidRPr="00CD7DB5">
        <w:rPr>
          <w:rFonts w:ascii="Calibri" w:hAnsi="Calibri" w:cs="Calibri"/>
        </w:rPr>
        <w:t xml:space="preserve"> (</w:t>
      </w:r>
      <w:r w:rsidRPr="00CD7DB5">
        <w:rPr>
          <w:rFonts w:ascii="Calibri" w:hAnsi="Calibri" w:cs="Calibri"/>
          <w:i/>
        </w:rPr>
        <w:t>MDCG-MDR, MDCG-IVDR</w:t>
      </w:r>
      <w:r w:rsidRPr="00CD7DB5">
        <w:rPr>
          <w:rFonts w:ascii="Calibri" w:hAnsi="Calibri" w:cs="Calibri"/>
        </w:rPr>
        <w:t>)</w:t>
      </w:r>
    </w:p>
    <w:p w14:paraId="2058CA47" w14:textId="77777777" w:rsidR="00CD7DB5" w:rsidRPr="00CD7DB5" w:rsidRDefault="00CD7DB5" w:rsidP="00CD7DB5">
      <w:pPr>
        <w:spacing w:after="120" w:line="276" w:lineRule="auto"/>
        <w:ind w:left="1287"/>
        <w:jc w:val="both"/>
        <w:rPr>
          <w:rFonts w:ascii="Calibri" w:hAnsi="Calibri" w:cs="Calibri"/>
        </w:rPr>
      </w:pPr>
      <w:r w:rsidRPr="00CD7DB5">
        <w:rPr>
          <w:rFonts w:ascii="Calibri" w:hAnsi="Calibri" w:cs="Calibri"/>
        </w:rPr>
        <w:t>Podskupine MDCG-a:</w:t>
      </w:r>
    </w:p>
    <w:p w14:paraId="0954D526" w14:textId="77777777" w:rsidR="00CD7DB5" w:rsidRDefault="00CD7DB5" w:rsidP="00CD7DB5">
      <w:pPr>
        <w:spacing w:after="120" w:line="276" w:lineRule="auto"/>
        <w:ind w:left="1287"/>
        <w:jc w:val="both"/>
        <w:rPr>
          <w:rFonts w:ascii="Calibri" w:hAnsi="Calibri" w:cs="Calibri"/>
        </w:rPr>
      </w:pPr>
      <w:r w:rsidRPr="00CD7DB5">
        <w:rPr>
          <w:rFonts w:ascii="Calibri" w:hAnsi="Calibri" w:cs="Calibri"/>
        </w:rPr>
        <w:t xml:space="preserve">A) </w:t>
      </w:r>
      <w:r w:rsidRPr="00CD7DB5">
        <w:rPr>
          <w:rFonts w:ascii="Calibri" w:hAnsi="Calibri" w:cs="Calibri"/>
          <w:b/>
        </w:rPr>
        <w:t>Skupina za međunarodnu suradnju</w:t>
      </w:r>
      <w:r w:rsidRPr="00CD7DB5">
        <w:rPr>
          <w:rFonts w:ascii="Calibri" w:hAnsi="Calibri" w:cs="Calibri"/>
        </w:rPr>
        <w:t xml:space="preserve"> (</w:t>
      </w:r>
      <w:r w:rsidRPr="00CD7DB5">
        <w:rPr>
          <w:rFonts w:ascii="Calibri" w:hAnsi="Calibri" w:cs="Calibri"/>
          <w:i/>
        </w:rPr>
        <w:t>INT</w:t>
      </w:r>
      <w:r w:rsidRPr="00CD7DB5">
        <w:rPr>
          <w:rFonts w:ascii="Calibri" w:hAnsi="Calibri" w:cs="Calibri"/>
        </w:rPr>
        <w:t>)</w:t>
      </w:r>
    </w:p>
    <w:p w14:paraId="1681B922" w14:textId="77777777" w:rsidR="00CD7DB5" w:rsidRDefault="00CD7DB5" w:rsidP="00CD7DB5">
      <w:pPr>
        <w:spacing w:after="120" w:line="276" w:lineRule="auto"/>
        <w:ind w:left="1287"/>
        <w:jc w:val="both"/>
        <w:rPr>
          <w:rFonts w:ascii="Calibri" w:hAnsi="Calibri" w:cs="Calibri"/>
        </w:rPr>
      </w:pPr>
      <w:r w:rsidRPr="00CD7DB5">
        <w:rPr>
          <w:rFonts w:ascii="Calibri" w:hAnsi="Calibri" w:cs="Calibri"/>
        </w:rPr>
        <w:t xml:space="preserve">B) </w:t>
      </w:r>
      <w:r w:rsidRPr="00CD7DB5">
        <w:rPr>
          <w:rFonts w:ascii="Calibri" w:hAnsi="Calibri" w:cs="Calibri"/>
          <w:b/>
        </w:rPr>
        <w:t>Radna skupina za in vitro dijagnostičke medicinske proizvode</w:t>
      </w:r>
      <w:r w:rsidRPr="00CD7DB5">
        <w:rPr>
          <w:rFonts w:ascii="Calibri" w:hAnsi="Calibri" w:cs="Calibri"/>
        </w:rPr>
        <w:t xml:space="preserve"> (</w:t>
      </w:r>
      <w:r w:rsidRPr="00CD7DB5">
        <w:rPr>
          <w:rFonts w:ascii="Calibri" w:hAnsi="Calibri" w:cs="Calibri"/>
          <w:i/>
        </w:rPr>
        <w:t>IVD</w:t>
      </w:r>
      <w:r w:rsidRPr="00CD7DB5">
        <w:rPr>
          <w:rFonts w:ascii="Calibri" w:hAnsi="Calibri" w:cs="Calibri"/>
        </w:rPr>
        <w:t>)</w:t>
      </w:r>
    </w:p>
    <w:p w14:paraId="09A81087" w14:textId="77777777" w:rsidR="00CD7DB5" w:rsidRDefault="00CD7DB5" w:rsidP="00CD7DB5">
      <w:pPr>
        <w:spacing w:after="120" w:line="276" w:lineRule="auto"/>
        <w:ind w:left="1287"/>
        <w:jc w:val="both"/>
        <w:rPr>
          <w:rFonts w:ascii="Calibri" w:hAnsi="Calibri" w:cs="Calibri"/>
        </w:rPr>
      </w:pPr>
      <w:r w:rsidRPr="00CD7DB5">
        <w:rPr>
          <w:rFonts w:ascii="Calibri" w:hAnsi="Calibri" w:cs="Calibri"/>
        </w:rPr>
        <w:t xml:space="preserve">C) </w:t>
      </w:r>
      <w:r w:rsidRPr="00CD7DB5">
        <w:rPr>
          <w:rFonts w:ascii="Calibri" w:hAnsi="Calibri" w:cs="Calibri"/>
          <w:b/>
        </w:rPr>
        <w:t>Radna skupina za posttržišno praćenje medicinskih proizvoda i područje vigilancije</w:t>
      </w:r>
      <w:r w:rsidRPr="00CD7DB5">
        <w:rPr>
          <w:rFonts w:ascii="Calibri" w:hAnsi="Calibri" w:cs="Calibri"/>
        </w:rPr>
        <w:t xml:space="preserve"> (</w:t>
      </w:r>
      <w:r w:rsidRPr="00CD7DB5">
        <w:rPr>
          <w:rFonts w:ascii="Calibri" w:hAnsi="Calibri" w:cs="Calibri"/>
          <w:i/>
        </w:rPr>
        <w:t>PMSV</w:t>
      </w:r>
      <w:r w:rsidRPr="00CD7DB5">
        <w:rPr>
          <w:rFonts w:ascii="Calibri" w:hAnsi="Calibri" w:cs="Calibri"/>
        </w:rPr>
        <w:t>)</w:t>
      </w:r>
    </w:p>
    <w:p w14:paraId="0F8ECB99" w14:textId="77777777" w:rsidR="00CD7DB5" w:rsidRDefault="00CD7DB5" w:rsidP="00CD7DB5">
      <w:pPr>
        <w:spacing w:after="120" w:line="276" w:lineRule="auto"/>
        <w:ind w:left="1287"/>
        <w:jc w:val="both"/>
        <w:rPr>
          <w:rFonts w:ascii="Calibri" w:hAnsi="Calibri" w:cs="Calibri"/>
        </w:rPr>
      </w:pPr>
      <w:r w:rsidRPr="00CD7DB5">
        <w:rPr>
          <w:rFonts w:ascii="Calibri" w:hAnsi="Calibri" w:cs="Calibri"/>
        </w:rPr>
        <w:t xml:space="preserve">D) </w:t>
      </w:r>
      <w:r w:rsidRPr="00CD7DB5">
        <w:rPr>
          <w:rFonts w:ascii="Calibri" w:hAnsi="Calibri" w:cs="Calibri"/>
          <w:b/>
        </w:rPr>
        <w:t>Radna skupina za nove tehnologije</w:t>
      </w:r>
      <w:r w:rsidRPr="00CD7DB5">
        <w:rPr>
          <w:rFonts w:ascii="Calibri" w:hAnsi="Calibri" w:cs="Calibri"/>
        </w:rPr>
        <w:t xml:space="preserve"> (</w:t>
      </w:r>
      <w:r w:rsidRPr="00CD7DB5">
        <w:rPr>
          <w:rFonts w:ascii="Calibri" w:hAnsi="Calibri" w:cs="Calibri"/>
          <w:i/>
        </w:rPr>
        <w:t>New Technologies</w:t>
      </w:r>
      <w:r w:rsidRPr="00CD7DB5">
        <w:rPr>
          <w:rFonts w:ascii="Calibri" w:hAnsi="Calibri" w:cs="Calibri"/>
        </w:rPr>
        <w:t>)</w:t>
      </w:r>
    </w:p>
    <w:p w14:paraId="74255F6B" w14:textId="77777777" w:rsidR="00CD7DB5" w:rsidRDefault="00CD7DB5" w:rsidP="00CD7DB5">
      <w:pPr>
        <w:spacing w:after="120" w:line="276" w:lineRule="auto"/>
        <w:ind w:left="1287"/>
        <w:jc w:val="both"/>
        <w:rPr>
          <w:rFonts w:ascii="Calibri" w:hAnsi="Calibri" w:cs="Calibri"/>
        </w:rPr>
      </w:pPr>
      <w:r w:rsidRPr="00CD7DB5">
        <w:rPr>
          <w:rFonts w:ascii="Calibri" w:hAnsi="Calibri" w:cs="Calibri"/>
        </w:rPr>
        <w:t xml:space="preserve">E) </w:t>
      </w:r>
      <w:r w:rsidRPr="00CD7DB5">
        <w:rPr>
          <w:rFonts w:ascii="Calibri" w:hAnsi="Calibri" w:cs="Calibri"/>
          <w:b/>
        </w:rPr>
        <w:t xml:space="preserve">Radna skupina za granične proizvode i razvrstavanje medicinskih proizvoda </w:t>
      </w:r>
      <w:r w:rsidRPr="00CD7DB5">
        <w:rPr>
          <w:rFonts w:ascii="Calibri" w:hAnsi="Calibri" w:cs="Calibri"/>
        </w:rPr>
        <w:t>(</w:t>
      </w:r>
      <w:r w:rsidRPr="00CD7DB5">
        <w:rPr>
          <w:rFonts w:ascii="Calibri" w:hAnsi="Calibri" w:cs="Calibri"/>
          <w:i/>
        </w:rPr>
        <w:t>Borderline &amp; Classification group</w:t>
      </w:r>
      <w:r w:rsidRPr="00CD7DB5">
        <w:rPr>
          <w:rFonts w:ascii="Calibri" w:hAnsi="Calibri" w:cs="Calibri"/>
        </w:rPr>
        <w:t>)</w:t>
      </w:r>
    </w:p>
    <w:p w14:paraId="58CA8238" w14:textId="77777777" w:rsidR="00CD7DB5" w:rsidRDefault="00CD7DB5" w:rsidP="00CD7DB5">
      <w:pPr>
        <w:spacing w:after="120" w:line="276" w:lineRule="auto"/>
        <w:ind w:left="1287"/>
        <w:jc w:val="both"/>
        <w:rPr>
          <w:rFonts w:ascii="Calibri" w:hAnsi="Calibri" w:cs="Calibri"/>
        </w:rPr>
      </w:pPr>
      <w:r w:rsidRPr="00CD7DB5">
        <w:rPr>
          <w:rFonts w:ascii="Calibri" w:hAnsi="Calibri" w:cs="Calibri"/>
        </w:rPr>
        <w:lastRenderedPageBreak/>
        <w:t xml:space="preserve">F) </w:t>
      </w:r>
      <w:r w:rsidRPr="00CD7DB5">
        <w:rPr>
          <w:rFonts w:ascii="Calibri" w:hAnsi="Calibri" w:cs="Calibri"/>
          <w:b/>
        </w:rPr>
        <w:t>Radna skupina za jedinstvene oznake medicinskih proizvoda</w:t>
      </w:r>
      <w:r w:rsidRPr="00CD7DB5">
        <w:rPr>
          <w:rFonts w:ascii="Calibri" w:hAnsi="Calibri" w:cs="Calibri"/>
        </w:rPr>
        <w:t xml:space="preserve"> (</w:t>
      </w:r>
      <w:r w:rsidRPr="00CD7DB5">
        <w:rPr>
          <w:rFonts w:ascii="Calibri" w:hAnsi="Calibri" w:cs="Calibri"/>
          <w:i/>
        </w:rPr>
        <w:t>UDI</w:t>
      </w:r>
      <w:r w:rsidRPr="00CD7DB5">
        <w:rPr>
          <w:rFonts w:ascii="Calibri" w:hAnsi="Calibri" w:cs="Calibri"/>
        </w:rPr>
        <w:t>)</w:t>
      </w:r>
    </w:p>
    <w:p w14:paraId="6BF2879E" w14:textId="77777777" w:rsidR="00CD7DB5" w:rsidRDefault="00CD7DB5" w:rsidP="00CD7DB5">
      <w:pPr>
        <w:spacing w:after="120" w:line="276" w:lineRule="auto"/>
        <w:ind w:left="1287"/>
        <w:jc w:val="both"/>
        <w:rPr>
          <w:rFonts w:ascii="Calibri" w:hAnsi="Calibri" w:cs="Calibri"/>
        </w:rPr>
      </w:pPr>
      <w:r w:rsidRPr="00CD7DB5">
        <w:rPr>
          <w:rFonts w:ascii="Calibri" w:hAnsi="Calibri" w:cs="Calibri"/>
        </w:rPr>
        <w:t xml:space="preserve">G) </w:t>
      </w:r>
      <w:r w:rsidRPr="00CD7DB5">
        <w:rPr>
          <w:rFonts w:ascii="Calibri" w:hAnsi="Calibri" w:cs="Calibri"/>
          <w:b/>
        </w:rPr>
        <w:t>Radna skupina za nomenklaturu medicinskih proizvoda</w:t>
      </w:r>
      <w:r w:rsidRPr="00CD7DB5">
        <w:rPr>
          <w:rFonts w:ascii="Calibri" w:hAnsi="Calibri" w:cs="Calibri"/>
        </w:rPr>
        <w:t xml:space="preserve"> (</w:t>
      </w:r>
      <w:r w:rsidRPr="00CD7DB5">
        <w:rPr>
          <w:rFonts w:ascii="Calibri" w:hAnsi="Calibri" w:cs="Calibri"/>
          <w:i/>
        </w:rPr>
        <w:t>Nomenclature</w:t>
      </w:r>
      <w:r w:rsidRPr="00CD7DB5">
        <w:rPr>
          <w:rFonts w:ascii="Calibri" w:hAnsi="Calibri" w:cs="Calibri"/>
        </w:rPr>
        <w:t>)</w:t>
      </w:r>
    </w:p>
    <w:p w14:paraId="52499A1B" w14:textId="77777777" w:rsidR="00CD7DB5" w:rsidRDefault="00CD7DB5" w:rsidP="00CD7DB5">
      <w:pPr>
        <w:spacing w:after="120" w:line="276" w:lineRule="auto"/>
        <w:ind w:left="1287"/>
        <w:jc w:val="both"/>
        <w:rPr>
          <w:rFonts w:ascii="Calibri" w:hAnsi="Calibri" w:cs="Calibri"/>
        </w:rPr>
      </w:pPr>
      <w:r w:rsidRPr="00CD7DB5">
        <w:rPr>
          <w:rFonts w:ascii="Calibri" w:hAnsi="Calibri" w:cs="Calibri"/>
        </w:rPr>
        <w:t xml:space="preserve">H) </w:t>
      </w:r>
      <w:r w:rsidRPr="00CD7DB5">
        <w:rPr>
          <w:rFonts w:ascii="Calibri" w:hAnsi="Calibri" w:cs="Calibri"/>
          <w:b/>
        </w:rPr>
        <w:t>Radna skupina za standarde</w:t>
      </w:r>
      <w:r w:rsidRPr="00CD7DB5">
        <w:rPr>
          <w:rFonts w:ascii="Calibri" w:hAnsi="Calibri" w:cs="Calibri"/>
        </w:rPr>
        <w:t xml:space="preserve"> (</w:t>
      </w:r>
      <w:r w:rsidRPr="00CD7DB5">
        <w:rPr>
          <w:rFonts w:ascii="Calibri" w:hAnsi="Calibri" w:cs="Calibri"/>
          <w:i/>
        </w:rPr>
        <w:t>Standards</w:t>
      </w:r>
      <w:r w:rsidRPr="00CD7DB5">
        <w:rPr>
          <w:rFonts w:ascii="Calibri" w:hAnsi="Calibri" w:cs="Calibri"/>
        </w:rPr>
        <w:t>)</w:t>
      </w:r>
    </w:p>
    <w:p w14:paraId="6CA9D240" w14:textId="77777777" w:rsidR="00CD7DB5" w:rsidRDefault="00CD7DB5" w:rsidP="00CD7DB5">
      <w:pPr>
        <w:spacing w:after="120" w:line="276" w:lineRule="auto"/>
        <w:ind w:left="1287"/>
        <w:jc w:val="both"/>
        <w:rPr>
          <w:rFonts w:ascii="Calibri" w:hAnsi="Calibri" w:cs="Calibri"/>
        </w:rPr>
      </w:pPr>
      <w:r w:rsidRPr="00CD7DB5">
        <w:rPr>
          <w:rFonts w:ascii="Calibri" w:hAnsi="Calibri" w:cs="Calibri"/>
        </w:rPr>
        <w:t xml:space="preserve">I) </w:t>
      </w:r>
      <w:r w:rsidRPr="00CD7DB5">
        <w:rPr>
          <w:rFonts w:ascii="Calibri" w:hAnsi="Calibri" w:cs="Calibri"/>
          <w:b/>
        </w:rPr>
        <w:t>Radna skupina za proizvode iz Priloga XVI Uredbe (EU) 2017/745</w:t>
      </w:r>
      <w:r w:rsidRPr="00CD7DB5">
        <w:rPr>
          <w:rFonts w:ascii="Calibri" w:hAnsi="Calibri" w:cs="Calibri"/>
        </w:rPr>
        <w:t xml:space="preserve"> (</w:t>
      </w:r>
      <w:r w:rsidRPr="00CD7DB5">
        <w:rPr>
          <w:rFonts w:ascii="Calibri" w:hAnsi="Calibri" w:cs="Calibri"/>
          <w:i/>
        </w:rPr>
        <w:t>Annex XVI</w:t>
      </w:r>
      <w:r w:rsidRPr="00CD7DB5">
        <w:rPr>
          <w:rFonts w:ascii="Calibri" w:hAnsi="Calibri" w:cs="Calibri"/>
        </w:rPr>
        <w:t>)</w:t>
      </w:r>
    </w:p>
    <w:p w14:paraId="49F3D64A" w14:textId="77777777" w:rsidR="00CD7DB5" w:rsidRPr="00CD7DB5" w:rsidRDefault="00CD7DB5" w:rsidP="00CD7DB5">
      <w:pPr>
        <w:spacing w:after="120" w:line="276" w:lineRule="auto"/>
        <w:ind w:left="579" w:firstLine="708"/>
        <w:jc w:val="both"/>
        <w:rPr>
          <w:rFonts w:ascii="Calibri" w:hAnsi="Calibri" w:cs="Calibri"/>
        </w:rPr>
      </w:pPr>
      <w:r w:rsidRPr="00CD7DB5">
        <w:rPr>
          <w:rFonts w:ascii="Calibri" w:hAnsi="Calibri" w:cs="Calibri"/>
        </w:rPr>
        <w:t xml:space="preserve">J) </w:t>
      </w:r>
      <w:r w:rsidRPr="00CD7DB5">
        <w:rPr>
          <w:rFonts w:ascii="Calibri" w:hAnsi="Calibri" w:cs="Calibri"/>
          <w:b/>
        </w:rPr>
        <w:t>Radna skupina za Eudamed</w:t>
      </w:r>
      <w:r w:rsidRPr="00CD7DB5">
        <w:rPr>
          <w:rFonts w:ascii="Calibri" w:hAnsi="Calibri" w:cs="Calibri"/>
        </w:rPr>
        <w:t xml:space="preserve"> (</w:t>
      </w:r>
      <w:r w:rsidRPr="00CD7DB5">
        <w:rPr>
          <w:rFonts w:ascii="Calibri" w:hAnsi="Calibri" w:cs="Calibri"/>
          <w:i/>
        </w:rPr>
        <w:t>Eudamed</w:t>
      </w:r>
      <w:r w:rsidRPr="00CD7DB5">
        <w:rPr>
          <w:rFonts w:ascii="Calibri" w:hAnsi="Calibri" w:cs="Calibri"/>
        </w:rPr>
        <w:t>)</w:t>
      </w:r>
    </w:p>
    <w:p w14:paraId="2A70A43C" w14:textId="77777777" w:rsidR="00AA41EB" w:rsidRDefault="00AA41EB" w:rsidP="00AA41EB">
      <w:pPr>
        <w:spacing w:after="120" w:line="276" w:lineRule="auto"/>
        <w:jc w:val="both"/>
        <w:rPr>
          <w:rFonts w:ascii="Calibri" w:hAnsi="Calibri" w:cs="Calibri"/>
        </w:rPr>
      </w:pPr>
      <w:r>
        <w:rPr>
          <w:rFonts w:ascii="Calibri" w:hAnsi="Calibri" w:cs="Calibri"/>
        </w:rPr>
        <w:t>Nastavno na rad u spomenutim skupinama EK-a, HALMED sudjeluje u nekoliko konzultacijskih i radnih postupaka na razini nacionalnih nadležnih tijela pojedinih država članica EU-a koje koordinira EK:</w:t>
      </w:r>
    </w:p>
    <w:p w14:paraId="3E5952FC" w14:textId="77777777" w:rsidR="00AA41EB" w:rsidRPr="00BF1479" w:rsidRDefault="00AA41EB" w:rsidP="00AA41EB">
      <w:pPr>
        <w:numPr>
          <w:ilvl w:val="0"/>
          <w:numId w:val="6"/>
        </w:numPr>
        <w:spacing w:after="120" w:line="276" w:lineRule="auto"/>
        <w:ind w:left="426" w:hanging="426"/>
        <w:jc w:val="both"/>
        <w:rPr>
          <w:rFonts w:cs="Calibri"/>
        </w:rPr>
      </w:pPr>
      <w:r w:rsidRPr="00BF1479">
        <w:rPr>
          <w:rFonts w:cs="Calibri"/>
          <w:b/>
          <w:i/>
          <w:iCs/>
        </w:rPr>
        <w:t>Vigilance enquiry to medical device competent authorities</w:t>
      </w:r>
      <w:r w:rsidRPr="00BF1479">
        <w:rPr>
          <w:rFonts w:cs="Calibri"/>
          <w:color w:val="00B0F0"/>
        </w:rPr>
        <w:t xml:space="preserve"> </w:t>
      </w:r>
      <w:r w:rsidRPr="00BF1479">
        <w:rPr>
          <w:rFonts w:cs="Calibri"/>
        </w:rPr>
        <w:t>– razmjena informacija, iskustva i pitanja na području vigilancije</w:t>
      </w:r>
    </w:p>
    <w:p w14:paraId="13A050D4" w14:textId="77777777" w:rsidR="00AA41EB" w:rsidRPr="00BF1479" w:rsidRDefault="00AA41EB" w:rsidP="00AA41EB">
      <w:pPr>
        <w:numPr>
          <w:ilvl w:val="0"/>
          <w:numId w:val="6"/>
        </w:numPr>
        <w:spacing w:after="120" w:line="276" w:lineRule="auto"/>
        <w:ind w:left="426" w:hanging="426"/>
        <w:jc w:val="both"/>
        <w:rPr>
          <w:rFonts w:cs="Calibri"/>
        </w:rPr>
      </w:pPr>
      <w:r w:rsidRPr="00BF1479">
        <w:rPr>
          <w:rFonts w:cs="Calibri"/>
          <w:b/>
          <w:i/>
          <w:iCs/>
        </w:rPr>
        <w:t>Borderline (Helsinki) procedure</w:t>
      </w:r>
      <w:r w:rsidRPr="00BF1479">
        <w:rPr>
          <w:rFonts w:cs="Calibri"/>
          <w:color w:val="00B0F0"/>
        </w:rPr>
        <w:t xml:space="preserve"> </w:t>
      </w:r>
      <w:r w:rsidRPr="00BF1479">
        <w:rPr>
          <w:rFonts w:cs="Calibri"/>
        </w:rPr>
        <w:t>– razmjena informacija i iskustava na području razvrstavanja medicinskih proizvoda</w:t>
      </w:r>
    </w:p>
    <w:p w14:paraId="08499B14" w14:textId="77777777" w:rsidR="00AA41EB" w:rsidRPr="00BF1479" w:rsidRDefault="00AA41EB" w:rsidP="00AA41EB">
      <w:pPr>
        <w:numPr>
          <w:ilvl w:val="0"/>
          <w:numId w:val="6"/>
        </w:numPr>
        <w:spacing w:after="120" w:line="276" w:lineRule="auto"/>
        <w:ind w:left="426" w:hanging="426"/>
        <w:jc w:val="both"/>
        <w:rPr>
          <w:rFonts w:cs="Calibri"/>
        </w:rPr>
      </w:pPr>
      <w:r w:rsidRPr="00BF1479">
        <w:rPr>
          <w:rFonts w:cs="Calibri"/>
          <w:b/>
          <w:i/>
          <w:iCs/>
        </w:rPr>
        <w:t>Consultation according to the Regulation (EU) No 722/2012)</w:t>
      </w:r>
      <w:r w:rsidRPr="00BF1479">
        <w:rPr>
          <w:rFonts w:cs="Calibri"/>
        </w:rPr>
        <w:t>– konzultacijska procedura u postupcima ocjenjivanja sukladnosti medicinskih proizvoda koji su izrađeni od ili sadrže životinjska tkiva</w:t>
      </w:r>
    </w:p>
    <w:p w14:paraId="0ACEFB60" w14:textId="77777777" w:rsidR="00AA41EB" w:rsidRPr="00BF1479" w:rsidRDefault="00AA41EB" w:rsidP="00AA41EB">
      <w:pPr>
        <w:numPr>
          <w:ilvl w:val="0"/>
          <w:numId w:val="6"/>
        </w:numPr>
        <w:spacing w:after="120" w:line="276" w:lineRule="auto"/>
        <w:ind w:left="426" w:hanging="426"/>
        <w:jc w:val="both"/>
        <w:rPr>
          <w:rFonts w:cs="Calibri"/>
        </w:rPr>
      </w:pPr>
      <w:r w:rsidRPr="00BF1479">
        <w:rPr>
          <w:rFonts w:cs="Calibri"/>
          <w:b/>
          <w:i/>
          <w:iCs/>
        </w:rPr>
        <w:t>NCAR exchange</w:t>
      </w:r>
      <w:r w:rsidRPr="00BF1479">
        <w:rPr>
          <w:rFonts w:cs="Calibri"/>
          <w:color w:val="00B0F0"/>
        </w:rPr>
        <w:t xml:space="preserve"> </w:t>
      </w:r>
      <w:r w:rsidRPr="00BF1479">
        <w:rPr>
          <w:rFonts w:cs="Calibri"/>
        </w:rPr>
        <w:t>– razmjena informacija o sigurnosno korektivnim radnjama povezanim s medicinskim proizvodima.</w:t>
      </w:r>
    </w:p>
    <w:p w14:paraId="418E52B0" w14:textId="77777777" w:rsidR="00AA41EB" w:rsidRPr="006A4E9D" w:rsidRDefault="00AA41EB" w:rsidP="00AA41EB">
      <w:pPr>
        <w:pStyle w:val="Heading4"/>
      </w:pPr>
      <w:bookmarkStart w:id="47" w:name="_Toc530140483"/>
      <w:r w:rsidRPr="006A4E9D">
        <w:t xml:space="preserve">1.2.2.2. </w:t>
      </w:r>
      <w:r w:rsidRPr="004C51D2">
        <w:t>Vijeće</w:t>
      </w:r>
      <w:r w:rsidRPr="006A4E9D">
        <w:t xml:space="preserve"> Europske unije</w:t>
      </w:r>
      <w:bookmarkEnd w:id="47"/>
    </w:p>
    <w:p w14:paraId="0C07085A" w14:textId="3222768C" w:rsidR="00AA41EB" w:rsidRDefault="008B34CD" w:rsidP="00AA41EB">
      <w:pPr>
        <w:spacing w:line="276" w:lineRule="auto"/>
        <w:jc w:val="both"/>
        <w:rPr>
          <w:rFonts w:ascii="Calibri" w:hAnsi="Calibri" w:cs="Calibri"/>
        </w:rPr>
      </w:pPr>
      <w:hyperlink r:id="rId19" w:history="1">
        <w:r w:rsidR="00AA41EB" w:rsidRPr="00136B03">
          <w:rPr>
            <w:rStyle w:val="Hyperlink"/>
            <w:rFonts w:eastAsia="Times New Roman"/>
            <w:color w:val="auto"/>
            <w:u w:val="none"/>
          </w:rPr>
          <w:t>Vijeće</w:t>
        </w:r>
      </w:hyperlink>
      <w:r w:rsidR="00AA41EB" w:rsidRPr="00136B03">
        <w:rPr>
          <w:rStyle w:val="Hyperlink"/>
          <w:rFonts w:eastAsia="Times New Roman"/>
          <w:color w:val="auto"/>
          <w:u w:val="none"/>
        </w:rPr>
        <w:t xml:space="preserve"> Europske unije donosi zakonodavstvo EU i koordinira politike EU-a. Predstavnici</w:t>
      </w:r>
      <w:r w:rsidR="00AA41EB" w:rsidRPr="00A00D82">
        <w:rPr>
          <w:rStyle w:val="Hyperlink"/>
          <w:rFonts w:eastAsia="Times New Roman"/>
          <w:color w:val="auto"/>
        </w:rPr>
        <w:t xml:space="preserve"> </w:t>
      </w:r>
      <w:r w:rsidR="00AA41EB">
        <w:rPr>
          <w:rFonts w:ascii="Calibri" w:hAnsi="Calibri" w:cs="Calibri"/>
        </w:rPr>
        <w:t xml:space="preserve">HALMED-a u suradnji sa Stalnim predstavništvom Republike Hrvatske pri Europskoj uniji te Ministarstvom zdravstva sudjeluju u donošenju europskog zakonodavstva na području lijekova i medicinskih proizvoda kroz rad u odborima i radnim skupinama. </w:t>
      </w:r>
    </w:p>
    <w:p w14:paraId="6F2A9C4B" w14:textId="2DD64F55" w:rsidR="0071121B" w:rsidRPr="00BE6E42" w:rsidRDefault="0071121B" w:rsidP="00AC375F">
      <w:pPr>
        <w:pStyle w:val="ListParagraph"/>
        <w:numPr>
          <w:ilvl w:val="0"/>
          <w:numId w:val="41"/>
        </w:numPr>
        <w:jc w:val="both"/>
        <w:rPr>
          <w:rFonts w:ascii="Calibri" w:hAnsi="Calibri" w:cs="Calibri"/>
          <w:b/>
        </w:rPr>
      </w:pPr>
      <w:r w:rsidRPr="00BE6E42">
        <w:rPr>
          <w:rFonts w:ascii="Calibri" w:hAnsi="Calibri" w:cs="Calibri"/>
          <w:b/>
          <w:sz w:val="22"/>
          <w:szCs w:val="22"/>
        </w:rPr>
        <w:t>Radna skupina Vijeća EU za lijekove i medicinske proizvode (Pharmaceuticals and Medical Devices Group)</w:t>
      </w:r>
    </w:p>
    <w:p w14:paraId="04D81314" w14:textId="77777777" w:rsidR="00AA41EB" w:rsidRPr="006A4E9D" w:rsidRDefault="00AA41EB" w:rsidP="00AA41EB">
      <w:pPr>
        <w:pStyle w:val="Heading4"/>
      </w:pPr>
      <w:bookmarkStart w:id="48" w:name="_Toc530140484"/>
      <w:r w:rsidRPr="006A4E9D">
        <w:t xml:space="preserve">1.2.2.3. </w:t>
      </w:r>
      <w:r w:rsidRPr="004C51D2">
        <w:t>Europska</w:t>
      </w:r>
      <w:r w:rsidRPr="006A4E9D">
        <w:t xml:space="preserve"> agencija za lijekove (EMA)</w:t>
      </w:r>
      <w:bookmarkEnd w:id="48"/>
    </w:p>
    <w:p w14:paraId="7060AA73" w14:textId="77777777" w:rsidR="00AA41EB" w:rsidRDefault="008B34CD" w:rsidP="00AA41EB">
      <w:pPr>
        <w:spacing w:after="240" w:line="276" w:lineRule="auto"/>
        <w:jc w:val="both"/>
        <w:rPr>
          <w:rFonts w:eastAsia="Times New Roman" w:cstheme="minorHAnsi"/>
        </w:rPr>
      </w:pPr>
      <w:hyperlink r:id="rId20" w:history="1">
        <w:r w:rsidR="00AA41EB" w:rsidRPr="00136B03">
          <w:rPr>
            <w:rStyle w:val="Hyperlink"/>
            <w:rFonts w:eastAsia="Times New Roman"/>
            <w:color w:val="auto"/>
            <w:u w:val="none"/>
          </w:rPr>
          <w:t>Europska agencija za lijekove (EMA)</w:t>
        </w:r>
      </w:hyperlink>
      <w:r w:rsidR="00AA41EB" w:rsidRPr="004D523A">
        <w:rPr>
          <w:rFonts w:eastAsia="Times New Roman" w:cstheme="minorHAnsi"/>
        </w:rPr>
        <w:t xml:space="preserve"> j</w:t>
      </w:r>
      <w:r w:rsidR="00AA41EB">
        <w:rPr>
          <w:rFonts w:eastAsia="Times New Roman" w:cstheme="minorHAnsi"/>
        </w:rPr>
        <w:t xml:space="preserve">amči znanstvenu evaluaciju, nadzor i praćenje sigurnosti humanih i veterinarskih lijekova u EU i EGP-u. Glavna zadaća EMA-e je zaprimanje i evaluacija zahtjeva za davanje odobrenje za stavljanje lijeka u promet centraliziranim postupkom, a koje izdaje Europska komisija. </w:t>
      </w:r>
    </w:p>
    <w:p w14:paraId="4777E2DB" w14:textId="77777777" w:rsidR="00AA41EB" w:rsidRDefault="00AA41EB" w:rsidP="00AA41EB">
      <w:pPr>
        <w:spacing w:after="240" w:line="276" w:lineRule="auto"/>
        <w:jc w:val="both"/>
        <w:rPr>
          <w:rFonts w:eastAsia="Times New Roman" w:cstheme="minorHAnsi"/>
        </w:rPr>
      </w:pPr>
      <w:r>
        <w:rPr>
          <w:rFonts w:eastAsia="Times New Roman" w:cstheme="minorHAnsi"/>
        </w:rPr>
        <w:t xml:space="preserve">Predstavnici HALMED-a sudjeluju u radu upravnog i znanstvenih odbora, </w:t>
      </w:r>
      <w:r>
        <w:rPr>
          <w:rFonts w:eastAsia="Times New Roman" w:cstheme="minorHAnsi"/>
          <w:bCs/>
          <w:color w:val="000000"/>
          <w:lang w:eastAsia="hr-HR"/>
        </w:rPr>
        <w:t>povjerenstava i radnih skupina</w:t>
      </w:r>
      <w:r>
        <w:rPr>
          <w:rFonts w:eastAsia="Times New Roman" w:cstheme="minorHAnsi"/>
        </w:rPr>
        <w:t xml:space="preserve"> EMA-e vezanih uz odobravanje i sigurnost primjene humanih lijekova na europskome tržištu:</w:t>
      </w:r>
    </w:p>
    <w:p w14:paraId="5D46C6BF" w14:textId="77777777" w:rsidR="00AA41EB" w:rsidRPr="006A4E9D" w:rsidRDefault="00AA41EB" w:rsidP="00AA41EB">
      <w:pPr>
        <w:numPr>
          <w:ilvl w:val="0"/>
          <w:numId w:val="12"/>
        </w:numPr>
        <w:spacing w:after="120" w:line="276" w:lineRule="auto"/>
        <w:ind w:left="426" w:hanging="426"/>
        <w:jc w:val="both"/>
        <w:rPr>
          <w:rFonts w:ascii="Calibri" w:hAnsi="Calibri" w:cs="Calibri"/>
          <w:i/>
        </w:rPr>
      </w:pPr>
      <w:r>
        <w:rPr>
          <w:rFonts w:ascii="Calibri" w:hAnsi="Calibri" w:cs="Calibri"/>
          <w:b/>
        </w:rPr>
        <w:t xml:space="preserve">EMA upravni odbor </w:t>
      </w:r>
      <w:r w:rsidRPr="006A4E9D">
        <w:rPr>
          <w:rFonts w:ascii="Calibri" w:hAnsi="Calibri" w:cs="Calibri"/>
          <w:i/>
        </w:rPr>
        <w:t>(</w:t>
      </w:r>
      <w:r w:rsidRPr="006A4E9D">
        <w:rPr>
          <w:rFonts w:ascii="Calibri" w:hAnsi="Calibri" w:cs="Calibri"/>
          <w:i/>
          <w:iCs/>
        </w:rPr>
        <w:t>EMA Management Board</w:t>
      </w:r>
      <w:r w:rsidRPr="006A4E9D">
        <w:rPr>
          <w:rFonts w:ascii="Calibri" w:hAnsi="Calibri" w:cs="Calibri"/>
          <w:i/>
        </w:rPr>
        <w:t xml:space="preserve">) </w:t>
      </w:r>
    </w:p>
    <w:p w14:paraId="7F436965" w14:textId="039237C3" w:rsidR="0069420F" w:rsidRPr="0071121B" w:rsidRDefault="00AA41EB" w:rsidP="00AA41EB">
      <w:pPr>
        <w:numPr>
          <w:ilvl w:val="0"/>
          <w:numId w:val="12"/>
        </w:numPr>
        <w:spacing w:after="120" w:line="276" w:lineRule="auto"/>
        <w:ind w:left="426" w:hanging="426"/>
        <w:jc w:val="both"/>
        <w:rPr>
          <w:rFonts w:ascii="Calibri" w:hAnsi="Calibri" w:cs="Calibri"/>
          <w:i/>
        </w:rPr>
      </w:pPr>
      <w:r>
        <w:rPr>
          <w:rFonts w:ascii="Calibri" w:hAnsi="Calibri" w:cs="Calibri"/>
          <w:b/>
        </w:rPr>
        <w:t>Povjerenstvo za humane lijekove</w:t>
      </w:r>
      <w:r>
        <w:rPr>
          <w:rFonts w:ascii="Calibri" w:hAnsi="Calibri" w:cs="Calibri"/>
        </w:rPr>
        <w:t xml:space="preserve"> </w:t>
      </w:r>
      <w:r w:rsidRPr="006A4E9D">
        <w:rPr>
          <w:rFonts w:ascii="Calibri" w:hAnsi="Calibri" w:cs="Calibri"/>
          <w:i/>
        </w:rPr>
        <w:t>(</w:t>
      </w:r>
      <w:r w:rsidRPr="006A4E9D">
        <w:rPr>
          <w:rFonts w:ascii="Calibri" w:hAnsi="Calibri" w:cs="Calibri"/>
          <w:i/>
          <w:iCs/>
        </w:rPr>
        <w:t>Committee for Medicinal Products for Human Use, CHMP)</w:t>
      </w:r>
    </w:p>
    <w:p w14:paraId="2B9C4D78" w14:textId="77777777" w:rsidR="0071121B" w:rsidRPr="00BE6E42" w:rsidRDefault="0071121B" w:rsidP="00BE6E42">
      <w:pPr>
        <w:spacing w:after="120" w:line="276" w:lineRule="auto"/>
        <w:ind w:left="426"/>
        <w:jc w:val="both"/>
        <w:rPr>
          <w:rFonts w:ascii="Calibri" w:hAnsi="Calibri" w:cs="Calibri"/>
          <w:i/>
        </w:rPr>
      </w:pPr>
      <w:r w:rsidRPr="0071121B">
        <w:rPr>
          <w:rFonts w:ascii="Calibri" w:hAnsi="Calibri" w:cs="Calibri"/>
          <w:i/>
        </w:rPr>
        <w:t>Radne skupine CHMP-a</w:t>
      </w:r>
      <w:r w:rsidRPr="0071121B">
        <w:rPr>
          <w:rFonts w:ascii="Calibri" w:hAnsi="Calibri" w:cs="Calibri"/>
          <w:b/>
        </w:rPr>
        <w:t xml:space="preserve"> </w:t>
      </w:r>
    </w:p>
    <w:p w14:paraId="1F357BF7" w14:textId="255C0AAA" w:rsidR="0071121B" w:rsidRPr="00BE6E42" w:rsidRDefault="0071121B" w:rsidP="00AC375F">
      <w:pPr>
        <w:pStyle w:val="ListParagraph"/>
        <w:numPr>
          <w:ilvl w:val="0"/>
          <w:numId w:val="42"/>
        </w:numPr>
        <w:spacing w:after="120"/>
        <w:ind w:left="1068"/>
        <w:jc w:val="both"/>
        <w:rPr>
          <w:rFonts w:ascii="Calibri" w:hAnsi="Calibri" w:cs="Calibri"/>
          <w:i/>
          <w:sz w:val="22"/>
          <w:szCs w:val="22"/>
        </w:rPr>
      </w:pPr>
      <w:r w:rsidRPr="00BE6E42">
        <w:rPr>
          <w:rFonts w:ascii="Calibri" w:hAnsi="Calibri" w:cs="Calibri"/>
          <w:b/>
          <w:sz w:val="22"/>
          <w:szCs w:val="22"/>
        </w:rPr>
        <w:t>Radna skupina za znanstveni savjet</w:t>
      </w:r>
      <w:r w:rsidRPr="00BE6E42">
        <w:rPr>
          <w:rFonts w:ascii="Calibri" w:hAnsi="Calibri" w:cs="Calibri"/>
          <w:sz w:val="22"/>
          <w:szCs w:val="22"/>
        </w:rPr>
        <w:t xml:space="preserve"> </w:t>
      </w:r>
      <w:r w:rsidRPr="00BE6E42">
        <w:rPr>
          <w:rFonts w:ascii="Calibri" w:hAnsi="Calibri" w:cs="Calibri"/>
          <w:i/>
          <w:sz w:val="22"/>
          <w:szCs w:val="22"/>
        </w:rPr>
        <w:t>(Scientific Advice Working Party, SAWP)</w:t>
      </w:r>
    </w:p>
    <w:p w14:paraId="55D22D7C" w14:textId="77777777" w:rsidR="00C13757" w:rsidRDefault="0071121B" w:rsidP="00AC375F">
      <w:pPr>
        <w:pStyle w:val="ListParagraph"/>
        <w:numPr>
          <w:ilvl w:val="0"/>
          <w:numId w:val="42"/>
        </w:numPr>
        <w:spacing w:after="120"/>
        <w:ind w:left="1068"/>
        <w:jc w:val="both"/>
        <w:rPr>
          <w:rFonts w:ascii="Calibri" w:hAnsi="Calibri" w:cs="Calibri"/>
          <w:i/>
          <w:sz w:val="22"/>
          <w:szCs w:val="22"/>
        </w:rPr>
      </w:pPr>
      <w:r w:rsidRPr="00BE6E42">
        <w:rPr>
          <w:rFonts w:ascii="Calibri" w:hAnsi="Calibri" w:cs="Calibri"/>
          <w:b/>
          <w:sz w:val="22"/>
          <w:szCs w:val="22"/>
        </w:rPr>
        <w:t>Radna skupina za biološke lijekove</w:t>
      </w:r>
      <w:r w:rsidRPr="00BE6E42">
        <w:rPr>
          <w:rFonts w:ascii="Calibri" w:hAnsi="Calibri" w:cs="Calibri"/>
          <w:sz w:val="22"/>
          <w:szCs w:val="22"/>
        </w:rPr>
        <w:t xml:space="preserve"> (</w:t>
      </w:r>
      <w:r w:rsidRPr="00BE6E42">
        <w:rPr>
          <w:rFonts w:ascii="Calibri" w:hAnsi="Calibri" w:cs="Calibri"/>
          <w:i/>
          <w:iCs/>
          <w:sz w:val="22"/>
          <w:szCs w:val="22"/>
        </w:rPr>
        <w:t>Biologics Working Party</w:t>
      </w:r>
      <w:r w:rsidRPr="00BE6E42">
        <w:rPr>
          <w:rFonts w:ascii="Calibri" w:hAnsi="Calibri" w:cs="Calibri"/>
          <w:iCs/>
          <w:sz w:val="22"/>
          <w:szCs w:val="22"/>
        </w:rPr>
        <w:t xml:space="preserve">, </w:t>
      </w:r>
      <w:r w:rsidRPr="00BE6E42">
        <w:rPr>
          <w:rFonts w:ascii="Calibri" w:hAnsi="Calibri" w:cs="Calibri"/>
          <w:i/>
          <w:iCs/>
          <w:sz w:val="22"/>
          <w:szCs w:val="22"/>
        </w:rPr>
        <w:t>BWP</w:t>
      </w:r>
      <w:r w:rsidRPr="00BE6E42">
        <w:rPr>
          <w:rFonts w:ascii="Calibri" w:hAnsi="Calibri" w:cs="Calibri"/>
          <w:i/>
          <w:sz w:val="22"/>
          <w:szCs w:val="22"/>
        </w:rPr>
        <w:t>)</w:t>
      </w:r>
    </w:p>
    <w:p w14:paraId="5B897E81" w14:textId="2A216492" w:rsidR="0071121B" w:rsidRPr="00BE6E42" w:rsidRDefault="00C13757" w:rsidP="00AC375F">
      <w:pPr>
        <w:pStyle w:val="ListParagraph"/>
        <w:numPr>
          <w:ilvl w:val="0"/>
          <w:numId w:val="42"/>
        </w:numPr>
        <w:spacing w:after="120"/>
        <w:ind w:left="1068"/>
        <w:jc w:val="both"/>
        <w:rPr>
          <w:rFonts w:ascii="Calibri" w:hAnsi="Calibri" w:cs="Calibri"/>
          <w:i/>
          <w:sz w:val="22"/>
          <w:szCs w:val="22"/>
        </w:rPr>
      </w:pPr>
      <w:r>
        <w:rPr>
          <w:rFonts w:ascii="Calibri" w:hAnsi="Calibri" w:cs="Calibri"/>
          <w:b/>
          <w:sz w:val="22"/>
          <w:szCs w:val="22"/>
        </w:rPr>
        <w:lastRenderedPageBreak/>
        <w:t xml:space="preserve"> </w:t>
      </w:r>
      <w:r w:rsidR="0071121B" w:rsidRPr="00BE6E42">
        <w:rPr>
          <w:rFonts w:ascii="Calibri" w:hAnsi="Calibri" w:cs="Calibri"/>
          <w:b/>
          <w:sz w:val="22"/>
          <w:szCs w:val="22"/>
        </w:rPr>
        <w:t xml:space="preserve">Radna skupina za kakvoću lijekova </w:t>
      </w:r>
      <w:r w:rsidR="0071121B" w:rsidRPr="00BE6E42">
        <w:rPr>
          <w:rFonts w:ascii="Calibri" w:hAnsi="Calibri" w:cs="Calibri"/>
          <w:i/>
          <w:sz w:val="22"/>
          <w:szCs w:val="22"/>
        </w:rPr>
        <w:t>(Quality Working Party, QWP)</w:t>
      </w:r>
    </w:p>
    <w:p w14:paraId="17C73AA1" w14:textId="231FC6EF" w:rsidR="0071121B" w:rsidRPr="00C13757" w:rsidRDefault="00967589" w:rsidP="00BE6E42">
      <w:pPr>
        <w:spacing w:after="120"/>
        <w:ind w:left="426"/>
        <w:jc w:val="both"/>
        <w:rPr>
          <w:rFonts w:ascii="Calibri" w:hAnsi="Calibri" w:cs="Calibri"/>
          <w:i/>
        </w:rPr>
      </w:pPr>
      <w:r>
        <w:rPr>
          <w:rFonts w:ascii="Calibri" w:hAnsi="Calibri" w:cs="Calibri"/>
          <w:b/>
        </w:rPr>
        <w:t>D</w:t>
      </w:r>
      <w:r w:rsidR="00C13757">
        <w:rPr>
          <w:rFonts w:ascii="Calibri" w:hAnsi="Calibri" w:cs="Calibri"/>
          <w:b/>
        </w:rPr>
        <w:t xml:space="preserve">) </w:t>
      </w:r>
      <w:r w:rsidR="0071121B" w:rsidRPr="00C13757">
        <w:rPr>
          <w:rFonts w:ascii="Calibri" w:hAnsi="Calibri" w:cs="Calibri"/>
          <w:b/>
        </w:rPr>
        <w:t xml:space="preserve">Radna </w:t>
      </w:r>
      <w:r w:rsidR="0071361C">
        <w:rPr>
          <w:rFonts w:ascii="Calibri" w:hAnsi="Calibri" w:cs="Calibri"/>
          <w:b/>
        </w:rPr>
        <w:t>skupina</w:t>
      </w:r>
      <w:r w:rsidR="0071361C" w:rsidRPr="00C13757">
        <w:rPr>
          <w:rFonts w:ascii="Calibri" w:hAnsi="Calibri" w:cs="Calibri"/>
          <w:b/>
        </w:rPr>
        <w:t xml:space="preserve"> </w:t>
      </w:r>
      <w:r w:rsidR="0071121B" w:rsidRPr="00C13757">
        <w:rPr>
          <w:rFonts w:ascii="Calibri" w:hAnsi="Calibri" w:cs="Calibri"/>
          <w:b/>
        </w:rPr>
        <w:t>za lingvističku provjeru dokumenata</w:t>
      </w:r>
      <w:r w:rsidR="0071121B" w:rsidRPr="00C13757">
        <w:rPr>
          <w:rFonts w:ascii="Calibri" w:hAnsi="Calibri" w:cs="Calibri"/>
          <w:i/>
        </w:rPr>
        <w:t xml:space="preserve"> (Working Group on Quality Review of Documents, QRD)</w:t>
      </w:r>
    </w:p>
    <w:p w14:paraId="4A39F2DE" w14:textId="151F8303" w:rsidR="0071121B" w:rsidRPr="00BE6E42" w:rsidRDefault="00967589" w:rsidP="00BE6E42">
      <w:pPr>
        <w:spacing w:after="120"/>
        <w:jc w:val="both"/>
        <w:rPr>
          <w:rFonts w:ascii="Calibri" w:hAnsi="Calibri" w:cs="Calibri"/>
          <w:i/>
        </w:rPr>
      </w:pPr>
      <w:r>
        <w:rPr>
          <w:rFonts w:ascii="Calibri" w:hAnsi="Calibri" w:cs="Calibri"/>
          <w:b/>
        </w:rPr>
        <w:t>E</w:t>
      </w:r>
      <w:r w:rsidR="00C13757">
        <w:rPr>
          <w:rFonts w:ascii="Calibri" w:hAnsi="Calibri" w:cs="Calibri"/>
          <w:b/>
        </w:rPr>
        <w:t>)</w:t>
      </w:r>
      <w:r w:rsidR="00761E0C">
        <w:rPr>
          <w:rFonts w:ascii="Calibri" w:hAnsi="Calibri" w:cs="Calibri"/>
          <w:b/>
        </w:rPr>
        <w:t xml:space="preserve"> </w:t>
      </w:r>
      <w:r w:rsidR="0071121B" w:rsidRPr="00BE6E42">
        <w:rPr>
          <w:rFonts w:ascii="Calibri" w:hAnsi="Calibri" w:cs="Calibri"/>
          <w:b/>
        </w:rPr>
        <w:t xml:space="preserve">Radna </w:t>
      </w:r>
      <w:r w:rsidR="0071361C">
        <w:rPr>
          <w:rFonts w:ascii="Calibri" w:hAnsi="Calibri" w:cs="Calibri"/>
          <w:b/>
        </w:rPr>
        <w:t>skupina</w:t>
      </w:r>
      <w:r w:rsidR="0071361C" w:rsidRPr="00BE6E42">
        <w:rPr>
          <w:rFonts w:ascii="Calibri" w:hAnsi="Calibri" w:cs="Calibri"/>
          <w:b/>
        </w:rPr>
        <w:t xml:space="preserve">a </w:t>
      </w:r>
      <w:r w:rsidR="0071121B" w:rsidRPr="00BE6E42">
        <w:rPr>
          <w:rFonts w:ascii="Calibri" w:hAnsi="Calibri" w:cs="Calibri"/>
          <w:b/>
        </w:rPr>
        <w:t>za pregled prihvatljivosti predloženog naziva lijeka</w:t>
      </w:r>
      <w:r w:rsidR="0071121B" w:rsidRPr="00BE6E42">
        <w:rPr>
          <w:rFonts w:ascii="Calibri" w:hAnsi="Calibri" w:cs="Calibri"/>
          <w:i/>
        </w:rPr>
        <w:t xml:space="preserve"> (Invented Name Review Group, NRG)</w:t>
      </w:r>
    </w:p>
    <w:p w14:paraId="279F174A" w14:textId="138E730C" w:rsidR="0071121B" w:rsidRPr="00BE6E42" w:rsidRDefault="00967589" w:rsidP="00BE6E42">
      <w:pPr>
        <w:spacing w:after="120"/>
        <w:jc w:val="both"/>
        <w:rPr>
          <w:rFonts w:ascii="Calibri" w:hAnsi="Calibri" w:cs="Calibri"/>
          <w:i/>
        </w:rPr>
      </w:pPr>
      <w:r>
        <w:rPr>
          <w:rFonts w:ascii="Calibri" w:hAnsi="Calibri" w:cs="Calibri"/>
          <w:b/>
        </w:rPr>
        <w:t>F</w:t>
      </w:r>
      <w:r w:rsidR="00C13757">
        <w:rPr>
          <w:rFonts w:ascii="Calibri" w:hAnsi="Calibri" w:cs="Calibri"/>
          <w:b/>
        </w:rPr>
        <w:t xml:space="preserve">) </w:t>
      </w:r>
      <w:r w:rsidR="0071121B" w:rsidRPr="00BE6E42">
        <w:rPr>
          <w:rFonts w:ascii="Calibri" w:hAnsi="Calibri" w:cs="Calibri"/>
          <w:b/>
        </w:rPr>
        <w:t>Radna skupina za metodologiju (Methodology Working Party, MWP)</w:t>
      </w:r>
    </w:p>
    <w:p w14:paraId="58EEB396" w14:textId="518E83F7" w:rsidR="0071121B" w:rsidRPr="00C13757" w:rsidRDefault="0071121B" w:rsidP="00C13757">
      <w:pPr>
        <w:pStyle w:val="ListParagraph"/>
        <w:numPr>
          <w:ilvl w:val="2"/>
          <w:numId w:val="12"/>
        </w:numPr>
        <w:spacing w:after="120"/>
        <w:jc w:val="both"/>
        <w:rPr>
          <w:rFonts w:ascii="Calibri" w:hAnsi="Calibri" w:cs="Calibri"/>
          <w:i/>
          <w:sz w:val="22"/>
          <w:szCs w:val="22"/>
        </w:rPr>
      </w:pPr>
      <w:r w:rsidRPr="00C13757">
        <w:rPr>
          <w:rFonts w:ascii="Calibri" w:hAnsi="Calibri" w:cs="Calibri"/>
          <w:b/>
          <w:sz w:val="22"/>
          <w:szCs w:val="22"/>
        </w:rPr>
        <w:t xml:space="preserve">Radna skupina za modele i simulacije </w:t>
      </w:r>
      <w:r w:rsidRPr="003176FD">
        <w:rPr>
          <w:rFonts w:ascii="Calibri" w:hAnsi="Calibri" w:cs="Calibri"/>
          <w:sz w:val="22"/>
          <w:szCs w:val="22"/>
        </w:rPr>
        <w:t>(Modelling and Simulation Operational Expert Group, MSOEG, ex. Modelling and Simulation Working Party, MSWP)</w:t>
      </w:r>
      <w:r w:rsidRPr="00C13757">
        <w:rPr>
          <w:rFonts w:ascii="Calibri" w:hAnsi="Calibri" w:cs="Calibri"/>
          <w:b/>
          <w:sz w:val="22"/>
          <w:szCs w:val="22"/>
        </w:rPr>
        <w:t xml:space="preserve"> </w:t>
      </w:r>
    </w:p>
    <w:p w14:paraId="546E146B" w14:textId="1023298D" w:rsidR="0071121B" w:rsidRPr="00761E0C" w:rsidRDefault="0071121B" w:rsidP="00C13757">
      <w:pPr>
        <w:pStyle w:val="ListParagraph"/>
        <w:numPr>
          <w:ilvl w:val="2"/>
          <w:numId w:val="12"/>
        </w:numPr>
        <w:spacing w:after="120"/>
        <w:jc w:val="both"/>
        <w:rPr>
          <w:rFonts w:ascii="Calibri" w:hAnsi="Calibri" w:cs="Calibri"/>
          <w:i/>
          <w:sz w:val="22"/>
          <w:szCs w:val="22"/>
        </w:rPr>
      </w:pPr>
      <w:r w:rsidRPr="00C13757">
        <w:rPr>
          <w:rFonts w:ascii="Calibri" w:hAnsi="Calibri" w:cs="Calibri"/>
          <w:b/>
          <w:sz w:val="22"/>
          <w:szCs w:val="22"/>
        </w:rPr>
        <w:t xml:space="preserve">Radna skupina za biostatistiku </w:t>
      </w:r>
      <w:r w:rsidRPr="003176FD">
        <w:rPr>
          <w:rFonts w:ascii="Calibri" w:hAnsi="Calibri" w:cs="Calibri"/>
          <w:sz w:val="22"/>
          <w:szCs w:val="22"/>
        </w:rPr>
        <w:t xml:space="preserve">(Biostatistics Operational Expert Group, BSOEG, ex. Biostatistics Working Party, BSWP) </w:t>
      </w:r>
    </w:p>
    <w:p w14:paraId="69CD9129" w14:textId="77777777" w:rsidR="00761E0C" w:rsidRPr="003176FD" w:rsidRDefault="0071121B" w:rsidP="00AA41EB">
      <w:pPr>
        <w:numPr>
          <w:ilvl w:val="0"/>
          <w:numId w:val="12"/>
        </w:numPr>
        <w:spacing w:after="120" w:line="276" w:lineRule="auto"/>
        <w:ind w:left="426" w:hanging="426"/>
        <w:jc w:val="both"/>
        <w:rPr>
          <w:rFonts w:ascii="Calibri" w:hAnsi="Calibri" w:cs="Calibri"/>
          <w:i/>
        </w:rPr>
      </w:pPr>
      <w:r w:rsidRPr="00C13757">
        <w:rPr>
          <w:rFonts w:ascii="Calibri" w:hAnsi="Calibri" w:cs="Calibri"/>
          <w:b/>
        </w:rPr>
        <w:t xml:space="preserve">Grupa za izradu smjernica o genericima </w:t>
      </w:r>
      <w:r w:rsidRPr="003176FD">
        <w:rPr>
          <w:rFonts w:ascii="Calibri" w:hAnsi="Calibri" w:cs="Calibri"/>
        </w:rPr>
        <w:t>(Generics drafting group)</w:t>
      </w:r>
    </w:p>
    <w:p w14:paraId="19E7A2E4" w14:textId="3A58554F" w:rsidR="00761E0C" w:rsidRPr="00761E0C" w:rsidRDefault="0071121B" w:rsidP="00AA41EB">
      <w:pPr>
        <w:numPr>
          <w:ilvl w:val="0"/>
          <w:numId w:val="12"/>
        </w:numPr>
        <w:spacing w:after="120" w:line="276" w:lineRule="auto"/>
        <w:ind w:left="426" w:hanging="426"/>
        <w:jc w:val="both"/>
        <w:rPr>
          <w:rFonts w:ascii="Calibri" w:hAnsi="Calibri" w:cs="Calibri"/>
          <w:i/>
        </w:rPr>
      </w:pPr>
      <w:r w:rsidRPr="00C13757">
        <w:rPr>
          <w:rFonts w:ascii="Calibri" w:hAnsi="Calibri" w:cs="Calibri"/>
          <w:b/>
        </w:rPr>
        <w:t>Inspektorska radna skupina za dobru kliničku praksu</w:t>
      </w:r>
      <w:r w:rsidRPr="00C13757">
        <w:rPr>
          <w:rFonts w:ascii="Calibri" w:hAnsi="Calibri" w:cs="Calibri"/>
        </w:rPr>
        <w:t xml:space="preserve"> </w:t>
      </w:r>
      <w:r w:rsidRPr="00C13757">
        <w:rPr>
          <w:rFonts w:ascii="Calibri" w:hAnsi="Calibri" w:cs="Calibri"/>
          <w:i/>
        </w:rPr>
        <w:t xml:space="preserve">(Good Clinical Practice Inspectors Working Group) </w:t>
      </w:r>
    </w:p>
    <w:p w14:paraId="16B55B68" w14:textId="77B5F0E6" w:rsidR="0071121B" w:rsidRPr="00C13757" w:rsidRDefault="0069420F" w:rsidP="00AA41EB">
      <w:pPr>
        <w:numPr>
          <w:ilvl w:val="0"/>
          <w:numId w:val="12"/>
        </w:numPr>
        <w:spacing w:after="120" w:line="276" w:lineRule="auto"/>
        <w:ind w:left="426" w:hanging="426"/>
        <w:jc w:val="both"/>
        <w:rPr>
          <w:rFonts w:ascii="Calibri" w:hAnsi="Calibri" w:cs="Calibri"/>
          <w:i/>
        </w:rPr>
      </w:pPr>
      <w:r w:rsidRPr="0069420F">
        <w:rPr>
          <w:rFonts w:ascii="Calibri" w:hAnsi="Calibri" w:cs="Calibri"/>
          <w:b/>
        </w:rPr>
        <w:t>Povjerenstvo za ocjenu rizika na području farmakovigilancije (</w:t>
      </w:r>
      <w:r w:rsidRPr="00CD7DB5">
        <w:rPr>
          <w:rFonts w:ascii="Calibri" w:hAnsi="Calibri" w:cs="Calibri"/>
          <w:i/>
        </w:rPr>
        <w:t>The Pharmacovigilance Risk Assessment Committee, PRAC</w:t>
      </w:r>
      <w:r w:rsidRPr="0069420F">
        <w:rPr>
          <w:rFonts w:ascii="Calibri" w:hAnsi="Calibri" w:cs="Calibri"/>
          <w:b/>
        </w:rPr>
        <w:t xml:space="preserve">) </w:t>
      </w:r>
    </w:p>
    <w:p w14:paraId="582F49FE" w14:textId="020551E6" w:rsidR="00AA41EB" w:rsidRPr="006A4E9D" w:rsidRDefault="00AA41EB" w:rsidP="00AA41EB">
      <w:pPr>
        <w:numPr>
          <w:ilvl w:val="0"/>
          <w:numId w:val="12"/>
        </w:numPr>
        <w:spacing w:after="120" w:line="276" w:lineRule="auto"/>
        <w:ind w:left="426" w:hanging="426"/>
        <w:jc w:val="both"/>
        <w:rPr>
          <w:rFonts w:ascii="Calibri" w:hAnsi="Calibri" w:cs="Calibri"/>
          <w:i/>
        </w:rPr>
      </w:pPr>
      <w:r>
        <w:rPr>
          <w:rFonts w:ascii="Calibri" w:hAnsi="Calibri" w:cs="Calibri"/>
          <w:b/>
        </w:rPr>
        <w:t>Povjerenstvo za napredn</w:t>
      </w:r>
      <w:r w:rsidR="0071121B">
        <w:rPr>
          <w:rFonts w:ascii="Calibri" w:hAnsi="Calibri" w:cs="Calibri"/>
          <w:b/>
        </w:rPr>
        <w:t>u</w:t>
      </w:r>
      <w:r>
        <w:rPr>
          <w:rFonts w:ascii="Calibri" w:hAnsi="Calibri" w:cs="Calibri"/>
          <w:b/>
        </w:rPr>
        <w:t xml:space="preserve"> terapij</w:t>
      </w:r>
      <w:r w:rsidR="0071121B">
        <w:rPr>
          <w:rFonts w:ascii="Calibri" w:hAnsi="Calibri" w:cs="Calibri"/>
          <w:b/>
        </w:rPr>
        <w:t>u</w:t>
      </w:r>
      <w:r>
        <w:rPr>
          <w:rFonts w:ascii="Calibri" w:hAnsi="Calibri" w:cs="Calibri"/>
        </w:rPr>
        <w:t xml:space="preserve"> </w:t>
      </w:r>
      <w:r w:rsidRPr="006A4E9D">
        <w:rPr>
          <w:rFonts w:ascii="Calibri" w:hAnsi="Calibri" w:cs="Calibri"/>
          <w:i/>
        </w:rPr>
        <w:t>(</w:t>
      </w:r>
      <w:r w:rsidRPr="006A4E9D">
        <w:rPr>
          <w:rFonts w:ascii="Calibri" w:hAnsi="Calibri" w:cs="Calibri"/>
          <w:i/>
          <w:iCs/>
        </w:rPr>
        <w:t>Committee for Advanced Therapies, CAT</w:t>
      </w:r>
      <w:r w:rsidRPr="006A4E9D">
        <w:rPr>
          <w:rFonts w:ascii="Calibri" w:hAnsi="Calibri" w:cs="Calibri"/>
          <w:i/>
        </w:rPr>
        <w:t>)</w:t>
      </w:r>
    </w:p>
    <w:p w14:paraId="29366A52" w14:textId="451397DA" w:rsidR="00AA41EB" w:rsidRPr="006A4E9D" w:rsidRDefault="00AA41EB" w:rsidP="00AA41EB">
      <w:pPr>
        <w:numPr>
          <w:ilvl w:val="0"/>
          <w:numId w:val="12"/>
        </w:numPr>
        <w:spacing w:after="120" w:line="276" w:lineRule="auto"/>
        <w:ind w:left="426" w:hanging="426"/>
        <w:jc w:val="both"/>
        <w:rPr>
          <w:rFonts w:ascii="Calibri" w:hAnsi="Calibri" w:cs="Calibri"/>
          <w:i/>
        </w:rPr>
      </w:pPr>
      <w:r>
        <w:rPr>
          <w:rFonts w:ascii="Calibri" w:hAnsi="Calibri" w:cs="Calibri"/>
          <w:b/>
        </w:rPr>
        <w:t>Povjerenstvo za lijekove za rijetk</w:t>
      </w:r>
      <w:r w:rsidR="0071121B">
        <w:rPr>
          <w:rFonts w:ascii="Calibri" w:hAnsi="Calibri" w:cs="Calibri"/>
          <w:b/>
        </w:rPr>
        <w:t>e</w:t>
      </w:r>
      <w:r>
        <w:rPr>
          <w:rFonts w:ascii="Calibri" w:hAnsi="Calibri" w:cs="Calibri"/>
          <w:b/>
        </w:rPr>
        <w:t xml:space="preserve"> bolesti</w:t>
      </w:r>
      <w:r>
        <w:rPr>
          <w:rFonts w:ascii="Calibri" w:hAnsi="Calibri" w:cs="Calibri"/>
        </w:rPr>
        <w:t xml:space="preserve"> </w:t>
      </w:r>
      <w:r w:rsidRPr="006A4E9D">
        <w:rPr>
          <w:rFonts w:ascii="Calibri" w:hAnsi="Calibri" w:cs="Calibri"/>
          <w:i/>
        </w:rPr>
        <w:t>(</w:t>
      </w:r>
      <w:r w:rsidRPr="006A4E9D">
        <w:rPr>
          <w:rFonts w:ascii="Calibri" w:hAnsi="Calibri" w:cs="Calibri"/>
          <w:i/>
          <w:iCs/>
        </w:rPr>
        <w:t>Committee for Orphan Medicinal Products, COMP</w:t>
      </w:r>
      <w:r w:rsidRPr="006A4E9D">
        <w:rPr>
          <w:rFonts w:ascii="Calibri" w:hAnsi="Calibri" w:cs="Calibri"/>
          <w:i/>
        </w:rPr>
        <w:t>)</w:t>
      </w:r>
    </w:p>
    <w:p w14:paraId="2799857C" w14:textId="77777777" w:rsidR="00AA41EB" w:rsidRPr="006A4E9D" w:rsidRDefault="00AA41EB" w:rsidP="00AA41EB">
      <w:pPr>
        <w:numPr>
          <w:ilvl w:val="0"/>
          <w:numId w:val="12"/>
        </w:numPr>
        <w:spacing w:after="120" w:line="276" w:lineRule="auto"/>
        <w:ind w:left="426" w:hanging="426"/>
        <w:jc w:val="both"/>
        <w:rPr>
          <w:rFonts w:ascii="Calibri" w:hAnsi="Calibri" w:cs="Calibri"/>
          <w:i/>
        </w:rPr>
      </w:pPr>
      <w:r>
        <w:rPr>
          <w:rFonts w:ascii="Calibri" w:hAnsi="Calibri" w:cs="Calibri"/>
          <w:b/>
        </w:rPr>
        <w:t xml:space="preserve">Povjerenstvo za pedijatriju </w:t>
      </w:r>
      <w:r w:rsidRPr="006A4E9D">
        <w:rPr>
          <w:rFonts w:ascii="Calibri" w:hAnsi="Calibri" w:cs="Calibri"/>
          <w:i/>
        </w:rPr>
        <w:t>(Paediatric Committee, PDCO)</w:t>
      </w:r>
    </w:p>
    <w:p w14:paraId="47A2BAA4" w14:textId="77777777" w:rsidR="00AA41EB" w:rsidRPr="005C2CBB" w:rsidRDefault="00AA41EB" w:rsidP="00AA41EB">
      <w:pPr>
        <w:numPr>
          <w:ilvl w:val="0"/>
          <w:numId w:val="12"/>
        </w:numPr>
        <w:spacing w:after="120" w:line="276" w:lineRule="auto"/>
        <w:ind w:left="426" w:hanging="426"/>
        <w:jc w:val="both"/>
        <w:rPr>
          <w:rFonts w:ascii="Calibri" w:hAnsi="Calibri" w:cs="Calibri"/>
          <w:i/>
        </w:rPr>
      </w:pPr>
      <w:r>
        <w:rPr>
          <w:rFonts w:ascii="Calibri" w:hAnsi="Calibri" w:cs="Calibri"/>
          <w:b/>
        </w:rPr>
        <w:t xml:space="preserve">Povjerenstvo za biljne lijekove </w:t>
      </w:r>
      <w:r>
        <w:rPr>
          <w:rFonts w:ascii="Calibri" w:hAnsi="Calibri" w:cs="Calibri"/>
        </w:rPr>
        <w:t>(</w:t>
      </w:r>
      <w:r>
        <w:rPr>
          <w:rFonts w:ascii="Calibri" w:hAnsi="Calibri" w:cs="Calibri"/>
          <w:i/>
          <w:iCs/>
        </w:rPr>
        <w:t>Committee for Herbal Medicinal Products</w:t>
      </w:r>
      <w:r>
        <w:rPr>
          <w:rFonts w:ascii="Calibri" w:hAnsi="Calibri" w:cs="Calibri"/>
          <w:iCs/>
        </w:rPr>
        <w:t xml:space="preserve">, </w:t>
      </w:r>
      <w:r w:rsidRPr="005C2CBB">
        <w:rPr>
          <w:rFonts w:ascii="Calibri" w:hAnsi="Calibri" w:cs="Calibri"/>
          <w:i/>
          <w:iCs/>
        </w:rPr>
        <w:t>HMPC</w:t>
      </w:r>
      <w:r w:rsidRPr="005C2CBB">
        <w:rPr>
          <w:rFonts w:ascii="Calibri" w:hAnsi="Calibri" w:cs="Calibri"/>
          <w:i/>
        </w:rPr>
        <w:t>)</w:t>
      </w:r>
    </w:p>
    <w:p w14:paraId="7D4C6830" w14:textId="77777777" w:rsidR="00AA41EB" w:rsidRPr="006A4E9D" w:rsidRDefault="00AA41EB" w:rsidP="00AA41EB">
      <w:pPr>
        <w:numPr>
          <w:ilvl w:val="0"/>
          <w:numId w:val="12"/>
        </w:numPr>
        <w:spacing w:after="120" w:line="276" w:lineRule="auto"/>
        <w:ind w:left="426" w:hanging="426"/>
        <w:jc w:val="both"/>
        <w:rPr>
          <w:rFonts w:ascii="Calibri" w:hAnsi="Calibri" w:cs="Calibri"/>
          <w:i/>
        </w:rPr>
      </w:pPr>
      <w:r>
        <w:rPr>
          <w:rFonts w:ascii="Calibri" w:hAnsi="Calibri" w:cs="Calibri"/>
          <w:b/>
        </w:rPr>
        <w:t>Zajednička CHMP/CVMP radna skupina za kakvoću</w:t>
      </w:r>
      <w:r>
        <w:rPr>
          <w:rFonts w:ascii="Calibri" w:hAnsi="Calibri" w:cs="Calibri"/>
        </w:rPr>
        <w:t xml:space="preserve"> </w:t>
      </w:r>
      <w:r w:rsidRPr="006A4E9D">
        <w:rPr>
          <w:rFonts w:ascii="Calibri" w:hAnsi="Calibri" w:cs="Calibri"/>
          <w:i/>
        </w:rPr>
        <w:t>(</w:t>
      </w:r>
      <w:r w:rsidRPr="006A4E9D">
        <w:rPr>
          <w:rFonts w:ascii="Calibri" w:hAnsi="Calibri" w:cs="Calibri"/>
          <w:i/>
          <w:iCs/>
        </w:rPr>
        <w:t>Joint CHMP/CVMP Quality Working Party)</w:t>
      </w:r>
    </w:p>
    <w:p w14:paraId="53E2AA9A" w14:textId="77777777" w:rsidR="00AA41EB" w:rsidRPr="006A4E9D" w:rsidRDefault="00AA41EB" w:rsidP="00AA41EB">
      <w:pPr>
        <w:numPr>
          <w:ilvl w:val="0"/>
          <w:numId w:val="12"/>
        </w:numPr>
        <w:spacing w:after="120" w:line="276" w:lineRule="auto"/>
        <w:ind w:left="425" w:hanging="425"/>
        <w:jc w:val="both"/>
        <w:rPr>
          <w:rFonts w:ascii="Calibri" w:hAnsi="Calibri" w:cs="Calibri"/>
          <w:i/>
        </w:rPr>
      </w:pPr>
      <w:r>
        <w:rPr>
          <w:rFonts w:ascii="Calibri" w:hAnsi="Calibri" w:cs="Calibri"/>
          <w:b/>
        </w:rPr>
        <w:t>Radna skupina za EU biljne monografije/liste</w:t>
      </w:r>
      <w:r>
        <w:rPr>
          <w:rFonts w:ascii="Calibri" w:hAnsi="Calibri" w:cs="Calibri"/>
        </w:rPr>
        <w:t xml:space="preserve"> </w:t>
      </w:r>
      <w:r w:rsidRPr="006A4E9D">
        <w:rPr>
          <w:rFonts w:ascii="Calibri" w:hAnsi="Calibri" w:cs="Calibri"/>
          <w:i/>
        </w:rPr>
        <w:t>(</w:t>
      </w:r>
      <w:r w:rsidRPr="006A4E9D">
        <w:rPr>
          <w:rFonts w:ascii="Calibri" w:hAnsi="Calibri" w:cs="Calibri"/>
          <w:i/>
          <w:iCs/>
        </w:rPr>
        <w:t>Working Party on Community Monographs/Lists,</w:t>
      </w:r>
      <w:r w:rsidRPr="006A4E9D">
        <w:rPr>
          <w:i/>
        </w:rPr>
        <w:t xml:space="preserve"> </w:t>
      </w:r>
      <w:r w:rsidRPr="006A4E9D">
        <w:rPr>
          <w:rFonts w:ascii="Calibri" w:hAnsi="Calibri" w:cs="Calibri"/>
          <w:i/>
          <w:iCs/>
        </w:rPr>
        <w:t>MLWP</w:t>
      </w:r>
      <w:r w:rsidRPr="006A4E9D">
        <w:rPr>
          <w:rFonts w:ascii="Calibri" w:hAnsi="Calibri" w:cs="Calibri"/>
          <w:i/>
        </w:rPr>
        <w:t>)</w:t>
      </w:r>
    </w:p>
    <w:p w14:paraId="39B7AF7C" w14:textId="77777777" w:rsidR="002022AB" w:rsidRDefault="00AA41EB" w:rsidP="007328D0">
      <w:pPr>
        <w:numPr>
          <w:ilvl w:val="0"/>
          <w:numId w:val="12"/>
        </w:numPr>
        <w:spacing w:after="120" w:line="276" w:lineRule="auto"/>
        <w:ind w:left="426" w:hanging="426"/>
        <w:jc w:val="both"/>
        <w:rPr>
          <w:rFonts w:ascii="Calibri" w:hAnsi="Calibri" w:cs="Calibri"/>
          <w:i/>
        </w:rPr>
      </w:pPr>
      <w:r>
        <w:rPr>
          <w:rFonts w:eastAsia="Times New Roman" w:cstheme="minorHAnsi"/>
          <w:b/>
        </w:rPr>
        <w:t xml:space="preserve">Radna skupina za kakvoću biljnih lijekova </w:t>
      </w:r>
      <w:r w:rsidRPr="005C2CBB">
        <w:rPr>
          <w:rFonts w:eastAsia="Times New Roman" w:cstheme="minorHAnsi"/>
          <w:i/>
        </w:rPr>
        <w:t>(Quality drafting group, QDG)</w:t>
      </w:r>
    </w:p>
    <w:p w14:paraId="1EB24F21" w14:textId="77777777" w:rsidR="0016769A" w:rsidRPr="00AE558F" w:rsidRDefault="007328D0" w:rsidP="0016769A">
      <w:pPr>
        <w:numPr>
          <w:ilvl w:val="0"/>
          <w:numId w:val="12"/>
        </w:numPr>
        <w:spacing w:after="120" w:line="276" w:lineRule="auto"/>
        <w:ind w:left="426" w:hanging="426"/>
        <w:jc w:val="both"/>
        <w:rPr>
          <w:rFonts w:ascii="Calibri" w:hAnsi="Calibri" w:cs="Calibri"/>
          <w:i/>
        </w:rPr>
      </w:pPr>
      <w:r w:rsidRPr="00AE558F">
        <w:rPr>
          <w:rFonts w:ascii="Calibri" w:hAnsi="Calibri" w:cs="Calibri"/>
          <w:b/>
        </w:rPr>
        <w:t>EU Innovation Network</w:t>
      </w:r>
      <w:r w:rsidRPr="00AE558F">
        <w:rPr>
          <w:rFonts w:ascii="Calibri" w:hAnsi="Calibri" w:cs="Calibri"/>
          <w:i/>
        </w:rPr>
        <w:t xml:space="preserve"> (EU-IN)</w:t>
      </w:r>
    </w:p>
    <w:p w14:paraId="399271B7" w14:textId="77777777" w:rsidR="0016769A" w:rsidRPr="00AE558F" w:rsidRDefault="007328D0" w:rsidP="0016769A">
      <w:pPr>
        <w:numPr>
          <w:ilvl w:val="0"/>
          <w:numId w:val="12"/>
        </w:numPr>
        <w:spacing w:after="120" w:line="276" w:lineRule="auto"/>
        <w:ind w:left="426" w:hanging="426"/>
        <w:jc w:val="both"/>
        <w:rPr>
          <w:rFonts w:ascii="Calibri" w:hAnsi="Calibri" w:cs="Calibri"/>
          <w:i/>
        </w:rPr>
      </w:pPr>
      <w:r w:rsidRPr="00AE558F">
        <w:rPr>
          <w:rFonts w:ascii="Calibri" w:hAnsi="Calibri" w:cs="Calibri"/>
          <w:b/>
        </w:rPr>
        <w:t>Upravljačka skupina za velike podatke</w:t>
      </w:r>
      <w:r w:rsidRPr="00AE558F">
        <w:rPr>
          <w:rFonts w:ascii="Calibri" w:hAnsi="Calibri" w:cs="Calibri"/>
          <w:i/>
        </w:rPr>
        <w:t xml:space="preserve"> (Big Data Steering Group, BDSG)</w:t>
      </w:r>
    </w:p>
    <w:p w14:paraId="0C37FAB0" w14:textId="69645AB3" w:rsidR="00425F63" w:rsidRPr="00761E0C" w:rsidRDefault="007328D0" w:rsidP="00761E0C">
      <w:pPr>
        <w:numPr>
          <w:ilvl w:val="0"/>
          <w:numId w:val="12"/>
        </w:numPr>
        <w:spacing w:after="120" w:line="276" w:lineRule="auto"/>
        <w:ind w:left="426" w:hanging="426"/>
        <w:jc w:val="both"/>
        <w:rPr>
          <w:rFonts w:ascii="Calibri" w:hAnsi="Calibri" w:cs="Calibri"/>
          <w:i/>
        </w:rPr>
      </w:pPr>
      <w:r w:rsidRPr="00AE558F">
        <w:rPr>
          <w:rFonts w:ascii="Calibri" w:hAnsi="Calibri" w:cs="Calibri"/>
          <w:b/>
        </w:rPr>
        <w:t>EU-IN/HMA skupina za klasifikaciju borderline proizvoda</w:t>
      </w:r>
      <w:r w:rsidRPr="00AE558F">
        <w:rPr>
          <w:rFonts w:ascii="Calibri" w:hAnsi="Calibri" w:cs="Calibri"/>
          <w:i/>
        </w:rPr>
        <w:t xml:space="preserve"> (Borderline Classification Group, BLCG)</w:t>
      </w:r>
    </w:p>
    <w:p w14:paraId="08CF7200" w14:textId="77777777" w:rsidR="00AA41EB" w:rsidRPr="006A4E9D" w:rsidRDefault="00AA41EB" w:rsidP="00AA41EB">
      <w:pPr>
        <w:numPr>
          <w:ilvl w:val="0"/>
          <w:numId w:val="12"/>
        </w:numPr>
        <w:spacing w:after="120" w:line="276" w:lineRule="auto"/>
        <w:ind w:left="426" w:hanging="426"/>
        <w:jc w:val="both"/>
        <w:rPr>
          <w:rFonts w:ascii="Calibri" w:hAnsi="Calibri" w:cs="Calibri"/>
          <w:i/>
        </w:rPr>
      </w:pPr>
      <w:r>
        <w:rPr>
          <w:rFonts w:ascii="Calibri" w:hAnsi="Calibri" w:cs="Calibri"/>
          <w:b/>
        </w:rPr>
        <w:t>Europska mreža centara za farmakoepidemiologiju i farmakovigilanciju</w:t>
      </w:r>
      <w:r>
        <w:rPr>
          <w:rFonts w:ascii="Calibri" w:hAnsi="Calibri" w:cs="Calibri"/>
        </w:rPr>
        <w:t xml:space="preserve"> </w:t>
      </w:r>
      <w:r w:rsidRPr="006A4E9D">
        <w:rPr>
          <w:rFonts w:ascii="Calibri" w:hAnsi="Calibri" w:cs="Calibri"/>
          <w:i/>
        </w:rPr>
        <w:t>(</w:t>
      </w:r>
      <w:r w:rsidRPr="006A4E9D">
        <w:rPr>
          <w:rFonts w:ascii="Calibri" w:hAnsi="Calibri" w:cs="Calibri"/>
          <w:i/>
          <w:iCs/>
        </w:rPr>
        <w:t>European Network of Centre for Pharmacovigilance and Pharmacoepidemiology, ENCePP</w:t>
      </w:r>
      <w:r w:rsidRPr="006A4E9D">
        <w:rPr>
          <w:rFonts w:ascii="Calibri" w:hAnsi="Calibri" w:cs="Calibri"/>
          <w:i/>
        </w:rPr>
        <w:t xml:space="preserve">) </w:t>
      </w:r>
    </w:p>
    <w:p w14:paraId="19552C04" w14:textId="77777777" w:rsidR="00AA41EB" w:rsidRPr="006A4E9D" w:rsidRDefault="00AA41EB" w:rsidP="00AA41EB">
      <w:pPr>
        <w:numPr>
          <w:ilvl w:val="0"/>
          <w:numId w:val="12"/>
        </w:numPr>
        <w:spacing w:after="120" w:line="276" w:lineRule="auto"/>
        <w:ind w:left="426" w:hanging="426"/>
        <w:jc w:val="both"/>
        <w:rPr>
          <w:rFonts w:ascii="Calibri" w:hAnsi="Calibri" w:cs="Calibri"/>
          <w:i/>
        </w:rPr>
      </w:pPr>
      <w:r>
        <w:rPr>
          <w:rFonts w:ascii="Calibri" w:hAnsi="Calibri" w:cs="Calibri"/>
          <w:b/>
        </w:rPr>
        <w:t>Inspektorska radna skupina za farmakovigilanciju</w:t>
      </w:r>
      <w:r>
        <w:rPr>
          <w:rFonts w:ascii="Calibri" w:hAnsi="Calibri" w:cs="Calibri"/>
        </w:rPr>
        <w:t xml:space="preserve"> </w:t>
      </w:r>
      <w:r w:rsidRPr="006A4E9D">
        <w:rPr>
          <w:rFonts w:ascii="Calibri" w:hAnsi="Calibri" w:cs="Calibri"/>
          <w:i/>
        </w:rPr>
        <w:t>(</w:t>
      </w:r>
      <w:r w:rsidRPr="006A4E9D">
        <w:rPr>
          <w:rFonts w:ascii="Calibri" w:hAnsi="Calibri" w:cs="Calibri"/>
          <w:i/>
          <w:iCs/>
        </w:rPr>
        <w:t>Pharmacovigilance Inspectors Working Group, PhV IWG</w:t>
      </w:r>
      <w:r w:rsidRPr="006A4E9D">
        <w:rPr>
          <w:rFonts w:ascii="Calibri" w:hAnsi="Calibri" w:cs="Calibri"/>
          <w:i/>
        </w:rPr>
        <w:t>)</w:t>
      </w:r>
    </w:p>
    <w:p w14:paraId="738649E6" w14:textId="77777777" w:rsidR="00AA41EB" w:rsidRPr="006A4E9D" w:rsidRDefault="00AA41EB" w:rsidP="00AA41EB">
      <w:pPr>
        <w:numPr>
          <w:ilvl w:val="0"/>
          <w:numId w:val="12"/>
        </w:numPr>
        <w:spacing w:after="120" w:line="276" w:lineRule="auto"/>
        <w:ind w:left="426" w:hanging="426"/>
        <w:jc w:val="both"/>
        <w:rPr>
          <w:rFonts w:ascii="Calibri" w:hAnsi="Calibri" w:cs="Calibri"/>
          <w:i/>
        </w:rPr>
      </w:pPr>
      <w:r>
        <w:rPr>
          <w:rFonts w:ascii="Calibri" w:hAnsi="Calibri" w:cs="Calibri"/>
          <w:b/>
        </w:rPr>
        <w:t>Inspektorska radna skupina za dobru proizvođačku praksu/dobru distribucijsku praksu</w:t>
      </w:r>
      <w:r>
        <w:rPr>
          <w:rFonts w:ascii="Calibri" w:hAnsi="Calibri" w:cs="Calibri"/>
        </w:rPr>
        <w:t xml:space="preserve"> </w:t>
      </w:r>
      <w:r w:rsidRPr="006A4E9D">
        <w:rPr>
          <w:rFonts w:ascii="Calibri" w:hAnsi="Calibri" w:cs="Calibri"/>
          <w:i/>
        </w:rPr>
        <w:t xml:space="preserve">(GMP/GDP – Good Manufacturing Practice/Good Distribution Practice, Inspectors Working Group) </w:t>
      </w:r>
    </w:p>
    <w:p w14:paraId="01CE0275" w14:textId="77777777" w:rsidR="00AA41EB" w:rsidRPr="006A4E9D" w:rsidRDefault="00AA41EB" w:rsidP="00AA41EB">
      <w:pPr>
        <w:numPr>
          <w:ilvl w:val="0"/>
          <w:numId w:val="12"/>
        </w:numPr>
        <w:spacing w:after="120" w:line="276" w:lineRule="auto"/>
        <w:ind w:left="426" w:hanging="426"/>
        <w:jc w:val="both"/>
        <w:rPr>
          <w:rFonts w:ascii="Calibri" w:hAnsi="Calibri" w:cs="Calibri"/>
          <w:b/>
          <w:i/>
        </w:rPr>
      </w:pPr>
      <w:r>
        <w:rPr>
          <w:b/>
        </w:rPr>
        <w:t>EU šifrarnici</w:t>
      </w:r>
      <w:r>
        <w:t xml:space="preserve"> </w:t>
      </w:r>
      <w:r w:rsidRPr="006A4E9D">
        <w:rPr>
          <w:i/>
        </w:rPr>
        <w:t xml:space="preserve">(The European Union Telematics Controlled Terms, </w:t>
      </w:r>
      <w:r w:rsidRPr="006A4E9D">
        <w:rPr>
          <w:rFonts w:ascii="Calibri" w:hAnsi="Calibri" w:cs="Calibri"/>
          <w:i/>
          <w:iCs/>
        </w:rPr>
        <w:t>EUTCT)</w:t>
      </w:r>
    </w:p>
    <w:p w14:paraId="5740E665" w14:textId="77777777" w:rsidR="00AA41EB" w:rsidRPr="005C2CBB" w:rsidRDefault="00AA41EB" w:rsidP="00AA41EB">
      <w:pPr>
        <w:numPr>
          <w:ilvl w:val="0"/>
          <w:numId w:val="12"/>
        </w:numPr>
        <w:spacing w:after="120" w:line="276" w:lineRule="auto"/>
        <w:ind w:left="426" w:hanging="426"/>
        <w:jc w:val="both"/>
        <w:rPr>
          <w:rFonts w:ascii="Calibri" w:hAnsi="Calibri" w:cs="Calibri"/>
          <w:b/>
          <w:i/>
        </w:rPr>
      </w:pPr>
      <w:r>
        <w:rPr>
          <w:b/>
        </w:rPr>
        <w:t>Zaštićena telekomunikacijska mreža regulatornih tijela odgovornih za lijekove</w:t>
      </w:r>
      <w:r>
        <w:t xml:space="preserve"> </w:t>
      </w:r>
      <w:r>
        <w:rPr>
          <w:b/>
        </w:rPr>
        <w:t xml:space="preserve">EU </w:t>
      </w:r>
      <w:r>
        <w:t>(</w:t>
      </w:r>
      <w:r>
        <w:rPr>
          <w:i/>
        </w:rPr>
        <w:t xml:space="preserve">Union Drug Regulating Authorities Network, </w:t>
      </w:r>
      <w:r w:rsidRPr="005C2CBB">
        <w:rPr>
          <w:rFonts w:ascii="Calibri" w:hAnsi="Calibri" w:cs="Calibri"/>
          <w:i/>
          <w:iCs/>
        </w:rPr>
        <w:t>EudraNet)</w:t>
      </w:r>
    </w:p>
    <w:p w14:paraId="217F0BB2" w14:textId="77777777" w:rsidR="00AA41EB" w:rsidRPr="006A4E9D" w:rsidRDefault="00AA41EB" w:rsidP="00AA41EB">
      <w:pPr>
        <w:numPr>
          <w:ilvl w:val="0"/>
          <w:numId w:val="12"/>
        </w:numPr>
        <w:spacing w:after="120" w:line="276" w:lineRule="auto"/>
        <w:ind w:left="426" w:hanging="426"/>
        <w:jc w:val="both"/>
        <w:rPr>
          <w:rFonts w:ascii="Calibri" w:hAnsi="Calibri" w:cs="Calibri"/>
          <w:b/>
          <w:i/>
        </w:rPr>
      </w:pPr>
      <w:r>
        <w:rPr>
          <w:rFonts w:ascii="Calibri" w:hAnsi="Calibri" w:cs="Calibri"/>
          <w:b/>
          <w:iCs/>
        </w:rPr>
        <w:lastRenderedPageBreak/>
        <w:t xml:space="preserve">Radna skupina za voditelje informatičkih poslova </w:t>
      </w:r>
      <w:r w:rsidRPr="006A4E9D">
        <w:rPr>
          <w:rFonts w:ascii="Calibri" w:hAnsi="Calibri" w:cs="Calibri"/>
          <w:i/>
          <w:iCs/>
        </w:rPr>
        <w:t>(IT Directors Group)</w:t>
      </w:r>
    </w:p>
    <w:p w14:paraId="21F06FA0" w14:textId="77777777" w:rsidR="00AA41EB" w:rsidRPr="006A4E9D" w:rsidRDefault="00AA41EB" w:rsidP="00AA41EB">
      <w:pPr>
        <w:pStyle w:val="Heading4"/>
        <w:rPr>
          <w:rFonts w:eastAsiaTheme="minorEastAsia"/>
        </w:rPr>
      </w:pPr>
      <w:bookmarkStart w:id="49" w:name="_Toc530140485"/>
      <w:r w:rsidRPr="006A4E9D">
        <w:t xml:space="preserve">1.2.2.4. </w:t>
      </w:r>
      <w:r w:rsidRPr="006A4E9D">
        <w:rPr>
          <w:rFonts w:eastAsiaTheme="minorEastAsia"/>
        </w:rPr>
        <w:t xml:space="preserve">Europsko </w:t>
      </w:r>
      <w:r w:rsidRPr="004C51D2">
        <w:t>ravnateljstvo</w:t>
      </w:r>
      <w:r w:rsidRPr="006A4E9D">
        <w:rPr>
          <w:rFonts w:eastAsiaTheme="minorEastAsia"/>
        </w:rPr>
        <w:t xml:space="preserve"> za kakvoću lijekova i zdravstvenu skrb (EDQM)</w:t>
      </w:r>
      <w:bookmarkEnd w:id="49"/>
    </w:p>
    <w:p w14:paraId="1FF71D4D" w14:textId="77777777" w:rsidR="00AA41EB" w:rsidRDefault="008B34CD" w:rsidP="00AA41EB">
      <w:pPr>
        <w:spacing w:after="240" w:line="276" w:lineRule="auto"/>
        <w:jc w:val="both"/>
        <w:rPr>
          <w:color w:val="000000"/>
          <w:lang w:eastAsia="hr-HR"/>
        </w:rPr>
      </w:pPr>
      <w:hyperlink r:id="rId21" w:history="1">
        <w:r w:rsidR="00AA41EB" w:rsidRPr="00136B03">
          <w:rPr>
            <w:rStyle w:val="Hyperlink"/>
            <w:rFonts w:eastAsia="Times New Roman"/>
            <w:color w:val="auto"/>
            <w:u w:val="none"/>
          </w:rPr>
          <w:t xml:space="preserve">Europsko ravnateljstvo za kakvoću lijekova i zdravstvenu skrb </w:t>
        </w:r>
        <w:r w:rsidR="00AA41EB" w:rsidRPr="00136B03">
          <w:rPr>
            <w:rStyle w:val="Hyperlink"/>
            <w:i/>
            <w:color w:val="auto"/>
            <w:u w:val="none"/>
          </w:rPr>
          <w:t>(</w:t>
        </w:r>
        <w:r w:rsidR="00AA41EB" w:rsidRPr="00700967">
          <w:rPr>
            <w:i/>
          </w:rPr>
          <w:t xml:space="preserve">European Directorate for the Quality of Medicines, </w:t>
        </w:r>
        <w:r w:rsidR="00AA41EB" w:rsidRPr="00136B03">
          <w:rPr>
            <w:rStyle w:val="Hyperlink"/>
            <w:i/>
            <w:color w:val="auto"/>
            <w:u w:val="none"/>
          </w:rPr>
          <w:t>EDQM)</w:t>
        </w:r>
      </w:hyperlink>
      <w:r w:rsidR="00AA41EB" w:rsidRPr="00136B03">
        <w:rPr>
          <w:rStyle w:val="Hyperlink"/>
          <w:color w:val="auto"/>
          <w:u w:val="none"/>
        </w:rPr>
        <w:t xml:space="preserve"> Vijeća Europske unije</w:t>
      </w:r>
      <w:r w:rsidR="00AA41EB" w:rsidRPr="00700967">
        <w:rPr>
          <w:rFonts w:eastAsia="Times New Roman" w:cstheme="minorHAnsi"/>
        </w:rPr>
        <w:t xml:space="preserve"> </w:t>
      </w:r>
      <w:r w:rsidR="00AA41EB">
        <w:rPr>
          <w:rFonts w:eastAsia="Times New Roman" w:cstheme="minorHAnsi"/>
        </w:rPr>
        <w:t>predstavlja instituciju čiji je glavni cilj zaštita javnog zdravlja unutar članica Vijeća Europe. EDQM omogućava razvoj, podupire uvođenje i nadzire primjenu standarda kvalitete nužnih za proizvodnju, kontrolu i sigurnu primjenu lijekova. Europska farmakopeja, koju izdaje EDQM, obvezujući je podzakonski dokument u Republici Hrvatskoj kao zemlji članici Vijeća Europe. Predstavnici HALMED-a sudjeluju</w:t>
      </w:r>
      <w:r w:rsidR="00AA41EB">
        <w:rPr>
          <w:color w:val="000000"/>
          <w:lang w:eastAsia="hr-HR"/>
        </w:rPr>
        <w:t xml:space="preserve"> u radu stručnih skupina za izradu monografija Europske farmakopeje te u radu odbora </w:t>
      </w:r>
      <w:r w:rsidR="00AA41EB">
        <w:rPr>
          <w:rFonts w:ascii="Calibri" w:hAnsi="Calibri" w:cs="Calibri"/>
        </w:rPr>
        <w:t>i pododbora Vijeća Europe, u organizaciji EDQM-a:</w:t>
      </w:r>
    </w:p>
    <w:p w14:paraId="662BD415" w14:textId="77777777" w:rsidR="00AA41EB" w:rsidRPr="005C2CBB" w:rsidRDefault="00AA41EB" w:rsidP="00AA41EB">
      <w:pPr>
        <w:numPr>
          <w:ilvl w:val="0"/>
          <w:numId w:val="8"/>
        </w:numPr>
        <w:spacing w:after="120" w:line="276" w:lineRule="auto"/>
        <w:ind w:left="426" w:hanging="426"/>
        <w:jc w:val="both"/>
        <w:rPr>
          <w:rFonts w:ascii="Calibri" w:hAnsi="Calibri" w:cs="Calibri"/>
          <w:b/>
          <w:i/>
        </w:rPr>
      </w:pPr>
      <w:r>
        <w:rPr>
          <w:rFonts w:ascii="Calibri" w:hAnsi="Calibri" w:cs="Calibri"/>
          <w:b/>
        </w:rPr>
        <w:t xml:space="preserve">Europska farmakopeja </w:t>
      </w:r>
      <w:r w:rsidRPr="005C2CBB">
        <w:rPr>
          <w:rFonts w:cs="Calibri"/>
          <w:i/>
        </w:rPr>
        <w:t>(</w:t>
      </w:r>
      <w:r w:rsidRPr="005C2CBB">
        <w:rPr>
          <w:rStyle w:val="Strong"/>
          <w:rFonts w:cs="Arial"/>
          <w:b w:val="0"/>
          <w:i/>
          <w:bdr w:val="none" w:sz="0" w:space="0" w:color="auto" w:frame="1"/>
        </w:rPr>
        <w:t xml:space="preserve">European Pharmacopoeia, </w:t>
      </w:r>
      <w:r w:rsidRPr="005C2CBB">
        <w:rPr>
          <w:rFonts w:cs="Arial"/>
          <w:i/>
        </w:rPr>
        <w:t>Ph. Eur</w:t>
      </w:r>
      <w:r w:rsidRPr="005C2CBB">
        <w:rPr>
          <w:rFonts w:cs="Arial"/>
          <w:b/>
          <w:i/>
        </w:rPr>
        <w:t>.</w:t>
      </w:r>
      <w:r w:rsidRPr="005C2CBB">
        <w:rPr>
          <w:rStyle w:val="Strong"/>
          <w:rFonts w:cs="Arial"/>
          <w:b w:val="0"/>
          <w:i/>
          <w:bdr w:val="none" w:sz="0" w:space="0" w:color="auto" w:frame="1"/>
        </w:rPr>
        <w:t>)</w:t>
      </w:r>
    </w:p>
    <w:p w14:paraId="3A7423EA" w14:textId="77777777" w:rsidR="00AA41EB" w:rsidRPr="005C2CBB" w:rsidRDefault="00AA41EB" w:rsidP="00AA41EB">
      <w:pPr>
        <w:numPr>
          <w:ilvl w:val="0"/>
          <w:numId w:val="8"/>
        </w:numPr>
        <w:spacing w:after="120" w:line="276" w:lineRule="auto"/>
        <w:ind w:left="426" w:hanging="426"/>
        <w:jc w:val="both"/>
        <w:rPr>
          <w:rFonts w:ascii="Calibri" w:hAnsi="Calibri" w:cs="Calibri"/>
          <w:i/>
        </w:rPr>
      </w:pPr>
      <w:r>
        <w:rPr>
          <w:rFonts w:ascii="Calibri" w:hAnsi="Calibri" w:cs="Calibri"/>
          <w:b/>
        </w:rPr>
        <w:t xml:space="preserve">Mreža službenih laboratorija za provjeru kakvoće lijekova </w:t>
      </w:r>
      <w:r w:rsidRPr="005C2CBB">
        <w:rPr>
          <w:rFonts w:ascii="Calibri" w:hAnsi="Calibri" w:cs="Calibri"/>
          <w:i/>
        </w:rPr>
        <w:t>(</w:t>
      </w:r>
      <w:r>
        <w:rPr>
          <w:rFonts w:ascii="Calibri" w:hAnsi="Calibri" w:cs="Calibri"/>
          <w:i/>
        </w:rPr>
        <w:t xml:space="preserve">Official Medicines Control Laboratory, </w:t>
      </w:r>
      <w:r w:rsidRPr="005C2CBB">
        <w:rPr>
          <w:rFonts w:ascii="Calibri" w:hAnsi="Calibri" w:cs="Calibri"/>
          <w:i/>
        </w:rPr>
        <w:t xml:space="preserve">OMCL) </w:t>
      </w:r>
    </w:p>
    <w:p w14:paraId="14928C45" w14:textId="77777777" w:rsidR="00AA41EB" w:rsidRPr="006A4E9D" w:rsidRDefault="00AA41EB" w:rsidP="00AA41EB">
      <w:pPr>
        <w:numPr>
          <w:ilvl w:val="0"/>
          <w:numId w:val="8"/>
        </w:numPr>
        <w:spacing w:after="120" w:line="276" w:lineRule="auto"/>
        <w:ind w:left="426"/>
        <w:jc w:val="both"/>
        <w:rPr>
          <w:rFonts w:ascii="Calibri" w:hAnsi="Calibri" w:cs="Calibri"/>
          <w:i/>
        </w:rPr>
      </w:pPr>
      <w:r>
        <w:rPr>
          <w:rFonts w:ascii="Calibri" w:hAnsi="Calibri" w:cs="Calibri"/>
          <w:b/>
        </w:rPr>
        <w:t xml:space="preserve">Europski odbor za lijekove i farmaceutsku skrb </w:t>
      </w:r>
      <w:r w:rsidRPr="006A4E9D">
        <w:rPr>
          <w:rFonts w:ascii="Calibri" w:hAnsi="Calibri" w:cs="Calibri"/>
          <w:i/>
        </w:rPr>
        <w:t>(European Committee on Pharmaceuticals and Pharmaceutical Care)</w:t>
      </w:r>
      <w:r w:rsidRPr="006A4E9D">
        <w:rPr>
          <w:rFonts w:ascii="Calibri" w:hAnsi="Calibri" w:cs="Calibri"/>
          <w:b/>
          <w:i/>
        </w:rPr>
        <w:t xml:space="preserve"> </w:t>
      </w:r>
    </w:p>
    <w:p w14:paraId="551BF8C0" w14:textId="77777777" w:rsidR="00D61F56" w:rsidRDefault="00AA41EB" w:rsidP="00CD7DB5">
      <w:pPr>
        <w:numPr>
          <w:ilvl w:val="0"/>
          <w:numId w:val="7"/>
        </w:numPr>
        <w:spacing w:after="120" w:line="276" w:lineRule="auto"/>
        <w:ind w:left="426" w:hanging="426"/>
        <w:jc w:val="both"/>
        <w:rPr>
          <w:rFonts w:ascii="Calibri" w:hAnsi="Calibri" w:cs="Calibri"/>
          <w:i/>
        </w:rPr>
      </w:pPr>
      <w:r>
        <w:rPr>
          <w:rFonts w:ascii="Calibri" w:hAnsi="Calibri" w:cs="Calibri"/>
          <w:b/>
        </w:rPr>
        <w:t xml:space="preserve">Inspekcije proizvođača djelatnih tvari </w:t>
      </w:r>
      <w:r w:rsidRPr="002B70EC">
        <w:rPr>
          <w:rFonts w:ascii="Calibri" w:hAnsi="Calibri" w:cs="Calibri"/>
          <w:i/>
        </w:rPr>
        <w:t>(Certification Division, EDQM)</w:t>
      </w:r>
    </w:p>
    <w:p w14:paraId="2D22B4BE" w14:textId="77777777" w:rsidR="00D61F56" w:rsidRPr="00CD7DB5" w:rsidRDefault="00D61F56" w:rsidP="00CD7DB5">
      <w:pPr>
        <w:numPr>
          <w:ilvl w:val="0"/>
          <w:numId w:val="7"/>
        </w:numPr>
        <w:spacing w:after="120" w:line="276" w:lineRule="auto"/>
        <w:ind w:left="426" w:hanging="426"/>
        <w:jc w:val="both"/>
        <w:rPr>
          <w:rFonts w:ascii="Calibri" w:hAnsi="Calibri" w:cs="Calibri"/>
        </w:rPr>
      </w:pPr>
      <w:r w:rsidRPr="00CD7DB5">
        <w:rPr>
          <w:rFonts w:ascii="Calibri" w:hAnsi="Calibri" w:cs="Calibri"/>
        </w:rPr>
        <w:t>Radna skupina Ad Hoc Committee EDQM</w:t>
      </w:r>
    </w:p>
    <w:p w14:paraId="277CB272" w14:textId="77777777" w:rsidR="0016769A" w:rsidRPr="0016769A" w:rsidRDefault="007328D0" w:rsidP="0016769A">
      <w:pPr>
        <w:numPr>
          <w:ilvl w:val="0"/>
          <w:numId w:val="7"/>
        </w:numPr>
        <w:spacing w:after="120" w:line="276" w:lineRule="auto"/>
        <w:ind w:left="426" w:hanging="426"/>
        <w:jc w:val="both"/>
        <w:rPr>
          <w:rFonts w:ascii="Calibri" w:hAnsi="Calibri" w:cs="Calibri"/>
          <w:i/>
        </w:rPr>
      </w:pPr>
      <w:r w:rsidRPr="0016769A">
        <w:rPr>
          <w:rFonts w:ascii="Calibri" w:hAnsi="Calibri" w:cs="Calibri"/>
          <w:b/>
        </w:rPr>
        <w:t>Ovjernica Europske farmakopeje</w:t>
      </w:r>
      <w:r w:rsidRPr="0016769A">
        <w:rPr>
          <w:rFonts w:ascii="Calibri" w:hAnsi="Calibri" w:cs="Calibri"/>
          <w:i/>
        </w:rPr>
        <w:t xml:space="preserve"> (Certificate of Suitability, CEP)</w:t>
      </w:r>
    </w:p>
    <w:p w14:paraId="75D67596" w14:textId="77777777" w:rsidR="0016769A" w:rsidRDefault="007328D0" w:rsidP="0016769A">
      <w:pPr>
        <w:numPr>
          <w:ilvl w:val="0"/>
          <w:numId w:val="7"/>
        </w:numPr>
        <w:spacing w:after="120" w:line="276" w:lineRule="auto"/>
        <w:ind w:left="426" w:hanging="426"/>
        <w:jc w:val="both"/>
      </w:pPr>
      <w:r w:rsidRPr="0016769A">
        <w:rPr>
          <w:b/>
        </w:rPr>
        <w:t>Povjerenstvo za standarde kakvoće i sigurnosti u farmaceutskoj praksi i farmaceutskoj skrbi</w:t>
      </w:r>
      <w:r w:rsidRPr="007328D0">
        <w:t xml:space="preserve"> (</w:t>
      </w:r>
      <w:r w:rsidRPr="0016769A">
        <w:rPr>
          <w:i/>
        </w:rPr>
        <w:t>Committee of Experts on Quality and Safety Standards in Pharmaceutical Practice and Pharmaceutical Care, CD-P-PH/PC</w:t>
      </w:r>
      <w:r w:rsidRPr="007328D0">
        <w:t>)</w:t>
      </w:r>
    </w:p>
    <w:p w14:paraId="3F69E1D8" w14:textId="77777777" w:rsidR="0016769A" w:rsidRDefault="007328D0" w:rsidP="0016769A">
      <w:pPr>
        <w:numPr>
          <w:ilvl w:val="0"/>
          <w:numId w:val="7"/>
        </w:numPr>
        <w:spacing w:after="120" w:line="276" w:lineRule="auto"/>
        <w:ind w:left="426" w:hanging="426"/>
        <w:jc w:val="both"/>
      </w:pPr>
      <w:r w:rsidRPr="0016769A">
        <w:rPr>
          <w:b/>
        </w:rPr>
        <w:t>Povjerenstvo stručnjaka za klasifikaciju lijekova s obzirom na opskrbu</w:t>
      </w:r>
      <w:r w:rsidRPr="007328D0">
        <w:t xml:space="preserve"> (</w:t>
      </w:r>
      <w:r w:rsidRPr="0016769A">
        <w:rPr>
          <w:i/>
        </w:rPr>
        <w:t>Committee of Experts on the classification of medicines as regards their supply, CD-P-PH/PHO</w:t>
      </w:r>
      <w:r w:rsidRPr="007328D0">
        <w:t>)</w:t>
      </w:r>
    </w:p>
    <w:p w14:paraId="227E5BD1" w14:textId="77777777" w:rsidR="00913F64" w:rsidRDefault="007328D0" w:rsidP="007D441C">
      <w:pPr>
        <w:numPr>
          <w:ilvl w:val="0"/>
          <w:numId w:val="7"/>
        </w:numPr>
        <w:spacing w:after="120" w:line="276" w:lineRule="auto"/>
        <w:ind w:left="426" w:hanging="426"/>
        <w:jc w:val="both"/>
      </w:pPr>
      <w:r w:rsidRPr="0016769A">
        <w:rPr>
          <w:b/>
        </w:rPr>
        <w:t>Povjerenstvo za smanjenje rizika od krivotvorenih lijekova Vijeća Europe</w:t>
      </w:r>
      <w:r w:rsidRPr="007328D0">
        <w:t xml:space="preserve"> (</w:t>
      </w:r>
      <w:r w:rsidRPr="0016769A">
        <w:rPr>
          <w:i/>
        </w:rPr>
        <w:t>Committee of Experts on minimising the public health risks posed by falsified medical products and related crimes , CD-P-PH/CMED</w:t>
      </w:r>
      <w:r w:rsidRPr="007328D0">
        <w:t>)</w:t>
      </w:r>
      <w:bookmarkStart w:id="50" w:name="_Toc530140486"/>
    </w:p>
    <w:p w14:paraId="57B09457" w14:textId="3137DDD5" w:rsidR="00913F64" w:rsidRDefault="00913F64" w:rsidP="007D441C">
      <w:pPr>
        <w:numPr>
          <w:ilvl w:val="0"/>
          <w:numId w:val="7"/>
        </w:numPr>
        <w:spacing w:after="120" w:line="276" w:lineRule="auto"/>
        <w:ind w:left="426" w:hanging="426"/>
        <w:jc w:val="both"/>
      </w:pPr>
      <w:r>
        <w:rPr>
          <w:b/>
        </w:rPr>
        <w:t>Mreža kontakata za granične proizvode (</w:t>
      </w:r>
      <w:r w:rsidRPr="00913F64">
        <w:t>EDQM Network on Borderline Products</w:t>
      </w:r>
      <w:r>
        <w:t>)</w:t>
      </w:r>
    </w:p>
    <w:p w14:paraId="05CCA119" w14:textId="570C33A0" w:rsidR="00AA41EB" w:rsidRPr="00A14857" w:rsidRDefault="00AA41EB" w:rsidP="0016769A">
      <w:pPr>
        <w:pStyle w:val="Heading2"/>
        <w:rPr>
          <w:sz w:val="28"/>
          <w:szCs w:val="28"/>
        </w:rPr>
      </w:pPr>
      <w:bookmarkStart w:id="51" w:name="_Toc165035435"/>
      <w:r w:rsidRPr="00A14857">
        <w:rPr>
          <w:sz w:val="28"/>
          <w:szCs w:val="28"/>
        </w:rPr>
        <w:t>1.2.2.5. Mreža nacionalnih agencija za lijekove (HMA)</w:t>
      </w:r>
      <w:bookmarkEnd w:id="50"/>
      <w:bookmarkEnd w:id="51"/>
    </w:p>
    <w:p w14:paraId="164CF3E8" w14:textId="77777777" w:rsidR="00AA41EB" w:rsidRDefault="008B34CD" w:rsidP="00AA41EB">
      <w:pPr>
        <w:spacing w:after="120" w:line="276" w:lineRule="auto"/>
        <w:jc w:val="both"/>
        <w:rPr>
          <w:rFonts w:ascii="Calibri" w:hAnsi="Calibri" w:cs="Calibri"/>
        </w:rPr>
      </w:pPr>
      <w:hyperlink r:id="rId22" w:history="1">
        <w:r w:rsidR="00AA41EB" w:rsidRPr="00136B03">
          <w:rPr>
            <w:rStyle w:val="Hyperlink"/>
            <w:rFonts w:eastAsia="Times New Roman"/>
            <w:color w:val="auto"/>
            <w:u w:val="none"/>
          </w:rPr>
          <w:t>Mreža nacionalnih agencija za lijekove</w:t>
        </w:r>
      </w:hyperlink>
      <w:r w:rsidR="00AA41EB" w:rsidRPr="006A4E9D">
        <w:rPr>
          <w:rFonts w:eastAsia="Times New Roman" w:cstheme="minorHAnsi"/>
        </w:rPr>
        <w:t xml:space="preserve"> </w:t>
      </w:r>
      <w:r w:rsidR="00AA41EB">
        <w:rPr>
          <w:rFonts w:ascii="Calibri" w:hAnsi="Calibri" w:cs="Calibri"/>
        </w:rPr>
        <w:t>(</w:t>
      </w:r>
      <w:r w:rsidR="00AA41EB">
        <w:rPr>
          <w:rFonts w:ascii="Calibri" w:hAnsi="Calibri" w:cs="Calibri"/>
          <w:i/>
        </w:rPr>
        <w:t xml:space="preserve">The Heads of Medicines Agencies, </w:t>
      </w:r>
      <w:r w:rsidR="00AA41EB" w:rsidRPr="005C2CBB">
        <w:rPr>
          <w:rFonts w:ascii="Calibri" w:hAnsi="Calibri" w:cs="Calibri"/>
          <w:i/>
        </w:rPr>
        <w:t>HMA)</w:t>
      </w:r>
      <w:r w:rsidR="00AA41EB">
        <w:rPr>
          <w:rFonts w:ascii="Calibri" w:hAnsi="Calibri" w:cs="Calibri"/>
        </w:rPr>
        <w:t xml:space="preserve"> </w:t>
      </w:r>
      <w:r w:rsidR="00AA41EB">
        <w:rPr>
          <w:rFonts w:eastAsia="Times New Roman" w:cstheme="minorHAnsi"/>
        </w:rPr>
        <w:t xml:space="preserve">okuplja </w:t>
      </w:r>
      <w:r w:rsidR="00AA41EB">
        <w:rPr>
          <w:rFonts w:ascii="Calibri" w:hAnsi="Calibri" w:cs="Calibri"/>
        </w:rPr>
        <w:t xml:space="preserve">ravnatelje </w:t>
      </w:r>
      <w:r w:rsidR="00AA41EB">
        <w:rPr>
          <w:rFonts w:eastAsia="Times New Roman" w:cstheme="minorHAnsi"/>
        </w:rPr>
        <w:t>nacionalnih</w:t>
      </w:r>
      <w:r w:rsidR="00AA41EB">
        <w:rPr>
          <w:rFonts w:ascii="Calibri" w:hAnsi="Calibri" w:cs="Calibri"/>
        </w:rPr>
        <w:t xml:space="preserve"> agencija za lijekove </w:t>
      </w:r>
      <w:r w:rsidR="00AA41EB">
        <w:rPr>
          <w:rFonts w:eastAsia="Times New Roman" w:cstheme="minorHAnsi"/>
        </w:rPr>
        <w:t xml:space="preserve">u Europskom gospodarskom prostoru (EGP). HMA je odgovorna za učinkovit regulatorni sustav lijekova na europskome tržištu. </w:t>
      </w:r>
      <w:r w:rsidR="00AA41EB">
        <w:rPr>
          <w:rFonts w:ascii="Calibri" w:hAnsi="Calibri" w:cs="Calibri"/>
        </w:rPr>
        <w:t xml:space="preserve">HMA surađuje s EMA-om i EK-om te predstavlja jedinstven model suradnje i raspodjele poslova vezanih uz zakonske, kao i dobrovoljne regulatorne djelatnosti. </w:t>
      </w:r>
    </w:p>
    <w:p w14:paraId="2135CB1F" w14:textId="77777777" w:rsidR="00AA41EB" w:rsidRDefault="00AA41EB" w:rsidP="00AA41EB">
      <w:pPr>
        <w:spacing w:after="120" w:line="276" w:lineRule="auto"/>
        <w:jc w:val="both"/>
        <w:rPr>
          <w:rFonts w:ascii="Calibri" w:hAnsi="Calibri" w:cs="Calibri"/>
        </w:rPr>
      </w:pPr>
      <w:r>
        <w:rPr>
          <w:rFonts w:ascii="Calibri" w:hAnsi="Calibri" w:cs="Calibri"/>
        </w:rPr>
        <w:t>Mrežom HMA upravlja i nadzire Upravljačka skupina (</w:t>
      </w:r>
      <w:r>
        <w:rPr>
          <w:rFonts w:ascii="Calibri" w:hAnsi="Calibri" w:cs="Calibri"/>
          <w:i/>
        </w:rPr>
        <w:t>Management Group</w:t>
      </w:r>
      <w:r>
        <w:rPr>
          <w:rFonts w:ascii="Calibri" w:hAnsi="Calibri" w:cs="Calibri"/>
        </w:rPr>
        <w:t>), a u radu je podupire niz radnih skupina koje pokrivaju specifična područja odgovornosti, kao i Stalno tajništvo (</w:t>
      </w:r>
      <w:r>
        <w:rPr>
          <w:rFonts w:ascii="Calibri" w:hAnsi="Calibri" w:cs="Calibri"/>
          <w:i/>
        </w:rPr>
        <w:t>Permanent Secretariat</w:t>
      </w:r>
      <w:r>
        <w:rPr>
          <w:rFonts w:ascii="Calibri" w:hAnsi="Calibri" w:cs="Calibri"/>
        </w:rPr>
        <w:t xml:space="preserve">). </w:t>
      </w:r>
    </w:p>
    <w:p w14:paraId="27BE34D0" w14:textId="77777777" w:rsidR="00AA41EB" w:rsidRDefault="00AA41EB" w:rsidP="00AA41EB">
      <w:pPr>
        <w:spacing w:after="120" w:line="276" w:lineRule="auto"/>
        <w:jc w:val="both"/>
        <w:rPr>
          <w:rFonts w:ascii="Calibri" w:hAnsi="Calibri" w:cs="Calibri"/>
        </w:rPr>
      </w:pPr>
      <w:r>
        <w:rPr>
          <w:rFonts w:ascii="Calibri" w:hAnsi="Calibri" w:cs="Calibri"/>
        </w:rPr>
        <w:t>Predstavnici HALMED-a sudjeluju u sljedećim radnim skupinama HMA-a:</w:t>
      </w:r>
      <w:r>
        <w:rPr>
          <w:rFonts w:ascii="Calibri" w:hAnsi="Calibri" w:cs="Calibri"/>
        </w:rPr>
        <w:tab/>
      </w:r>
    </w:p>
    <w:p w14:paraId="46FCCD27" w14:textId="77777777" w:rsidR="00AA41EB" w:rsidRPr="006A4E9D" w:rsidRDefault="00AA41EB" w:rsidP="00AA41EB">
      <w:pPr>
        <w:numPr>
          <w:ilvl w:val="0"/>
          <w:numId w:val="10"/>
        </w:numPr>
        <w:spacing w:after="120" w:line="276" w:lineRule="auto"/>
        <w:ind w:left="426" w:hanging="426"/>
        <w:jc w:val="both"/>
        <w:rPr>
          <w:rFonts w:ascii="Calibri" w:hAnsi="Calibri" w:cs="Calibri"/>
          <w:i/>
        </w:rPr>
      </w:pPr>
      <w:r>
        <w:rPr>
          <w:rFonts w:ascii="Calibri" w:hAnsi="Calibri" w:cs="Calibri"/>
          <w:b/>
        </w:rPr>
        <w:lastRenderedPageBreak/>
        <w:t>Koordinacijska skupina za postupke uzajamnog priznavanja i decentralizirane postupke za lijekove za ljudsku uporabu</w:t>
      </w:r>
      <w:r>
        <w:rPr>
          <w:rFonts w:ascii="Calibri" w:hAnsi="Calibri"/>
        </w:rPr>
        <w:t xml:space="preserve"> </w:t>
      </w:r>
      <w:r w:rsidRPr="006A4E9D">
        <w:rPr>
          <w:rFonts w:ascii="Calibri" w:hAnsi="Calibri"/>
          <w:i/>
        </w:rPr>
        <w:t>(</w:t>
      </w:r>
      <w:r w:rsidRPr="006A4E9D">
        <w:rPr>
          <w:rFonts w:ascii="Calibri" w:hAnsi="Calibri" w:cs="Calibri"/>
          <w:i/>
        </w:rPr>
        <w:t>Co-ordination Group for Mutual Recognition and Decentralised Procedures – Human, CMDh)</w:t>
      </w:r>
    </w:p>
    <w:p w14:paraId="6B5736D8" w14:textId="77777777" w:rsidR="00AA41EB" w:rsidRPr="005C2CBB" w:rsidRDefault="00AA41EB" w:rsidP="00AA41EB">
      <w:pPr>
        <w:numPr>
          <w:ilvl w:val="0"/>
          <w:numId w:val="10"/>
        </w:numPr>
        <w:spacing w:after="120" w:line="276" w:lineRule="auto"/>
        <w:ind w:left="426" w:hanging="426"/>
        <w:jc w:val="both"/>
        <w:rPr>
          <w:rFonts w:ascii="Calibri" w:hAnsi="Calibri" w:cs="Calibri"/>
          <w:i/>
        </w:rPr>
      </w:pPr>
      <w:r>
        <w:rPr>
          <w:rFonts w:ascii="Calibri" w:hAnsi="Calibri" w:cs="Calibri"/>
          <w:b/>
        </w:rPr>
        <w:t xml:space="preserve">Radna skupina za pravna i zakonodavna pitanja </w:t>
      </w:r>
      <w:r>
        <w:rPr>
          <w:rFonts w:ascii="Calibri" w:hAnsi="Calibri" w:cs="Calibri"/>
        </w:rPr>
        <w:t>(</w:t>
      </w:r>
      <w:r>
        <w:rPr>
          <w:rFonts w:ascii="Calibri" w:hAnsi="Calibri" w:cs="Calibri"/>
          <w:i/>
        </w:rPr>
        <w:t>European Medicines Agencies Co-operation on Legal and Legislative Issues</w:t>
      </w:r>
      <w:r>
        <w:rPr>
          <w:rFonts w:ascii="Calibri" w:hAnsi="Calibri" w:cs="Calibri"/>
        </w:rPr>
        <w:t xml:space="preserve">, </w:t>
      </w:r>
      <w:r w:rsidRPr="005C2CBB">
        <w:rPr>
          <w:rFonts w:ascii="Calibri" w:hAnsi="Calibri" w:cs="Calibri"/>
          <w:i/>
        </w:rPr>
        <w:t>EMACOLEX)</w:t>
      </w:r>
    </w:p>
    <w:p w14:paraId="0BDFE8F8" w14:textId="77777777" w:rsidR="00AA41EB" w:rsidRPr="005C2CBB" w:rsidRDefault="00AA41EB" w:rsidP="00AA41EB">
      <w:pPr>
        <w:numPr>
          <w:ilvl w:val="0"/>
          <w:numId w:val="10"/>
        </w:numPr>
        <w:spacing w:after="120" w:line="276" w:lineRule="auto"/>
        <w:ind w:left="426" w:hanging="426"/>
        <w:jc w:val="both"/>
        <w:rPr>
          <w:rFonts w:ascii="Calibri" w:hAnsi="Calibri" w:cs="Calibri"/>
          <w:i/>
        </w:rPr>
      </w:pPr>
      <w:r>
        <w:rPr>
          <w:rFonts w:ascii="Calibri" w:hAnsi="Calibri" w:cs="Calibri"/>
          <w:b/>
          <w:iCs/>
        </w:rPr>
        <w:t xml:space="preserve">Radna skupina za homeopatske lijekove </w:t>
      </w:r>
      <w:r>
        <w:rPr>
          <w:rFonts w:ascii="Calibri" w:hAnsi="Calibri" w:cs="Calibri"/>
          <w:iCs/>
        </w:rPr>
        <w:t>(</w:t>
      </w:r>
      <w:r>
        <w:rPr>
          <w:rFonts w:ascii="Calibri" w:hAnsi="Calibri" w:cs="Calibri"/>
          <w:i/>
          <w:iCs/>
        </w:rPr>
        <w:t>Homeopathic medicinal products working group</w:t>
      </w:r>
      <w:r>
        <w:rPr>
          <w:rFonts w:ascii="Calibri" w:hAnsi="Calibri" w:cs="Calibri"/>
          <w:iCs/>
        </w:rPr>
        <w:t xml:space="preserve">, </w:t>
      </w:r>
      <w:r w:rsidRPr="005C2CBB">
        <w:rPr>
          <w:rFonts w:ascii="Calibri" w:hAnsi="Calibri" w:cs="Calibri"/>
          <w:i/>
          <w:iCs/>
        </w:rPr>
        <w:t>HMPWG)</w:t>
      </w:r>
    </w:p>
    <w:p w14:paraId="27F9262C" w14:textId="77777777" w:rsidR="00AA41EB" w:rsidRPr="005C2CBB" w:rsidRDefault="00AA41EB" w:rsidP="00AA41EB">
      <w:pPr>
        <w:numPr>
          <w:ilvl w:val="3"/>
          <w:numId w:val="10"/>
        </w:numPr>
        <w:spacing w:after="120" w:line="276" w:lineRule="auto"/>
        <w:ind w:left="426" w:hanging="426"/>
        <w:jc w:val="both"/>
        <w:rPr>
          <w:rFonts w:ascii="Calibri" w:hAnsi="Calibri" w:cs="Calibri"/>
          <w:i/>
          <w:iCs/>
        </w:rPr>
      </w:pPr>
      <w:r>
        <w:rPr>
          <w:rFonts w:ascii="Calibri" w:hAnsi="Calibri" w:cs="Calibri"/>
          <w:b/>
          <w:iCs/>
        </w:rPr>
        <w:t xml:space="preserve">Radna skupina voditelja kvalitete </w:t>
      </w:r>
      <w:r>
        <w:rPr>
          <w:rFonts w:ascii="Calibri" w:hAnsi="Calibri" w:cs="Calibri"/>
          <w:iCs/>
        </w:rPr>
        <w:t>(</w:t>
      </w:r>
      <w:r>
        <w:rPr>
          <w:rFonts w:ascii="Calibri" w:hAnsi="Calibri" w:cs="Calibri"/>
          <w:i/>
          <w:iCs/>
        </w:rPr>
        <w:t>Working group of quality managers</w:t>
      </w:r>
      <w:r>
        <w:rPr>
          <w:rFonts w:ascii="Calibri" w:hAnsi="Calibri" w:cs="Calibri"/>
          <w:iCs/>
        </w:rPr>
        <w:t xml:space="preserve">, </w:t>
      </w:r>
      <w:r w:rsidRPr="005C2CBB">
        <w:rPr>
          <w:rFonts w:ascii="Calibri" w:hAnsi="Calibri" w:cs="Calibri"/>
          <w:i/>
          <w:iCs/>
        </w:rPr>
        <w:t>WGQM)</w:t>
      </w:r>
    </w:p>
    <w:p w14:paraId="1C3A22AE" w14:textId="77777777" w:rsidR="00AA41EB" w:rsidRDefault="00AA41EB" w:rsidP="00AA41EB">
      <w:pPr>
        <w:numPr>
          <w:ilvl w:val="3"/>
          <w:numId w:val="10"/>
        </w:numPr>
        <w:spacing w:after="120" w:line="276" w:lineRule="auto"/>
        <w:ind w:left="426" w:hanging="426"/>
        <w:jc w:val="both"/>
        <w:rPr>
          <w:rFonts w:ascii="Calibri" w:hAnsi="Calibri" w:cs="Calibri"/>
          <w:iCs/>
        </w:rPr>
      </w:pPr>
      <w:r>
        <w:rPr>
          <w:rFonts w:ascii="Calibri" w:hAnsi="Calibri" w:cs="Calibri"/>
          <w:b/>
          <w:iCs/>
        </w:rPr>
        <w:t xml:space="preserve">Radna skupina komunikacijskih stručnjaka </w:t>
      </w:r>
      <w:r>
        <w:rPr>
          <w:rFonts w:ascii="Calibri" w:hAnsi="Calibri" w:cs="Calibri"/>
          <w:iCs/>
        </w:rPr>
        <w:t>(</w:t>
      </w:r>
      <w:r>
        <w:rPr>
          <w:rFonts w:ascii="Calibri" w:hAnsi="Calibri" w:cs="Calibri"/>
          <w:i/>
          <w:iCs/>
        </w:rPr>
        <w:t>Working group of Communication Professionals</w:t>
      </w:r>
      <w:r>
        <w:rPr>
          <w:rFonts w:ascii="Calibri" w:hAnsi="Calibri" w:cs="Calibri"/>
          <w:iCs/>
        </w:rPr>
        <w:t>, WGCP)</w:t>
      </w:r>
    </w:p>
    <w:p w14:paraId="7D5125A1" w14:textId="77777777" w:rsidR="00AA41EB" w:rsidRPr="005C2CBB" w:rsidRDefault="00AA41EB" w:rsidP="00AA41EB">
      <w:pPr>
        <w:numPr>
          <w:ilvl w:val="0"/>
          <w:numId w:val="10"/>
        </w:numPr>
        <w:spacing w:after="120" w:line="276" w:lineRule="auto"/>
        <w:ind w:left="426" w:hanging="426"/>
        <w:jc w:val="both"/>
        <w:rPr>
          <w:rFonts w:ascii="Calibri" w:hAnsi="Calibri" w:cs="Calibri"/>
          <w:bCs/>
          <w:i/>
        </w:rPr>
      </w:pPr>
      <w:r>
        <w:rPr>
          <w:rFonts w:ascii="Calibri" w:hAnsi="Calibri" w:cs="Calibri"/>
          <w:b/>
          <w:iCs/>
        </w:rPr>
        <w:t xml:space="preserve">Radna skupina provedbenih službenika </w:t>
      </w:r>
      <w:r>
        <w:rPr>
          <w:rFonts w:ascii="Calibri" w:hAnsi="Calibri" w:cs="Calibri"/>
          <w:iCs/>
        </w:rPr>
        <w:t>(</w:t>
      </w:r>
      <w:r>
        <w:rPr>
          <w:rFonts w:ascii="Calibri" w:hAnsi="Calibri" w:cs="Calibri"/>
          <w:i/>
          <w:iCs/>
        </w:rPr>
        <w:t>Working group of Enforcement Officers</w:t>
      </w:r>
      <w:r>
        <w:rPr>
          <w:rFonts w:ascii="Calibri" w:hAnsi="Calibri" w:cs="Calibri"/>
          <w:iCs/>
        </w:rPr>
        <w:t xml:space="preserve">, </w:t>
      </w:r>
      <w:r w:rsidRPr="005C2CBB">
        <w:rPr>
          <w:rFonts w:ascii="Calibri" w:hAnsi="Calibri" w:cs="Calibri"/>
          <w:i/>
          <w:iCs/>
        </w:rPr>
        <w:t>WGEO)</w:t>
      </w:r>
    </w:p>
    <w:p w14:paraId="2D1D8913" w14:textId="77777777" w:rsidR="00AA41EB" w:rsidRDefault="00AA41EB" w:rsidP="00AA41EB">
      <w:pPr>
        <w:numPr>
          <w:ilvl w:val="3"/>
          <w:numId w:val="10"/>
        </w:numPr>
        <w:spacing w:after="120" w:line="276" w:lineRule="auto"/>
        <w:ind w:left="426" w:hanging="426"/>
        <w:jc w:val="both"/>
        <w:rPr>
          <w:rFonts w:ascii="Calibri" w:hAnsi="Calibri" w:cs="Calibri"/>
        </w:rPr>
      </w:pPr>
      <w:r>
        <w:rPr>
          <w:rFonts w:ascii="Calibri" w:hAnsi="Calibri" w:cs="Calibri"/>
          <w:b/>
        </w:rPr>
        <w:t xml:space="preserve">Radna skupina za temeljnu dokumentaciju o djelatnoj tvari </w:t>
      </w:r>
      <w:r>
        <w:rPr>
          <w:rFonts w:ascii="Calibri" w:hAnsi="Calibri" w:cs="Calibri"/>
        </w:rPr>
        <w:t>(</w:t>
      </w:r>
      <w:r>
        <w:rPr>
          <w:rFonts w:ascii="Calibri" w:hAnsi="Calibri" w:cs="Calibri"/>
          <w:i/>
        </w:rPr>
        <w:t>Working Group on Active Substance Master File Procedures</w:t>
      </w:r>
      <w:r>
        <w:rPr>
          <w:rFonts w:ascii="Calibri" w:hAnsi="Calibri" w:cs="Calibri"/>
        </w:rPr>
        <w:t>)</w:t>
      </w:r>
    </w:p>
    <w:p w14:paraId="612073D8" w14:textId="77777777" w:rsidR="00AA41EB" w:rsidRDefault="00AA41EB" w:rsidP="00AA41EB">
      <w:pPr>
        <w:numPr>
          <w:ilvl w:val="0"/>
          <w:numId w:val="9"/>
        </w:numPr>
        <w:spacing w:after="120" w:line="276" w:lineRule="auto"/>
        <w:ind w:left="426" w:hanging="426"/>
        <w:jc w:val="both"/>
        <w:rPr>
          <w:rFonts w:ascii="Calibri" w:hAnsi="Calibri" w:cs="Calibri"/>
        </w:rPr>
      </w:pPr>
      <w:r>
        <w:rPr>
          <w:rFonts w:ascii="Calibri" w:hAnsi="Calibri" w:cs="Calibri"/>
          <w:b/>
        </w:rPr>
        <w:t xml:space="preserve">Radna skupina za poboljšanje procesa </w:t>
      </w:r>
      <w:r>
        <w:rPr>
          <w:rFonts w:ascii="Calibri" w:hAnsi="Calibri" w:cs="Calibri"/>
        </w:rPr>
        <w:t>(</w:t>
      </w:r>
      <w:r>
        <w:rPr>
          <w:rFonts w:ascii="Calibri" w:hAnsi="Calibri" w:cs="Calibri"/>
          <w:i/>
        </w:rPr>
        <w:t>Process Improvement Working Party</w:t>
      </w:r>
      <w:r>
        <w:rPr>
          <w:rFonts w:ascii="Calibri" w:hAnsi="Calibri" w:cs="Calibri"/>
        </w:rPr>
        <w:t>)</w:t>
      </w:r>
    </w:p>
    <w:p w14:paraId="35090C6C" w14:textId="77777777" w:rsidR="00AA41EB" w:rsidRDefault="00AA41EB" w:rsidP="00AA41EB">
      <w:pPr>
        <w:numPr>
          <w:ilvl w:val="0"/>
          <w:numId w:val="9"/>
        </w:numPr>
        <w:spacing w:after="120" w:line="276" w:lineRule="auto"/>
        <w:ind w:left="426" w:hanging="426"/>
        <w:jc w:val="both"/>
        <w:rPr>
          <w:rFonts w:ascii="Calibri" w:hAnsi="Calibri" w:cs="Calibri"/>
        </w:rPr>
      </w:pPr>
      <w:r>
        <w:rPr>
          <w:rFonts w:ascii="Calibri" w:hAnsi="Calibri" w:cs="Calibri"/>
          <w:b/>
        </w:rPr>
        <w:t xml:space="preserve">Radna skupina za regulaciju izmjena </w:t>
      </w:r>
      <w:r>
        <w:rPr>
          <w:rFonts w:ascii="Calibri" w:hAnsi="Calibri" w:cs="Calibri"/>
        </w:rPr>
        <w:t>(</w:t>
      </w:r>
      <w:r>
        <w:rPr>
          <w:rFonts w:ascii="Calibri" w:hAnsi="Calibri" w:cs="Calibri"/>
          <w:i/>
        </w:rPr>
        <w:t>Working Party on Variation Regulation</w:t>
      </w:r>
      <w:r>
        <w:rPr>
          <w:rFonts w:ascii="Calibri" w:hAnsi="Calibri" w:cs="Calibri"/>
        </w:rPr>
        <w:t>)</w:t>
      </w:r>
    </w:p>
    <w:p w14:paraId="0775B7C5" w14:textId="77777777" w:rsidR="0016769A" w:rsidRPr="0016769A" w:rsidRDefault="007328D0" w:rsidP="0016769A">
      <w:pPr>
        <w:numPr>
          <w:ilvl w:val="0"/>
          <w:numId w:val="9"/>
        </w:numPr>
        <w:spacing w:after="120" w:line="276" w:lineRule="auto"/>
        <w:ind w:left="426" w:hanging="426"/>
        <w:jc w:val="both"/>
        <w:rPr>
          <w:rFonts w:ascii="Calibri" w:hAnsi="Calibri" w:cs="Calibri"/>
        </w:rPr>
      </w:pPr>
      <w:r w:rsidRPr="00CD7DB5">
        <w:rPr>
          <w:rFonts w:ascii="Calibri" w:hAnsi="Calibri" w:cs="Calibri"/>
          <w:b/>
        </w:rPr>
        <w:t>Radna skupina za bezreceptne lijekove</w:t>
      </w:r>
      <w:r w:rsidRPr="0016769A">
        <w:rPr>
          <w:rFonts w:ascii="Calibri" w:hAnsi="Calibri" w:cs="Calibri"/>
        </w:rPr>
        <w:t xml:space="preserve"> (</w:t>
      </w:r>
      <w:r w:rsidRPr="00CD7DB5">
        <w:rPr>
          <w:rFonts w:ascii="Calibri" w:hAnsi="Calibri" w:cs="Calibri"/>
          <w:i/>
        </w:rPr>
        <w:t>Non-prescription Medicinal Products TF</w:t>
      </w:r>
      <w:r w:rsidRPr="0016769A">
        <w:rPr>
          <w:rFonts w:ascii="Calibri" w:hAnsi="Calibri" w:cs="Calibri"/>
        </w:rPr>
        <w:t>)</w:t>
      </w:r>
    </w:p>
    <w:p w14:paraId="4A17C3A0" w14:textId="77777777" w:rsidR="0016769A" w:rsidRPr="0016769A" w:rsidRDefault="007328D0" w:rsidP="0016769A">
      <w:pPr>
        <w:numPr>
          <w:ilvl w:val="0"/>
          <w:numId w:val="9"/>
        </w:numPr>
        <w:spacing w:after="120" w:line="276" w:lineRule="auto"/>
        <w:ind w:left="426" w:hanging="426"/>
        <w:jc w:val="both"/>
        <w:rPr>
          <w:rFonts w:ascii="Calibri" w:hAnsi="Calibri" w:cs="Calibri"/>
        </w:rPr>
      </w:pPr>
      <w:r w:rsidRPr="00CD7DB5">
        <w:rPr>
          <w:rFonts w:ascii="Calibri" w:hAnsi="Calibri" w:cs="Calibri"/>
          <w:b/>
        </w:rPr>
        <w:t>Radna skupina za CTS</w:t>
      </w:r>
      <w:r w:rsidRPr="0016769A">
        <w:rPr>
          <w:rFonts w:ascii="Calibri" w:hAnsi="Calibri" w:cs="Calibri"/>
        </w:rPr>
        <w:t xml:space="preserve"> (</w:t>
      </w:r>
      <w:r w:rsidRPr="00CD7DB5">
        <w:rPr>
          <w:rFonts w:ascii="Calibri" w:hAnsi="Calibri" w:cs="Calibri"/>
          <w:i/>
        </w:rPr>
        <w:t>Communication and Tracking System</w:t>
      </w:r>
      <w:r w:rsidRPr="0016769A">
        <w:rPr>
          <w:rFonts w:ascii="Calibri" w:hAnsi="Calibri" w:cs="Calibri"/>
        </w:rPr>
        <w:t>)</w:t>
      </w:r>
    </w:p>
    <w:p w14:paraId="0CB8C0C6" w14:textId="77777777" w:rsidR="0016769A" w:rsidRPr="0016769A" w:rsidRDefault="007328D0" w:rsidP="0016769A">
      <w:pPr>
        <w:numPr>
          <w:ilvl w:val="0"/>
          <w:numId w:val="9"/>
        </w:numPr>
        <w:spacing w:after="120" w:line="276" w:lineRule="auto"/>
        <w:ind w:left="426" w:hanging="426"/>
        <w:jc w:val="both"/>
        <w:rPr>
          <w:rFonts w:ascii="Calibri" w:hAnsi="Calibri" w:cs="Calibri"/>
        </w:rPr>
      </w:pPr>
      <w:r w:rsidRPr="00CD7DB5">
        <w:rPr>
          <w:rFonts w:ascii="Calibri" w:hAnsi="Calibri" w:cs="Calibri"/>
          <w:b/>
        </w:rPr>
        <w:t>Projekt harmonizacije plana upravljanja rizicima</w:t>
      </w:r>
      <w:r w:rsidRPr="0016769A">
        <w:rPr>
          <w:rFonts w:ascii="Calibri" w:hAnsi="Calibri" w:cs="Calibri"/>
        </w:rPr>
        <w:t xml:space="preserve"> (</w:t>
      </w:r>
      <w:r w:rsidRPr="00CD7DB5">
        <w:rPr>
          <w:rFonts w:ascii="Calibri" w:hAnsi="Calibri" w:cs="Calibri"/>
          <w:i/>
        </w:rPr>
        <w:t>Harmonisation of Risk Management Plan Project, HaRP</w:t>
      </w:r>
      <w:r w:rsidRPr="0016769A">
        <w:rPr>
          <w:rFonts w:ascii="Calibri" w:hAnsi="Calibri" w:cs="Calibri"/>
        </w:rPr>
        <w:t>)</w:t>
      </w:r>
    </w:p>
    <w:p w14:paraId="26C811C5" w14:textId="77777777" w:rsidR="0069420F" w:rsidRDefault="007328D0" w:rsidP="00CD7DB5">
      <w:pPr>
        <w:numPr>
          <w:ilvl w:val="0"/>
          <w:numId w:val="9"/>
        </w:numPr>
        <w:spacing w:after="120" w:line="276" w:lineRule="auto"/>
        <w:ind w:left="426" w:hanging="426"/>
        <w:jc w:val="both"/>
        <w:rPr>
          <w:rFonts w:ascii="Calibri" w:hAnsi="Calibri" w:cs="Calibri"/>
        </w:rPr>
      </w:pPr>
      <w:r w:rsidRPr="00CD7DB5">
        <w:rPr>
          <w:rFonts w:ascii="Calibri" w:hAnsi="Calibri" w:cs="Calibri"/>
          <w:b/>
        </w:rPr>
        <w:t>Radna skupina za zajedničke farmakovigilancijske postupke</w:t>
      </w:r>
      <w:r w:rsidRPr="0016769A">
        <w:rPr>
          <w:rFonts w:ascii="Calibri" w:hAnsi="Calibri" w:cs="Calibri"/>
        </w:rPr>
        <w:t xml:space="preserve"> (</w:t>
      </w:r>
      <w:r w:rsidRPr="00CD7DB5">
        <w:rPr>
          <w:rFonts w:ascii="Calibri" w:hAnsi="Calibri" w:cs="Calibri"/>
          <w:i/>
        </w:rPr>
        <w:t>Pharmacovigilance Work Sharing Procedures Working Party, PhV WSP WP</w:t>
      </w:r>
      <w:r w:rsidRPr="0016769A">
        <w:rPr>
          <w:rFonts w:ascii="Calibri" w:hAnsi="Calibri" w:cs="Calibri"/>
        </w:rPr>
        <w:t>)</w:t>
      </w:r>
    </w:p>
    <w:p w14:paraId="645E81FD" w14:textId="77777777" w:rsidR="0069420F" w:rsidRDefault="0069420F" w:rsidP="00CD7DB5">
      <w:pPr>
        <w:numPr>
          <w:ilvl w:val="0"/>
          <w:numId w:val="9"/>
        </w:numPr>
        <w:spacing w:after="120" w:line="276" w:lineRule="auto"/>
        <w:ind w:left="426" w:hanging="426"/>
        <w:jc w:val="both"/>
        <w:rPr>
          <w:rFonts w:ascii="Calibri" w:hAnsi="Calibri" w:cs="Calibri"/>
        </w:rPr>
      </w:pPr>
      <w:r w:rsidRPr="00CF7267">
        <w:rPr>
          <w:rFonts w:ascii="Calibri" w:hAnsi="Calibri" w:cs="Calibri"/>
          <w:b/>
        </w:rPr>
        <w:t>Tim za upravljanje farmakovigilancijskim poslovima</w:t>
      </w:r>
      <w:r w:rsidRPr="0069420F">
        <w:rPr>
          <w:rFonts w:ascii="Calibri" w:hAnsi="Calibri" w:cs="Calibri"/>
        </w:rPr>
        <w:t xml:space="preserve"> (Pharmacovigilance Business Team, PBT)</w:t>
      </w:r>
    </w:p>
    <w:p w14:paraId="18ADB56F" w14:textId="77777777" w:rsidR="0069420F" w:rsidRDefault="0069420F" w:rsidP="00CD7DB5">
      <w:pPr>
        <w:numPr>
          <w:ilvl w:val="0"/>
          <w:numId w:val="9"/>
        </w:numPr>
        <w:spacing w:after="120" w:line="276" w:lineRule="auto"/>
        <w:ind w:left="426" w:hanging="426"/>
        <w:jc w:val="both"/>
        <w:rPr>
          <w:rFonts w:ascii="Calibri" w:hAnsi="Calibri" w:cs="Calibri"/>
        </w:rPr>
      </w:pPr>
      <w:r w:rsidRPr="00CF7267">
        <w:rPr>
          <w:rFonts w:ascii="Calibri" w:hAnsi="Calibri" w:cs="Calibri"/>
          <w:b/>
        </w:rPr>
        <w:t>Radna skupina za pregled upravljanja signalom</w:t>
      </w:r>
      <w:r w:rsidRPr="0069420F">
        <w:rPr>
          <w:rFonts w:ascii="Calibri" w:hAnsi="Calibri" w:cs="Calibri"/>
        </w:rPr>
        <w:t xml:space="preserve"> (The Signal Management Review Technical Working Group, SMART)</w:t>
      </w:r>
    </w:p>
    <w:p w14:paraId="5B1613BA" w14:textId="77777777" w:rsidR="0069420F" w:rsidRPr="0069420F" w:rsidRDefault="0069420F" w:rsidP="00CD7DB5">
      <w:pPr>
        <w:numPr>
          <w:ilvl w:val="0"/>
          <w:numId w:val="9"/>
        </w:numPr>
        <w:spacing w:after="120" w:line="276" w:lineRule="auto"/>
        <w:ind w:left="426" w:hanging="426"/>
        <w:jc w:val="both"/>
        <w:rPr>
          <w:rFonts w:ascii="Calibri" w:hAnsi="Calibri" w:cs="Calibri"/>
        </w:rPr>
      </w:pPr>
      <w:r w:rsidRPr="00CF7267">
        <w:rPr>
          <w:rFonts w:ascii="Calibri" w:hAnsi="Calibri" w:cs="Calibri"/>
          <w:b/>
        </w:rPr>
        <w:t>Radna skupina za koordinaciju kliničkih ispitivanja</w:t>
      </w:r>
      <w:r w:rsidRPr="0069420F">
        <w:rPr>
          <w:rFonts w:ascii="Calibri" w:hAnsi="Calibri" w:cs="Calibri"/>
        </w:rPr>
        <w:t>, (Clinical Trial Coordination Group, CTCG)</w:t>
      </w:r>
    </w:p>
    <w:p w14:paraId="78FFAD72" w14:textId="77777777" w:rsidR="007328D0" w:rsidRPr="0016769A" w:rsidRDefault="007328D0" w:rsidP="0016769A">
      <w:pPr>
        <w:numPr>
          <w:ilvl w:val="0"/>
          <w:numId w:val="9"/>
        </w:numPr>
        <w:spacing w:after="120" w:line="276" w:lineRule="auto"/>
        <w:ind w:left="426" w:hanging="426"/>
        <w:jc w:val="both"/>
        <w:rPr>
          <w:rFonts w:ascii="Calibri" w:hAnsi="Calibri" w:cs="Calibri"/>
        </w:rPr>
      </w:pPr>
      <w:r w:rsidRPr="00CD7DB5">
        <w:rPr>
          <w:rFonts w:ascii="Calibri" w:hAnsi="Calibri" w:cs="Calibri"/>
          <w:b/>
        </w:rPr>
        <w:t>Regulatorna skupina za elektronički obrazac prijave</w:t>
      </w:r>
      <w:r w:rsidRPr="0016769A">
        <w:rPr>
          <w:rFonts w:ascii="Calibri" w:hAnsi="Calibri" w:cs="Calibri"/>
        </w:rPr>
        <w:t xml:space="preserve"> (</w:t>
      </w:r>
      <w:r w:rsidRPr="00CD7DB5">
        <w:rPr>
          <w:rFonts w:ascii="Calibri" w:hAnsi="Calibri" w:cs="Calibri"/>
          <w:i/>
        </w:rPr>
        <w:t>eAF Regulatory Focus Group</w:t>
      </w:r>
      <w:r w:rsidRPr="0016769A">
        <w:rPr>
          <w:rFonts w:ascii="Calibri" w:hAnsi="Calibri" w:cs="Calibri"/>
        </w:rPr>
        <w:t>).</w:t>
      </w:r>
    </w:p>
    <w:p w14:paraId="03ADD751" w14:textId="77777777" w:rsidR="007328D0" w:rsidRDefault="007328D0" w:rsidP="0016769A">
      <w:pPr>
        <w:spacing w:after="120" w:line="276" w:lineRule="auto"/>
        <w:ind w:left="426"/>
        <w:jc w:val="both"/>
        <w:rPr>
          <w:rFonts w:ascii="Calibri" w:hAnsi="Calibri" w:cs="Calibri"/>
        </w:rPr>
      </w:pPr>
    </w:p>
    <w:p w14:paraId="3F29FD4A" w14:textId="77777777" w:rsidR="00AA41EB" w:rsidRDefault="00AA41EB" w:rsidP="00AA41EB">
      <w:pPr>
        <w:spacing w:after="120" w:line="276" w:lineRule="auto"/>
        <w:jc w:val="both"/>
        <w:rPr>
          <w:rFonts w:ascii="Calibri" w:hAnsi="Calibri" w:cs="Calibri"/>
        </w:rPr>
      </w:pPr>
      <w:r>
        <w:rPr>
          <w:rFonts w:ascii="Calibri" w:hAnsi="Calibri" w:cs="Calibri"/>
        </w:rPr>
        <w:t>HALMED je uključen i u projekte HMA-a vezano za poslove administriranja internetskih stranica HMA-a.</w:t>
      </w:r>
    </w:p>
    <w:p w14:paraId="48E6E8EF" w14:textId="77777777" w:rsidR="00AA41EB" w:rsidRPr="006A4E9D" w:rsidRDefault="00AA41EB" w:rsidP="00AA41EB">
      <w:pPr>
        <w:pStyle w:val="Heading4"/>
      </w:pPr>
      <w:bookmarkStart w:id="52" w:name="_Toc530140487"/>
      <w:r w:rsidRPr="006A4E9D">
        <w:t xml:space="preserve">1.2.2.6. </w:t>
      </w:r>
      <w:r w:rsidRPr="004C51D2">
        <w:t>Mreža</w:t>
      </w:r>
      <w:r w:rsidRPr="006A4E9D">
        <w:t xml:space="preserve"> nacionalnih agencija za medicinske proizvode (CAMD)</w:t>
      </w:r>
      <w:bookmarkEnd w:id="52"/>
    </w:p>
    <w:p w14:paraId="5D82E5A0" w14:textId="77777777" w:rsidR="00AA41EB" w:rsidRDefault="008B34CD" w:rsidP="00AA41EB">
      <w:pPr>
        <w:spacing w:after="240" w:line="276" w:lineRule="auto"/>
        <w:jc w:val="both"/>
      </w:pPr>
      <w:hyperlink r:id="rId23" w:history="1">
        <w:r w:rsidR="00AA41EB" w:rsidRPr="00136B03">
          <w:rPr>
            <w:rStyle w:val="Hyperlink"/>
            <w:rFonts w:eastAsia="Times New Roman"/>
            <w:color w:val="auto"/>
            <w:u w:val="none"/>
          </w:rPr>
          <w:t>Mreža nacionalnih agencija za medicinske proizvode</w:t>
        </w:r>
        <w:r w:rsidR="00AA41EB" w:rsidRPr="00136B03">
          <w:rPr>
            <w:rStyle w:val="Hyperlink"/>
            <w:color w:val="auto"/>
            <w:u w:val="none"/>
          </w:rPr>
          <w:t xml:space="preserve"> </w:t>
        </w:r>
        <w:r w:rsidR="00AA41EB" w:rsidRPr="00136B03">
          <w:rPr>
            <w:rStyle w:val="Hyperlink"/>
            <w:i/>
            <w:color w:val="auto"/>
            <w:u w:val="none"/>
          </w:rPr>
          <w:t>(</w:t>
        </w:r>
        <w:r w:rsidR="00AA41EB" w:rsidRPr="006A4E9D">
          <w:rPr>
            <w:rStyle w:val="Strong"/>
            <w:b w:val="0"/>
            <w:i/>
          </w:rPr>
          <w:t xml:space="preserve">Competent Authorities for Medical Devices, </w:t>
        </w:r>
        <w:r w:rsidR="00AA41EB" w:rsidRPr="00136B03">
          <w:rPr>
            <w:rStyle w:val="Hyperlink"/>
            <w:i/>
            <w:color w:val="auto"/>
            <w:u w:val="none"/>
          </w:rPr>
          <w:t>CAMD)</w:t>
        </w:r>
      </w:hyperlink>
      <w:r w:rsidR="00AA41EB">
        <w:rPr>
          <w:rFonts w:eastAsia="Times New Roman" w:cstheme="minorHAnsi"/>
        </w:rPr>
        <w:t xml:space="preserve"> okuplja regulatorne institucije nadležne za regulaciju medicinskih proizvoda namijenjenih za primjenu u ljudi. Odgovorna je za održavanje zajedničkog rada nacionalnih regulatornih tijela, njihovu razmjenu informacija i nadzor nad medicinskim proizvodima na europskome tržištu. Predstavnici HALMED-a sudjeluju u radu </w:t>
      </w:r>
      <w:r w:rsidR="00AA41EB" w:rsidRPr="00F1675B">
        <w:rPr>
          <w:rFonts w:eastAsia="Times New Roman" w:cstheme="minorHAnsi"/>
        </w:rPr>
        <w:t>CAMD</w:t>
      </w:r>
      <w:r w:rsidR="00AA41EB">
        <w:rPr>
          <w:rFonts w:eastAsia="Times New Roman" w:cstheme="minorHAnsi"/>
        </w:rPr>
        <w:t>-a.</w:t>
      </w:r>
    </w:p>
    <w:p w14:paraId="01B00BF0" w14:textId="77777777" w:rsidR="00AA41EB" w:rsidRPr="00EF2095" w:rsidRDefault="00AA41EB" w:rsidP="00AA41EB">
      <w:pPr>
        <w:pStyle w:val="Heading3"/>
      </w:pPr>
      <w:bookmarkStart w:id="53" w:name="_Toc514929937"/>
      <w:bookmarkStart w:id="54" w:name="_Toc530140488"/>
      <w:bookmarkStart w:id="55" w:name="_Toc165035436"/>
      <w:r w:rsidRPr="00EF2095">
        <w:lastRenderedPageBreak/>
        <w:t>1.2.3. Međunarodni poslovi</w:t>
      </w:r>
      <w:bookmarkEnd w:id="53"/>
      <w:bookmarkEnd w:id="54"/>
      <w:bookmarkEnd w:id="55"/>
    </w:p>
    <w:p w14:paraId="59C69D60" w14:textId="77777777" w:rsidR="00AA41EB" w:rsidRDefault="00AA41EB" w:rsidP="00AA41EB">
      <w:pPr>
        <w:spacing w:after="240" w:line="276" w:lineRule="auto"/>
        <w:jc w:val="both"/>
      </w:pPr>
      <w:r>
        <w:t xml:space="preserve">HALMED surađuje sa sljedećim međunarodnim tijelima i organizacijama: </w:t>
      </w:r>
    </w:p>
    <w:p w14:paraId="339045A4" w14:textId="77777777" w:rsidR="00AA41EB" w:rsidRPr="004D523A" w:rsidRDefault="008B34CD" w:rsidP="00AA41EB">
      <w:pPr>
        <w:pStyle w:val="ListParagraph"/>
        <w:numPr>
          <w:ilvl w:val="0"/>
          <w:numId w:val="11"/>
        </w:numPr>
        <w:spacing w:after="240"/>
      </w:pPr>
      <w:hyperlink r:id="rId24" w:history="1">
        <w:r w:rsidR="00AA41EB" w:rsidRPr="00136B03">
          <w:rPr>
            <w:rStyle w:val="Hyperlink"/>
            <w:color w:val="auto"/>
            <w:sz w:val="22"/>
            <w:szCs w:val="22"/>
            <w:u w:val="none"/>
          </w:rPr>
          <w:t>Svjetska zdravstvena organizacija (WHO)</w:t>
        </w:r>
      </w:hyperlink>
    </w:p>
    <w:p w14:paraId="40CC8649" w14:textId="77777777" w:rsidR="00AA41EB" w:rsidRPr="004D523A" w:rsidRDefault="008B34CD" w:rsidP="00AA41EB">
      <w:pPr>
        <w:pStyle w:val="ListParagraph"/>
        <w:numPr>
          <w:ilvl w:val="0"/>
          <w:numId w:val="11"/>
        </w:numPr>
        <w:spacing w:after="240"/>
        <w:rPr>
          <w:sz w:val="22"/>
          <w:szCs w:val="22"/>
        </w:rPr>
      </w:pPr>
      <w:hyperlink r:id="rId25" w:history="1">
        <w:r w:rsidR="00AA41EB" w:rsidRPr="00136B03">
          <w:rPr>
            <w:rStyle w:val="Hyperlink"/>
            <w:color w:val="auto"/>
            <w:sz w:val="22"/>
            <w:szCs w:val="22"/>
            <w:u w:val="none"/>
          </w:rPr>
          <w:t>Farmaceutsko – inspekcijska konvencija/shema (PIC/S)</w:t>
        </w:r>
      </w:hyperlink>
      <w:r w:rsidR="00AA41EB" w:rsidRPr="004D523A">
        <w:rPr>
          <w:sz w:val="22"/>
          <w:szCs w:val="22"/>
        </w:rPr>
        <w:t xml:space="preserve"> </w:t>
      </w:r>
    </w:p>
    <w:p w14:paraId="014872F8" w14:textId="77777777" w:rsidR="00AA41EB" w:rsidRPr="004D523A" w:rsidRDefault="008B34CD" w:rsidP="00AA41EB">
      <w:pPr>
        <w:pStyle w:val="ListParagraph"/>
        <w:numPr>
          <w:ilvl w:val="0"/>
          <w:numId w:val="11"/>
        </w:numPr>
        <w:spacing w:after="240"/>
        <w:rPr>
          <w:sz w:val="22"/>
          <w:szCs w:val="22"/>
        </w:rPr>
      </w:pPr>
      <w:hyperlink r:id="rId26" w:history="1">
        <w:r w:rsidR="00AA41EB" w:rsidRPr="00136B03">
          <w:rPr>
            <w:rStyle w:val="Hyperlink"/>
            <w:color w:val="auto"/>
            <w:sz w:val="22"/>
            <w:szCs w:val="22"/>
            <w:u w:val="none"/>
          </w:rPr>
          <w:t>Međunarodno društvo za farmakoekonomiku i istraživanje ishoda</w:t>
        </w:r>
        <w:r w:rsidR="00AA41EB" w:rsidRPr="00136B03">
          <w:rPr>
            <w:rStyle w:val="Hyperlink"/>
            <w:rFonts w:eastAsia="Times New Roman"/>
            <w:color w:val="auto"/>
            <w:sz w:val="22"/>
            <w:szCs w:val="22"/>
            <w:u w:val="none"/>
          </w:rPr>
          <w:t xml:space="preserve"> (ISPOR)</w:t>
        </w:r>
      </w:hyperlink>
    </w:p>
    <w:p w14:paraId="536F3C68" w14:textId="3B9EA26C" w:rsidR="00AA41EB" w:rsidRDefault="0001411C" w:rsidP="00AA41EB">
      <w:pPr>
        <w:pStyle w:val="ListParagraph"/>
        <w:numPr>
          <w:ilvl w:val="0"/>
          <w:numId w:val="11"/>
        </w:numPr>
        <w:spacing w:after="240"/>
      </w:pPr>
      <w:r>
        <w:rPr>
          <w:sz w:val="22"/>
          <w:szCs w:val="22"/>
        </w:rPr>
        <w:t xml:space="preserve">Nadležna </w:t>
      </w:r>
      <w:r w:rsidR="00AA41EB">
        <w:rPr>
          <w:sz w:val="22"/>
          <w:szCs w:val="22"/>
        </w:rPr>
        <w:t>tijela za lijekove i medicinske proizvode država izvan EU-a</w:t>
      </w:r>
    </w:p>
    <w:p w14:paraId="6D6D30FB" w14:textId="77777777" w:rsidR="00AA41EB" w:rsidRPr="006A4E9D" w:rsidRDefault="00AA41EB" w:rsidP="00AA41EB">
      <w:pPr>
        <w:pStyle w:val="Heading4"/>
      </w:pPr>
      <w:bookmarkStart w:id="56" w:name="_Toc530140489"/>
      <w:r w:rsidRPr="006A4E9D">
        <w:t xml:space="preserve">1.2.3.1. Svjetska </w:t>
      </w:r>
      <w:r w:rsidRPr="004C51D2">
        <w:t>zdravstvena</w:t>
      </w:r>
      <w:r w:rsidRPr="006A4E9D">
        <w:t xml:space="preserve"> organizacija (WHO)</w:t>
      </w:r>
      <w:bookmarkEnd w:id="56"/>
      <w:r w:rsidRPr="006A4E9D">
        <w:t xml:space="preserve"> </w:t>
      </w:r>
    </w:p>
    <w:p w14:paraId="10FCF244" w14:textId="5F34BD10" w:rsidR="00AA41EB" w:rsidRDefault="00AA41EB" w:rsidP="00AA41EB">
      <w:pPr>
        <w:spacing w:after="240" w:line="276" w:lineRule="auto"/>
        <w:jc w:val="both"/>
        <w:rPr>
          <w:rFonts w:ascii="Calibri" w:hAnsi="Calibri" w:cs="Calibri"/>
        </w:rPr>
      </w:pPr>
      <w:r>
        <w:rPr>
          <w:rFonts w:ascii="Calibri" w:hAnsi="Calibri" w:cs="Calibri"/>
        </w:rPr>
        <w:t>HALMED surađuje sa suradnim centrom (</w:t>
      </w:r>
      <w:r>
        <w:rPr>
          <w:rFonts w:ascii="Calibri" w:hAnsi="Calibri" w:cs="Calibri"/>
          <w:i/>
        </w:rPr>
        <w:t>Uppsala Monitoring</w:t>
      </w:r>
      <w:r>
        <w:rPr>
          <w:rFonts w:ascii="Calibri" w:hAnsi="Calibri" w:cs="Calibri"/>
        </w:rPr>
        <w:t xml:space="preserve"> </w:t>
      </w:r>
      <w:r>
        <w:rPr>
          <w:rFonts w:ascii="Calibri" w:hAnsi="Calibri" w:cs="Calibri"/>
          <w:i/>
        </w:rPr>
        <w:t>Centre, UMC)</w:t>
      </w:r>
      <w:r>
        <w:rPr>
          <w:rFonts w:ascii="Calibri" w:hAnsi="Calibri" w:cs="Calibri"/>
        </w:rPr>
        <w:t xml:space="preserve"> Svjetske zdravstvene organizacije </w:t>
      </w:r>
      <w:r w:rsidRPr="006A4E9D">
        <w:rPr>
          <w:rFonts w:ascii="Calibri" w:hAnsi="Calibri" w:cs="Calibri"/>
          <w:i/>
        </w:rPr>
        <w:t>(World Health Organization, WHO)</w:t>
      </w:r>
      <w:r>
        <w:rPr>
          <w:rFonts w:ascii="Calibri" w:hAnsi="Calibri" w:cs="Calibri"/>
        </w:rPr>
        <w:t xml:space="preserve"> na području praćenja sigurnosti primjene lijekova. HALMED sudjeluje i u radu Internacionalne farmakopeje WHO-a</w:t>
      </w:r>
      <w:r w:rsidR="00370E98">
        <w:rPr>
          <w:rFonts w:ascii="Calibri" w:hAnsi="Calibri" w:cs="Calibri"/>
        </w:rPr>
        <w:t xml:space="preserve"> kao i u području krivotvorenih lijekova.</w:t>
      </w:r>
      <w:r w:rsidR="0071361C">
        <w:rPr>
          <w:rFonts w:ascii="Calibri" w:hAnsi="Calibri" w:cs="Calibri"/>
        </w:rPr>
        <w:t xml:space="preserve"> </w:t>
      </w:r>
      <w:r w:rsidR="00370E98">
        <w:rPr>
          <w:rFonts w:ascii="Calibri" w:hAnsi="Calibri" w:cs="Calibri"/>
        </w:rPr>
        <w:t>HALMED ima imenovane kontakt točke za suradnju i razmjenu informacija o krivotvorenim lijekovima.</w:t>
      </w:r>
    </w:p>
    <w:p w14:paraId="0E740A07" w14:textId="725F6194" w:rsidR="00025276" w:rsidRPr="00025276" w:rsidRDefault="00025276" w:rsidP="00025276">
      <w:pPr>
        <w:spacing w:after="240" w:line="276" w:lineRule="auto"/>
        <w:jc w:val="both"/>
        <w:rPr>
          <w:rFonts w:ascii="Calibri" w:hAnsi="Calibri" w:cs="Calibri"/>
        </w:rPr>
      </w:pPr>
      <w:r>
        <w:rPr>
          <w:rFonts w:ascii="Calibri" w:hAnsi="Calibri" w:cs="Calibri"/>
        </w:rPr>
        <w:t xml:space="preserve">Također, </w:t>
      </w:r>
      <w:r w:rsidRPr="00025276">
        <w:rPr>
          <w:rFonts w:ascii="Calibri" w:hAnsi="Calibri" w:cs="Calibri"/>
        </w:rPr>
        <w:t xml:space="preserve">HALMED je intenzivno surađivao sa WHO-om pružajući u ime RH stručnu potporu nastojanjima WHO-a da izgradi i poboljša funkcioniranje nacionalnih regulatornih tijela zemalja članica zaduženih za lijekove. </w:t>
      </w:r>
    </w:p>
    <w:p w14:paraId="56709BFC" w14:textId="1F7228E3" w:rsidR="00A14857" w:rsidRDefault="00357B66" w:rsidP="00025276">
      <w:pPr>
        <w:spacing w:after="240" w:line="276" w:lineRule="auto"/>
        <w:jc w:val="both"/>
        <w:rPr>
          <w:rFonts w:ascii="Calibri" w:hAnsi="Calibri" w:cs="Calibri"/>
        </w:rPr>
      </w:pPr>
      <w:r w:rsidRPr="002F7E68">
        <w:rPr>
          <w:rFonts w:ascii="Calibri" w:hAnsi="Calibri" w:cs="Calibri"/>
        </w:rPr>
        <w:t xml:space="preserve">U izvještajnom razdoblju </w:t>
      </w:r>
      <w:r w:rsidR="002F7E68" w:rsidRPr="002F7E68">
        <w:rPr>
          <w:rFonts w:ascii="Calibri" w:hAnsi="Calibri" w:cs="Calibri"/>
        </w:rPr>
        <w:t xml:space="preserve">HALMED je sudjelovao u dva </w:t>
      </w:r>
      <w:r w:rsidRPr="002F7E68">
        <w:rPr>
          <w:rFonts w:ascii="Calibri" w:hAnsi="Calibri" w:cs="Calibri"/>
        </w:rPr>
        <w:t>trening</w:t>
      </w:r>
      <w:r w:rsidR="002F7E68" w:rsidRPr="002F7E68">
        <w:rPr>
          <w:rFonts w:ascii="Calibri" w:hAnsi="Calibri" w:cs="Calibri"/>
        </w:rPr>
        <w:t>a</w:t>
      </w:r>
      <w:r w:rsidR="002F7E68">
        <w:rPr>
          <w:rFonts w:ascii="Calibri" w:hAnsi="Calibri" w:cs="Calibri"/>
        </w:rPr>
        <w:t xml:space="preserve"> nacionalnih regulatornih zemalja članica WHO</w:t>
      </w:r>
      <w:r w:rsidR="002F7E68" w:rsidRPr="002F7E68">
        <w:rPr>
          <w:rFonts w:ascii="Calibri" w:hAnsi="Calibri" w:cs="Calibri"/>
        </w:rPr>
        <w:t>, jednoj posjeti nacionalnom regulatornom tijelu Malezije, zemlje članice WHO</w:t>
      </w:r>
      <w:r w:rsidRPr="002F7E68">
        <w:rPr>
          <w:rFonts w:ascii="Calibri" w:hAnsi="Calibri" w:cs="Calibri"/>
        </w:rPr>
        <w:t xml:space="preserve"> i provedb</w:t>
      </w:r>
      <w:r w:rsidR="002F7E68" w:rsidRPr="002F7E68">
        <w:rPr>
          <w:rFonts w:ascii="Calibri" w:hAnsi="Calibri" w:cs="Calibri"/>
        </w:rPr>
        <w:t>i</w:t>
      </w:r>
      <w:r w:rsidRPr="002F7E68">
        <w:rPr>
          <w:rFonts w:ascii="Calibri" w:hAnsi="Calibri" w:cs="Calibri"/>
        </w:rPr>
        <w:t xml:space="preserve"> </w:t>
      </w:r>
      <w:r w:rsidR="002F7E68" w:rsidRPr="002F7E68">
        <w:rPr>
          <w:rFonts w:ascii="Calibri" w:hAnsi="Calibri" w:cs="Calibri"/>
        </w:rPr>
        <w:t>ocjene kvalitete samo</w:t>
      </w:r>
      <w:r w:rsidRPr="002F7E68">
        <w:rPr>
          <w:rFonts w:ascii="Calibri" w:hAnsi="Calibri" w:cs="Calibri"/>
        </w:rPr>
        <w:t>procjene udovoljavanja zahtjevima Global  Benchmarking  (GBT)</w:t>
      </w:r>
      <w:r w:rsidR="002F7E68" w:rsidRPr="002F7E68">
        <w:rPr>
          <w:rFonts w:ascii="Calibri" w:hAnsi="Calibri" w:cs="Calibri"/>
        </w:rPr>
        <w:t xml:space="preserve"> jordanskog FDA</w:t>
      </w:r>
      <w:r w:rsidRPr="002F7E68">
        <w:rPr>
          <w:rFonts w:ascii="Calibri" w:hAnsi="Calibri" w:cs="Calibri"/>
        </w:rPr>
        <w:t>.</w:t>
      </w:r>
      <w:r>
        <w:rPr>
          <w:rFonts w:ascii="Calibri" w:hAnsi="Calibri" w:cs="Calibri"/>
        </w:rPr>
        <w:t xml:space="preserve"> </w:t>
      </w:r>
    </w:p>
    <w:p w14:paraId="52E6CF87" w14:textId="20615A00" w:rsidR="00AA41EB" w:rsidRPr="004C51D2" w:rsidRDefault="00357B66" w:rsidP="00AA41EB">
      <w:pPr>
        <w:pStyle w:val="Heading4"/>
      </w:pPr>
      <w:r>
        <w:rPr>
          <w:rFonts w:ascii="Calibri" w:hAnsi="Calibri" w:cs="Calibri"/>
        </w:rPr>
        <w:t xml:space="preserve"> </w:t>
      </w:r>
      <w:bookmarkStart w:id="57" w:name="_Toc530140490"/>
      <w:r w:rsidR="00AA41EB" w:rsidRPr="004C51D2">
        <w:t>1.2.3.2. Farmaceutsko – inspekcijska konvencija/shema (PIC/S)</w:t>
      </w:r>
      <w:bookmarkEnd w:id="57"/>
      <w:r w:rsidR="00AA41EB" w:rsidRPr="004C51D2">
        <w:t xml:space="preserve"> </w:t>
      </w:r>
    </w:p>
    <w:p w14:paraId="7BB44A0D" w14:textId="77777777" w:rsidR="00AA41EB" w:rsidRDefault="00AA41EB" w:rsidP="00AA41EB">
      <w:pPr>
        <w:tabs>
          <w:tab w:val="center" w:pos="858"/>
          <w:tab w:val="center" w:pos="4320"/>
          <w:tab w:val="right" w:pos="8306"/>
          <w:tab w:val="right" w:pos="8640"/>
        </w:tabs>
        <w:spacing w:after="240" w:line="276" w:lineRule="auto"/>
        <w:jc w:val="both"/>
        <w:rPr>
          <w:rFonts w:ascii="Calibri" w:hAnsi="Calibri" w:cs="Calibri"/>
          <w:color w:val="000000"/>
        </w:rPr>
      </w:pPr>
      <w:r>
        <w:rPr>
          <w:rFonts w:ascii="Calibri" w:hAnsi="Calibri" w:cs="Calibri"/>
          <w:color w:val="000000"/>
        </w:rPr>
        <w:tab/>
        <w:t xml:space="preserve">Farmaceutsko-inspekcijska konvencija/shema </w:t>
      </w:r>
      <w:r w:rsidRPr="006A4E9D">
        <w:rPr>
          <w:rFonts w:ascii="Calibri" w:hAnsi="Calibri" w:cs="Calibri"/>
          <w:i/>
          <w:color w:val="000000"/>
        </w:rPr>
        <w:t xml:space="preserve">(Pharmaceutical Inspection Convention i Pharmaceutical Inspection Co-operation Scheme, PIC/S) </w:t>
      </w:r>
      <w:r>
        <w:rPr>
          <w:rFonts w:ascii="Calibri" w:hAnsi="Calibri" w:cs="Calibri"/>
          <w:color w:val="000000"/>
        </w:rPr>
        <w:t xml:space="preserve">potiče aktivnu suradnju nadležnih inspekcijskih tijela na području dobre proizvođačke prakse </w:t>
      </w:r>
      <w:r w:rsidRPr="006A4E9D">
        <w:rPr>
          <w:rFonts w:ascii="Calibri" w:hAnsi="Calibri" w:cs="Calibri"/>
          <w:i/>
          <w:color w:val="000000"/>
        </w:rPr>
        <w:t>(Good manufacturing practice, GMP)</w:t>
      </w:r>
      <w:r>
        <w:rPr>
          <w:rFonts w:ascii="Calibri" w:hAnsi="Calibri" w:cs="Calibri"/>
          <w:color w:val="000000"/>
        </w:rPr>
        <w:t xml:space="preserve"> s ciljem međunarodne harmonizacije GMP standarda i smjernica, edukacije nadležnih tijela i sustava kvalitete inspektorata u području lijekova. HALMED je član PIC/S mreže od </w:t>
      </w:r>
      <w:r>
        <w:t>1. siječnja 2016. godine</w:t>
      </w:r>
      <w:r>
        <w:rPr>
          <w:rFonts w:ascii="Calibri" w:hAnsi="Calibri" w:cs="Calibri"/>
          <w:color w:val="000000"/>
        </w:rPr>
        <w:t xml:space="preserve">. </w:t>
      </w:r>
    </w:p>
    <w:p w14:paraId="4E89D706" w14:textId="77777777" w:rsidR="00AA41EB" w:rsidRPr="006A4E9D" w:rsidRDefault="00AA41EB" w:rsidP="00AA41EB">
      <w:pPr>
        <w:pStyle w:val="Heading4"/>
      </w:pPr>
      <w:bookmarkStart w:id="58" w:name="_Toc530140491"/>
      <w:r w:rsidRPr="006A4E9D">
        <w:t xml:space="preserve">1.2.3.3. </w:t>
      </w:r>
      <w:r w:rsidRPr="004C51D2">
        <w:t>Međunarodno</w:t>
      </w:r>
      <w:r w:rsidRPr="006A4E9D">
        <w:t xml:space="preserve"> društvo za farmakoekonomiku i istraživanje ishoda</w:t>
      </w:r>
      <w:r w:rsidR="004973C8">
        <w:t xml:space="preserve"> </w:t>
      </w:r>
      <w:r w:rsidRPr="006A4E9D">
        <w:t xml:space="preserve"> (ISPOR)</w:t>
      </w:r>
      <w:bookmarkEnd w:id="58"/>
      <w:r w:rsidRPr="006A4E9D">
        <w:t xml:space="preserve"> </w:t>
      </w:r>
    </w:p>
    <w:p w14:paraId="464A3384" w14:textId="3D5AFD9D" w:rsidR="0099377E" w:rsidRPr="009B4138" w:rsidRDefault="00AA41EB" w:rsidP="006274EC">
      <w:pPr>
        <w:tabs>
          <w:tab w:val="center" w:pos="858"/>
          <w:tab w:val="center" w:pos="4320"/>
          <w:tab w:val="right" w:pos="8306"/>
          <w:tab w:val="right" w:pos="8640"/>
        </w:tabs>
        <w:spacing w:after="240" w:line="276" w:lineRule="auto"/>
        <w:jc w:val="both"/>
        <w:rPr>
          <w:rFonts w:eastAsia="Times New Roman" w:cstheme="minorHAnsi"/>
        </w:rPr>
      </w:pPr>
      <w:r w:rsidRPr="009B4138">
        <w:rPr>
          <w:rFonts w:eastAsia="Times New Roman" w:cstheme="minorHAnsi"/>
        </w:rPr>
        <w:t xml:space="preserve">ISPOR </w:t>
      </w:r>
      <w:r>
        <w:rPr>
          <w:rFonts w:eastAsia="Times New Roman" w:cstheme="minorHAnsi"/>
        </w:rPr>
        <w:t>(</w:t>
      </w:r>
      <w:r w:rsidRPr="005945B7">
        <w:rPr>
          <w:rFonts w:cs="Arial"/>
          <w:bCs/>
          <w:i/>
        </w:rPr>
        <w:t>International Society For Pharmacoeconomics and Outcomes Research</w:t>
      </w:r>
      <w:r>
        <w:rPr>
          <w:rFonts w:cs="Arial"/>
          <w:bCs/>
          <w:i/>
        </w:rPr>
        <w:t>)</w:t>
      </w:r>
      <w:r w:rsidRPr="005945B7">
        <w:rPr>
          <w:rFonts w:ascii="Arial" w:hAnsi="Arial" w:cs="Arial"/>
        </w:rPr>
        <w:t xml:space="preserve"> </w:t>
      </w:r>
      <w:r>
        <w:rPr>
          <w:rFonts w:eastAsia="Times New Roman" w:cstheme="minorHAnsi"/>
        </w:rPr>
        <w:t xml:space="preserve">je </w:t>
      </w:r>
      <w:r w:rsidRPr="009B4138">
        <w:rPr>
          <w:rFonts w:eastAsia="Times New Roman" w:cstheme="minorHAnsi"/>
        </w:rPr>
        <w:t xml:space="preserve">vodeće svjetsko profesionalno društvo u području farmakoekonomike i istraživanja ishoda liječenja. ISPOR je neprofitna, javna organizacija za edukativnu i znanstvenu </w:t>
      </w:r>
      <w:r>
        <w:rPr>
          <w:rFonts w:eastAsia="Times New Roman" w:cstheme="minorHAnsi"/>
        </w:rPr>
        <w:t>namjenu</w:t>
      </w:r>
      <w:r w:rsidRPr="009B4138">
        <w:rPr>
          <w:rFonts w:eastAsia="Times New Roman" w:cstheme="minorHAnsi"/>
        </w:rPr>
        <w:t xml:space="preserve"> u području farmakoekonomike.</w:t>
      </w:r>
      <w:r>
        <w:rPr>
          <w:rFonts w:eastAsia="Times New Roman" w:cstheme="minorHAnsi"/>
        </w:rPr>
        <w:t xml:space="preserve"> </w:t>
      </w:r>
      <w:r>
        <w:t xml:space="preserve">HALMED aktivno sudjeluje </w:t>
      </w:r>
      <w:r w:rsidR="006274EC" w:rsidRPr="006274EC">
        <w:rPr>
          <w:rFonts w:eastAsia="Times New Roman" w:cstheme="minorHAnsi"/>
        </w:rPr>
        <w:t xml:space="preserve">u aktivnostima koje postavlja ISPOR, a </w:t>
      </w:r>
      <w:r w:rsidR="006274EC">
        <w:rPr>
          <w:rFonts w:eastAsia="Times New Roman" w:cstheme="minorHAnsi"/>
        </w:rPr>
        <w:t>vezano uz</w:t>
      </w:r>
      <w:r w:rsidR="006274EC" w:rsidRPr="006274EC">
        <w:rPr>
          <w:rFonts w:eastAsia="Times New Roman" w:cstheme="minorHAnsi"/>
        </w:rPr>
        <w:t xml:space="preserve"> sudjelovanju u različitim radionicama edukacijskog tipa. </w:t>
      </w:r>
    </w:p>
    <w:p w14:paraId="4FC928C4" w14:textId="64FA828C" w:rsidR="00AA41EB" w:rsidRPr="006A4E9D" w:rsidRDefault="00AA41EB" w:rsidP="00AA41EB">
      <w:pPr>
        <w:pStyle w:val="Heading4"/>
      </w:pPr>
      <w:bookmarkStart w:id="59" w:name="_Toc530140492"/>
      <w:r w:rsidRPr="006A4E9D">
        <w:t xml:space="preserve">1.2.3.4. </w:t>
      </w:r>
      <w:r w:rsidRPr="004C51D2">
        <w:t>Nadležna</w:t>
      </w:r>
      <w:r w:rsidRPr="006A4E9D">
        <w:t xml:space="preserve"> tijela za lijekove i medicinske proizvode država izvan EU-a</w:t>
      </w:r>
      <w:bookmarkEnd w:id="59"/>
      <w:r w:rsidRPr="006A4E9D">
        <w:t xml:space="preserve"> </w:t>
      </w:r>
    </w:p>
    <w:p w14:paraId="732DBBCB" w14:textId="36BABD95" w:rsidR="00AA41EB" w:rsidRDefault="00AA41EB" w:rsidP="00AA41EB">
      <w:pPr>
        <w:spacing w:after="240" w:line="276" w:lineRule="auto"/>
        <w:jc w:val="both"/>
      </w:pPr>
      <w:r>
        <w:rPr>
          <w:rFonts w:ascii="Calibri" w:hAnsi="Calibri" w:cs="Calibri"/>
        </w:rPr>
        <w:t xml:space="preserve">HALMED surađuje </w:t>
      </w:r>
      <w:r w:rsidRPr="00884DAF">
        <w:rPr>
          <w:rFonts w:ascii="Calibri" w:hAnsi="Calibri" w:cs="Calibri"/>
        </w:rPr>
        <w:t xml:space="preserve">s </w:t>
      </w:r>
      <w:r>
        <w:rPr>
          <w:rFonts w:ascii="Calibri" w:hAnsi="Calibri" w:cs="Calibri"/>
        </w:rPr>
        <w:t>nadležnim tijelima</w:t>
      </w:r>
      <w:r w:rsidRPr="00884DAF">
        <w:rPr>
          <w:rFonts w:ascii="Calibri" w:hAnsi="Calibri" w:cs="Calibri"/>
        </w:rPr>
        <w:t xml:space="preserve"> </w:t>
      </w:r>
      <w:r>
        <w:rPr>
          <w:rFonts w:ascii="Calibri" w:hAnsi="Calibri" w:cs="Calibri"/>
        </w:rPr>
        <w:t>za lijekove i medicinske proizvode država</w:t>
      </w:r>
      <w:r w:rsidRPr="00884DAF">
        <w:rPr>
          <w:rFonts w:ascii="Calibri" w:hAnsi="Calibri" w:cs="Calibri"/>
        </w:rPr>
        <w:t xml:space="preserve"> izvan EU</w:t>
      </w:r>
      <w:r>
        <w:rPr>
          <w:rFonts w:ascii="Calibri" w:hAnsi="Calibri" w:cs="Calibri"/>
        </w:rPr>
        <w:t>-a.</w:t>
      </w:r>
      <w:r w:rsidRPr="00884DAF">
        <w:rPr>
          <w:rFonts w:ascii="Calibri" w:hAnsi="Calibri" w:cs="Calibri"/>
        </w:rPr>
        <w:t xml:space="preserve"> </w:t>
      </w:r>
      <w:r>
        <w:rPr>
          <w:rFonts w:ascii="Calibri" w:hAnsi="Calibri" w:cs="Calibri"/>
        </w:rPr>
        <w:t xml:space="preserve">HALMED ostvaruje suradnju s </w:t>
      </w:r>
      <w:r w:rsidRPr="00884DAF">
        <w:rPr>
          <w:rFonts w:ascii="Calibri" w:hAnsi="Calibri" w:cs="Calibri"/>
        </w:rPr>
        <w:t xml:space="preserve">agencijama </w:t>
      </w:r>
      <w:r>
        <w:rPr>
          <w:rFonts w:ascii="Calibri" w:hAnsi="Calibri" w:cs="Calibri"/>
        </w:rPr>
        <w:t>j</w:t>
      </w:r>
      <w:r w:rsidRPr="00884DAF">
        <w:rPr>
          <w:rFonts w:ascii="Calibri" w:hAnsi="Calibri" w:cs="Calibri"/>
        </w:rPr>
        <w:t>ugoistočne Europe</w:t>
      </w:r>
      <w:r>
        <w:rPr>
          <w:rFonts w:ascii="Calibri" w:hAnsi="Calibri" w:cs="Calibri"/>
        </w:rPr>
        <w:t xml:space="preserve"> temeljem potpisanih M</w:t>
      </w:r>
      <w:r>
        <w:t xml:space="preserve">emoranduma o suradnji i razumijevanju s Agencijom za lekove i medicinska sredstva Srbije (ALIMS), Agencijom za lijekove i </w:t>
      </w:r>
      <w:r>
        <w:lastRenderedPageBreak/>
        <w:t xml:space="preserve">medicinska sredstva Bosne i Hercegovine (ALMBiH), Biroom za lekove Ministarstva zdravlja Republike Makedonije i </w:t>
      </w:r>
      <w:r w:rsidR="00EC2396">
        <w:t xml:space="preserve">Institutom </w:t>
      </w:r>
      <w:r>
        <w:t xml:space="preserve">za ljekove i medicinska sredstva Crne Gore (CInMED). </w:t>
      </w:r>
    </w:p>
    <w:p w14:paraId="3C8A5DB9" w14:textId="04844657" w:rsidR="00FE09CF" w:rsidRDefault="00AA41EB" w:rsidP="00AA41EB">
      <w:pPr>
        <w:spacing w:after="240" w:line="276" w:lineRule="auto"/>
        <w:jc w:val="both"/>
        <w:rPr>
          <w:rFonts w:ascii="Calibri" w:hAnsi="Calibri" w:cs="Calibri"/>
        </w:rPr>
      </w:pPr>
      <w:r>
        <w:t xml:space="preserve">HALMED ima bilateralne protokole o suradnji </w:t>
      </w:r>
      <w:r>
        <w:rPr>
          <w:rFonts w:ascii="Calibri" w:hAnsi="Calibri" w:cs="Calibri"/>
        </w:rPr>
        <w:t>s CInMED-om</w:t>
      </w:r>
      <w:r w:rsidRPr="00884DAF">
        <w:rPr>
          <w:rFonts w:ascii="Calibri" w:hAnsi="Calibri" w:cs="Calibri"/>
        </w:rPr>
        <w:t xml:space="preserve"> i </w:t>
      </w:r>
      <w:r>
        <w:rPr>
          <w:rFonts w:ascii="Calibri" w:hAnsi="Calibri" w:cs="Calibri"/>
        </w:rPr>
        <w:t>ALMBiH-om.</w:t>
      </w:r>
      <w:r>
        <w:rPr>
          <w:rFonts w:ascii="Calibri" w:hAnsi="Calibri" w:cs="Calibri"/>
          <w:color w:val="000000"/>
        </w:rPr>
        <w:t xml:space="preserve"> Također</w:t>
      </w:r>
      <w:r w:rsidRPr="00884DAF">
        <w:rPr>
          <w:rFonts w:ascii="Calibri" w:hAnsi="Calibri" w:cs="Calibri"/>
          <w:color w:val="000000"/>
        </w:rPr>
        <w:t xml:space="preserve">, HALMED </w:t>
      </w:r>
      <w:r w:rsidRPr="00884DAF">
        <w:rPr>
          <w:rFonts w:ascii="Calibri" w:hAnsi="Calibri" w:cs="Calibri"/>
        </w:rPr>
        <w:t>s nadležnim</w:t>
      </w:r>
      <w:r>
        <w:rPr>
          <w:rFonts w:ascii="Calibri" w:hAnsi="Calibri" w:cs="Calibri"/>
        </w:rPr>
        <w:t xml:space="preserve"> tijelima iz jugoistočne Europe surađuje</w:t>
      </w:r>
      <w:r w:rsidRPr="00884DAF">
        <w:rPr>
          <w:rFonts w:ascii="Calibri" w:hAnsi="Calibri" w:cs="Calibri"/>
        </w:rPr>
        <w:t xml:space="preserve"> u razmjeni podat</w:t>
      </w:r>
      <w:r>
        <w:rPr>
          <w:rFonts w:ascii="Calibri" w:hAnsi="Calibri" w:cs="Calibri"/>
        </w:rPr>
        <w:t>a</w:t>
      </w:r>
      <w:r w:rsidRPr="00884DAF">
        <w:rPr>
          <w:rFonts w:ascii="Calibri" w:hAnsi="Calibri" w:cs="Calibri"/>
        </w:rPr>
        <w:t>ka iz područja opskrbe tržišta lijekovima</w:t>
      </w:r>
      <w:r>
        <w:rPr>
          <w:rFonts w:ascii="Calibri" w:hAnsi="Calibri" w:cs="Calibri"/>
        </w:rPr>
        <w:t>.</w:t>
      </w:r>
      <w:r w:rsidRPr="00884DAF">
        <w:rPr>
          <w:rFonts w:ascii="Calibri" w:hAnsi="Calibri" w:cs="Calibri"/>
        </w:rPr>
        <w:t xml:space="preserve"> </w:t>
      </w:r>
    </w:p>
    <w:p w14:paraId="618B3917" w14:textId="1721D510" w:rsidR="00D07378" w:rsidRDefault="00D07378">
      <w:pPr>
        <w:rPr>
          <w:rFonts w:ascii="Calibri" w:hAnsi="Calibri" w:cs="Calibri"/>
        </w:rPr>
      </w:pPr>
      <w:r>
        <w:rPr>
          <w:rFonts w:ascii="Calibri" w:hAnsi="Calibri" w:cs="Calibri"/>
        </w:rPr>
        <w:br w:type="page"/>
      </w:r>
    </w:p>
    <w:p w14:paraId="14039A54" w14:textId="77777777" w:rsidR="00D07378" w:rsidRDefault="00D07378" w:rsidP="00D07378">
      <w:pPr>
        <w:pStyle w:val="Heading1"/>
      </w:pPr>
      <w:bookmarkStart w:id="60" w:name="_Toc165035437"/>
      <w:bookmarkStart w:id="61" w:name="_Toc514929939"/>
      <w:bookmarkStart w:id="62" w:name="_Toc487621799"/>
      <w:bookmarkStart w:id="63" w:name="_Toc463256158"/>
      <w:r>
        <w:lastRenderedPageBreak/>
        <w:t>2. IZVJEŠĆE O IZVRŠENJU PLANA RADA</w:t>
      </w:r>
      <w:bookmarkEnd w:id="60"/>
    </w:p>
    <w:bookmarkEnd w:id="61"/>
    <w:bookmarkEnd w:id="62"/>
    <w:bookmarkEnd w:id="63"/>
    <w:p w14:paraId="69444175" w14:textId="77777777" w:rsidR="00D07378" w:rsidRDefault="00D07378" w:rsidP="00D07378">
      <w:pPr>
        <w:tabs>
          <w:tab w:val="num" w:pos="0"/>
        </w:tabs>
        <w:spacing w:after="240" w:line="276" w:lineRule="auto"/>
        <w:jc w:val="both"/>
        <w:rPr>
          <w:rFonts w:eastAsia="Times New Roman" w:cs="Times New Roman"/>
        </w:rPr>
      </w:pPr>
      <w:r>
        <w:rPr>
          <w:rFonts w:eastAsia="Times New Roman" w:cs="Times New Roman"/>
        </w:rPr>
        <w:t xml:space="preserve">Izvješće o izvršenju plana rada sadržava izvršenje prihodovnih i neprihodovnih poslova HALMED-a u izvještajnom razdoblju. U Tablici 1. prikazano je izvršenje prihodovnih poslova HALMED-a (usluge 1.-14.) za razdoblje od 1. siječnja do 31. prosinca  2023. godine u odnosu na plan za 2023. godinu. </w:t>
      </w:r>
      <w:r>
        <w:rPr>
          <w:rFonts w:eastAsia="Times New Roman" w:cstheme="minorHAnsi"/>
        </w:rPr>
        <w:t xml:space="preserve">Detaljan prikaz izvršenja prihodovnih i neprihodovnih poslova, usluga navedenih u tablici, </w:t>
      </w:r>
      <w:r>
        <w:rPr>
          <w:rFonts w:eastAsia="Times New Roman" w:cs="Times New Roman"/>
        </w:rPr>
        <w:t xml:space="preserve">prikazan </w:t>
      </w:r>
      <w:r>
        <w:rPr>
          <w:rFonts w:eastAsia="Times New Roman" w:cstheme="minorHAnsi"/>
        </w:rPr>
        <w:t>je u poglavljima 2.1. - 2.11. ovog Izvješća.</w:t>
      </w:r>
    </w:p>
    <w:p w14:paraId="7A902780" w14:textId="77777777" w:rsidR="00D07378" w:rsidRDefault="00D07378" w:rsidP="00D07378">
      <w:pPr>
        <w:spacing w:after="120"/>
        <w:rPr>
          <w:rFonts w:ascii="Calibri" w:eastAsia="Times New Roman" w:hAnsi="Calibri" w:cs="Times New Roman"/>
          <w:b/>
          <w:bCs/>
          <w:lang w:eastAsia="hr-HR"/>
        </w:rPr>
      </w:pPr>
      <w:r>
        <w:rPr>
          <w:rFonts w:ascii="Calibri" w:eastAsia="Times New Roman" w:hAnsi="Calibri" w:cs="Times New Roman"/>
          <w:b/>
          <w:bCs/>
          <w:lang w:eastAsia="hr-HR"/>
        </w:rPr>
        <w:t xml:space="preserve">Tablica 1. Izvršenje prihodovnih usluga za razdoblje od 01.01. do 31.12.2023. godine </w:t>
      </w:r>
    </w:p>
    <w:tbl>
      <w:tblPr>
        <w:tblW w:w="9009" w:type="dxa"/>
        <w:tblLook w:val="04A0" w:firstRow="1" w:lastRow="0" w:firstColumn="1" w:lastColumn="0" w:noHBand="0" w:noVBand="1"/>
      </w:tblPr>
      <w:tblGrid>
        <w:gridCol w:w="960"/>
        <w:gridCol w:w="3566"/>
        <w:gridCol w:w="1560"/>
        <w:gridCol w:w="1647"/>
        <w:gridCol w:w="1276"/>
      </w:tblGrid>
      <w:tr w:rsidR="00D07378" w:rsidRPr="003B2BDF" w14:paraId="09534D27" w14:textId="77777777" w:rsidTr="00BA499D">
        <w:trPr>
          <w:trHeight w:val="244"/>
        </w:trPr>
        <w:tc>
          <w:tcPr>
            <w:tcW w:w="960" w:type="dxa"/>
            <w:vMerge w:val="restart"/>
            <w:tcBorders>
              <w:top w:val="single" w:sz="8" w:space="0" w:color="auto"/>
              <w:left w:val="single" w:sz="8" w:space="0" w:color="auto"/>
              <w:bottom w:val="single" w:sz="8" w:space="0" w:color="000000"/>
              <w:right w:val="single" w:sz="8" w:space="0" w:color="auto"/>
            </w:tcBorders>
            <w:shd w:val="clear" w:color="000000" w:fill="A3E7FF"/>
            <w:vAlign w:val="center"/>
            <w:hideMark/>
          </w:tcPr>
          <w:p w14:paraId="07485F53" w14:textId="77777777" w:rsidR="00D07378" w:rsidRPr="003B2BDF" w:rsidRDefault="00D07378" w:rsidP="00BA499D">
            <w:pPr>
              <w:rPr>
                <w:rFonts w:ascii="Calibri" w:eastAsia="Times New Roman" w:hAnsi="Calibri" w:cs="Calibri"/>
                <w:b/>
                <w:bCs/>
                <w:color w:val="000000"/>
                <w:sz w:val="20"/>
                <w:szCs w:val="20"/>
                <w:lang w:eastAsia="hr-HR"/>
              </w:rPr>
            </w:pPr>
            <w:r w:rsidRPr="003B2BDF">
              <w:rPr>
                <w:rFonts w:ascii="Calibri" w:eastAsia="Times New Roman" w:hAnsi="Calibri" w:cs="Calibri"/>
                <w:b/>
                <w:bCs/>
                <w:color w:val="000000"/>
                <w:sz w:val="20"/>
                <w:szCs w:val="20"/>
                <w:lang w:eastAsia="hr-HR"/>
              </w:rPr>
              <w:t>R.br.</w:t>
            </w:r>
          </w:p>
        </w:tc>
        <w:tc>
          <w:tcPr>
            <w:tcW w:w="3566" w:type="dxa"/>
            <w:vMerge w:val="restart"/>
            <w:tcBorders>
              <w:top w:val="single" w:sz="8" w:space="0" w:color="auto"/>
              <w:left w:val="single" w:sz="8" w:space="0" w:color="auto"/>
              <w:bottom w:val="single" w:sz="8" w:space="0" w:color="000000"/>
              <w:right w:val="single" w:sz="8" w:space="0" w:color="auto"/>
            </w:tcBorders>
            <w:shd w:val="clear" w:color="000000" w:fill="A3E7FF"/>
            <w:vAlign w:val="center"/>
            <w:hideMark/>
          </w:tcPr>
          <w:p w14:paraId="7E7DB682" w14:textId="77777777" w:rsidR="00D07378" w:rsidRPr="003B2BDF" w:rsidRDefault="00D07378" w:rsidP="00BA499D">
            <w:pPr>
              <w:rPr>
                <w:rFonts w:ascii="Calibri" w:eastAsia="Times New Roman" w:hAnsi="Calibri" w:cs="Calibri"/>
                <w:b/>
                <w:bCs/>
                <w:color w:val="000000"/>
                <w:sz w:val="20"/>
                <w:szCs w:val="20"/>
                <w:lang w:eastAsia="hr-HR"/>
              </w:rPr>
            </w:pPr>
            <w:r w:rsidRPr="003B2BDF">
              <w:rPr>
                <w:rFonts w:ascii="Calibri" w:eastAsia="Times New Roman" w:hAnsi="Calibri" w:cs="Calibri"/>
                <w:b/>
                <w:bCs/>
                <w:color w:val="000000"/>
                <w:sz w:val="20"/>
                <w:szCs w:val="20"/>
                <w:lang w:eastAsia="hr-HR"/>
              </w:rPr>
              <w:t>Naziv usluge</w:t>
            </w:r>
          </w:p>
        </w:tc>
        <w:tc>
          <w:tcPr>
            <w:tcW w:w="1560" w:type="dxa"/>
            <w:vMerge w:val="restart"/>
            <w:tcBorders>
              <w:top w:val="single" w:sz="8" w:space="0" w:color="auto"/>
              <w:left w:val="single" w:sz="8" w:space="0" w:color="auto"/>
              <w:bottom w:val="single" w:sz="8" w:space="0" w:color="000000"/>
              <w:right w:val="single" w:sz="8" w:space="0" w:color="auto"/>
            </w:tcBorders>
            <w:shd w:val="clear" w:color="000000" w:fill="A3E7FF"/>
            <w:vAlign w:val="center"/>
            <w:hideMark/>
          </w:tcPr>
          <w:p w14:paraId="37CFA4BE" w14:textId="77777777" w:rsidR="00D07378" w:rsidRPr="003B2BDF" w:rsidRDefault="00D07378" w:rsidP="00BA499D">
            <w:pPr>
              <w:jc w:val="center"/>
              <w:rPr>
                <w:rFonts w:ascii="Calibri" w:eastAsia="Times New Roman" w:hAnsi="Calibri" w:cs="Calibri"/>
                <w:b/>
                <w:bCs/>
                <w:color w:val="000000"/>
                <w:sz w:val="20"/>
                <w:szCs w:val="20"/>
                <w:lang w:eastAsia="hr-HR"/>
              </w:rPr>
            </w:pPr>
            <w:r w:rsidRPr="003B2BDF">
              <w:rPr>
                <w:rFonts w:ascii="Calibri" w:eastAsia="Times New Roman" w:hAnsi="Calibri" w:cs="Calibri"/>
                <w:b/>
                <w:bCs/>
                <w:color w:val="000000"/>
                <w:sz w:val="20"/>
                <w:szCs w:val="20"/>
                <w:lang w:eastAsia="hr-HR"/>
              </w:rPr>
              <w:t>Planirani broj predmeta u</w:t>
            </w:r>
            <w:r>
              <w:rPr>
                <w:rFonts w:ascii="Calibri" w:eastAsia="Times New Roman" w:hAnsi="Calibri" w:cs="Calibri"/>
                <w:b/>
                <w:bCs/>
                <w:color w:val="000000"/>
                <w:sz w:val="20"/>
                <w:szCs w:val="20"/>
                <w:lang w:eastAsia="hr-HR"/>
              </w:rPr>
              <w:t xml:space="preserve"> 2023.</w:t>
            </w:r>
          </w:p>
        </w:tc>
        <w:tc>
          <w:tcPr>
            <w:tcW w:w="1647" w:type="dxa"/>
            <w:vMerge w:val="restart"/>
            <w:tcBorders>
              <w:top w:val="single" w:sz="8" w:space="0" w:color="auto"/>
              <w:left w:val="single" w:sz="8" w:space="0" w:color="auto"/>
              <w:bottom w:val="single" w:sz="8" w:space="0" w:color="000000"/>
              <w:right w:val="single" w:sz="8" w:space="0" w:color="auto"/>
            </w:tcBorders>
            <w:shd w:val="clear" w:color="000000" w:fill="A3E7FF"/>
            <w:vAlign w:val="center"/>
            <w:hideMark/>
          </w:tcPr>
          <w:p w14:paraId="33EFEF41" w14:textId="77777777" w:rsidR="00D07378" w:rsidRPr="003B2BDF" w:rsidRDefault="00D07378" w:rsidP="00BA499D">
            <w:pPr>
              <w:jc w:val="center"/>
              <w:rPr>
                <w:rFonts w:ascii="Calibri" w:eastAsia="Times New Roman" w:hAnsi="Calibri" w:cs="Calibri"/>
                <w:b/>
                <w:bCs/>
                <w:color w:val="000000"/>
                <w:sz w:val="20"/>
                <w:szCs w:val="20"/>
                <w:lang w:eastAsia="hr-HR"/>
              </w:rPr>
            </w:pPr>
            <w:r w:rsidRPr="003B2BDF">
              <w:rPr>
                <w:rFonts w:ascii="Calibri" w:eastAsia="Times New Roman" w:hAnsi="Calibri" w:cs="Calibri"/>
                <w:b/>
                <w:bCs/>
                <w:color w:val="000000"/>
                <w:sz w:val="20"/>
                <w:szCs w:val="20"/>
                <w:lang w:eastAsia="hr-HR"/>
              </w:rPr>
              <w:t>Izvršenje 01.01</w:t>
            </w:r>
            <w:r>
              <w:rPr>
                <w:rFonts w:ascii="Calibri" w:eastAsia="Times New Roman" w:hAnsi="Calibri" w:cs="Calibri"/>
                <w:b/>
                <w:bCs/>
                <w:color w:val="000000"/>
                <w:sz w:val="20"/>
                <w:szCs w:val="20"/>
                <w:lang w:eastAsia="hr-HR"/>
              </w:rPr>
              <w:t>.-31.12.2023.</w:t>
            </w:r>
          </w:p>
        </w:tc>
        <w:tc>
          <w:tcPr>
            <w:tcW w:w="1276" w:type="dxa"/>
            <w:vMerge w:val="restart"/>
            <w:tcBorders>
              <w:top w:val="single" w:sz="8" w:space="0" w:color="auto"/>
              <w:left w:val="single" w:sz="8" w:space="0" w:color="auto"/>
              <w:bottom w:val="single" w:sz="8" w:space="0" w:color="000000"/>
              <w:right w:val="single" w:sz="8" w:space="0" w:color="auto"/>
            </w:tcBorders>
            <w:shd w:val="clear" w:color="000000" w:fill="A3E7FF"/>
            <w:vAlign w:val="center"/>
            <w:hideMark/>
          </w:tcPr>
          <w:p w14:paraId="16BA6F7A" w14:textId="77777777" w:rsidR="00D07378" w:rsidRPr="003B2BDF" w:rsidRDefault="00D07378" w:rsidP="00BA499D">
            <w:pPr>
              <w:jc w:val="center"/>
              <w:rPr>
                <w:rFonts w:ascii="Calibri" w:eastAsia="Times New Roman" w:hAnsi="Calibri" w:cs="Calibri"/>
                <w:b/>
                <w:bCs/>
                <w:color w:val="000000"/>
                <w:sz w:val="20"/>
                <w:szCs w:val="20"/>
                <w:lang w:eastAsia="hr-HR"/>
              </w:rPr>
            </w:pPr>
            <w:r w:rsidRPr="003B2BDF">
              <w:rPr>
                <w:rFonts w:ascii="Calibri" w:eastAsia="Times New Roman" w:hAnsi="Calibri" w:cs="Calibri"/>
                <w:b/>
                <w:bCs/>
                <w:color w:val="000000"/>
                <w:sz w:val="20"/>
                <w:szCs w:val="20"/>
                <w:lang w:eastAsia="hr-HR"/>
              </w:rPr>
              <w:t>% izvršenja</w:t>
            </w:r>
          </w:p>
        </w:tc>
      </w:tr>
      <w:tr w:rsidR="00D07378" w:rsidRPr="003B2BDF" w14:paraId="0DBBCA8E" w14:textId="77777777" w:rsidTr="00BA499D">
        <w:trPr>
          <w:trHeight w:val="509"/>
        </w:trPr>
        <w:tc>
          <w:tcPr>
            <w:tcW w:w="960" w:type="dxa"/>
            <w:vMerge/>
            <w:tcBorders>
              <w:top w:val="single" w:sz="8" w:space="0" w:color="auto"/>
              <w:left w:val="single" w:sz="8" w:space="0" w:color="auto"/>
              <w:bottom w:val="single" w:sz="8" w:space="0" w:color="000000"/>
              <w:right w:val="single" w:sz="8" w:space="0" w:color="auto"/>
            </w:tcBorders>
            <w:vAlign w:val="center"/>
            <w:hideMark/>
          </w:tcPr>
          <w:p w14:paraId="5BC37CA0" w14:textId="77777777" w:rsidR="00D07378" w:rsidRPr="003B2BDF" w:rsidRDefault="00D07378" w:rsidP="00BA499D">
            <w:pPr>
              <w:rPr>
                <w:rFonts w:ascii="Calibri" w:eastAsia="Times New Roman" w:hAnsi="Calibri" w:cs="Calibri"/>
                <w:b/>
                <w:bCs/>
                <w:color w:val="000000"/>
                <w:sz w:val="20"/>
                <w:szCs w:val="20"/>
                <w:lang w:eastAsia="hr-HR"/>
              </w:rPr>
            </w:pPr>
          </w:p>
        </w:tc>
        <w:tc>
          <w:tcPr>
            <w:tcW w:w="3566" w:type="dxa"/>
            <w:vMerge/>
            <w:tcBorders>
              <w:top w:val="single" w:sz="8" w:space="0" w:color="auto"/>
              <w:left w:val="single" w:sz="8" w:space="0" w:color="auto"/>
              <w:bottom w:val="single" w:sz="8" w:space="0" w:color="000000"/>
              <w:right w:val="single" w:sz="8" w:space="0" w:color="auto"/>
            </w:tcBorders>
            <w:vAlign w:val="center"/>
            <w:hideMark/>
          </w:tcPr>
          <w:p w14:paraId="7590ED73" w14:textId="77777777" w:rsidR="00D07378" w:rsidRPr="003B2BDF" w:rsidRDefault="00D07378" w:rsidP="00BA499D">
            <w:pPr>
              <w:rPr>
                <w:rFonts w:ascii="Calibri" w:eastAsia="Times New Roman" w:hAnsi="Calibri" w:cs="Calibri"/>
                <w:b/>
                <w:bCs/>
                <w:color w:val="000000"/>
                <w:sz w:val="20"/>
                <w:szCs w:val="20"/>
                <w:lang w:eastAsia="hr-HR"/>
              </w:rPr>
            </w:pPr>
          </w:p>
        </w:tc>
        <w:tc>
          <w:tcPr>
            <w:tcW w:w="1560" w:type="dxa"/>
            <w:vMerge/>
            <w:tcBorders>
              <w:top w:val="single" w:sz="8" w:space="0" w:color="auto"/>
              <w:left w:val="single" w:sz="8" w:space="0" w:color="auto"/>
              <w:bottom w:val="single" w:sz="8" w:space="0" w:color="000000"/>
              <w:right w:val="single" w:sz="8" w:space="0" w:color="auto"/>
            </w:tcBorders>
            <w:vAlign w:val="center"/>
            <w:hideMark/>
          </w:tcPr>
          <w:p w14:paraId="53F2411F" w14:textId="77777777" w:rsidR="00D07378" w:rsidRPr="003B2BDF" w:rsidRDefault="00D07378" w:rsidP="00BA499D">
            <w:pPr>
              <w:rPr>
                <w:rFonts w:ascii="Calibri" w:eastAsia="Times New Roman" w:hAnsi="Calibri" w:cs="Calibri"/>
                <w:b/>
                <w:bCs/>
                <w:color w:val="000000"/>
                <w:sz w:val="20"/>
                <w:szCs w:val="20"/>
                <w:lang w:eastAsia="hr-HR"/>
              </w:rPr>
            </w:pPr>
          </w:p>
        </w:tc>
        <w:tc>
          <w:tcPr>
            <w:tcW w:w="1647" w:type="dxa"/>
            <w:vMerge/>
            <w:tcBorders>
              <w:top w:val="single" w:sz="8" w:space="0" w:color="auto"/>
              <w:left w:val="single" w:sz="8" w:space="0" w:color="auto"/>
              <w:bottom w:val="single" w:sz="8" w:space="0" w:color="000000"/>
              <w:right w:val="single" w:sz="8" w:space="0" w:color="auto"/>
            </w:tcBorders>
            <w:vAlign w:val="center"/>
            <w:hideMark/>
          </w:tcPr>
          <w:p w14:paraId="0FB93548" w14:textId="77777777" w:rsidR="00D07378" w:rsidRPr="003B2BDF" w:rsidRDefault="00D07378" w:rsidP="00BA499D">
            <w:pPr>
              <w:rPr>
                <w:rFonts w:ascii="Calibri" w:eastAsia="Times New Roman" w:hAnsi="Calibri" w:cs="Calibri"/>
                <w:b/>
                <w:bCs/>
                <w:color w:val="000000"/>
                <w:sz w:val="20"/>
                <w:szCs w:val="20"/>
                <w:lang w:eastAsia="hr-HR"/>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4F3DB7AA" w14:textId="77777777" w:rsidR="00D07378" w:rsidRPr="003B2BDF" w:rsidRDefault="00D07378" w:rsidP="00BA499D">
            <w:pPr>
              <w:rPr>
                <w:rFonts w:ascii="Calibri" w:eastAsia="Times New Roman" w:hAnsi="Calibri" w:cs="Calibri"/>
                <w:b/>
                <w:bCs/>
                <w:color w:val="000000"/>
                <w:sz w:val="20"/>
                <w:szCs w:val="20"/>
                <w:lang w:eastAsia="hr-HR"/>
              </w:rPr>
            </w:pPr>
          </w:p>
        </w:tc>
      </w:tr>
      <w:tr w:rsidR="00D07378" w:rsidRPr="003B2BDF" w14:paraId="696F4D1F" w14:textId="77777777" w:rsidTr="00BA499D">
        <w:trPr>
          <w:trHeight w:val="142"/>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8565C3C" w14:textId="77777777" w:rsidR="00D07378" w:rsidRPr="003B2BDF" w:rsidRDefault="00D07378" w:rsidP="00BA499D">
            <w:pPr>
              <w:jc w:val="center"/>
              <w:rPr>
                <w:rFonts w:ascii="Calibri" w:eastAsia="Times New Roman" w:hAnsi="Calibri" w:cs="Calibri"/>
                <w:color w:val="1A1A1A"/>
                <w:sz w:val="20"/>
                <w:szCs w:val="20"/>
                <w:lang w:eastAsia="hr-HR"/>
              </w:rPr>
            </w:pPr>
            <w:r w:rsidRPr="003B2BDF">
              <w:rPr>
                <w:rFonts w:ascii="Calibri" w:eastAsia="Times New Roman" w:hAnsi="Calibri" w:cs="Calibri"/>
                <w:color w:val="1A1A1A"/>
                <w:sz w:val="20"/>
                <w:szCs w:val="20"/>
                <w:lang w:eastAsia="hr-HR"/>
              </w:rPr>
              <w:t>1.</w:t>
            </w:r>
          </w:p>
        </w:tc>
        <w:tc>
          <w:tcPr>
            <w:tcW w:w="3566" w:type="dxa"/>
            <w:tcBorders>
              <w:top w:val="nil"/>
              <w:left w:val="nil"/>
              <w:bottom w:val="single" w:sz="8" w:space="0" w:color="auto"/>
              <w:right w:val="single" w:sz="8" w:space="0" w:color="auto"/>
            </w:tcBorders>
            <w:shd w:val="clear" w:color="auto" w:fill="auto"/>
            <w:vAlign w:val="center"/>
            <w:hideMark/>
          </w:tcPr>
          <w:p w14:paraId="241D61E9" w14:textId="77777777" w:rsidR="00D07378" w:rsidRPr="003B2BDF" w:rsidRDefault="00D07378" w:rsidP="00BA499D">
            <w:pPr>
              <w:rPr>
                <w:rFonts w:ascii="Calibri" w:eastAsia="Times New Roman" w:hAnsi="Calibri" w:cs="Calibri"/>
                <w:b/>
                <w:bCs/>
                <w:color w:val="1A1A1A"/>
                <w:sz w:val="20"/>
                <w:szCs w:val="20"/>
                <w:lang w:eastAsia="hr-HR"/>
              </w:rPr>
            </w:pPr>
            <w:r w:rsidRPr="003B2BDF">
              <w:rPr>
                <w:rFonts w:ascii="Calibri" w:eastAsia="Times New Roman" w:hAnsi="Calibri" w:cs="Calibri"/>
                <w:b/>
                <w:bCs/>
                <w:color w:val="1A1A1A"/>
                <w:sz w:val="20"/>
                <w:szCs w:val="20"/>
                <w:lang w:eastAsia="hr-HR"/>
              </w:rPr>
              <w:t>Stavljanje lijeka u promet</w:t>
            </w:r>
          </w:p>
        </w:tc>
        <w:tc>
          <w:tcPr>
            <w:tcW w:w="1560" w:type="dxa"/>
            <w:tcBorders>
              <w:top w:val="nil"/>
              <w:left w:val="nil"/>
              <w:bottom w:val="single" w:sz="8" w:space="0" w:color="auto"/>
              <w:right w:val="single" w:sz="8" w:space="0" w:color="auto"/>
            </w:tcBorders>
            <w:shd w:val="clear" w:color="auto" w:fill="auto"/>
            <w:noWrap/>
            <w:vAlign w:val="center"/>
          </w:tcPr>
          <w:p w14:paraId="1641E1B8" w14:textId="77777777" w:rsidR="00D07378" w:rsidRDefault="00D07378" w:rsidP="00BA499D">
            <w:pPr>
              <w:jc w:val="center"/>
              <w:rPr>
                <w:rFonts w:ascii="Calibri" w:hAnsi="Calibri" w:cs="Calibri"/>
                <w:color w:val="000000"/>
                <w:sz w:val="20"/>
                <w:szCs w:val="20"/>
              </w:rPr>
            </w:pPr>
            <w:r>
              <w:rPr>
                <w:rFonts w:ascii="Calibri" w:hAnsi="Calibri" w:cs="Calibri"/>
                <w:b/>
                <w:bCs/>
                <w:color w:val="000000"/>
                <w:sz w:val="20"/>
                <w:szCs w:val="20"/>
              </w:rPr>
              <w:t>15.173</w:t>
            </w:r>
          </w:p>
        </w:tc>
        <w:tc>
          <w:tcPr>
            <w:tcW w:w="1647" w:type="dxa"/>
            <w:tcBorders>
              <w:top w:val="nil"/>
              <w:left w:val="nil"/>
              <w:bottom w:val="single" w:sz="8" w:space="0" w:color="auto"/>
              <w:right w:val="single" w:sz="8" w:space="0" w:color="auto"/>
            </w:tcBorders>
            <w:shd w:val="clear" w:color="auto" w:fill="auto"/>
            <w:noWrap/>
            <w:vAlign w:val="center"/>
          </w:tcPr>
          <w:p w14:paraId="787CFA8D" w14:textId="77777777" w:rsidR="00D07378" w:rsidRDefault="00D07378" w:rsidP="00BA499D">
            <w:pPr>
              <w:jc w:val="center"/>
              <w:rPr>
                <w:rFonts w:ascii="Calibri" w:hAnsi="Calibri" w:cs="Calibri"/>
                <w:color w:val="000000"/>
                <w:sz w:val="20"/>
                <w:szCs w:val="20"/>
              </w:rPr>
            </w:pPr>
            <w:r>
              <w:rPr>
                <w:rFonts w:ascii="Calibri" w:hAnsi="Calibri" w:cs="Calibri"/>
                <w:b/>
                <w:bCs/>
                <w:color w:val="000000"/>
                <w:sz w:val="20"/>
                <w:szCs w:val="20"/>
              </w:rPr>
              <w:t>15.409</w:t>
            </w:r>
          </w:p>
        </w:tc>
        <w:tc>
          <w:tcPr>
            <w:tcW w:w="1276" w:type="dxa"/>
            <w:tcBorders>
              <w:top w:val="nil"/>
              <w:left w:val="nil"/>
              <w:bottom w:val="single" w:sz="8" w:space="0" w:color="auto"/>
              <w:right w:val="single" w:sz="8" w:space="0" w:color="auto"/>
            </w:tcBorders>
            <w:shd w:val="clear" w:color="auto" w:fill="auto"/>
            <w:noWrap/>
            <w:vAlign w:val="center"/>
          </w:tcPr>
          <w:p w14:paraId="6DA4E197" w14:textId="77777777" w:rsidR="00D07378" w:rsidRDefault="00D07378" w:rsidP="00BA499D">
            <w:pPr>
              <w:jc w:val="center"/>
              <w:rPr>
                <w:rFonts w:ascii="Calibri" w:hAnsi="Calibri" w:cs="Calibri"/>
                <w:color w:val="000000"/>
                <w:sz w:val="20"/>
                <w:szCs w:val="20"/>
              </w:rPr>
            </w:pPr>
            <w:r>
              <w:rPr>
                <w:rFonts w:ascii="Calibri" w:hAnsi="Calibri" w:cs="Calibri"/>
                <w:b/>
                <w:bCs/>
                <w:color w:val="000000"/>
                <w:sz w:val="20"/>
                <w:szCs w:val="20"/>
              </w:rPr>
              <w:t>102%</w:t>
            </w:r>
          </w:p>
        </w:tc>
      </w:tr>
      <w:tr w:rsidR="00D07378" w:rsidRPr="003B2BDF" w14:paraId="54457199" w14:textId="77777777" w:rsidTr="00BA499D">
        <w:trPr>
          <w:trHeight w:val="142"/>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DEE946C" w14:textId="77777777" w:rsidR="00D07378" w:rsidRPr="003B2BDF" w:rsidRDefault="00D07378" w:rsidP="00BA499D">
            <w:pPr>
              <w:jc w:val="center"/>
              <w:rPr>
                <w:rFonts w:ascii="Calibri" w:eastAsia="Times New Roman" w:hAnsi="Calibri" w:cs="Calibri"/>
                <w:color w:val="1A1A1A"/>
                <w:sz w:val="20"/>
                <w:szCs w:val="20"/>
                <w:lang w:eastAsia="hr-HR"/>
              </w:rPr>
            </w:pPr>
            <w:r w:rsidRPr="003B2BDF">
              <w:rPr>
                <w:rFonts w:ascii="Calibri" w:eastAsia="Times New Roman" w:hAnsi="Calibri" w:cs="Calibri"/>
                <w:color w:val="1A1A1A"/>
                <w:sz w:val="20"/>
                <w:szCs w:val="20"/>
                <w:lang w:eastAsia="hr-HR"/>
              </w:rPr>
              <w:t>1.1.</w:t>
            </w:r>
          </w:p>
        </w:tc>
        <w:tc>
          <w:tcPr>
            <w:tcW w:w="3566" w:type="dxa"/>
            <w:tcBorders>
              <w:top w:val="nil"/>
              <w:left w:val="nil"/>
              <w:bottom w:val="single" w:sz="8" w:space="0" w:color="auto"/>
              <w:right w:val="single" w:sz="8" w:space="0" w:color="auto"/>
            </w:tcBorders>
            <w:shd w:val="clear" w:color="auto" w:fill="auto"/>
            <w:vAlign w:val="center"/>
            <w:hideMark/>
          </w:tcPr>
          <w:p w14:paraId="74C0DE3B" w14:textId="77777777" w:rsidR="00D07378" w:rsidRPr="003B2BDF" w:rsidRDefault="00D07378" w:rsidP="00BA499D">
            <w:pPr>
              <w:rPr>
                <w:rFonts w:ascii="Calibri" w:eastAsia="Times New Roman" w:hAnsi="Calibri" w:cs="Calibri"/>
                <w:color w:val="1A1A1A"/>
                <w:sz w:val="20"/>
                <w:szCs w:val="20"/>
                <w:lang w:eastAsia="hr-HR"/>
              </w:rPr>
            </w:pPr>
            <w:r w:rsidRPr="003B2BDF">
              <w:rPr>
                <w:rFonts w:ascii="Calibri" w:eastAsia="Times New Roman" w:hAnsi="Calibri" w:cs="Calibri"/>
                <w:color w:val="1A1A1A"/>
                <w:sz w:val="20"/>
                <w:szCs w:val="20"/>
                <w:lang w:eastAsia="hr-HR"/>
              </w:rPr>
              <w:t xml:space="preserve">Davanje odobrenja i registracija </w:t>
            </w:r>
            <w:r>
              <w:rPr>
                <w:rFonts w:ascii="Calibri" w:eastAsia="Times New Roman" w:hAnsi="Calibri" w:cs="Calibri"/>
                <w:color w:val="1A1A1A"/>
                <w:vertAlign w:val="superscript"/>
                <w:lang w:eastAsia="hr-HR"/>
              </w:rPr>
              <w:t>3</w:t>
            </w:r>
          </w:p>
        </w:tc>
        <w:tc>
          <w:tcPr>
            <w:tcW w:w="1560" w:type="dxa"/>
            <w:tcBorders>
              <w:top w:val="nil"/>
              <w:left w:val="nil"/>
              <w:bottom w:val="single" w:sz="8" w:space="0" w:color="auto"/>
              <w:right w:val="single" w:sz="8" w:space="0" w:color="auto"/>
            </w:tcBorders>
            <w:shd w:val="clear" w:color="auto" w:fill="auto"/>
            <w:noWrap/>
            <w:vAlign w:val="center"/>
          </w:tcPr>
          <w:p w14:paraId="261A65F6" w14:textId="77777777" w:rsidR="00D07378" w:rsidRPr="00D842BF" w:rsidRDefault="00D07378" w:rsidP="00BA499D">
            <w:pPr>
              <w:jc w:val="center"/>
              <w:rPr>
                <w:rFonts w:ascii="Calibri" w:hAnsi="Calibri" w:cs="Calibri"/>
                <w:color w:val="000000"/>
                <w:sz w:val="20"/>
                <w:szCs w:val="20"/>
              </w:rPr>
            </w:pPr>
            <w:r>
              <w:rPr>
                <w:rFonts w:ascii="Calibri" w:hAnsi="Calibri" w:cs="Calibri"/>
                <w:color w:val="000000"/>
                <w:sz w:val="20"/>
                <w:szCs w:val="20"/>
              </w:rPr>
              <w:t>358</w:t>
            </w:r>
          </w:p>
        </w:tc>
        <w:tc>
          <w:tcPr>
            <w:tcW w:w="1647" w:type="dxa"/>
            <w:tcBorders>
              <w:top w:val="nil"/>
              <w:left w:val="nil"/>
              <w:bottom w:val="single" w:sz="8" w:space="0" w:color="auto"/>
              <w:right w:val="single" w:sz="8" w:space="0" w:color="auto"/>
            </w:tcBorders>
            <w:shd w:val="clear" w:color="auto" w:fill="auto"/>
            <w:noWrap/>
            <w:vAlign w:val="center"/>
          </w:tcPr>
          <w:p w14:paraId="5DC650D4" w14:textId="77777777" w:rsidR="00D07378" w:rsidRPr="00D842BF" w:rsidRDefault="00D07378" w:rsidP="00BA499D">
            <w:pPr>
              <w:jc w:val="center"/>
              <w:rPr>
                <w:rFonts w:ascii="Calibri" w:hAnsi="Calibri" w:cs="Calibri"/>
                <w:color w:val="000000"/>
                <w:sz w:val="20"/>
                <w:szCs w:val="20"/>
              </w:rPr>
            </w:pPr>
            <w:r>
              <w:rPr>
                <w:rFonts w:ascii="Calibri" w:hAnsi="Calibri" w:cs="Calibri"/>
                <w:color w:val="000000"/>
                <w:sz w:val="20"/>
                <w:szCs w:val="20"/>
              </w:rPr>
              <w:t>276</w:t>
            </w:r>
          </w:p>
        </w:tc>
        <w:tc>
          <w:tcPr>
            <w:tcW w:w="1276" w:type="dxa"/>
            <w:tcBorders>
              <w:top w:val="nil"/>
              <w:left w:val="nil"/>
              <w:bottom w:val="single" w:sz="8" w:space="0" w:color="auto"/>
              <w:right w:val="single" w:sz="8" w:space="0" w:color="auto"/>
            </w:tcBorders>
            <w:shd w:val="clear" w:color="auto" w:fill="auto"/>
            <w:noWrap/>
            <w:vAlign w:val="center"/>
          </w:tcPr>
          <w:p w14:paraId="1C17B347" w14:textId="77777777" w:rsidR="00D07378" w:rsidRPr="00D842BF" w:rsidRDefault="00D07378" w:rsidP="00BA499D">
            <w:pPr>
              <w:jc w:val="center"/>
              <w:rPr>
                <w:rFonts w:ascii="Calibri" w:hAnsi="Calibri" w:cs="Calibri"/>
                <w:color w:val="000000"/>
                <w:sz w:val="20"/>
                <w:szCs w:val="20"/>
              </w:rPr>
            </w:pPr>
            <w:r>
              <w:rPr>
                <w:rFonts w:ascii="Calibri" w:hAnsi="Calibri" w:cs="Calibri"/>
                <w:color w:val="000000"/>
                <w:sz w:val="20"/>
                <w:szCs w:val="20"/>
              </w:rPr>
              <w:t>77%</w:t>
            </w:r>
          </w:p>
        </w:tc>
      </w:tr>
      <w:tr w:rsidR="00D07378" w:rsidRPr="003B2BDF" w14:paraId="43F6D4B4" w14:textId="77777777" w:rsidTr="00BA499D">
        <w:trPr>
          <w:trHeight w:val="142"/>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723ED60" w14:textId="77777777" w:rsidR="00D07378" w:rsidRPr="003B2BDF" w:rsidRDefault="00D07378" w:rsidP="00BA499D">
            <w:pPr>
              <w:jc w:val="center"/>
              <w:rPr>
                <w:rFonts w:ascii="Calibri" w:eastAsia="Times New Roman" w:hAnsi="Calibri" w:cs="Calibri"/>
                <w:color w:val="1A1A1A"/>
                <w:sz w:val="20"/>
                <w:szCs w:val="20"/>
                <w:lang w:eastAsia="hr-HR"/>
              </w:rPr>
            </w:pPr>
            <w:r w:rsidRPr="003B2BDF">
              <w:rPr>
                <w:rFonts w:ascii="Calibri" w:eastAsia="Times New Roman" w:hAnsi="Calibri" w:cs="Calibri"/>
                <w:color w:val="1A1A1A"/>
                <w:sz w:val="20"/>
                <w:szCs w:val="20"/>
                <w:lang w:eastAsia="hr-HR"/>
              </w:rPr>
              <w:t>1.2.</w:t>
            </w:r>
          </w:p>
        </w:tc>
        <w:tc>
          <w:tcPr>
            <w:tcW w:w="3566" w:type="dxa"/>
            <w:tcBorders>
              <w:top w:val="nil"/>
              <w:left w:val="nil"/>
              <w:bottom w:val="single" w:sz="8" w:space="0" w:color="auto"/>
              <w:right w:val="single" w:sz="8" w:space="0" w:color="auto"/>
            </w:tcBorders>
            <w:shd w:val="clear" w:color="auto" w:fill="auto"/>
            <w:vAlign w:val="center"/>
            <w:hideMark/>
          </w:tcPr>
          <w:p w14:paraId="085639D8" w14:textId="77777777" w:rsidR="00D07378" w:rsidRPr="003B2BDF" w:rsidRDefault="00D07378" w:rsidP="00BA499D">
            <w:pPr>
              <w:rPr>
                <w:rFonts w:ascii="Calibri" w:eastAsia="Times New Roman" w:hAnsi="Calibri" w:cs="Calibri"/>
                <w:color w:val="1A1A1A"/>
                <w:sz w:val="20"/>
                <w:szCs w:val="20"/>
                <w:lang w:eastAsia="hr-HR"/>
              </w:rPr>
            </w:pPr>
            <w:r w:rsidRPr="003B2BDF">
              <w:rPr>
                <w:rFonts w:ascii="Calibri" w:eastAsia="Times New Roman" w:hAnsi="Calibri" w:cs="Calibri"/>
                <w:color w:val="1A1A1A"/>
                <w:sz w:val="20"/>
                <w:szCs w:val="20"/>
                <w:lang w:eastAsia="hr-HR"/>
              </w:rPr>
              <w:t xml:space="preserve">Obnova odobrenja </w:t>
            </w:r>
            <w:r>
              <w:rPr>
                <w:rFonts w:ascii="Calibri" w:eastAsia="Times New Roman" w:hAnsi="Calibri" w:cs="Calibri"/>
                <w:color w:val="1A1A1A"/>
                <w:vertAlign w:val="superscript"/>
                <w:lang w:eastAsia="hr-HR"/>
              </w:rPr>
              <w:t>3</w:t>
            </w:r>
          </w:p>
        </w:tc>
        <w:tc>
          <w:tcPr>
            <w:tcW w:w="1560" w:type="dxa"/>
            <w:tcBorders>
              <w:top w:val="nil"/>
              <w:left w:val="nil"/>
              <w:bottom w:val="single" w:sz="8" w:space="0" w:color="auto"/>
              <w:right w:val="single" w:sz="8" w:space="0" w:color="auto"/>
            </w:tcBorders>
            <w:shd w:val="clear" w:color="auto" w:fill="auto"/>
            <w:noWrap/>
            <w:vAlign w:val="center"/>
          </w:tcPr>
          <w:p w14:paraId="6EF5CF42" w14:textId="77777777" w:rsidR="00D07378" w:rsidRPr="00D842BF" w:rsidRDefault="00D07378" w:rsidP="00BA499D">
            <w:pPr>
              <w:jc w:val="center"/>
              <w:rPr>
                <w:rFonts w:ascii="Calibri" w:hAnsi="Calibri" w:cs="Calibri"/>
                <w:color w:val="000000"/>
                <w:sz w:val="20"/>
                <w:szCs w:val="20"/>
              </w:rPr>
            </w:pPr>
            <w:r>
              <w:rPr>
                <w:rFonts w:ascii="Calibri" w:hAnsi="Calibri" w:cs="Calibri"/>
                <w:color w:val="000000"/>
                <w:sz w:val="20"/>
                <w:szCs w:val="20"/>
              </w:rPr>
              <w:t>206</w:t>
            </w:r>
          </w:p>
        </w:tc>
        <w:tc>
          <w:tcPr>
            <w:tcW w:w="1647" w:type="dxa"/>
            <w:tcBorders>
              <w:top w:val="nil"/>
              <w:left w:val="nil"/>
              <w:bottom w:val="single" w:sz="8" w:space="0" w:color="auto"/>
              <w:right w:val="single" w:sz="8" w:space="0" w:color="auto"/>
            </w:tcBorders>
            <w:shd w:val="clear" w:color="auto" w:fill="auto"/>
            <w:noWrap/>
            <w:vAlign w:val="center"/>
          </w:tcPr>
          <w:p w14:paraId="671D153B" w14:textId="77777777" w:rsidR="00D07378" w:rsidRPr="00D842BF" w:rsidRDefault="00D07378" w:rsidP="00BA499D">
            <w:pPr>
              <w:jc w:val="center"/>
              <w:rPr>
                <w:rFonts w:ascii="Calibri" w:hAnsi="Calibri" w:cs="Calibri"/>
                <w:color w:val="000000"/>
                <w:sz w:val="20"/>
                <w:szCs w:val="20"/>
              </w:rPr>
            </w:pPr>
            <w:r>
              <w:rPr>
                <w:rFonts w:ascii="Calibri" w:hAnsi="Calibri" w:cs="Calibri"/>
                <w:color w:val="000000"/>
                <w:sz w:val="20"/>
                <w:szCs w:val="20"/>
              </w:rPr>
              <w:t>246</w:t>
            </w:r>
          </w:p>
        </w:tc>
        <w:tc>
          <w:tcPr>
            <w:tcW w:w="1276" w:type="dxa"/>
            <w:tcBorders>
              <w:top w:val="nil"/>
              <w:left w:val="nil"/>
              <w:bottom w:val="single" w:sz="8" w:space="0" w:color="auto"/>
              <w:right w:val="single" w:sz="8" w:space="0" w:color="auto"/>
            </w:tcBorders>
            <w:shd w:val="clear" w:color="auto" w:fill="auto"/>
            <w:noWrap/>
            <w:vAlign w:val="center"/>
          </w:tcPr>
          <w:p w14:paraId="61C454D2" w14:textId="77777777" w:rsidR="00D07378" w:rsidRPr="00D842BF" w:rsidRDefault="00D07378" w:rsidP="00BA499D">
            <w:pPr>
              <w:jc w:val="center"/>
              <w:rPr>
                <w:rFonts w:ascii="Calibri" w:hAnsi="Calibri" w:cs="Calibri"/>
                <w:color w:val="000000"/>
                <w:sz w:val="20"/>
                <w:szCs w:val="20"/>
              </w:rPr>
            </w:pPr>
            <w:r>
              <w:rPr>
                <w:rFonts w:ascii="Calibri" w:hAnsi="Calibri" w:cs="Calibri"/>
                <w:color w:val="000000"/>
                <w:sz w:val="20"/>
                <w:szCs w:val="20"/>
              </w:rPr>
              <w:t>119%</w:t>
            </w:r>
          </w:p>
        </w:tc>
      </w:tr>
      <w:tr w:rsidR="00D07378" w:rsidRPr="003B2BDF" w14:paraId="4C1C1EF0" w14:textId="77777777" w:rsidTr="00BA499D">
        <w:trPr>
          <w:trHeight w:val="142"/>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F4AE41D" w14:textId="77777777" w:rsidR="00D07378" w:rsidRPr="003B2BDF" w:rsidRDefault="00D07378" w:rsidP="00BA499D">
            <w:pPr>
              <w:jc w:val="center"/>
              <w:rPr>
                <w:rFonts w:ascii="Calibri" w:eastAsia="Times New Roman" w:hAnsi="Calibri" w:cs="Calibri"/>
                <w:color w:val="1A1A1A"/>
                <w:sz w:val="20"/>
                <w:szCs w:val="20"/>
                <w:lang w:eastAsia="hr-HR"/>
              </w:rPr>
            </w:pPr>
            <w:r w:rsidRPr="003B2BDF">
              <w:rPr>
                <w:rFonts w:ascii="Calibri" w:eastAsia="Times New Roman" w:hAnsi="Calibri" w:cs="Calibri"/>
                <w:color w:val="1A1A1A"/>
                <w:sz w:val="20"/>
                <w:szCs w:val="20"/>
                <w:lang w:eastAsia="hr-HR"/>
              </w:rPr>
              <w:t>1.3.</w:t>
            </w:r>
          </w:p>
        </w:tc>
        <w:tc>
          <w:tcPr>
            <w:tcW w:w="3566" w:type="dxa"/>
            <w:tcBorders>
              <w:top w:val="nil"/>
              <w:left w:val="nil"/>
              <w:bottom w:val="single" w:sz="8" w:space="0" w:color="auto"/>
              <w:right w:val="single" w:sz="8" w:space="0" w:color="auto"/>
            </w:tcBorders>
            <w:shd w:val="clear" w:color="auto" w:fill="auto"/>
            <w:vAlign w:val="center"/>
            <w:hideMark/>
          </w:tcPr>
          <w:p w14:paraId="271E2DDD" w14:textId="77777777" w:rsidR="00D07378" w:rsidRPr="003B2BDF" w:rsidRDefault="00D07378" w:rsidP="00BA499D">
            <w:pPr>
              <w:rPr>
                <w:rFonts w:ascii="Calibri" w:eastAsia="Times New Roman" w:hAnsi="Calibri" w:cs="Calibri"/>
                <w:color w:val="1A1A1A"/>
                <w:sz w:val="20"/>
                <w:szCs w:val="20"/>
                <w:lang w:eastAsia="hr-HR"/>
              </w:rPr>
            </w:pPr>
            <w:r w:rsidRPr="003B2BDF">
              <w:rPr>
                <w:rFonts w:ascii="Calibri" w:eastAsia="Times New Roman" w:hAnsi="Calibri" w:cs="Calibri"/>
                <w:color w:val="1A1A1A"/>
                <w:sz w:val="20"/>
                <w:szCs w:val="20"/>
                <w:lang w:eastAsia="hr-HR"/>
              </w:rPr>
              <w:t xml:space="preserve">Izmjena odobrenja </w:t>
            </w:r>
            <w:r>
              <w:rPr>
                <w:rFonts w:ascii="Calibri" w:eastAsia="Times New Roman" w:hAnsi="Calibri" w:cs="Calibri"/>
                <w:color w:val="1A1A1A"/>
                <w:vertAlign w:val="superscript"/>
                <w:lang w:eastAsia="hr-HR"/>
              </w:rPr>
              <w:t>3</w:t>
            </w:r>
          </w:p>
        </w:tc>
        <w:tc>
          <w:tcPr>
            <w:tcW w:w="1560" w:type="dxa"/>
            <w:tcBorders>
              <w:top w:val="nil"/>
              <w:left w:val="nil"/>
              <w:bottom w:val="single" w:sz="8" w:space="0" w:color="auto"/>
              <w:right w:val="single" w:sz="8" w:space="0" w:color="auto"/>
            </w:tcBorders>
            <w:shd w:val="clear" w:color="auto" w:fill="auto"/>
            <w:noWrap/>
            <w:vAlign w:val="center"/>
          </w:tcPr>
          <w:p w14:paraId="4BD23E8B" w14:textId="77777777" w:rsidR="00D07378" w:rsidRPr="00D842BF" w:rsidRDefault="00D07378" w:rsidP="00BA499D">
            <w:pPr>
              <w:jc w:val="center"/>
              <w:rPr>
                <w:rFonts w:ascii="Calibri" w:hAnsi="Calibri" w:cs="Calibri"/>
                <w:color w:val="000000"/>
                <w:sz w:val="20"/>
                <w:szCs w:val="20"/>
              </w:rPr>
            </w:pPr>
            <w:r>
              <w:rPr>
                <w:rFonts w:ascii="Calibri" w:hAnsi="Calibri" w:cs="Calibri"/>
                <w:color w:val="000000"/>
                <w:sz w:val="20"/>
                <w:szCs w:val="20"/>
              </w:rPr>
              <w:t>13.810</w:t>
            </w:r>
          </w:p>
        </w:tc>
        <w:tc>
          <w:tcPr>
            <w:tcW w:w="1647" w:type="dxa"/>
            <w:tcBorders>
              <w:top w:val="nil"/>
              <w:left w:val="nil"/>
              <w:bottom w:val="single" w:sz="8" w:space="0" w:color="auto"/>
              <w:right w:val="single" w:sz="8" w:space="0" w:color="auto"/>
            </w:tcBorders>
            <w:shd w:val="clear" w:color="auto" w:fill="auto"/>
            <w:noWrap/>
            <w:vAlign w:val="center"/>
          </w:tcPr>
          <w:p w14:paraId="5BB62A5E" w14:textId="77777777" w:rsidR="00D07378" w:rsidRPr="00D842BF" w:rsidRDefault="00D07378" w:rsidP="00BA499D">
            <w:pPr>
              <w:jc w:val="center"/>
              <w:rPr>
                <w:rFonts w:ascii="Calibri" w:hAnsi="Calibri" w:cs="Calibri"/>
                <w:color w:val="000000"/>
                <w:sz w:val="20"/>
                <w:szCs w:val="20"/>
              </w:rPr>
            </w:pPr>
            <w:r>
              <w:rPr>
                <w:rFonts w:ascii="Calibri" w:hAnsi="Calibri" w:cs="Calibri"/>
                <w:color w:val="000000"/>
                <w:sz w:val="20"/>
                <w:szCs w:val="20"/>
              </w:rPr>
              <w:t>14.203</w:t>
            </w:r>
          </w:p>
        </w:tc>
        <w:tc>
          <w:tcPr>
            <w:tcW w:w="1276" w:type="dxa"/>
            <w:tcBorders>
              <w:top w:val="nil"/>
              <w:left w:val="nil"/>
              <w:bottom w:val="single" w:sz="8" w:space="0" w:color="auto"/>
              <w:right w:val="single" w:sz="8" w:space="0" w:color="auto"/>
            </w:tcBorders>
            <w:shd w:val="clear" w:color="auto" w:fill="auto"/>
            <w:noWrap/>
            <w:vAlign w:val="center"/>
          </w:tcPr>
          <w:p w14:paraId="76844A1D" w14:textId="77777777" w:rsidR="00D07378" w:rsidRPr="00D842BF" w:rsidRDefault="00D07378" w:rsidP="00BA499D">
            <w:pPr>
              <w:jc w:val="center"/>
              <w:rPr>
                <w:rFonts w:ascii="Calibri" w:hAnsi="Calibri" w:cs="Calibri"/>
                <w:color w:val="000000"/>
                <w:sz w:val="20"/>
                <w:szCs w:val="20"/>
              </w:rPr>
            </w:pPr>
            <w:r>
              <w:rPr>
                <w:rFonts w:ascii="Calibri" w:hAnsi="Calibri" w:cs="Calibri"/>
                <w:color w:val="000000"/>
                <w:sz w:val="20"/>
                <w:szCs w:val="20"/>
              </w:rPr>
              <w:t>103%</w:t>
            </w:r>
          </w:p>
        </w:tc>
      </w:tr>
      <w:tr w:rsidR="00D07378" w:rsidRPr="003B2BDF" w14:paraId="52057BE1" w14:textId="77777777" w:rsidTr="00BA499D">
        <w:trPr>
          <w:trHeight w:val="142"/>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DDBC64F" w14:textId="77777777" w:rsidR="00D07378" w:rsidRPr="003B2BDF" w:rsidRDefault="00D07378" w:rsidP="00BA499D">
            <w:pPr>
              <w:jc w:val="center"/>
              <w:rPr>
                <w:rFonts w:ascii="Calibri" w:eastAsia="Times New Roman" w:hAnsi="Calibri" w:cs="Calibri"/>
                <w:color w:val="1A1A1A"/>
                <w:sz w:val="20"/>
                <w:szCs w:val="20"/>
                <w:lang w:eastAsia="hr-HR"/>
              </w:rPr>
            </w:pPr>
            <w:r w:rsidRPr="003B2BDF">
              <w:rPr>
                <w:rFonts w:ascii="Calibri" w:eastAsia="Times New Roman" w:hAnsi="Calibri" w:cs="Calibri"/>
                <w:color w:val="1A1A1A"/>
                <w:sz w:val="20"/>
                <w:szCs w:val="20"/>
                <w:lang w:eastAsia="hr-HR"/>
              </w:rPr>
              <w:t>1.4.</w:t>
            </w:r>
          </w:p>
        </w:tc>
        <w:tc>
          <w:tcPr>
            <w:tcW w:w="3566" w:type="dxa"/>
            <w:tcBorders>
              <w:top w:val="nil"/>
              <w:left w:val="nil"/>
              <w:bottom w:val="single" w:sz="8" w:space="0" w:color="auto"/>
              <w:right w:val="single" w:sz="8" w:space="0" w:color="auto"/>
            </w:tcBorders>
            <w:shd w:val="clear" w:color="auto" w:fill="auto"/>
            <w:vAlign w:val="center"/>
            <w:hideMark/>
          </w:tcPr>
          <w:p w14:paraId="2353BED6" w14:textId="77777777" w:rsidR="00D07378" w:rsidRPr="003B2BDF" w:rsidRDefault="00D07378" w:rsidP="00BA499D">
            <w:pPr>
              <w:rPr>
                <w:rFonts w:ascii="Calibri" w:eastAsia="Times New Roman" w:hAnsi="Calibri" w:cs="Calibri"/>
                <w:color w:val="1A1A1A"/>
                <w:sz w:val="20"/>
                <w:szCs w:val="20"/>
                <w:lang w:eastAsia="hr-HR"/>
              </w:rPr>
            </w:pPr>
            <w:r w:rsidRPr="003B2BDF">
              <w:rPr>
                <w:rFonts w:ascii="Calibri" w:eastAsia="Times New Roman" w:hAnsi="Calibri" w:cs="Calibri"/>
                <w:color w:val="1A1A1A"/>
                <w:sz w:val="20"/>
                <w:szCs w:val="20"/>
                <w:lang w:eastAsia="hr-HR"/>
              </w:rPr>
              <w:t>Jezična provjera informacija o lijeku u centraliziranom postupku odobravanja lijekova (EMA)</w:t>
            </w:r>
            <w:r w:rsidRPr="003B2BDF">
              <w:rPr>
                <w:rFonts w:ascii="Calibri" w:eastAsia="Times New Roman" w:hAnsi="Calibri" w:cs="Calibri"/>
                <w:color w:val="1A1A1A"/>
                <w:vertAlign w:val="superscript"/>
                <w:lang w:eastAsia="hr-HR"/>
              </w:rPr>
              <w:t xml:space="preserve"> 2</w:t>
            </w:r>
          </w:p>
        </w:tc>
        <w:tc>
          <w:tcPr>
            <w:tcW w:w="1560" w:type="dxa"/>
            <w:tcBorders>
              <w:top w:val="nil"/>
              <w:left w:val="nil"/>
              <w:bottom w:val="single" w:sz="8" w:space="0" w:color="auto"/>
              <w:right w:val="single" w:sz="8" w:space="0" w:color="auto"/>
            </w:tcBorders>
            <w:shd w:val="clear" w:color="auto" w:fill="auto"/>
            <w:noWrap/>
            <w:vAlign w:val="center"/>
          </w:tcPr>
          <w:p w14:paraId="5ECCCE37" w14:textId="77777777" w:rsidR="00D07378" w:rsidRPr="00D842BF" w:rsidRDefault="00D07378" w:rsidP="00BA499D">
            <w:pPr>
              <w:jc w:val="center"/>
              <w:rPr>
                <w:rFonts w:ascii="Calibri" w:hAnsi="Calibri" w:cs="Calibri"/>
                <w:color w:val="000000"/>
                <w:sz w:val="20"/>
                <w:szCs w:val="20"/>
              </w:rPr>
            </w:pPr>
            <w:r>
              <w:rPr>
                <w:rFonts w:ascii="Calibri" w:hAnsi="Calibri" w:cs="Calibri"/>
                <w:color w:val="000000"/>
                <w:sz w:val="20"/>
                <w:szCs w:val="20"/>
              </w:rPr>
              <w:t>780</w:t>
            </w:r>
          </w:p>
        </w:tc>
        <w:tc>
          <w:tcPr>
            <w:tcW w:w="1647" w:type="dxa"/>
            <w:tcBorders>
              <w:top w:val="nil"/>
              <w:left w:val="nil"/>
              <w:bottom w:val="single" w:sz="8" w:space="0" w:color="auto"/>
              <w:right w:val="single" w:sz="8" w:space="0" w:color="auto"/>
            </w:tcBorders>
            <w:shd w:val="clear" w:color="auto" w:fill="auto"/>
            <w:noWrap/>
            <w:vAlign w:val="center"/>
          </w:tcPr>
          <w:p w14:paraId="720FEFD7" w14:textId="77777777" w:rsidR="00D07378" w:rsidRPr="00D842BF" w:rsidRDefault="00D07378" w:rsidP="00BA499D">
            <w:pPr>
              <w:jc w:val="center"/>
              <w:rPr>
                <w:rFonts w:ascii="Calibri" w:hAnsi="Calibri" w:cs="Calibri"/>
                <w:color w:val="000000"/>
                <w:sz w:val="20"/>
                <w:szCs w:val="20"/>
              </w:rPr>
            </w:pPr>
            <w:r>
              <w:rPr>
                <w:rFonts w:ascii="Calibri" w:hAnsi="Calibri" w:cs="Calibri"/>
                <w:color w:val="000000"/>
                <w:sz w:val="20"/>
                <w:szCs w:val="20"/>
              </w:rPr>
              <w:t>667</w:t>
            </w:r>
          </w:p>
        </w:tc>
        <w:tc>
          <w:tcPr>
            <w:tcW w:w="1276" w:type="dxa"/>
            <w:tcBorders>
              <w:top w:val="nil"/>
              <w:left w:val="nil"/>
              <w:bottom w:val="single" w:sz="8" w:space="0" w:color="auto"/>
              <w:right w:val="single" w:sz="8" w:space="0" w:color="auto"/>
            </w:tcBorders>
            <w:shd w:val="clear" w:color="auto" w:fill="auto"/>
            <w:noWrap/>
            <w:vAlign w:val="center"/>
          </w:tcPr>
          <w:p w14:paraId="6870FF78" w14:textId="77777777" w:rsidR="00D07378" w:rsidRPr="00D842BF" w:rsidRDefault="00D07378" w:rsidP="00BA499D">
            <w:pPr>
              <w:jc w:val="center"/>
              <w:rPr>
                <w:rFonts w:ascii="Calibri" w:hAnsi="Calibri" w:cs="Calibri"/>
                <w:color w:val="000000"/>
                <w:sz w:val="20"/>
                <w:szCs w:val="20"/>
              </w:rPr>
            </w:pPr>
            <w:r>
              <w:rPr>
                <w:rFonts w:ascii="Calibri" w:hAnsi="Calibri" w:cs="Calibri"/>
                <w:color w:val="000000"/>
                <w:sz w:val="20"/>
                <w:szCs w:val="20"/>
              </w:rPr>
              <w:t>86%</w:t>
            </w:r>
          </w:p>
        </w:tc>
      </w:tr>
      <w:tr w:rsidR="00D07378" w:rsidRPr="003B2BDF" w14:paraId="439B8231" w14:textId="77777777" w:rsidTr="00BA499D">
        <w:trPr>
          <w:trHeight w:val="142"/>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76E460C" w14:textId="77777777" w:rsidR="00D07378" w:rsidRPr="003B2BDF" w:rsidRDefault="00D07378" w:rsidP="00BA499D">
            <w:pPr>
              <w:jc w:val="center"/>
              <w:rPr>
                <w:rFonts w:ascii="Calibri" w:eastAsia="Times New Roman" w:hAnsi="Calibri" w:cs="Calibri"/>
                <w:color w:val="1A1A1A"/>
                <w:sz w:val="20"/>
                <w:szCs w:val="20"/>
                <w:lang w:eastAsia="hr-HR"/>
              </w:rPr>
            </w:pPr>
            <w:r w:rsidRPr="003B2BDF">
              <w:rPr>
                <w:rFonts w:ascii="Calibri" w:eastAsia="Times New Roman" w:hAnsi="Calibri" w:cs="Calibri"/>
                <w:color w:val="1A1A1A"/>
                <w:sz w:val="20"/>
                <w:szCs w:val="20"/>
                <w:lang w:eastAsia="hr-HR"/>
              </w:rPr>
              <w:t>1.5.</w:t>
            </w:r>
          </w:p>
        </w:tc>
        <w:tc>
          <w:tcPr>
            <w:tcW w:w="3566" w:type="dxa"/>
            <w:tcBorders>
              <w:top w:val="nil"/>
              <w:left w:val="nil"/>
              <w:bottom w:val="single" w:sz="8" w:space="0" w:color="auto"/>
              <w:right w:val="single" w:sz="8" w:space="0" w:color="auto"/>
            </w:tcBorders>
            <w:shd w:val="clear" w:color="auto" w:fill="auto"/>
            <w:vAlign w:val="center"/>
            <w:hideMark/>
          </w:tcPr>
          <w:p w14:paraId="1C821600" w14:textId="77777777" w:rsidR="00D07378" w:rsidRPr="003B2BDF" w:rsidRDefault="00D07378" w:rsidP="00BA499D">
            <w:pPr>
              <w:rPr>
                <w:rFonts w:ascii="Calibri" w:eastAsia="Times New Roman" w:hAnsi="Calibri" w:cs="Calibri"/>
                <w:color w:val="1A1A1A"/>
                <w:sz w:val="20"/>
                <w:szCs w:val="20"/>
                <w:lang w:eastAsia="hr-HR"/>
              </w:rPr>
            </w:pPr>
            <w:r w:rsidRPr="003B2BDF">
              <w:rPr>
                <w:rFonts w:ascii="Calibri" w:eastAsia="Times New Roman" w:hAnsi="Calibri" w:cs="Calibri"/>
                <w:color w:val="1A1A1A"/>
                <w:sz w:val="20"/>
                <w:szCs w:val="20"/>
                <w:lang w:eastAsia="hr-HR"/>
              </w:rPr>
              <w:t>Ocjena dokumentacije u centraliziranom postupku odobravanja lijekova (EMA)</w:t>
            </w:r>
            <w:r w:rsidRPr="003B2BDF">
              <w:rPr>
                <w:rFonts w:ascii="Calibri" w:eastAsia="Times New Roman" w:hAnsi="Calibri" w:cs="Calibri"/>
                <w:color w:val="1A1A1A"/>
                <w:vertAlign w:val="superscript"/>
                <w:lang w:eastAsia="hr-HR"/>
              </w:rPr>
              <w:t xml:space="preserve"> 2</w:t>
            </w:r>
            <w:r w:rsidRPr="003B2BDF">
              <w:rPr>
                <w:rFonts w:ascii="Calibri" w:eastAsia="Times New Roman" w:hAnsi="Calibri" w:cs="Calibri"/>
                <w:color w:val="1A1A1A"/>
                <w:sz w:val="20"/>
                <w:szCs w:val="20"/>
                <w:lang w:eastAsia="hr-HR"/>
              </w:rPr>
              <w:t xml:space="preserve"> </w:t>
            </w:r>
          </w:p>
        </w:tc>
        <w:tc>
          <w:tcPr>
            <w:tcW w:w="1560" w:type="dxa"/>
            <w:tcBorders>
              <w:top w:val="nil"/>
              <w:left w:val="nil"/>
              <w:bottom w:val="single" w:sz="8" w:space="0" w:color="auto"/>
              <w:right w:val="single" w:sz="8" w:space="0" w:color="auto"/>
            </w:tcBorders>
            <w:shd w:val="clear" w:color="auto" w:fill="auto"/>
            <w:noWrap/>
            <w:vAlign w:val="center"/>
          </w:tcPr>
          <w:p w14:paraId="4592B718" w14:textId="77777777" w:rsidR="00D07378" w:rsidRPr="00D842BF" w:rsidRDefault="00D07378" w:rsidP="00BA499D">
            <w:pPr>
              <w:jc w:val="center"/>
              <w:rPr>
                <w:rFonts w:ascii="Calibri" w:hAnsi="Calibri" w:cs="Calibri"/>
                <w:color w:val="000000"/>
                <w:sz w:val="20"/>
                <w:szCs w:val="20"/>
              </w:rPr>
            </w:pPr>
            <w:r>
              <w:rPr>
                <w:rFonts w:ascii="Calibri" w:hAnsi="Calibri" w:cs="Calibri"/>
                <w:color w:val="000000"/>
                <w:sz w:val="20"/>
                <w:szCs w:val="20"/>
              </w:rPr>
              <w:t>10</w:t>
            </w:r>
          </w:p>
        </w:tc>
        <w:tc>
          <w:tcPr>
            <w:tcW w:w="1647" w:type="dxa"/>
            <w:tcBorders>
              <w:top w:val="nil"/>
              <w:left w:val="nil"/>
              <w:bottom w:val="single" w:sz="8" w:space="0" w:color="auto"/>
              <w:right w:val="single" w:sz="8" w:space="0" w:color="auto"/>
            </w:tcBorders>
            <w:shd w:val="clear" w:color="auto" w:fill="auto"/>
            <w:noWrap/>
            <w:vAlign w:val="center"/>
          </w:tcPr>
          <w:p w14:paraId="2886FD4B" w14:textId="77777777" w:rsidR="00D07378" w:rsidRPr="00D842BF" w:rsidRDefault="00D07378" w:rsidP="00BA499D">
            <w:pPr>
              <w:jc w:val="center"/>
              <w:rPr>
                <w:rFonts w:ascii="Calibri" w:hAnsi="Calibri" w:cs="Calibri"/>
                <w:color w:val="000000"/>
                <w:sz w:val="20"/>
                <w:szCs w:val="20"/>
              </w:rPr>
            </w:pPr>
            <w:r>
              <w:rPr>
                <w:rFonts w:ascii="Calibri" w:hAnsi="Calibri" w:cs="Calibri"/>
                <w:color w:val="000000"/>
                <w:sz w:val="20"/>
                <w:szCs w:val="20"/>
              </w:rPr>
              <w:t>9</w:t>
            </w:r>
          </w:p>
        </w:tc>
        <w:tc>
          <w:tcPr>
            <w:tcW w:w="1276" w:type="dxa"/>
            <w:tcBorders>
              <w:top w:val="nil"/>
              <w:left w:val="nil"/>
              <w:bottom w:val="single" w:sz="8" w:space="0" w:color="auto"/>
              <w:right w:val="single" w:sz="8" w:space="0" w:color="auto"/>
            </w:tcBorders>
            <w:shd w:val="clear" w:color="auto" w:fill="auto"/>
            <w:noWrap/>
            <w:vAlign w:val="center"/>
          </w:tcPr>
          <w:p w14:paraId="5DAFFD76" w14:textId="77777777" w:rsidR="00D07378" w:rsidRPr="00D842BF" w:rsidRDefault="00D07378" w:rsidP="00BA499D">
            <w:pPr>
              <w:jc w:val="center"/>
              <w:rPr>
                <w:rFonts w:ascii="Calibri" w:hAnsi="Calibri" w:cs="Calibri"/>
                <w:color w:val="000000"/>
                <w:sz w:val="20"/>
                <w:szCs w:val="20"/>
              </w:rPr>
            </w:pPr>
            <w:r>
              <w:rPr>
                <w:rFonts w:ascii="Calibri" w:hAnsi="Calibri" w:cs="Calibri"/>
                <w:color w:val="000000"/>
                <w:sz w:val="20"/>
                <w:szCs w:val="20"/>
              </w:rPr>
              <w:t>90%</w:t>
            </w:r>
          </w:p>
        </w:tc>
      </w:tr>
      <w:tr w:rsidR="00D07378" w:rsidRPr="003B2BDF" w14:paraId="274254E7" w14:textId="77777777" w:rsidTr="00BA499D">
        <w:trPr>
          <w:trHeight w:val="142"/>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FDE61F9" w14:textId="77777777" w:rsidR="00D07378" w:rsidRPr="003B2BDF" w:rsidRDefault="00D07378" w:rsidP="00BA499D">
            <w:pPr>
              <w:jc w:val="center"/>
              <w:rPr>
                <w:rFonts w:ascii="Calibri" w:eastAsia="Times New Roman" w:hAnsi="Calibri" w:cs="Calibri"/>
                <w:color w:val="1A1A1A"/>
                <w:sz w:val="20"/>
                <w:szCs w:val="20"/>
                <w:lang w:eastAsia="hr-HR"/>
              </w:rPr>
            </w:pPr>
            <w:r w:rsidRPr="003B2BDF">
              <w:rPr>
                <w:rFonts w:ascii="Calibri" w:eastAsia="Times New Roman" w:hAnsi="Calibri" w:cs="Calibri"/>
                <w:color w:val="1A1A1A"/>
                <w:sz w:val="20"/>
                <w:szCs w:val="20"/>
                <w:lang w:eastAsia="hr-HR"/>
              </w:rPr>
              <w:t>1.6.</w:t>
            </w:r>
          </w:p>
        </w:tc>
        <w:tc>
          <w:tcPr>
            <w:tcW w:w="3566" w:type="dxa"/>
            <w:tcBorders>
              <w:top w:val="nil"/>
              <w:left w:val="nil"/>
              <w:bottom w:val="single" w:sz="8" w:space="0" w:color="auto"/>
              <w:right w:val="single" w:sz="8" w:space="0" w:color="auto"/>
            </w:tcBorders>
            <w:shd w:val="clear" w:color="auto" w:fill="auto"/>
            <w:vAlign w:val="center"/>
            <w:hideMark/>
          </w:tcPr>
          <w:p w14:paraId="516174EF" w14:textId="77777777" w:rsidR="00D07378" w:rsidRPr="003B2BDF" w:rsidRDefault="00D07378" w:rsidP="00BA499D">
            <w:pPr>
              <w:rPr>
                <w:rFonts w:ascii="Calibri" w:eastAsia="Times New Roman" w:hAnsi="Calibri" w:cs="Calibri"/>
                <w:color w:val="1A1A1A"/>
                <w:sz w:val="20"/>
                <w:szCs w:val="20"/>
                <w:lang w:eastAsia="hr-HR"/>
              </w:rPr>
            </w:pPr>
            <w:r w:rsidRPr="003B2BDF">
              <w:rPr>
                <w:rFonts w:ascii="Calibri" w:eastAsia="Times New Roman" w:hAnsi="Calibri" w:cs="Calibri"/>
                <w:color w:val="1A1A1A"/>
                <w:sz w:val="20"/>
                <w:szCs w:val="20"/>
                <w:lang w:eastAsia="hr-HR"/>
              </w:rPr>
              <w:t>Ocjena dokumentacije u postupku dobivanje Ovjernice Europske farmakopeje (EDQM)</w:t>
            </w:r>
            <w:r w:rsidRPr="003B2BDF">
              <w:rPr>
                <w:rFonts w:ascii="Calibri" w:eastAsia="Times New Roman" w:hAnsi="Calibri" w:cs="Calibri"/>
                <w:color w:val="1A1A1A"/>
                <w:vertAlign w:val="superscript"/>
                <w:lang w:eastAsia="hr-HR"/>
              </w:rPr>
              <w:t xml:space="preserve"> 2</w:t>
            </w:r>
            <w:r w:rsidRPr="003B2BDF">
              <w:rPr>
                <w:rFonts w:ascii="Calibri" w:eastAsia="Times New Roman" w:hAnsi="Calibri" w:cs="Calibri"/>
                <w:color w:val="1A1A1A"/>
                <w:sz w:val="20"/>
                <w:szCs w:val="20"/>
                <w:lang w:eastAsia="hr-HR"/>
              </w:rPr>
              <w:t xml:space="preserve"> </w:t>
            </w:r>
          </w:p>
        </w:tc>
        <w:tc>
          <w:tcPr>
            <w:tcW w:w="1560" w:type="dxa"/>
            <w:tcBorders>
              <w:top w:val="nil"/>
              <w:left w:val="nil"/>
              <w:bottom w:val="single" w:sz="8" w:space="0" w:color="auto"/>
              <w:right w:val="single" w:sz="8" w:space="0" w:color="auto"/>
            </w:tcBorders>
            <w:shd w:val="clear" w:color="auto" w:fill="auto"/>
            <w:noWrap/>
            <w:vAlign w:val="center"/>
          </w:tcPr>
          <w:p w14:paraId="22CFC8BF" w14:textId="77777777" w:rsidR="00D07378" w:rsidRPr="00D842BF" w:rsidRDefault="00D07378" w:rsidP="00BA499D">
            <w:pPr>
              <w:jc w:val="center"/>
              <w:rPr>
                <w:rFonts w:ascii="Calibri" w:hAnsi="Calibri" w:cs="Calibri"/>
                <w:color w:val="000000"/>
                <w:sz w:val="20"/>
                <w:szCs w:val="20"/>
              </w:rPr>
            </w:pPr>
            <w:r>
              <w:rPr>
                <w:rFonts w:ascii="Calibri" w:hAnsi="Calibri" w:cs="Calibri"/>
                <w:color w:val="000000"/>
                <w:sz w:val="20"/>
                <w:szCs w:val="20"/>
              </w:rPr>
              <w:t>9</w:t>
            </w:r>
          </w:p>
        </w:tc>
        <w:tc>
          <w:tcPr>
            <w:tcW w:w="1647" w:type="dxa"/>
            <w:tcBorders>
              <w:top w:val="nil"/>
              <w:left w:val="nil"/>
              <w:bottom w:val="single" w:sz="8" w:space="0" w:color="auto"/>
              <w:right w:val="single" w:sz="8" w:space="0" w:color="auto"/>
            </w:tcBorders>
            <w:shd w:val="clear" w:color="auto" w:fill="auto"/>
            <w:noWrap/>
            <w:vAlign w:val="center"/>
          </w:tcPr>
          <w:p w14:paraId="18550BA6" w14:textId="77777777" w:rsidR="00D07378" w:rsidRPr="00D842BF" w:rsidRDefault="00D07378" w:rsidP="00BA499D">
            <w:pPr>
              <w:jc w:val="center"/>
              <w:rPr>
                <w:rFonts w:ascii="Calibri" w:hAnsi="Calibri" w:cs="Calibri"/>
                <w:color w:val="000000"/>
                <w:sz w:val="20"/>
                <w:szCs w:val="20"/>
              </w:rPr>
            </w:pPr>
            <w:r>
              <w:rPr>
                <w:rFonts w:ascii="Calibri" w:hAnsi="Calibri" w:cs="Calibri"/>
                <w:color w:val="000000"/>
                <w:sz w:val="20"/>
                <w:szCs w:val="20"/>
              </w:rPr>
              <w:t>8</w:t>
            </w:r>
          </w:p>
        </w:tc>
        <w:tc>
          <w:tcPr>
            <w:tcW w:w="1276" w:type="dxa"/>
            <w:tcBorders>
              <w:top w:val="nil"/>
              <w:left w:val="nil"/>
              <w:bottom w:val="single" w:sz="8" w:space="0" w:color="auto"/>
              <w:right w:val="single" w:sz="8" w:space="0" w:color="auto"/>
            </w:tcBorders>
            <w:shd w:val="clear" w:color="auto" w:fill="auto"/>
            <w:noWrap/>
            <w:vAlign w:val="center"/>
          </w:tcPr>
          <w:p w14:paraId="11ACA4FE" w14:textId="77777777" w:rsidR="00D07378" w:rsidRPr="00D842BF" w:rsidRDefault="00D07378" w:rsidP="00BA499D">
            <w:pPr>
              <w:jc w:val="center"/>
              <w:rPr>
                <w:rFonts w:ascii="Calibri" w:hAnsi="Calibri" w:cs="Calibri"/>
                <w:color w:val="000000"/>
                <w:sz w:val="20"/>
                <w:szCs w:val="20"/>
              </w:rPr>
            </w:pPr>
            <w:r>
              <w:rPr>
                <w:rFonts w:ascii="Calibri" w:hAnsi="Calibri" w:cs="Calibri"/>
                <w:color w:val="000000"/>
                <w:sz w:val="20"/>
                <w:szCs w:val="20"/>
              </w:rPr>
              <w:t>89%</w:t>
            </w:r>
          </w:p>
        </w:tc>
      </w:tr>
      <w:tr w:rsidR="00D07378" w:rsidRPr="003B2BDF" w14:paraId="16D1E7E9" w14:textId="77777777" w:rsidTr="00BA499D">
        <w:trPr>
          <w:trHeight w:val="142"/>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6BFF756" w14:textId="77777777" w:rsidR="00D07378" w:rsidRPr="003B2BDF" w:rsidRDefault="00D07378" w:rsidP="00BA499D">
            <w:pPr>
              <w:jc w:val="center"/>
              <w:rPr>
                <w:rFonts w:ascii="Calibri" w:eastAsia="Times New Roman" w:hAnsi="Calibri" w:cs="Calibri"/>
                <w:color w:val="1A1A1A"/>
                <w:sz w:val="20"/>
                <w:szCs w:val="20"/>
                <w:lang w:eastAsia="hr-HR"/>
              </w:rPr>
            </w:pPr>
            <w:r w:rsidRPr="003B2BDF">
              <w:rPr>
                <w:rFonts w:ascii="Calibri" w:eastAsia="Times New Roman" w:hAnsi="Calibri" w:cs="Calibri"/>
                <w:color w:val="1A1A1A"/>
                <w:sz w:val="20"/>
                <w:szCs w:val="20"/>
                <w:lang w:eastAsia="hr-HR"/>
              </w:rPr>
              <w:t>2.</w:t>
            </w:r>
          </w:p>
        </w:tc>
        <w:tc>
          <w:tcPr>
            <w:tcW w:w="3566" w:type="dxa"/>
            <w:tcBorders>
              <w:top w:val="nil"/>
              <w:left w:val="nil"/>
              <w:bottom w:val="single" w:sz="8" w:space="0" w:color="auto"/>
              <w:right w:val="single" w:sz="8" w:space="0" w:color="auto"/>
            </w:tcBorders>
            <w:shd w:val="clear" w:color="auto" w:fill="auto"/>
            <w:vAlign w:val="center"/>
            <w:hideMark/>
          </w:tcPr>
          <w:p w14:paraId="7D807AC6" w14:textId="77777777" w:rsidR="00D07378" w:rsidRPr="003B2BDF" w:rsidRDefault="00D07378" w:rsidP="00BA499D">
            <w:pPr>
              <w:rPr>
                <w:rFonts w:ascii="Calibri" w:eastAsia="Times New Roman" w:hAnsi="Calibri" w:cs="Calibri"/>
                <w:b/>
                <w:bCs/>
                <w:color w:val="1A1A1A"/>
                <w:sz w:val="20"/>
                <w:szCs w:val="20"/>
                <w:lang w:eastAsia="hr-HR"/>
              </w:rPr>
            </w:pPr>
            <w:r w:rsidRPr="003B2BDF">
              <w:rPr>
                <w:rFonts w:ascii="Calibri" w:eastAsia="Times New Roman" w:hAnsi="Calibri" w:cs="Calibri"/>
                <w:b/>
                <w:bCs/>
                <w:color w:val="1A1A1A"/>
                <w:sz w:val="20"/>
                <w:szCs w:val="20"/>
                <w:lang w:eastAsia="hr-HR"/>
              </w:rPr>
              <w:t xml:space="preserve">Proizvodnja i nadzor </w:t>
            </w:r>
            <w:r w:rsidRPr="003B2BDF">
              <w:rPr>
                <w:rFonts w:ascii="Calibri" w:eastAsia="Times New Roman" w:hAnsi="Calibri" w:cs="Calibri"/>
                <w:color w:val="1A1A1A"/>
                <w:vertAlign w:val="superscript"/>
                <w:lang w:eastAsia="hr-HR"/>
              </w:rPr>
              <w:t>3</w:t>
            </w:r>
          </w:p>
        </w:tc>
        <w:tc>
          <w:tcPr>
            <w:tcW w:w="1560" w:type="dxa"/>
            <w:tcBorders>
              <w:top w:val="nil"/>
              <w:left w:val="nil"/>
              <w:bottom w:val="single" w:sz="8" w:space="0" w:color="auto"/>
              <w:right w:val="single" w:sz="8" w:space="0" w:color="auto"/>
            </w:tcBorders>
            <w:shd w:val="clear" w:color="auto" w:fill="auto"/>
            <w:noWrap/>
            <w:vAlign w:val="center"/>
          </w:tcPr>
          <w:p w14:paraId="44F30AA5" w14:textId="77777777" w:rsidR="00D07378" w:rsidRPr="00BC5C59" w:rsidRDefault="00D07378" w:rsidP="00BA499D">
            <w:pPr>
              <w:jc w:val="center"/>
              <w:rPr>
                <w:rFonts w:ascii="Calibri" w:hAnsi="Calibri" w:cs="Calibri"/>
                <w:b/>
                <w:color w:val="000000"/>
                <w:sz w:val="20"/>
                <w:szCs w:val="20"/>
              </w:rPr>
            </w:pPr>
            <w:r>
              <w:rPr>
                <w:rFonts w:ascii="Calibri" w:hAnsi="Calibri" w:cs="Calibri"/>
                <w:b/>
                <w:bCs/>
                <w:color w:val="000000"/>
                <w:sz w:val="20"/>
                <w:szCs w:val="20"/>
              </w:rPr>
              <w:t>343</w:t>
            </w:r>
          </w:p>
        </w:tc>
        <w:tc>
          <w:tcPr>
            <w:tcW w:w="1647" w:type="dxa"/>
            <w:tcBorders>
              <w:top w:val="nil"/>
              <w:left w:val="nil"/>
              <w:bottom w:val="single" w:sz="8" w:space="0" w:color="auto"/>
              <w:right w:val="single" w:sz="8" w:space="0" w:color="auto"/>
            </w:tcBorders>
            <w:shd w:val="clear" w:color="auto" w:fill="auto"/>
            <w:noWrap/>
            <w:vAlign w:val="center"/>
          </w:tcPr>
          <w:p w14:paraId="3AEC3A94" w14:textId="77777777" w:rsidR="00D07378" w:rsidRPr="008A0C54" w:rsidRDefault="00D07378" w:rsidP="00BA499D">
            <w:pPr>
              <w:jc w:val="center"/>
              <w:rPr>
                <w:rFonts w:ascii="Calibri" w:hAnsi="Calibri" w:cs="Calibri"/>
                <w:b/>
                <w:color w:val="000000"/>
                <w:sz w:val="20"/>
                <w:szCs w:val="20"/>
              </w:rPr>
            </w:pPr>
            <w:r>
              <w:rPr>
                <w:rFonts w:ascii="Calibri" w:hAnsi="Calibri" w:cs="Calibri"/>
                <w:b/>
                <w:bCs/>
                <w:color w:val="000000"/>
                <w:sz w:val="20"/>
                <w:szCs w:val="20"/>
              </w:rPr>
              <w:t>418</w:t>
            </w:r>
          </w:p>
        </w:tc>
        <w:tc>
          <w:tcPr>
            <w:tcW w:w="1276" w:type="dxa"/>
            <w:tcBorders>
              <w:top w:val="nil"/>
              <w:left w:val="nil"/>
              <w:bottom w:val="single" w:sz="8" w:space="0" w:color="auto"/>
              <w:right w:val="single" w:sz="8" w:space="0" w:color="auto"/>
            </w:tcBorders>
            <w:shd w:val="clear" w:color="auto" w:fill="auto"/>
            <w:noWrap/>
            <w:vAlign w:val="center"/>
          </w:tcPr>
          <w:p w14:paraId="1390030E" w14:textId="77777777" w:rsidR="00D07378" w:rsidRPr="00BC5C59" w:rsidRDefault="00D07378" w:rsidP="00BA499D">
            <w:pPr>
              <w:jc w:val="center"/>
              <w:rPr>
                <w:rFonts w:ascii="Calibri" w:hAnsi="Calibri" w:cs="Calibri"/>
                <w:b/>
                <w:color w:val="000000"/>
                <w:sz w:val="20"/>
                <w:szCs w:val="20"/>
              </w:rPr>
            </w:pPr>
            <w:r>
              <w:rPr>
                <w:rFonts w:ascii="Calibri" w:hAnsi="Calibri" w:cs="Calibri"/>
                <w:b/>
                <w:bCs/>
                <w:color w:val="000000"/>
                <w:sz w:val="20"/>
                <w:szCs w:val="20"/>
              </w:rPr>
              <w:t>122%</w:t>
            </w:r>
          </w:p>
        </w:tc>
      </w:tr>
      <w:tr w:rsidR="00D07378" w:rsidRPr="003B2BDF" w14:paraId="4BBACA44" w14:textId="77777777" w:rsidTr="00BA499D">
        <w:trPr>
          <w:trHeight w:val="142"/>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DBA957D" w14:textId="77777777" w:rsidR="00D07378" w:rsidRPr="003B2BDF" w:rsidRDefault="00D07378" w:rsidP="00BA499D">
            <w:pPr>
              <w:jc w:val="center"/>
              <w:rPr>
                <w:rFonts w:ascii="Calibri" w:eastAsia="Times New Roman" w:hAnsi="Calibri" w:cs="Calibri"/>
                <w:color w:val="1A1A1A"/>
                <w:sz w:val="20"/>
                <w:szCs w:val="20"/>
                <w:lang w:eastAsia="hr-HR"/>
              </w:rPr>
            </w:pPr>
            <w:r w:rsidRPr="003B2BDF">
              <w:rPr>
                <w:rFonts w:ascii="Calibri" w:eastAsia="Times New Roman" w:hAnsi="Calibri" w:cs="Calibri"/>
                <w:color w:val="1A1A1A"/>
                <w:sz w:val="20"/>
                <w:szCs w:val="20"/>
                <w:lang w:eastAsia="hr-HR"/>
              </w:rPr>
              <w:t>3.</w:t>
            </w:r>
          </w:p>
        </w:tc>
        <w:tc>
          <w:tcPr>
            <w:tcW w:w="3566" w:type="dxa"/>
            <w:tcBorders>
              <w:top w:val="nil"/>
              <w:left w:val="nil"/>
              <w:bottom w:val="single" w:sz="8" w:space="0" w:color="auto"/>
              <w:right w:val="single" w:sz="8" w:space="0" w:color="auto"/>
            </w:tcBorders>
            <w:shd w:val="clear" w:color="auto" w:fill="auto"/>
            <w:vAlign w:val="center"/>
            <w:hideMark/>
          </w:tcPr>
          <w:p w14:paraId="4A058698" w14:textId="77777777" w:rsidR="00D07378" w:rsidRPr="003B2BDF" w:rsidRDefault="00D07378" w:rsidP="00BA499D">
            <w:pPr>
              <w:rPr>
                <w:rFonts w:ascii="Calibri" w:eastAsia="Times New Roman" w:hAnsi="Calibri" w:cs="Calibri"/>
                <w:b/>
                <w:bCs/>
                <w:color w:val="1A1A1A"/>
                <w:sz w:val="20"/>
                <w:szCs w:val="20"/>
                <w:lang w:eastAsia="hr-HR"/>
              </w:rPr>
            </w:pPr>
            <w:r>
              <w:rPr>
                <w:rFonts w:ascii="Calibri" w:eastAsia="Times New Roman" w:hAnsi="Calibri" w:cs="Calibri"/>
                <w:b/>
                <w:bCs/>
                <w:color w:val="1A1A1A"/>
                <w:sz w:val="20"/>
                <w:szCs w:val="20"/>
                <w:lang w:eastAsia="hr-HR"/>
              </w:rPr>
              <w:t>Dostupnost lijekova</w:t>
            </w:r>
            <w:r w:rsidRPr="003B2BDF">
              <w:rPr>
                <w:rFonts w:ascii="Calibri" w:eastAsia="Times New Roman" w:hAnsi="Calibri" w:cs="Calibri"/>
                <w:color w:val="1A1A1A"/>
                <w:vertAlign w:val="superscript"/>
                <w:lang w:eastAsia="hr-HR"/>
              </w:rPr>
              <w:t>1</w:t>
            </w:r>
          </w:p>
        </w:tc>
        <w:tc>
          <w:tcPr>
            <w:tcW w:w="1560" w:type="dxa"/>
            <w:tcBorders>
              <w:top w:val="nil"/>
              <w:left w:val="nil"/>
              <w:bottom w:val="single" w:sz="8" w:space="0" w:color="auto"/>
              <w:right w:val="single" w:sz="8" w:space="0" w:color="auto"/>
            </w:tcBorders>
            <w:shd w:val="clear" w:color="auto" w:fill="auto"/>
            <w:noWrap/>
            <w:vAlign w:val="center"/>
          </w:tcPr>
          <w:p w14:paraId="5109592C" w14:textId="77777777" w:rsidR="00D07378" w:rsidRPr="00BC5C59" w:rsidRDefault="00D07378" w:rsidP="00BA499D">
            <w:pPr>
              <w:jc w:val="center"/>
              <w:rPr>
                <w:rFonts w:ascii="Calibri" w:hAnsi="Calibri" w:cs="Calibri"/>
                <w:b/>
                <w:color w:val="000000"/>
                <w:sz w:val="20"/>
                <w:szCs w:val="20"/>
              </w:rPr>
            </w:pPr>
            <w:r>
              <w:rPr>
                <w:rFonts w:ascii="Calibri" w:hAnsi="Calibri" w:cs="Calibri"/>
                <w:b/>
                <w:bCs/>
                <w:color w:val="000000"/>
                <w:sz w:val="20"/>
                <w:szCs w:val="20"/>
              </w:rPr>
              <w:t>1.588</w:t>
            </w:r>
          </w:p>
        </w:tc>
        <w:tc>
          <w:tcPr>
            <w:tcW w:w="1647" w:type="dxa"/>
            <w:tcBorders>
              <w:top w:val="nil"/>
              <w:left w:val="nil"/>
              <w:bottom w:val="single" w:sz="8" w:space="0" w:color="auto"/>
              <w:right w:val="single" w:sz="8" w:space="0" w:color="auto"/>
            </w:tcBorders>
            <w:shd w:val="clear" w:color="auto" w:fill="auto"/>
            <w:noWrap/>
            <w:vAlign w:val="center"/>
          </w:tcPr>
          <w:p w14:paraId="6EAED2A9" w14:textId="77777777" w:rsidR="00D07378" w:rsidRPr="00BC5C59" w:rsidRDefault="00D07378" w:rsidP="00BA499D">
            <w:pPr>
              <w:jc w:val="center"/>
              <w:rPr>
                <w:rFonts w:ascii="Calibri" w:hAnsi="Calibri" w:cs="Calibri"/>
                <w:b/>
                <w:color w:val="000000"/>
                <w:sz w:val="20"/>
                <w:szCs w:val="20"/>
              </w:rPr>
            </w:pPr>
            <w:r>
              <w:rPr>
                <w:rFonts w:ascii="Calibri" w:hAnsi="Calibri" w:cs="Calibri"/>
                <w:b/>
                <w:bCs/>
                <w:color w:val="000000"/>
                <w:sz w:val="20"/>
                <w:szCs w:val="20"/>
              </w:rPr>
              <w:t>1.833</w:t>
            </w:r>
          </w:p>
        </w:tc>
        <w:tc>
          <w:tcPr>
            <w:tcW w:w="1276" w:type="dxa"/>
            <w:tcBorders>
              <w:top w:val="nil"/>
              <w:left w:val="nil"/>
              <w:bottom w:val="single" w:sz="8" w:space="0" w:color="auto"/>
              <w:right w:val="single" w:sz="8" w:space="0" w:color="auto"/>
            </w:tcBorders>
            <w:shd w:val="clear" w:color="auto" w:fill="auto"/>
            <w:noWrap/>
            <w:vAlign w:val="center"/>
          </w:tcPr>
          <w:p w14:paraId="43D489E4" w14:textId="77777777" w:rsidR="00D07378" w:rsidRPr="00BC5C59" w:rsidRDefault="00D07378" w:rsidP="00BA499D">
            <w:pPr>
              <w:jc w:val="center"/>
              <w:rPr>
                <w:rFonts w:ascii="Calibri" w:hAnsi="Calibri" w:cs="Calibri"/>
                <w:b/>
                <w:color w:val="000000"/>
                <w:sz w:val="20"/>
                <w:szCs w:val="20"/>
              </w:rPr>
            </w:pPr>
            <w:r>
              <w:rPr>
                <w:rFonts w:ascii="Calibri" w:hAnsi="Calibri" w:cs="Calibri"/>
                <w:b/>
                <w:bCs/>
                <w:color w:val="000000"/>
                <w:sz w:val="20"/>
                <w:szCs w:val="20"/>
              </w:rPr>
              <w:t>115%</w:t>
            </w:r>
          </w:p>
        </w:tc>
      </w:tr>
      <w:tr w:rsidR="00D07378" w:rsidRPr="003B2BDF" w14:paraId="3768AB2E" w14:textId="77777777" w:rsidTr="00BA499D">
        <w:trPr>
          <w:trHeight w:val="142"/>
        </w:trPr>
        <w:tc>
          <w:tcPr>
            <w:tcW w:w="960" w:type="dxa"/>
            <w:tcBorders>
              <w:top w:val="nil"/>
              <w:left w:val="single" w:sz="8" w:space="0" w:color="auto"/>
              <w:bottom w:val="single" w:sz="8" w:space="0" w:color="auto"/>
              <w:right w:val="single" w:sz="8" w:space="0" w:color="auto"/>
            </w:tcBorders>
            <w:shd w:val="clear" w:color="auto" w:fill="auto"/>
            <w:noWrap/>
            <w:vAlign w:val="center"/>
          </w:tcPr>
          <w:p w14:paraId="57EE75C2" w14:textId="77777777" w:rsidR="00D07378" w:rsidRPr="003B2BDF" w:rsidRDefault="00D07378" w:rsidP="00BA499D">
            <w:pPr>
              <w:jc w:val="center"/>
              <w:rPr>
                <w:rFonts w:ascii="Calibri" w:eastAsia="Times New Roman" w:hAnsi="Calibri" w:cs="Calibri"/>
                <w:color w:val="1A1A1A"/>
                <w:sz w:val="20"/>
                <w:szCs w:val="20"/>
                <w:lang w:eastAsia="hr-HR"/>
              </w:rPr>
            </w:pPr>
            <w:r>
              <w:rPr>
                <w:rFonts w:ascii="Calibri" w:eastAsia="Times New Roman" w:hAnsi="Calibri" w:cs="Calibri"/>
                <w:color w:val="1A1A1A"/>
                <w:sz w:val="20"/>
                <w:szCs w:val="20"/>
                <w:lang w:eastAsia="hr-HR"/>
              </w:rPr>
              <w:t>4.</w:t>
            </w:r>
          </w:p>
        </w:tc>
        <w:tc>
          <w:tcPr>
            <w:tcW w:w="3566" w:type="dxa"/>
            <w:tcBorders>
              <w:top w:val="nil"/>
              <w:left w:val="nil"/>
              <w:bottom w:val="single" w:sz="8" w:space="0" w:color="auto"/>
              <w:right w:val="single" w:sz="8" w:space="0" w:color="auto"/>
            </w:tcBorders>
            <w:shd w:val="clear" w:color="auto" w:fill="auto"/>
            <w:vAlign w:val="center"/>
          </w:tcPr>
          <w:p w14:paraId="72287242" w14:textId="77777777" w:rsidR="00D07378" w:rsidRDefault="00D07378" w:rsidP="00BA499D">
            <w:pPr>
              <w:rPr>
                <w:rFonts w:ascii="Calibri" w:eastAsia="Times New Roman" w:hAnsi="Calibri" w:cs="Calibri"/>
                <w:b/>
                <w:bCs/>
                <w:color w:val="1A1A1A"/>
                <w:sz w:val="20"/>
                <w:szCs w:val="20"/>
                <w:lang w:eastAsia="hr-HR"/>
              </w:rPr>
            </w:pPr>
            <w:r w:rsidRPr="002237CB">
              <w:rPr>
                <w:rFonts w:ascii="Calibri" w:eastAsia="Times New Roman" w:hAnsi="Calibri" w:cs="Calibri"/>
                <w:b/>
                <w:bCs/>
                <w:color w:val="1A1A1A"/>
                <w:sz w:val="20"/>
                <w:szCs w:val="20"/>
                <w:lang w:eastAsia="hr-HR"/>
              </w:rPr>
              <w:t>Potrošnja i cijene lijekova</w:t>
            </w:r>
            <w:r w:rsidRPr="003B2BDF">
              <w:rPr>
                <w:rFonts w:ascii="Calibri" w:eastAsia="Times New Roman" w:hAnsi="Calibri" w:cs="Calibri"/>
                <w:color w:val="1A1A1A"/>
                <w:vertAlign w:val="superscript"/>
                <w:lang w:eastAsia="hr-HR"/>
              </w:rPr>
              <w:t>1</w:t>
            </w:r>
          </w:p>
        </w:tc>
        <w:tc>
          <w:tcPr>
            <w:tcW w:w="1560" w:type="dxa"/>
            <w:tcBorders>
              <w:top w:val="nil"/>
              <w:left w:val="nil"/>
              <w:bottom w:val="single" w:sz="8" w:space="0" w:color="auto"/>
              <w:right w:val="single" w:sz="8" w:space="0" w:color="auto"/>
            </w:tcBorders>
            <w:shd w:val="clear" w:color="auto" w:fill="auto"/>
            <w:noWrap/>
            <w:vAlign w:val="center"/>
          </w:tcPr>
          <w:p w14:paraId="14B44591" w14:textId="77777777" w:rsidR="00D07378" w:rsidRDefault="00D07378" w:rsidP="00BA499D">
            <w:pPr>
              <w:jc w:val="center"/>
              <w:rPr>
                <w:rFonts w:ascii="Calibri" w:hAnsi="Calibri" w:cs="Calibri"/>
                <w:b/>
                <w:color w:val="000000"/>
                <w:sz w:val="20"/>
                <w:szCs w:val="20"/>
              </w:rPr>
            </w:pPr>
            <w:r>
              <w:rPr>
                <w:rFonts w:ascii="Calibri" w:hAnsi="Calibri" w:cs="Calibri"/>
                <w:b/>
                <w:bCs/>
                <w:color w:val="000000"/>
                <w:sz w:val="20"/>
                <w:szCs w:val="20"/>
              </w:rPr>
              <w:t>152</w:t>
            </w:r>
          </w:p>
        </w:tc>
        <w:tc>
          <w:tcPr>
            <w:tcW w:w="1647" w:type="dxa"/>
            <w:tcBorders>
              <w:top w:val="nil"/>
              <w:left w:val="nil"/>
              <w:bottom w:val="single" w:sz="8" w:space="0" w:color="auto"/>
              <w:right w:val="single" w:sz="8" w:space="0" w:color="auto"/>
            </w:tcBorders>
            <w:shd w:val="clear" w:color="auto" w:fill="auto"/>
            <w:noWrap/>
            <w:vAlign w:val="center"/>
          </w:tcPr>
          <w:p w14:paraId="62DD7B41" w14:textId="77777777" w:rsidR="00D07378" w:rsidRPr="00BC5C59" w:rsidRDefault="00D07378" w:rsidP="00BA499D">
            <w:pPr>
              <w:jc w:val="center"/>
              <w:rPr>
                <w:rFonts w:ascii="Calibri" w:hAnsi="Calibri" w:cs="Calibri"/>
                <w:b/>
                <w:color w:val="000000"/>
                <w:sz w:val="20"/>
                <w:szCs w:val="20"/>
              </w:rPr>
            </w:pPr>
            <w:r>
              <w:rPr>
                <w:rFonts w:ascii="Calibri" w:hAnsi="Calibri" w:cs="Calibri"/>
                <w:b/>
                <w:bCs/>
                <w:color w:val="000000"/>
                <w:sz w:val="20"/>
                <w:szCs w:val="20"/>
              </w:rPr>
              <w:t>143</w:t>
            </w:r>
          </w:p>
        </w:tc>
        <w:tc>
          <w:tcPr>
            <w:tcW w:w="1276" w:type="dxa"/>
            <w:tcBorders>
              <w:top w:val="nil"/>
              <w:left w:val="nil"/>
              <w:bottom w:val="single" w:sz="8" w:space="0" w:color="auto"/>
              <w:right w:val="single" w:sz="8" w:space="0" w:color="auto"/>
            </w:tcBorders>
            <w:shd w:val="clear" w:color="auto" w:fill="auto"/>
            <w:noWrap/>
            <w:vAlign w:val="center"/>
          </w:tcPr>
          <w:p w14:paraId="65CE5390" w14:textId="77777777" w:rsidR="00D07378" w:rsidRPr="00BC5C59" w:rsidRDefault="00D07378" w:rsidP="00BA499D">
            <w:pPr>
              <w:jc w:val="center"/>
              <w:rPr>
                <w:rFonts w:ascii="Calibri" w:hAnsi="Calibri" w:cs="Calibri"/>
                <w:b/>
                <w:color w:val="000000"/>
                <w:sz w:val="20"/>
                <w:szCs w:val="20"/>
              </w:rPr>
            </w:pPr>
            <w:r>
              <w:rPr>
                <w:rFonts w:ascii="Calibri" w:hAnsi="Calibri" w:cs="Calibri"/>
                <w:b/>
                <w:bCs/>
                <w:color w:val="000000"/>
                <w:sz w:val="20"/>
                <w:szCs w:val="20"/>
              </w:rPr>
              <w:t>94%</w:t>
            </w:r>
          </w:p>
        </w:tc>
      </w:tr>
      <w:tr w:rsidR="00D07378" w:rsidRPr="003B2BDF" w14:paraId="7950F676" w14:textId="77777777" w:rsidTr="00BA499D">
        <w:trPr>
          <w:trHeight w:val="142"/>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57BE4D1" w14:textId="77777777" w:rsidR="00D07378" w:rsidRPr="003B2BDF" w:rsidRDefault="00D07378" w:rsidP="00BA499D">
            <w:pPr>
              <w:jc w:val="center"/>
              <w:rPr>
                <w:rFonts w:ascii="Calibri" w:eastAsia="Times New Roman" w:hAnsi="Calibri" w:cs="Calibri"/>
                <w:color w:val="1A1A1A"/>
                <w:sz w:val="20"/>
                <w:szCs w:val="20"/>
                <w:lang w:eastAsia="hr-HR"/>
              </w:rPr>
            </w:pPr>
            <w:r>
              <w:rPr>
                <w:rFonts w:ascii="Calibri" w:eastAsia="Times New Roman" w:hAnsi="Calibri" w:cs="Calibri"/>
                <w:color w:val="1A1A1A"/>
                <w:sz w:val="20"/>
                <w:szCs w:val="20"/>
                <w:lang w:eastAsia="hr-HR"/>
              </w:rPr>
              <w:t>5</w:t>
            </w:r>
            <w:r w:rsidRPr="003B2BDF">
              <w:rPr>
                <w:rFonts w:ascii="Calibri" w:eastAsia="Times New Roman" w:hAnsi="Calibri" w:cs="Calibri"/>
                <w:color w:val="1A1A1A"/>
                <w:sz w:val="20"/>
                <w:szCs w:val="20"/>
                <w:lang w:eastAsia="hr-HR"/>
              </w:rPr>
              <w:t>.</w:t>
            </w:r>
          </w:p>
        </w:tc>
        <w:tc>
          <w:tcPr>
            <w:tcW w:w="3566" w:type="dxa"/>
            <w:tcBorders>
              <w:top w:val="nil"/>
              <w:left w:val="nil"/>
              <w:bottom w:val="single" w:sz="8" w:space="0" w:color="auto"/>
              <w:right w:val="single" w:sz="8" w:space="0" w:color="auto"/>
            </w:tcBorders>
            <w:shd w:val="clear" w:color="auto" w:fill="auto"/>
            <w:vAlign w:val="center"/>
            <w:hideMark/>
          </w:tcPr>
          <w:p w14:paraId="3D060F5A" w14:textId="77777777" w:rsidR="00D07378" w:rsidRPr="003B2BDF" w:rsidRDefault="00D07378" w:rsidP="00BA499D">
            <w:pPr>
              <w:rPr>
                <w:rFonts w:ascii="Calibri" w:eastAsia="Times New Roman" w:hAnsi="Calibri" w:cs="Calibri"/>
                <w:b/>
                <w:bCs/>
                <w:color w:val="1A1A1A"/>
                <w:sz w:val="20"/>
                <w:szCs w:val="20"/>
                <w:lang w:eastAsia="hr-HR"/>
              </w:rPr>
            </w:pPr>
            <w:r w:rsidRPr="003B2BDF">
              <w:rPr>
                <w:rFonts w:ascii="Calibri" w:eastAsia="Times New Roman" w:hAnsi="Calibri" w:cs="Calibri"/>
                <w:b/>
                <w:bCs/>
                <w:color w:val="1A1A1A"/>
                <w:sz w:val="20"/>
                <w:szCs w:val="20"/>
                <w:lang w:eastAsia="hr-HR"/>
              </w:rPr>
              <w:t xml:space="preserve">Provjera kakvoće lijeka </w:t>
            </w:r>
            <w:r>
              <w:rPr>
                <w:rFonts w:ascii="Calibri" w:eastAsia="Times New Roman" w:hAnsi="Calibri" w:cs="Calibri"/>
                <w:color w:val="1A1A1A"/>
                <w:vertAlign w:val="superscript"/>
                <w:lang w:eastAsia="hr-HR"/>
              </w:rPr>
              <w:t>3</w:t>
            </w:r>
          </w:p>
        </w:tc>
        <w:tc>
          <w:tcPr>
            <w:tcW w:w="1560" w:type="dxa"/>
            <w:tcBorders>
              <w:top w:val="nil"/>
              <w:left w:val="nil"/>
              <w:bottom w:val="single" w:sz="8" w:space="0" w:color="auto"/>
              <w:right w:val="single" w:sz="8" w:space="0" w:color="auto"/>
            </w:tcBorders>
            <w:shd w:val="clear" w:color="auto" w:fill="auto"/>
            <w:noWrap/>
            <w:vAlign w:val="center"/>
          </w:tcPr>
          <w:p w14:paraId="2C87B8FA" w14:textId="77777777" w:rsidR="00D07378" w:rsidRPr="00BC5C59" w:rsidRDefault="00D07378" w:rsidP="00BA499D">
            <w:pPr>
              <w:jc w:val="center"/>
              <w:rPr>
                <w:rFonts w:ascii="Calibri" w:hAnsi="Calibri" w:cs="Calibri"/>
                <w:b/>
                <w:color w:val="000000"/>
                <w:sz w:val="20"/>
                <w:szCs w:val="20"/>
              </w:rPr>
            </w:pPr>
            <w:r>
              <w:rPr>
                <w:rFonts w:ascii="Calibri" w:hAnsi="Calibri" w:cs="Calibri"/>
                <w:b/>
                <w:bCs/>
                <w:color w:val="000000"/>
                <w:sz w:val="20"/>
                <w:szCs w:val="20"/>
              </w:rPr>
              <w:t>404</w:t>
            </w:r>
          </w:p>
        </w:tc>
        <w:tc>
          <w:tcPr>
            <w:tcW w:w="1647" w:type="dxa"/>
            <w:tcBorders>
              <w:top w:val="nil"/>
              <w:left w:val="nil"/>
              <w:bottom w:val="single" w:sz="8" w:space="0" w:color="auto"/>
              <w:right w:val="single" w:sz="8" w:space="0" w:color="auto"/>
            </w:tcBorders>
            <w:shd w:val="clear" w:color="auto" w:fill="auto"/>
            <w:noWrap/>
            <w:vAlign w:val="center"/>
          </w:tcPr>
          <w:p w14:paraId="6DD01B05" w14:textId="77777777" w:rsidR="00D07378" w:rsidRPr="00BC5C59" w:rsidRDefault="00D07378" w:rsidP="00BA499D">
            <w:pPr>
              <w:jc w:val="center"/>
              <w:rPr>
                <w:rFonts w:ascii="Calibri" w:hAnsi="Calibri" w:cs="Calibri"/>
                <w:b/>
                <w:color w:val="000000"/>
                <w:sz w:val="20"/>
                <w:szCs w:val="20"/>
              </w:rPr>
            </w:pPr>
            <w:r>
              <w:rPr>
                <w:rFonts w:ascii="Calibri" w:hAnsi="Calibri" w:cs="Calibri"/>
                <w:b/>
                <w:bCs/>
                <w:color w:val="000000"/>
                <w:sz w:val="20"/>
                <w:szCs w:val="20"/>
              </w:rPr>
              <w:t>427</w:t>
            </w:r>
          </w:p>
        </w:tc>
        <w:tc>
          <w:tcPr>
            <w:tcW w:w="1276" w:type="dxa"/>
            <w:tcBorders>
              <w:top w:val="nil"/>
              <w:left w:val="nil"/>
              <w:bottom w:val="single" w:sz="8" w:space="0" w:color="auto"/>
              <w:right w:val="single" w:sz="8" w:space="0" w:color="auto"/>
            </w:tcBorders>
            <w:shd w:val="clear" w:color="auto" w:fill="auto"/>
            <w:noWrap/>
            <w:vAlign w:val="center"/>
          </w:tcPr>
          <w:p w14:paraId="63A9849A" w14:textId="77777777" w:rsidR="00D07378" w:rsidRPr="00BC5C59" w:rsidRDefault="00D07378" w:rsidP="00BA499D">
            <w:pPr>
              <w:jc w:val="center"/>
              <w:rPr>
                <w:rFonts w:ascii="Calibri" w:hAnsi="Calibri" w:cs="Calibri"/>
                <w:b/>
                <w:color w:val="000000"/>
                <w:sz w:val="20"/>
                <w:szCs w:val="20"/>
              </w:rPr>
            </w:pPr>
            <w:r>
              <w:rPr>
                <w:rFonts w:ascii="Calibri" w:hAnsi="Calibri" w:cs="Calibri"/>
                <w:b/>
                <w:bCs/>
                <w:color w:val="000000"/>
                <w:sz w:val="20"/>
                <w:szCs w:val="20"/>
              </w:rPr>
              <w:t>106%</w:t>
            </w:r>
          </w:p>
        </w:tc>
      </w:tr>
      <w:tr w:rsidR="00D07378" w:rsidRPr="003B2BDF" w14:paraId="753D1E1C" w14:textId="77777777" w:rsidTr="00BA499D">
        <w:trPr>
          <w:trHeight w:val="142"/>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20C0A00" w14:textId="77777777" w:rsidR="00D07378" w:rsidRPr="003B2BDF" w:rsidRDefault="00D07378" w:rsidP="00BA499D">
            <w:pPr>
              <w:jc w:val="center"/>
              <w:rPr>
                <w:rFonts w:ascii="Calibri" w:eastAsia="Times New Roman" w:hAnsi="Calibri" w:cs="Calibri"/>
                <w:color w:val="1A1A1A"/>
                <w:sz w:val="20"/>
                <w:szCs w:val="20"/>
                <w:lang w:eastAsia="hr-HR"/>
              </w:rPr>
            </w:pPr>
            <w:r>
              <w:rPr>
                <w:rFonts w:ascii="Calibri" w:eastAsia="Times New Roman" w:hAnsi="Calibri" w:cs="Calibri"/>
                <w:color w:val="1A1A1A"/>
                <w:sz w:val="20"/>
                <w:szCs w:val="20"/>
                <w:lang w:eastAsia="hr-HR"/>
              </w:rPr>
              <w:t>6</w:t>
            </w:r>
            <w:r w:rsidRPr="003B2BDF">
              <w:rPr>
                <w:rFonts w:ascii="Calibri" w:eastAsia="Times New Roman" w:hAnsi="Calibri" w:cs="Calibri"/>
                <w:color w:val="1A1A1A"/>
                <w:sz w:val="20"/>
                <w:szCs w:val="20"/>
                <w:lang w:eastAsia="hr-HR"/>
              </w:rPr>
              <w:t>.</w:t>
            </w:r>
          </w:p>
        </w:tc>
        <w:tc>
          <w:tcPr>
            <w:tcW w:w="3566" w:type="dxa"/>
            <w:tcBorders>
              <w:top w:val="nil"/>
              <w:left w:val="nil"/>
              <w:bottom w:val="single" w:sz="8" w:space="0" w:color="auto"/>
              <w:right w:val="single" w:sz="8" w:space="0" w:color="auto"/>
            </w:tcBorders>
            <w:shd w:val="clear" w:color="auto" w:fill="auto"/>
            <w:vAlign w:val="center"/>
            <w:hideMark/>
          </w:tcPr>
          <w:p w14:paraId="12E862AB" w14:textId="77777777" w:rsidR="00D07378" w:rsidRPr="003B2BDF" w:rsidRDefault="00D07378" w:rsidP="00BA499D">
            <w:pPr>
              <w:rPr>
                <w:rFonts w:ascii="Calibri" w:eastAsia="Times New Roman" w:hAnsi="Calibri" w:cs="Calibri"/>
                <w:b/>
                <w:bCs/>
                <w:color w:val="1A1A1A"/>
                <w:sz w:val="20"/>
                <w:szCs w:val="20"/>
                <w:lang w:eastAsia="hr-HR"/>
              </w:rPr>
            </w:pPr>
            <w:r w:rsidRPr="003B2BDF">
              <w:rPr>
                <w:rFonts w:ascii="Calibri" w:eastAsia="Times New Roman" w:hAnsi="Calibri" w:cs="Calibri"/>
                <w:b/>
                <w:bCs/>
                <w:color w:val="1A1A1A"/>
                <w:sz w:val="20"/>
                <w:szCs w:val="20"/>
                <w:lang w:eastAsia="hr-HR"/>
              </w:rPr>
              <w:t xml:space="preserve">Godišnje pristojbe </w:t>
            </w:r>
            <w:r w:rsidRPr="003B2BDF">
              <w:rPr>
                <w:rFonts w:ascii="Calibri" w:eastAsia="Times New Roman" w:hAnsi="Calibri" w:cs="Calibri"/>
                <w:color w:val="1A1A1A"/>
                <w:vertAlign w:val="superscript"/>
                <w:lang w:eastAsia="hr-HR"/>
              </w:rPr>
              <w:t>3</w:t>
            </w:r>
          </w:p>
        </w:tc>
        <w:tc>
          <w:tcPr>
            <w:tcW w:w="1560" w:type="dxa"/>
            <w:tcBorders>
              <w:top w:val="nil"/>
              <w:left w:val="nil"/>
              <w:bottom w:val="single" w:sz="8" w:space="0" w:color="auto"/>
              <w:right w:val="single" w:sz="8" w:space="0" w:color="auto"/>
            </w:tcBorders>
            <w:shd w:val="clear" w:color="auto" w:fill="auto"/>
            <w:noWrap/>
            <w:vAlign w:val="center"/>
          </w:tcPr>
          <w:p w14:paraId="781DE43A" w14:textId="77777777" w:rsidR="00D07378" w:rsidRPr="00BC5C59" w:rsidRDefault="00D07378" w:rsidP="00BA499D">
            <w:pPr>
              <w:jc w:val="center"/>
              <w:rPr>
                <w:rFonts w:ascii="Calibri" w:hAnsi="Calibri" w:cs="Calibri"/>
                <w:b/>
                <w:color w:val="000000"/>
                <w:sz w:val="20"/>
                <w:szCs w:val="20"/>
              </w:rPr>
            </w:pPr>
            <w:r>
              <w:rPr>
                <w:rFonts w:ascii="Calibri" w:hAnsi="Calibri" w:cs="Calibri"/>
                <w:b/>
                <w:bCs/>
                <w:color w:val="000000"/>
                <w:sz w:val="20"/>
                <w:szCs w:val="20"/>
              </w:rPr>
              <w:t>6.708</w:t>
            </w:r>
          </w:p>
        </w:tc>
        <w:tc>
          <w:tcPr>
            <w:tcW w:w="1647" w:type="dxa"/>
            <w:tcBorders>
              <w:top w:val="nil"/>
              <w:left w:val="nil"/>
              <w:bottom w:val="single" w:sz="8" w:space="0" w:color="auto"/>
              <w:right w:val="single" w:sz="8" w:space="0" w:color="auto"/>
            </w:tcBorders>
            <w:shd w:val="clear" w:color="auto" w:fill="auto"/>
            <w:noWrap/>
            <w:vAlign w:val="center"/>
          </w:tcPr>
          <w:p w14:paraId="2DC9886C" w14:textId="77777777" w:rsidR="00D07378" w:rsidRPr="00BC5C59" w:rsidRDefault="00D07378" w:rsidP="00BA499D">
            <w:pPr>
              <w:jc w:val="center"/>
              <w:rPr>
                <w:rFonts w:ascii="Calibri" w:hAnsi="Calibri" w:cs="Calibri"/>
                <w:b/>
                <w:color w:val="000000"/>
                <w:sz w:val="20"/>
                <w:szCs w:val="20"/>
              </w:rPr>
            </w:pPr>
            <w:r>
              <w:rPr>
                <w:rFonts w:ascii="Calibri" w:hAnsi="Calibri" w:cs="Calibri"/>
                <w:b/>
                <w:bCs/>
                <w:color w:val="000000"/>
                <w:sz w:val="20"/>
                <w:szCs w:val="20"/>
              </w:rPr>
              <w:t>6.306</w:t>
            </w:r>
          </w:p>
        </w:tc>
        <w:tc>
          <w:tcPr>
            <w:tcW w:w="1276" w:type="dxa"/>
            <w:tcBorders>
              <w:top w:val="nil"/>
              <w:left w:val="nil"/>
              <w:bottom w:val="single" w:sz="8" w:space="0" w:color="auto"/>
              <w:right w:val="single" w:sz="8" w:space="0" w:color="auto"/>
            </w:tcBorders>
            <w:shd w:val="clear" w:color="auto" w:fill="auto"/>
            <w:noWrap/>
            <w:vAlign w:val="center"/>
          </w:tcPr>
          <w:p w14:paraId="27835ABF" w14:textId="77777777" w:rsidR="00D07378" w:rsidRPr="00BC5C59" w:rsidRDefault="00D07378" w:rsidP="00BA499D">
            <w:pPr>
              <w:jc w:val="center"/>
              <w:rPr>
                <w:rFonts w:ascii="Calibri" w:hAnsi="Calibri" w:cs="Calibri"/>
                <w:b/>
                <w:color w:val="000000"/>
                <w:sz w:val="20"/>
                <w:szCs w:val="20"/>
              </w:rPr>
            </w:pPr>
            <w:r>
              <w:rPr>
                <w:rFonts w:ascii="Calibri" w:hAnsi="Calibri" w:cs="Calibri"/>
                <w:b/>
                <w:bCs/>
                <w:color w:val="000000"/>
                <w:sz w:val="20"/>
                <w:szCs w:val="20"/>
              </w:rPr>
              <w:t>94%</w:t>
            </w:r>
          </w:p>
        </w:tc>
      </w:tr>
      <w:tr w:rsidR="00D07378" w:rsidRPr="003B2BDF" w14:paraId="627EF440" w14:textId="77777777" w:rsidTr="00BA499D">
        <w:trPr>
          <w:trHeight w:val="142"/>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4B91860" w14:textId="77777777" w:rsidR="00D07378" w:rsidRPr="003B2BDF" w:rsidRDefault="00D07378" w:rsidP="00BA499D">
            <w:pPr>
              <w:jc w:val="center"/>
              <w:rPr>
                <w:rFonts w:ascii="Calibri" w:eastAsia="Times New Roman" w:hAnsi="Calibri" w:cs="Calibri"/>
                <w:color w:val="1A1A1A"/>
                <w:sz w:val="20"/>
                <w:szCs w:val="20"/>
                <w:lang w:eastAsia="hr-HR"/>
              </w:rPr>
            </w:pPr>
            <w:r>
              <w:rPr>
                <w:rFonts w:ascii="Calibri" w:eastAsia="Times New Roman" w:hAnsi="Calibri" w:cs="Calibri"/>
                <w:color w:val="1A1A1A"/>
                <w:sz w:val="20"/>
                <w:szCs w:val="20"/>
                <w:lang w:eastAsia="hr-HR"/>
              </w:rPr>
              <w:t>7</w:t>
            </w:r>
            <w:r w:rsidRPr="003B2BDF">
              <w:rPr>
                <w:rFonts w:ascii="Calibri" w:eastAsia="Times New Roman" w:hAnsi="Calibri" w:cs="Calibri"/>
                <w:color w:val="1A1A1A"/>
                <w:sz w:val="20"/>
                <w:szCs w:val="20"/>
                <w:lang w:eastAsia="hr-HR"/>
              </w:rPr>
              <w:t>.</w:t>
            </w:r>
          </w:p>
        </w:tc>
        <w:tc>
          <w:tcPr>
            <w:tcW w:w="3566" w:type="dxa"/>
            <w:tcBorders>
              <w:top w:val="nil"/>
              <w:left w:val="nil"/>
              <w:bottom w:val="single" w:sz="8" w:space="0" w:color="auto"/>
              <w:right w:val="single" w:sz="8" w:space="0" w:color="auto"/>
            </w:tcBorders>
            <w:shd w:val="clear" w:color="auto" w:fill="auto"/>
            <w:vAlign w:val="center"/>
            <w:hideMark/>
          </w:tcPr>
          <w:p w14:paraId="0BE8ECA0" w14:textId="77777777" w:rsidR="00D07378" w:rsidRPr="003B2BDF" w:rsidRDefault="00D07378" w:rsidP="00BA499D">
            <w:pPr>
              <w:rPr>
                <w:rFonts w:ascii="Calibri" w:eastAsia="Times New Roman" w:hAnsi="Calibri" w:cs="Calibri"/>
                <w:b/>
                <w:bCs/>
                <w:color w:val="1A1A1A"/>
                <w:sz w:val="20"/>
                <w:szCs w:val="20"/>
                <w:lang w:eastAsia="hr-HR"/>
              </w:rPr>
            </w:pPr>
            <w:r w:rsidRPr="003B2BDF">
              <w:rPr>
                <w:rFonts w:ascii="Calibri" w:eastAsia="Times New Roman" w:hAnsi="Calibri" w:cs="Calibri"/>
                <w:b/>
                <w:bCs/>
                <w:color w:val="1A1A1A"/>
                <w:sz w:val="20"/>
                <w:szCs w:val="20"/>
                <w:lang w:eastAsia="hr-HR"/>
              </w:rPr>
              <w:t xml:space="preserve">Medicinski proizvodi </w:t>
            </w:r>
            <w:r w:rsidRPr="003B2BDF">
              <w:rPr>
                <w:rFonts w:ascii="Calibri" w:eastAsia="Times New Roman" w:hAnsi="Calibri" w:cs="Calibri"/>
                <w:color w:val="1A1A1A"/>
                <w:vertAlign w:val="superscript"/>
                <w:lang w:eastAsia="hr-HR"/>
              </w:rPr>
              <w:t>1</w:t>
            </w:r>
          </w:p>
        </w:tc>
        <w:tc>
          <w:tcPr>
            <w:tcW w:w="1560" w:type="dxa"/>
            <w:tcBorders>
              <w:top w:val="nil"/>
              <w:left w:val="nil"/>
              <w:bottom w:val="single" w:sz="8" w:space="0" w:color="auto"/>
              <w:right w:val="single" w:sz="8" w:space="0" w:color="auto"/>
            </w:tcBorders>
            <w:shd w:val="clear" w:color="auto" w:fill="auto"/>
            <w:noWrap/>
            <w:vAlign w:val="center"/>
          </w:tcPr>
          <w:p w14:paraId="01CA7020" w14:textId="77777777" w:rsidR="00D07378" w:rsidRPr="00BC5C59" w:rsidRDefault="00D07378" w:rsidP="00BA499D">
            <w:pPr>
              <w:jc w:val="center"/>
              <w:rPr>
                <w:rFonts w:ascii="Calibri" w:hAnsi="Calibri" w:cs="Calibri"/>
                <w:b/>
                <w:color w:val="000000"/>
                <w:sz w:val="20"/>
                <w:szCs w:val="20"/>
              </w:rPr>
            </w:pPr>
            <w:r>
              <w:rPr>
                <w:rFonts w:ascii="Calibri" w:hAnsi="Calibri" w:cs="Calibri"/>
                <w:b/>
                <w:bCs/>
                <w:color w:val="000000"/>
                <w:sz w:val="20"/>
                <w:szCs w:val="20"/>
              </w:rPr>
              <w:t>289</w:t>
            </w:r>
          </w:p>
        </w:tc>
        <w:tc>
          <w:tcPr>
            <w:tcW w:w="1647" w:type="dxa"/>
            <w:tcBorders>
              <w:top w:val="nil"/>
              <w:left w:val="nil"/>
              <w:bottom w:val="single" w:sz="8" w:space="0" w:color="auto"/>
              <w:right w:val="single" w:sz="8" w:space="0" w:color="auto"/>
            </w:tcBorders>
            <w:shd w:val="clear" w:color="auto" w:fill="auto"/>
            <w:noWrap/>
            <w:vAlign w:val="center"/>
          </w:tcPr>
          <w:p w14:paraId="4E3C1F5E" w14:textId="77777777" w:rsidR="00D07378" w:rsidRPr="00BC5C59" w:rsidRDefault="00D07378" w:rsidP="00BA499D">
            <w:pPr>
              <w:jc w:val="center"/>
              <w:rPr>
                <w:rFonts w:ascii="Calibri" w:hAnsi="Calibri" w:cs="Calibri"/>
                <w:b/>
                <w:color w:val="000000"/>
                <w:sz w:val="20"/>
                <w:szCs w:val="20"/>
              </w:rPr>
            </w:pPr>
            <w:r>
              <w:rPr>
                <w:rFonts w:ascii="Calibri" w:hAnsi="Calibri" w:cs="Calibri"/>
                <w:b/>
                <w:bCs/>
                <w:color w:val="000000"/>
                <w:sz w:val="20"/>
                <w:szCs w:val="20"/>
              </w:rPr>
              <w:t>269</w:t>
            </w:r>
          </w:p>
        </w:tc>
        <w:tc>
          <w:tcPr>
            <w:tcW w:w="1276" w:type="dxa"/>
            <w:tcBorders>
              <w:top w:val="nil"/>
              <w:left w:val="nil"/>
              <w:bottom w:val="single" w:sz="8" w:space="0" w:color="auto"/>
              <w:right w:val="single" w:sz="8" w:space="0" w:color="auto"/>
            </w:tcBorders>
            <w:shd w:val="clear" w:color="auto" w:fill="auto"/>
            <w:noWrap/>
            <w:vAlign w:val="center"/>
          </w:tcPr>
          <w:p w14:paraId="738C2546" w14:textId="77777777" w:rsidR="00D07378" w:rsidRPr="00BC5C59" w:rsidRDefault="00D07378" w:rsidP="00BA499D">
            <w:pPr>
              <w:jc w:val="center"/>
              <w:rPr>
                <w:rFonts w:ascii="Calibri" w:hAnsi="Calibri" w:cs="Calibri"/>
                <w:b/>
                <w:color w:val="000000"/>
                <w:sz w:val="20"/>
                <w:szCs w:val="20"/>
              </w:rPr>
            </w:pPr>
            <w:r>
              <w:rPr>
                <w:rFonts w:ascii="Calibri" w:hAnsi="Calibri" w:cs="Calibri"/>
                <w:b/>
                <w:bCs/>
                <w:color w:val="000000"/>
                <w:sz w:val="20"/>
                <w:szCs w:val="20"/>
              </w:rPr>
              <w:t>93%</w:t>
            </w:r>
          </w:p>
        </w:tc>
      </w:tr>
      <w:tr w:rsidR="00D07378" w:rsidRPr="003B2BDF" w14:paraId="1E26C777" w14:textId="77777777" w:rsidTr="00BA499D">
        <w:trPr>
          <w:trHeight w:val="142"/>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B6D24F9" w14:textId="77777777" w:rsidR="00D07378" w:rsidRPr="003B2BDF" w:rsidRDefault="00D07378" w:rsidP="00BA499D">
            <w:pPr>
              <w:jc w:val="center"/>
              <w:rPr>
                <w:rFonts w:ascii="Calibri" w:eastAsia="Times New Roman" w:hAnsi="Calibri" w:cs="Calibri"/>
                <w:color w:val="1A1A1A"/>
                <w:sz w:val="20"/>
                <w:szCs w:val="20"/>
                <w:lang w:eastAsia="hr-HR"/>
              </w:rPr>
            </w:pPr>
            <w:r>
              <w:rPr>
                <w:rFonts w:ascii="Calibri" w:eastAsia="Times New Roman" w:hAnsi="Calibri" w:cs="Calibri"/>
                <w:color w:val="1A1A1A"/>
                <w:sz w:val="20"/>
                <w:szCs w:val="20"/>
                <w:lang w:eastAsia="hr-HR"/>
              </w:rPr>
              <w:t>8</w:t>
            </w:r>
            <w:r w:rsidRPr="003B2BDF">
              <w:rPr>
                <w:rFonts w:ascii="Calibri" w:eastAsia="Times New Roman" w:hAnsi="Calibri" w:cs="Calibri"/>
                <w:color w:val="1A1A1A"/>
                <w:sz w:val="20"/>
                <w:szCs w:val="20"/>
                <w:lang w:eastAsia="hr-HR"/>
              </w:rPr>
              <w:t>.</w:t>
            </w:r>
          </w:p>
        </w:tc>
        <w:tc>
          <w:tcPr>
            <w:tcW w:w="3566" w:type="dxa"/>
            <w:tcBorders>
              <w:top w:val="nil"/>
              <w:left w:val="nil"/>
              <w:bottom w:val="single" w:sz="8" w:space="0" w:color="auto"/>
              <w:right w:val="single" w:sz="8" w:space="0" w:color="auto"/>
            </w:tcBorders>
            <w:shd w:val="clear" w:color="auto" w:fill="auto"/>
            <w:vAlign w:val="center"/>
            <w:hideMark/>
          </w:tcPr>
          <w:p w14:paraId="6530499C" w14:textId="77777777" w:rsidR="00D07378" w:rsidRPr="003B2BDF" w:rsidRDefault="00D07378" w:rsidP="00BA499D">
            <w:pPr>
              <w:rPr>
                <w:rFonts w:ascii="Calibri" w:eastAsia="Times New Roman" w:hAnsi="Calibri" w:cs="Calibri"/>
                <w:b/>
                <w:bCs/>
                <w:color w:val="1A1A1A"/>
                <w:sz w:val="20"/>
                <w:szCs w:val="20"/>
                <w:lang w:eastAsia="hr-HR"/>
              </w:rPr>
            </w:pPr>
            <w:r w:rsidRPr="003B2BDF">
              <w:rPr>
                <w:rFonts w:ascii="Calibri" w:eastAsia="Times New Roman" w:hAnsi="Calibri" w:cs="Calibri"/>
                <w:b/>
                <w:bCs/>
                <w:color w:val="1A1A1A"/>
                <w:sz w:val="20"/>
                <w:szCs w:val="20"/>
                <w:lang w:eastAsia="hr-HR"/>
              </w:rPr>
              <w:t xml:space="preserve">Informiranje, edukacije i pružanje stručnih savjeta iz područja djelatnosti HALMED-a </w:t>
            </w:r>
            <w:r w:rsidRPr="003B2BDF">
              <w:rPr>
                <w:rFonts w:ascii="Calibri" w:eastAsia="Times New Roman" w:hAnsi="Calibri" w:cs="Calibri"/>
                <w:color w:val="1A1A1A"/>
                <w:vertAlign w:val="superscript"/>
                <w:lang w:eastAsia="hr-HR"/>
              </w:rPr>
              <w:t>1</w:t>
            </w:r>
          </w:p>
        </w:tc>
        <w:tc>
          <w:tcPr>
            <w:tcW w:w="1560" w:type="dxa"/>
            <w:tcBorders>
              <w:top w:val="nil"/>
              <w:left w:val="nil"/>
              <w:bottom w:val="single" w:sz="8" w:space="0" w:color="auto"/>
              <w:right w:val="single" w:sz="8" w:space="0" w:color="auto"/>
            </w:tcBorders>
            <w:shd w:val="clear" w:color="auto" w:fill="auto"/>
            <w:noWrap/>
            <w:vAlign w:val="center"/>
          </w:tcPr>
          <w:p w14:paraId="0884C7C2" w14:textId="77777777" w:rsidR="00D07378" w:rsidRPr="00BC5C59" w:rsidRDefault="00D07378" w:rsidP="00BA499D">
            <w:pPr>
              <w:jc w:val="center"/>
              <w:rPr>
                <w:rFonts w:ascii="Calibri" w:hAnsi="Calibri" w:cs="Calibri"/>
                <w:b/>
                <w:color w:val="000000"/>
                <w:sz w:val="20"/>
                <w:szCs w:val="20"/>
              </w:rPr>
            </w:pPr>
            <w:r>
              <w:rPr>
                <w:rFonts w:ascii="Calibri" w:hAnsi="Calibri" w:cs="Calibri"/>
                <w:b/>
                <w:bCs/>
                <w:color w:val="000000"/>
                <w:sz w:val="20"/>
                <w:szCs w:val="20"/>
              </w:rPr>
              <w:t>499</w:t>
            </w:r>
          </w:p>
        </w:tc>
        <w:tc>
          <w:tcPr>
            <w:tcW w:w="1647" w:type="dxa"/>
            <w:tcBorders>
              <w:top w:val="nil"/>
              <w:left w:val="nil"/>
              <w:bottom w:val="single" w:sz="8" w:space="0" w:color="auto"/>
              <w:right w:val="single" w:sz="8" w:space="0" w:color="auto"/>
            </w:tcBorders>
            <w:shd w:val="clear" w:color="auto" w:fill="auto"/>
            <w:noWrap/>
            <w:vAlign w:val="center"/>
          </w:tcPr>
          <w:p w14:paraId="68F00809" w14:textId="77777777" w:rsidR="00D07378" w:rsidRPr="00BC5C59" w:rsidRDefault="00D07378" w:rsidP="00BA499D">
            <w:pPr>
              <w:jc w:val="center"/>
              <w:rPr>
                <w:rFonts w:ascii="Calibri" w:hAnsi="Calibri" w:cs="Calibri"/>
                <w:b/>
                <w:color w:val="000000"/>
                <w:sz w:val="20"/>
                <w:szCs w:val="20"/>
              </w:rPr>
            </w:pPr>
            <w:r>
              <w:rPr>
                <w:rFonts w:ascii="Calibri" w:hAnsi="Calibri" w:cs="Calibri"/>
                <w:b/>
                <w:bCs/>
                <w:color w:val="000000"/>
                <w:sz w:val="20"/>
                <w:szCs w:val="20"/>
              </w:rPr>
              <w:t>347</w:t>
            </w:r>
          </w:p>
        </w:tc>
        <w:tc>
          <w:tcPr>
            <w:tcW w:w="1276" w:type="dxa"/>
            <w:tcBorders>
              <w:top w:val="nil"/>
              <w:left w:val="nil"/>
              <w:bottom w:val="single" w:sz="8" w:space="0" w:color="auto"/>
              <w:right w:val="single" w:sz="8" w:space="0" w:color="auto"/>
            </w:tcBorders>
            <w:shd w:val="clear" w:color="auto" w:fill="auto"/>
            <w:noWrap/>
            <w:vAlign w:val="center"/>
          </w:tcPr>
          <w:p w14:paraId="5B7121B3" w14:textId="77777777" w:rsidR="00D07378" w:rsidRPr="00BC5C59" w:rsidRDefault="00D07378" w:rsidP="00BA499D">
            <w:pPr>
              <w:jc w:val="center"/>
              <w:rPr>
                <w:rFonts w:ascii="Calibri" w:hAnsi="Calibri" w:cs="Calibri"/>
                <w:b/>
                <w:color w:val="000000"/>
                <w:sz w:val="20"/>
                <w:szCs w:val="20"/>
              </w:rPr>
            </w:pPr>
            <w:r>
              <w:rPr>
                <w:rFonts w:ascii="Calibri" w:hAnsi="Calibri" w:cs="Calibri"/>
                <w:b/>
                <w:bCs/>
                <w:color w:val="000000"/>
                <w:sz w:val="20"/>
                <w:szCs w:val="20"/>
              </w:rPr>
              <w:t>70%</w:t>
            </w:r>
          </w:p>
        </w:tc>
      </w:tr>
      <w:tr w:rsidR="00D07378" w:rsidRPr="003B2BDF" w14:paraId="18F87BF1" w14:textId="77777777" w:rsidTr="00BA499D">
        <w:trPr>
          <w:trHeight w:val="142"/>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0BEE83C" w14:textId="77777777" w:rsidR="00D07378" w:rsidRPr="003B2BDF" w:rsidRDefault="00D07378" w:rsidP="00BA499D">
            <w:pPr>
              <w:jc w:val="center"/>
              <w:rPr>
                <w:rFonts w:ascii="Calibri" w:eastAsia="Times New Roman" w:hAnsi="Calibri" w:cs="Calibri"/>
                <w:color w:val="1A1A1A"/>
                <w:sz w:val="20"/>
                <w:szCs w:val="20"/>
                <w:lang w:eastAsia="hr-HR"/>
              </w:rPr>
            </w:pPr>
            <w:r>
              <w:rPr>
                <w:rFonts w:ascii="Calibri" w:eastAsia="Times New Roman" w:hAnsi="Calibri" w:cs="Calibri"/>
                <w:color w:val="1A1A1A"/>
                <w:sz w:val="20"/>
                <w:szCs w:val="20"/>
                <w:lang w:eastAsia="hr-HR"/>
              </w:rPr>
              <w:t>9</w:t>
            </w:r>
            <w:r w:rsidRPr="003B2BDF">
              <w:rPr>
                <w:rFonts w:ascii="Calibri" w:eastAsia="Times New Roman" w:hAnsi="Calibri" w:cs="Calibri"/>
                <w:color w:val="1A1A1A"/>
                <w:sz w:val="20"/>
                <w:szCs w:val="20"/>
                <w:lang w:eastAsia="hr-HR"/>
              </w:rPr>
              <w:t>.</w:t>
            </w:r>
          </w:p>
        </w:tc>
        <w:tc>
          <w:tcPr>
            <w:tcW w:w="3566" w:type="dxa"/>
            <w:tcBorders>
              <w:top w:val="nil"/>
              <w:left w:val="nil"/>
              <w:bottom w:val="single" w:sz="8" w:space="0" w:color="auto"/>
              <w:right w:val="single" w:sz="8" w:space="0" w:color="auto"/>
            </w:tcBorders>
            <w:shd w:val="clear" w:color="auto" w:fill="auto"/>
            <w:vAlign w:val="center"/>
            <w:hideMark/>
          </w:tcPr>
          <w:p w14:paraId="46E034FE" w14:textId="77777777" w:rsidR="00D07378" w:rsidRPr="003B2BDF" w:rsidRDefault="00D07378" w:rsidP="00BA499D">
            <w:pPr>
              <w:rPr>
                <w:rFonts w:ascii="Calibri" w:eastAsia="Times New Roman" w:hAnsi="Calibri" w:cs="Calibri"/>
                <w:b/>
                <w:bCs/>
                <w:color w:val="1A1A1A"/>
                <w:sz w:val="20"/>
                <w:szCs w:val="20"/>
                <w:lang w:eastAsia="hr-HR"/>
              </w:rPr>
            </w:pPr>
            <w:r w:rsidRPr="003B2BDF">
              <w:rPr>
                <w:rFonts w:ascii="Calibri" w:eastAsia="Times New Roman" w:hAnsi="Calibri" w:cs="Calibri"/>
                <w:b/>
                <w:bCs/>
                <w:color w:val="1A1A1A"/>
                <w:sz w:val="20"/>
                <w:szCs w:val="20"/>
                <w:lang w:eastAsia="hr-HR"/>
              </w:rPr>
              <w:t xml:space="preserve">Hrvatska farmakopeja </w:t>
            </w:r>
            <w:r w:rsidRPr="003B2BDF">
              <w:rPr>
                <w:rFonts w:ascii="Calibri" w:eastAsia="Times New Roman" w:hAnsi="Calibri" w:cs="Calibri"/>
                <w:color w:val="1A1A1A"/>
                <w:vertAlign w:val="superscript"/>
                <w:lang w:eastAsia="hr-HR"/>
              </w:rPr>
              <w:t>1</w:t>
            </w:r>
          </w:p>
        </w:tc>
        <w:tc>
          <w:tcPr>
            <w:tcW w:w="1560" w:type="dxa"/>
            <w:tcBorders>
              <w:top w:val="nil"/>
              <w:left w:val="nil"/>
              <w:bottom w:val="single" w:sz="8" w:space="0" w:color="auto"/>
              <w:right w:val="single" w:sz="8" w:space="0" w:color="auto"/>
            </w:tcBorders>
            <w:shd w:val="clear" w:color="auto" w:fill="auto"/>
            <w:noWrap/>
            <w:vAlign w:val="center"/>
          </w:tcPr>
          <w:p w14:paraId="225DBD08" w14:textId="77777777" w:rsidR="00D07378" w:rsidRPr="00BC5C59" w:rsidRDefault="00D07378" w:rsidP="00BA499D">
            <w:pPr>
              <w:jc w:val="center"/>
              <w:rPr>
                <w:rFonts w:ascii="Calibri" w:hAnsi="Calibri" w:cs="Calibri"/>
                <w:b/>
                <w:color w:val="000000"/>
                <w:sz w:val="20"/>
                <w:szCs w:val="20"/>
              </w:rPr>
            </w:pPr>
            <w:r>
              <w:rPr>
                <w:rFonts w:ascii="Calibri" w:hAnsi="Calibri" w:cs="Calibri"/>
                <w:b/>
                <w:bCs/>
                <w:color w:val="000000"/>
                <w:sz w:val="20"/>
                <w:szCs w:val="20"/>
              </w:rPr>
              <w:t>40</w:t>
            </w:r>
          </w:p>
        </w:tc>
        <w:tc>
          <w:tcPr>
            <w:tcW w:w="1647" w:type="dxa"/>
            <w:tcBorders>
              <w:top w:val="nil"/>
              <w:left w:val="nil"/>
              <w:bottom w:val="single" w:sz="8" w:space="0" w:color="auto"/>
              <w:right w:val="single" w:sz="8" w:space="0" w:color="auto"/>
            </w:tcBorders>
            <w:shd w:val="clear" w:color="auto" w:fill="auto"/>
            <w:noWrap/>
            <w:vAlign w:val="center"/>
          </w:tcPr>
          <w:p w14:paraId="01299DB3" w14:textId="77777777" w:rsidR="00D07378" w:rsidRPr="00BC5C59" w:rsidRDefault="00D07378" w:rsidP="00BA499D">
            <w:pPr>
              <w:jc w:val="center"/>
              <w:rPr>
                <w:rFonts w:ascii="Calibri" w:hAnsi="Calibri" w:cs="Calibri"/>
                <w:b/>
                <w:color w:val="000000"/>
                <w:sz w:val="20"/>
                <w:szCs w:val="20"/>
              </w:rPr>
            </w:pPr>
            <w:r>
              <w:rPr>
                <w:rFonts w:ascii="Calibri" w:hAnsi="Calibri" w:cs="Calibri"/>
                <w:b/>
                <w:bCs/>
                <w:color w:val="000000"/>
                <w:sz w:val="20"/>
                <w:szCs w:val="20"/>
              </w:rPr>
              <w:t>47</w:t>
            </w:r>
          </w:p>
        </w:tc>
        <w:tc>
          <w:tcPr>
            <w:tcW w:w="1276" w:type="dxa"/>
            <w:tcBorders>
              <w:top w:val="nil"/>
              <w:left w:val="nil"/>
              <w:bottom w:val="single" w:sz="8" w:space="0" w:color="auto"/>
              <w:right w:val="single" w:sz="8" w:space="0" w:color="auto"/>
            </w:tcBorders>
            <w:shd w:val="clear" w:color="auto" w:fill="auto"/>
            <w:noWrap/>
            <w:vAlign w:val="center"/>
          </w:tcPr>
          <w:p w14:paraId="34937B93" w14:textId="77777777" w:rsidR="00D07378" w:rsidRPr="00BC5C59" w:rsidRDefault="00D07378" w:rsidP="00BA499D">
            <w:pPr>
              <w:jc w:val="center"/>
              <w:rPr>
                <w:rFonts w:ascii="Calibri" w:hAnsi="Calibri" w:cs="Calibri"/>
                <w:b/>
                <w:color w:val="000000"/>
                <w:sz w:val="20"/>
                <w:szCs w:val="20"/>
              </w:rPr>
            </w:pPr>
            <w:r>
              <w:rPr>
                <w:rFonts w:ascii="Calibri" w:hAnsi="Calibri" w:cs="Calibri"/>
                <w:b/>
                <w:bCs/>
                <w:color w:val="000000"/>
                <w:sz w:val="20"/>
                <w:szCs w:val="20"/>
              </w:rPr>
              <w:t>118%</w:t>
            </w:r>
          </w:p>
        </w:tc>
      </w:tr>
      <w:tr w:rsidR="00D07378" w:rsidRPr="003B2BDF" w14:paraId="07DCA285" w14:textId="77777777" w:rsidTr="00BA499D">
        <w:trPr>
          <w:trHeight w:val="142"/>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FB77ABF" w14:textId="77777777" w:rsidR="00D07378" w:rsidRPr="003B2BDF" w:rsidRDefault="00D07378" w:rsidP="00BA499D">
            <w:pPr>
              <w:jc w:val="center"/>
              <w:rPr>
                <w:rFonts w:ascii="Calibri" w:eastAsia="Times New Roman" w:hAnsi="Calibri" w:cs="Calibri"/>
                <w:color w:val="1A1A1A"/>
                <w:sz w:val="20"/>
                <w:szCs w:val="20"/>
                <w:lang w:eastAsia="hr-HR"/>
              </w:rPr>
            </w:pPr>
            <w:r>
              <w:rPr>
                <w:rFonts w:ascii="Calibri" w:eastAsia="Times New Roman" w:hAnsi="Calibri" w:cs="Calibri"/>
                <w:color w:val="1A1A1A"/>
                <w:sz w:val="20"/>
                <w:szCs w:val="20"/>
                <w:lang w:eastAsia="hr-HR"/>
              </w:rPr>
              <w:t>10</w:t>
            </w:r>
            <w:r w:rsidRPr="003B2BDF">
              <w:rPr>
                <w:rFonts w:ascii="Calibri" w:eastAsia="Times New Roman" w:hAnsi="Calibri" w:cs="Calibri"/>
                <w:color w:val="1A1A1A"/>
                <w:sz w:val="20"/>
                <w:szCs w:val="20"/>
                <w:lang w:eastAsia="hr-HR"/>
              </w:rPr>
              <w:t>.</w:t>
            </w:r>
          </w:p>
        </w:tc>
        <w:tc>
          <w:tcPr>
            <w:tcW w:w="3566" w:type="dxa"/>
            <w:tcBorders>
              <w:top w:val="nil"/>
              <w:left w:val="nil"/>
              <w:bottom w:val="single" w:sz="8" w:space="0" w:color="auto"/>
              <w:right w:val="single" w:sz="8" w:space="0" w:color="auto"/>
            </w:tcBorders>
            <w:shd w:val="clear" w:color="auto" w:fill="auto"/>
            <w:vAlign w:val="center"/>
            <w:hideMark/>
          </w:tcPr>
          <w:p w14:paraId="0CECB756" w14:textId="77777777" w:rsidR="00D07378" w:rsidRPr="003B2BDF" w:rsidRDefault="00D07378" w:rsidP="00BA499D">
            <w:pPr>
              <w:rPr>
                <w:rFonts w:ascii="Calibri" w:eastAsia="Times New Roman" w:hAnsi="Calibri" w:cs="Calibri"/>
                <w:b/>
                <w:bCs/>
                <w:color w:val="1A1A1A"/>
                <w:sz w:val="20"/>
                <w:szCs w:val="20"/>
                <w:lang w:eastAsia="hr-HR"/>
              </w:rPr>
            </w:pPr>
            <w:r w:rsidRPr="003B2BDF">
              <w:rPr>
                <w:rFonts w:ascii="Calibri" w:eastAsia="Times New Roman" w:hAnsi="Calibri" w:cs="Calibri"/>
                <w:b/>
                <w:bCs/>
                <w:color w:val="1A1A1A"/>
                <w:sz w:val="20"/>
                <w:szCs w:val="20"/>
                <w:lang w:eastAsia="hr-HR"/>
              </w:rPr>
              <w:t>Evidencija kliničkih ispitivanja i Središnje etičko povjerenstvo (SEP)</w:t>
            </w:r>
            <w:r w:rsidRPr="003B2BDF">
              <w:rPr>
                <w:rFonts w:ascii="Calibri" w:eastAsia="Times New Roman" w:hAnsi="Calibri" w:cs="Calibri"/>
                <w:color w:val="1A1A1A"/>
                <w:vertAlign w:val="superscript"/>
                <w:lang w:eastAsia="hr-HR"/>
              </w:rPr>
              <w:t xml:space="preserve"> 1</w:t>
            </w:r>
          </w:p>
        </w:tc>
        <w:tc>
          <w:tcPr>
            <w:tcW w:w="1560" w:type="dxa"/>
            <w:tcBorders>
              <w:top w:val="nil"/>
              <w:left w:val="nil"/>
              <w:bottom w:val="single" w:sz="8" w:space="0" w:color="auto"/>
              <w:right w:val="single" w:sz="8" w:space="0" w:color="auto"/>
            </w:tcBorders>
            <w:shd w:val="clear" w:color="auto" w:fill="auto"/>
            <w:noWrap/>
            <w:vAlign w:val="center"/>
          </w:tcPr>
          <w:p w14:paraId="70421413" w14:textId="77777777" w:rsidR="00D07378" w:rsidRPr="00BC5C59" w:rsidRDefault="00D07378" w:rsidP="00BA499D">
            <w:pPr>
              <w:jc w:val="center"/>
              <w:rPr>
                <w:rFonts w:ascii="Calibri" w:hAnsi="Calibri" w:cs="Calibri"/>
                <w:b/>
                <w:color w:val="000000"/>
                <w:sz w:val="20"/>
                <w:szCs w:val="20"/>
              </w:rPr>
            </w:pPr>
            <w:r>
              <w:rPr>
                <w:rFonts w:ascii="Calibri" w:hAnsi="Calibri" w:cs="Calibri"/>
                <w:b/>
                <w:bCs/>
                <w:color w:val="000000"/>
                <w:sz w:val="20"/>
                <w:szCs w:val="20"/>
              </w:rPr>
              <w:t>379</w:t>
            </w:r>
          </w:p>
        </w:tc>
        <w:tc>
          <w:tcPr>
            <w:tcW w:w="1647" w:type="dxa"/>
            <w:tcBorders>
              <w:top w:val="nil"/>
              <w:left w:val="nil"/>
              <w:bottom w:val="single" w:sz="8" w:space="0" w:color="auto"/>
              <w:right w:val="single" w:sz="8" w:space="0" w:color="auto"/>
            </w:tcBorders>
            <w:shd w:val="clear" w:color="auto" w:fill="auto"/>
            <w:noWrap/>
            <w:vAlign w:val="center"/>
          </w:tcPr>
          <w:p w14:paraId="32091D71" w14:textId="77777777" w:rsidR="00D07378" w:rsidRPr="00BC5C59" w:rsidRDefault="00D07378" w:rsidP="00BA499D">
            <w:pPr>
              <w:jc w:val="center"/>
              <w:rPr>
                <w:rFonts w:ascii="Calibri" w:hAnsi="Calibri" w:cs="Calibri"/>
                <w:b/>
                <w:color w:val="000000"/>
                <w:sz w:val="20"/>
                <w:szCs w:val="20"/>
              </w:rPr>
            </w:pPr>
            <w:r>
              <w:rPr>
                <w:rFonts w:ascii="Calibri" w:hAnsi="Calibri" w:cs="Calibri"/>
                <w:b/>
                <w:bCs/>
                <w:color w:val="000000"/>
                <w:sz w:val="20"/>
                <w:szCs w:val="20"/>
              </w:rPr>
              <w:t>386</w:t>
            </w:r>
          </w:p>
        </w:tc>
        <w:tc>
          <w:tcPr>
            <w:tcW w:w="1276" w:type="dxa"/>
            <w:tcBorders>
              <w:top w:val="nil"/>
              <w:left w:val="nil"/>
              <w:bottom w:val="single" w:sz="8" w:space="0" w:color="auto"/>
              <w:right w:val="single" w:sz="8" w:space="0" w:color="auto"/>
            </w:tcBorders>
            <w:shd w:val="clear" w:color="auto" w:fill="auto"/>
            <w:noWrap/>
            <w:vAlign w:val="center"/>
          </w:tcPr>
          <w:p w14:paraId="22BB55F0" w14:textId="77777777" w:rsidR="00D07378" w:rsidRPr="00BC5C59" w:rsidRDefault="00D07378" w:rsidP="00BA499D">
            <w:pPr>
              <w:jc w:val="center"/>
              <w:rPr>
                <w:rFonts w:ascii="Calibri" w:hAnsi="Calibri" w:cs="Calibri"/>
                <w:b/>
                <w:color w:val="000000"/>
                <w:sz w:val="20"/>
                <w:szCs w:val="20"/>
              </w:rPr>
            </w:pPr>
            <w:r>
              <w:rPr>
                <w:rFonts w:ascii="Calibri" w:hAnsi="Calibri" w:cs="Calibri"/>
                <w:b/>
                <w:bCs/>
                <w:color w:val="000000"/>
                <w:sz w:val="20"/>
                <w:szCs w:val="20"/>
              </w:rPr>
              <w:t>102%</w:t>
            </w:r>
          </w:p>
        </w:tc>
      </w:tr>
      <w:tr w:rsidR="00D07378" w:rsidRPr="003B2BDF" w14:paraId="4CE1BAF5" w14:textId="77777777" w:rsidTr="00BA499D">
        <w:trPr>
          <w:trHeight w:val="142"/>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65382FC" w14:textId="77777777" w:rsidR="00D07378" w:rsidRPr="003B2BDF" w:rsidRDefault="00D07378" w:rsidP="00BA499D">
            <w:pPr>
              <w:jc w:val="center"/>
              <w:rPr>
                <w:rFonts w:ascii="Calibri" w:eastAsia="Times New Roman" w:hAnsi="Calibri" w:cs="Calibri"/>
                <w:color w:val="1A1A1A"/>
                <w:sz w:val="20"/>
                <w:szCs w:val="20"/>
                <w:lang w:eastAsia="hr-HR"/>
              </w:rPr>
            </w:pPr>
            <w:r>
              <w:rPr>
                <w:rFonts w:ascii="Calibri" w:eastAsia="Times New Roman" w:hAnsi="Calibri" w:cs="Calibri"/>
                <w:color w:val="1A1A1A"/>
                <w:sz w:val="20"/>
                <w:szCs w:val="20"/>
                <w:lang w:eastAsia="hr-HR"/>
              </w:rPr>
              <w:t>11</w:t>
            </w:r>
            <w:r w:rsidRPr="003B2BDF">
              <w:rPr>
                <w:rFonts w:ascii="Calibri" w:eastAsia="Times New Roman" w:hAnsi="Calibri" w:cs="Calibri"/>
                <w:color w:val="1A1A1A"/>
                <w:sz w:val="20"/>
                <w:szCs w:val="20"/>
                <w:lang w:eastAsia="hr-HR"/>
              </w:rPr>
              <w:t>.</w:t>
            </w:r>
          </w:p>
        </w:tc>
        <w:tc>
          <w:tcPr>
            <w:tcW w:w="3566" w:type="dxa"/>
            <w:tcBorders>
              <w:top w:val="nil"/>
              <w:left w:val="nil"/>
              <w:bottom w:val="single" w:sz="8" w:space="0" w:color="auto"/>
              <w:right w:val="single" w:sz="8" w:space="0" w:color="auto"/>
            </w:tcBorders>
            <w:shd w:val="clear" w:color="auto" w:fill="auto"/>
            <w:vAlign w:val="center"/>
            <w:hideMark/>
          </w:tcPr>
          <w:p w14:paraId="3CD4E001" w14:textId="77777777" w:rsidR="00D07378" w:rsidRPr="003B2BDF" w:rsidRDefault="00D07378" w:rsidP="00BA499D">
            <w:pPr>
              <w:rPr>
                <w:rFonts w:ascii="Calibri" w:eastAsia="Times New Roman" w:hAnsi="Calibri" w:cs="Calibri"/>
                <w:b/>
                <w:bCs/>
                <w:color w:val="1A1A1A"/>
                <w:sz w:val="20"/>
                <w:szCs w:val="20"/>
                <w:lang w:eastAsia="hr-HR"/>
              </w:rPr>
            </w:pPr>
            <w:r w:rsidRPr="003B2BDF">
              <w:rPr>
                <w:rFonts w:ascii="Calibri" w:eastAsia="Times New Roman" w:hAnsi="Calibri" w:cs="Calibri"/>
                <w:b/>
                <w:bCs/>
                <w:color w:val="1A1A1A"/>
                <w:sz w:val="20"/>
                <w:szCs w:val="20"/>
                <w:lang w:eastAsia="hr-HR"/>
              </w:rPr>
              <w:t xml:space="preserve">Farmakovigilancija </w:t>
            </w:r>
            <w:r w:rsidRPr="003B2BDF">
              <w:rPr>
                <w:rFonts w:ascii="Calibri" w:eastAsia="Times New Roman" w:hAnsi="Calibri" w:cs="Calibri"/>
                <w:color w:val="1A1A1A"/>
                <w:vertAlign w:val="superscript"/>
                <w:lang w:eastAsia="hr-HR"/>
              </w:rPr>
              <w:t>3</w:t>
            </w:r>
          </w:p>
        </w:tc>
        <w:tc>
          <w:tcPr>
            <w:tcW w:w="1560" w:type="dxa"/>
            <w:tcBorders>
              <w:top w:val="nil"/>
              <w:left w:val="nil"/>
              <w:bottom w:val="single" w:sz="8" w:space="0" w:color="auto"/>
              <w:right w:val="single" w:sz="8" w:space="0" w:color="auto"/>
            </w:tcBorders>
            <w:shd w:val="clear" w:color="auto" w:fill="auto"/>
            <w:noWrap/>
            <w:vAlign w:val="center"/>
          </w:tcPr>
          <w:p w14:paraId="4DA253C4" w14:textId="77777777" w:rsidR="00D07378" w:rsidRPr="00BC5C59" w:rsidRDefault="00D07378" w:rsidP="00BA499D">
            <w:pPr>
              <w:jc w:val="center"/>
              <w:rPr>
                <w:rFonts w:ascii="Calibri" w:hAnsi="Calibri" w:cs="Calibri"/>
                <w:b/>
                <w:color w:val="000000"/>
                <w:sz w:val="20"/>
                <w:szCs w:val="20"/>
              </w:rPr>
            </w:pPr>
            <w:r>
              <w:rPr>
                <w:rFonts w:ascii="Calibri" w:hAnsi="Calibri" w:cs="Calibri"/>
                <w:b/>
                <w:bCs/>
                <w:color w:val="000000"/>
                <w:sz w:val="20"/>
                <w:szCs w:val="20"/>
              </w:rPr>
              <w:t>143</w:t>
            </w:r>
          </w:p>
        </w:tc>
        <w:tc>
          <w:tcPr>
            <w:tcW w:w="1647" w:type="dxa"/>
            <w:tcBorders>
              <w:top w:val="nil"/>
              <w:left w:val="nil"/>
              <w:bottom w:val="single" w:sz="8" w:space="0" w:color="auto"/>
              <w:right w:val="single" w:sz="8" w:space="0" w:color="auto"/>
            </w:tcBorders>
            <w:shd w:val="clear" w:color="auto" w:fill="auto"/>
            <w:noWrap/>
            <w:vAlign w:val="center"/>
          </w:tcPr>
          <w:p w14:paraId="67745207" w14:textId="77777777" w:rsidR="00D07378" w:rsidRPr="00BC5C59" w:rsidRDefault="00D07378" w:rsidP="00BA499D">
            <w:pPr>
              <w:jc w:val="center"/>
              <w:rPr>
                <w:rFonts w:ascii="Calibri" w:hAnsi="Calibri" w:cs="Calibri"/>
                <w:b/>
                <w:color w:val="000000"/>
                <w:sz w:val="20"/>
                <w:szCs w:val="20"/>
              </w:rPr>
            </w:pPr>
            <w:r>
              <w:rPr>
                <w:rFonts w:ascii="Calibri" w:hAnsi="Calibri" w:cs="Calibri"/>
                <w:b/>
                <w:bCs/>
                <w:color w:val="000000"/>
                <w:sz w:val="20"/>
                <w:szCs w:val="20"/>
              </w:rPr>
              <w:t>231</w:t>
            </w:r>
          </w:p>
        </w:tc>
        <w:tc>
          <w:tcPr>
            <w:tcW w:w="1276" w:type="dxa"/>
            <w:tcBorders>
              <w:top w:val="nil"/>
              <w:left w:val="nil"/>
              <w:bottom w:val="single" w:sz="8" w:space="0" w:color="auto"/>
              <w:right w:val="single" w:sz="8" w:space="0" w:color="auto"/>
            </w:tcBorders>
            <w:shd w:val="clear" w:color="auto" w:fill="auto"/>
            <w:noWrap/>
            <w:vAlign w:val="center"/>
          </w:tcPr>
          <w:p w14:paraId="747BCFD9" w14:textId="77777777" w:rsidR="00D07378" w:rsidRPr="00BC5C59" w:rsidRDefault="00D07378" w:rsidP="00BA499D">
            <w:pPr>
              <w:jc w:val="center"/>
              <w:rPr>
                <w:rFonts w:ascii="Calibri" w:hAnsi="Calibri" w:cs="Calibri"/>
                <w:b/>
                <w:color w:val="000000"/>
                <w:sz w:val="20"/>
                <w:szCs w:val="20"/>
              </w:rPr>
            </w:pPr>
            <w:r>
              <w:rPr>
                <w:rFonts w:ascii="Calibri" w:hAnsi="Calibri" w:cs="Calibri"/>
                <w:b/>
                <w:bCs/>
                <w:color w:val="000000"/>
                <w:sz w:val="20"/>
                <w:szCs w:val="20"/>
              </w:rPr>
              <w:t>162%</w:t>
            </w:r>
          </w:p>
        </w:tc>
      </w:tr>
      <w:tr w:rsidR="00D07378" w:rsidRPr="003B2BDF" w14:paraId="2D081CF6" w14:textId="77777777" w:rsidTr="00BA499D">
        <w:trPr>
          <w:trHeight w:val="142"/>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ACE1E0D" w14:textId="77777777" w:rsidR="00D07378" w:rsidRPr="003B2BDF" w:rsidRDefault="00D07378" w:rsidP="00BA499D">
            <w:pPr>
              <w:jc w:val="center"/>
              <w:rPr>
                <w:rFonts w:ascii="Calibri" w:eastAsia="Times New Roman" w:hAnsi="Calibri" w:cs="Calibri"/>
                <w:color w:val="1A1A1A"/>
                <w:sz w:val="20"/>
                <w:szCs w:val="20"/>
                <w:lang w:eastAsia="hr-HR"/>
              </w:rPr>
            </w:pPr>
            <w:r>
              <w:rPr>
                <w:rFonts w:ascii="Calibri" w:eastAsia="Times New Roman" w:hAnsi="Calibri" w:cs="Calibri"/>
                <w:color w:val="1A1A1A"/>
                <w:sz w:val="20"/>
                <w:szCs w:val="20"/>
                <w:lang w:eastAsia="hr-HR"/>
              </w:rPr>
              <w:t>12</w:t>
            </w:r>
            <w:r w:rsidRPr="003B2BDF">
              <w:rPr>
                <w:rFonts w:ascii="Calibri" w:eastAsia="Times New Roman" w:hAnsi="Calibri" w:cs="Calibri"/>
                <w:color w:val="1A1A1A"/>
                <w:sz w:val="20"/>
                <w:szCs w:val="20"/>
                <w:lang w:eastAsia="hr-HR"/>
              </w:rPr>
              <w:t>.</w:t>
            </w:r>
          </w:p>
        </w:tc>
        <w:tc>
          <w:tcPr>
            <w:tcW w:w="3566" w:type="dxa"/>
            <w:tcBorders>
              <w:top w:val="nil"/>
              <w:left w:val="nil"/>
              <w:bottom w:val="single" w:sz="8" w:space="0" w:color="auto"/>
              <w:right w:val="single" w:sz="8" w:space="0" w:color="auto"/>
            </w:tcBorders>
            <w:shd w:val="clear" w:color="auto" w:fill="auto"/>
            <w:vAlign w:val="center"/>
            <w:hideMark/>
          </w:tcPr>
          <w:p w14:paraId="2063926B" w14:textId="77777777" w:rsidR="00D07378" w:rsidRPr="003B2BDF" w:rsidRDefault="00D07378" w:rsidP="00BA499D">
            <w:pPr>
              <w:rPr>
                <w:rFonts w:ascii="Calibri" w:eastAsia="Times New Roman" w:hAnsi="Calibri" w:cs="Calibri"/>
                <w:b/>
                <w:bCs/>
                <w:color w:val="1A1A1A"/>
                <w:sz w:val="20"/>
                <w:szCs w:val="20"/>
                <w:lang w:eastAsia="hr-HR"/>
              </w:rPr>
            </w:pPr>
            <w:r w:rsidRPr="003B2BDF">
              <w:rPr>
                <w:rFonts w:ascii="Calibri" w:eastAsia="Times New Roman" w:hAnsi="Calibri" w:cs="Calibri"/>
                <w:b/>
                <w:bCs/>
                <w:color w:val="1A1A1A"/>
                <w:sz w:val="20"/>
                <w:szCs w:val="20"/>
                <w:lang w:eastAsia="hr-HR"/>
              </w:rPr>
              <w:t xml:space="preserve">Ocjena u arbitražnom postupku (EMA) </w:t>
            </w:r>
            <w:r w:rsidRPr="003B2BDF">
              <w:rPr>
                <w:rFonts w:ascii="Calibri" w:eastAsia="Times New Roman" w:hAnsi="Calibri" w:cs="Calibri"/>
                <w:color w:val="1A1A1A"/>
                <w:vertAlign w:val="superscript"/>
                <w:lang w:eastAsia="hr-HR"/>
              </w:rPr>
              <w:t>2</w:t>
            </w:r>
          </w:p>
        </w:tc>
        <w:tc>
          <w:tcPr>
            <w:tcW w:w="1560" w:type="dxa"/>
            <w:tcBorders>
              <w:top w:val="nil"/>
              <w:left w:val="nil"/>
              <w:bottom w:val="single" w:sz="8" w:space="0" w:color="auto"/>
              <w:right w:val="single" w:sz="8" w:space="0" w:color="auto"/>
            </w:tcBorders>
            <w:shd w:val="clear" w:color="auto" w:fill="auto"/>
            <w:noWrap/>
            <w:vAlign w:val="center"/>
          </w:tcPr>
          <w:p w14:paraId="26F4E778" w14:textId="77777777" w:rsidR="00D07378" w:rsidRPr="00BC5C59" w:rsidRDefault="00D07378" w:rsidP="00BA499D">
            <w:pPr>
              <w:jc w:val="center"/>
              <w:rPr>
                <w:rFonts w:ascii="Calibri" w:hAnsi="Calibri" w:cs="Calibri"/>
                <w:b/>
                <w:color w:val="000000"/>
                <w:sz w:val="20"/>
                <w:szCs w:val="20"/>
              </w:rPr>
            </w:pPr>
            <w:r>
              <w:rPr>
                <w:rFonts w:ascii="Calibri" w:hAnsi="Calibri" w:cs="Calibri"/>
                <w:b/>
                <w:bCs/>
                <w:color w:val="000000"/>
                <w:sz w:val="20"/>
                <w:szCs w:val="20"/>
              </w:rPr>
              <w:t>1</w:t>
            </w:r>
          </w:p>
        </w:tc>
        <w:tc>
          <w:tcPr>
            <w:tcW w:w="1647" w:type="dxa"/>
            <w:tcBorders>
              <w:top w:val="nil"/>
              <w:left w:val="nil"/>
              <w:bottom w:val="single" w:sz="8" w:space="0" w:color="auto"/>
              <w:right w:val="single" w:sz="8" w:space="0" w:color="auto"/>
            </w:tcBorders>
            <w:shd w:val="clear" w:color="auto" w:fill="auto"/>
            <w:noWrap/>
            <w:vAlign w:val="center"/>
          </w:tcPr>
          <w:p w14:paraId="1C609CD8" w14:textId="77777777" w:rsidR="00D07378" w:rsidRPr="00BC5C59" w:rsidRDefault="00D07378" w:rsidP="00BA499D">
            <w:pPr>
              <w:jc w:val="center"/>
              <w:rPr>
                <w:rFonts w:ascii="Calibri" w:hAnsi="Calibri" w:cs="Calibri"/>
                <w:b/>
                <w:color w:val="000000"/>
                <w:sz w:val="20"/>
                <w:szCs w:val="20"/>
              </w:rPr>
            </w:pPr>
            <w:r>
              <w:rPr>
                <w:rFonts w:ascii="Calibri" w:hAnsi="Calibri" w:cs="Calibri"/>
                <w:b/>
                <w:bCs/>
                <w:color w:val="000000"/>
                <w:sz w:val="20"/>
                <w:szCs w:val="20"/>
              </w:rPr>
              <w:t>1</w:t>
            </w:r>
          </w:p>
        </w:tc>
        <w:tc>
          <w:tcPr>
            <w:tcW w:w="1276" w:type="dxa"/>
            <w:tcBorders>
              <w:top w:val="nil"/>
              <w:left w:val="nil"/>
              <w:bottom w:val="single" w:sz="8" w:space="0" w:color="auto"/>
              <w:right w:val="single" w:sz="8" w:space="0" w:color="auto"/>
            </w:tcBorders>
            <w:shd w:val="clear" w:color="auto" w:fill="auto"/>
            <w:noWrap/>
            <w:vAlign w:val="center"/>
          </w:tcPr>
          <w:p w14:paraId="416DD16D" w14:textId="77777777" w:rsidR="00D07378" w:rsidRPr="00BC5C59" w:rsidRDefault="00D07378" w:rsidP="00BA499D">
            <w:pPr>
              <w:jc w:val="center"/>
              <w:rPr>
                <w:rFonts w:ascii="Calibri" w:hAnsi="Calibri" w:cs="Calibri"/>
                <w:b/>
                <w:color w:val="000000"/>
                <w:sz w:val="20"/>
                <w:szCs w:val="20"/>
              </w:rPr>
            </w:pPr>
            <w:r>
              <w:rPr>
                <w:rFonts w:ascii="Calibri" w:hAnsi="Calibri" w:cs="Calibri"/>
                <w:b/>
                <w:bCs/>
                <w:color w:val="000000"/>
                <w:sz w:val="20"/>
                <w:szCs w:val="20"/>
              </w:rPr>
              <w:t>100%</w:t>
            </w:r>
          </w:p>
        </w:tc>
      </w:tr>
      <w:tr w:rsidR="00D07378" w:rsidRPr="003B2BDF" w14:paraId="0C7A1045" w14:textId="77777777" w:rsidTr="00BA499D">
        <w:trPr>
          <w:trHeight w:val="142"/>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B4BE575" w14:textId="77777777" w:rsidR="00D07378" w:rsidRPr="003B2BDF" w:rsidRDefault="00D07378" w:rsidP="00BA499D">
            <w:pPr>
              <w:jc w:val="center"/>
              <w:rPr>
                <w:rFonts w:ascii="Calibri" w:eastAsia="Times New Roman" w:hAnsi="Calibri" w:cs="Calibri"/>
                <w:color w:val="1A1A1A"/>
                <w:sz w:val="20"/>
                <w:szCs w:val="20"/>
                <w:lang w:eastAsia="hr-HR"/>
              </w:rPr>
            </w:pPr>
            <w:r>
              <w:rPr>
                <w:rFonts w:ascii="Calibri" w:eastAsia="Times New Roman" w:hAnsi="Calibri" w:cs="Calibri"/>
                <w:color w:val="1A1A1A"/>
                <w:sz w:val="20"/>
                <w:szCs w:val="20"/>
                <w:lang w:eastAsia="hr-HR"/>
              </w:rPr>
              <w:t>13</w:t>
            </w:r>
            <w:r w:rsidRPr="003B2BDF">
              <w:rPr>
                <w:rFonts w:ascii="Calibri" w:eastAsia="Times New Roman" w:hAnsi="Calibri" w:cs="Calibri"/>
                <w:color w:val="1A1A1A"/>
                <w:sz w:val="20"/>
                <w:szCs w:val="20"/>
                <w:lang w:eastAsia="hr-HR"/>
              </w:rPr>
              <w:t>.</w:t>
            </w:r>
          </w:p>
        </w:tc>
        <w:tc>
          <w:tcPr>
            <w:tcW w:w="3566" w:type="dxa"/>
            <w:tcBorders>
              <w:top w:val="nil"/>
              <w:left w:val="nil"/>
              <w:bottom w:val="single" w:sz="8" w:space="0" w:color="auto"/>
              <w:right w:val="single" w:sz="8" w:space="0" w:color="auto"/>
            </w:tcBorders>
            <w:shd w:val="clear" w:color="auto" w:fill="auto"/>
            <w:vAlign w:val="center"/>
            <w:hideMark/>
          </w:tcPr>
          <w:p w14:paraId="19AE760C" w14:textId="77777777" w:rsidR="00D07378" w:rsidRPr="003B2BDF" w:rsidRDefault="00D07378" w:rsidP="00BA499D">
            <w:pPr>
              <w:rPr>
                <w:rFonts w:ascii="Calibri" w:eastAsia="Times New Roman" w:hAnsi="Calibri" w:cs="Calibri"/>
                <w:b/>
                <w:bCs/>
                <w:color w:val="1A1A1A"/>
                <w:sz w:val="20"/>
                <w:szCs w:val="20"/>
                <w:lang w:eastAsia="hr-HR"/>
              </w:rPr>
            </w:pPr>
            <w:r w:rsidRPr="003B2BDF">
              <w:rPr>
                <w:rFonts w:ascii="Calibri" w:eastAsia="Times New Roman" w:hAnsi="Calibri" w:cs="Calibri"/>
                <w:b/>
                <w:bCs/>
                <w:color w:val="1A1A1A"/>
                <w:sz w:val="20"/>
                <w:szCs w:val="20"/>
                <w:lang w:eastAsia="hr-HR"/>
              </w:rPr>
              <w:t xml:space="preserve">Davanje </w:t>
            </w:r>
            <w:r>
              <w:rPr>
                <w:rFonts w:ascii="Calibri" w:eastAsia="Times New Roman" w:hAnsi="Calibri" w:cs="Calibri"/>
                <w:b/>
                <w:bCs/>
                <w:color w:val="1A1A1A"/>
                <w:sz w:val="20"/>
                <w:szCs w:val="20"/>
                <w:lang w:eastAsia="hr-HR"/>
              </w:rPr>
              <w:t>znanstvenog</w:t>
            </w:r>
            <w:r w:rsidRPr="003B2BDF">
              <w:rPr>
                <w:rFonts w:ascii="Calibri" w:eastAsia="Times New Roman" w:hAnsi="Calibri" w:cs="Calibri"/>
                <w:b/>
                <w:bCs/>
                <w:color w:val="1A1A1A"/>
                <w:sz w:val="20"/>
                <w:szCs w:val="20"/>
                <w:lang w:eastAsia="hr-HR"/>
              </w:rPr>
              <w:t xml:space="preserve"> savjeta (EMA) </w:t>
            </w:r>
            <w:r w:rsidRPr="003B2BDF">
              <w:rPr>
                <w:rFonts w:ascii="Calibri" w:eastAsia="Times New Roman" w:hAnsi="Calibri" w:cs="Calibri"/>
                <w:color w:val="1A1A1A"/>
                <w:vertAlign w:val="superscript"/>
                <w:lang w:eastAsia="hr-HR"/>
              </w:rPr>
              <w:t>2</w:t>
            </w:r>
          </w:p>
        </w:tc>
        <w:tc>
          <w:tcPr>
            <w:tcW w:w="1560" w:type="dxa"/>
            <w:tcBorders>
              <w:top w:val="nil"/>
              <w:left w:val="nil"/>
              <w:bottom w:val="single" w:sz="8" w:space="0" w:color="auto"/>
              <w:right w:val="single" w:sz="8" w:space="0" w:color="auto"/>
            </w:tcBorders>
            <w:shd w:val="clear" w:color="auto" w:fill="auto"/>
            <w:noWrap/>
            <w:vAlign w:val="center"/>
          </w:tcPr>
          <w:p w14:paraId="54F37B35" w14:textId="77777777" w:rsidR="00D07378" w:rsidRPr="00BC5C59" w:rsidRDefault="00D07378" w:rsidP="00BA499D">
            <w:pPr>
              <w:jc w:val="center"/>
              <w:rPr>
                <w:rFonts w:ascii="Calibri" w:hAnsi="Calibri" w:cs="Calibri"/>
                <w:b/>
                <w:color w:val="000000"/>
                <w:sz w:val="20"/>
                <w:szCs w:val="20"/>
              </w:rPr>
            </w:pPr>
            <w:r>
              <w:rPr>
                <w:rFonts w:ascii="Calibri" w:hAnsi="Calibri" w:cs="Calibri"/>
                <w:b/>
                <w:bCs/>
                <w:color w:val="000000"/>
                <w:sz w:val="20"/>
                <w:szCs w:val="20"/>
              </w:rPr>
              <w:t>26</w:t>
            </w:r>
          </w:p>
        </w:tc>
        <w:tc>
          <w:tcPr>
            <w:tcW w:w="1647" w:type="dxa"/>
            <w:tcBorders>
              <w:top w:val="nil"/>
              <w:left w:val="nil"/>
              <w:bottom w:val="single" w:sz="8" w:space="0" w:color="auto"/>
              <w:right w:val="single" w:sz="8" w:space="0" w:color="auto"/>
            </w:tcBorders>
            <w:shd w:val="clear" w:color="auto" w:fill="auto"/>
            <w:noWrap/>
            <w:vAlign w:val="center"/>
          </w:tcPr>
          <w:p w14:paraId="1BCA79B9" w14:textId="77777777" w:rsidR="00D07378" w:rsidRPr="00BC5C59" w:rsidRDefault="00D07378" w:rsidP="00BA499D">
            <w:pPr>
              <w:jc w:val="center"/>
              <w:rPr>
                <w:rFonts w:ascii="Calibri" w:hAnsi="Calibri" w:cs="Calibri"/>
                <w:b/>
                <w:color w:val="000000"/>
                <w:sz w:val="20"/>
                <w:szCs w:val="20"/>
              </w:rPr>
            </w:pPr>
            <w:r>
              <w:rPr>
                <w:rFonts w:ascii="Calibri" w:hAnsi="Calibri" w:cs="Calibri"/>
                <w:b/>
                <w:bCs/>
                <w:color w:val="000000"/>
                <w:sz w:val="20"/>
                <w:szCs w:val="20"/>
              </w:rPr>
              <w:t>32</w:t>
            </w:r>
          </w:p>
        </w:tc>
        <w:tc>
          <w:tcPr>
            <w:tcW w:w="1276" w:type="dxa"/>
            <w:tcBorders>
              <w:top w:val="nil"/>
              <w:left w:val="nil"/>
              <w:bottom w:val="single" w:sz="8" w:space="0" w:color="auto"/>
              <w:right w:val="single" w:sz="8" w:space="0" w:color="auto"/>
            </w:tcBorders>
            <w:shd w:val="clear" w:color="auto" w:fill="auto"/>
            <w:noWrap/>
            <w:vAlign w:val="center"/>
          </w:tcPr>
          <w:p w14:paraId="41AC5D0A" w14:textId="77777777" w:rsidR="00D07378" w:rsidRPr="00BC5C59" w:rsidRDefault="00D07378" w:rsidP="00BA499D">
            <w:pPr>
              <w:jc w:val="center"/>
              <w:rPr>
                <w:rFonts w:ascii="Calibri" w:hAnsi="Calibri" w:cs="Calibri"/>
                <w:b/>
                <w:color w:val="000000"/>
                <w:sz w:val="20"/>
                <w:szCs w:val="20"/>
              </w:rPr>
            </w:pPr>
            <w:r>
              <w:rPr>
                <w:rFonts w:ascii="Calibri" w:hAnsi="Calibri" w:cs="Calibri"/>
                <w:b/>
                <w:bCs/>
                <w:color w:val="000000"/>
                <w:sz w:val="20"/>
                <w:szCs w:val="20"/>
              </w:rPr>
              <w:t>123%</w:t>
            </w:r>
          </w:p>
        </w:tc>
      </w:tr>
      <w:tr w:rsidR="00D07378" w:rsidRPr="003B2BDF" w14:paraId="1FED5088" w14:textId="77777777" w:rsidTr="00BA499D">
        <w:trPr>
          <w:trHeight w:val="142"/>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1CECD0E" w14:textId="77777777" w:rsidR="00D07378" w:rsidRPr="003B2BDF" w:rsidRDefault="00D07378" w:rsidP="00BA499D">
            <w:pPr>
              <w:jc w:val="center"/>
              <w:rPr>
                <w:rFonts w:ascii="Calibri" w:eastAsia="Times New Roman" w:hAnsi="Calibri" w:cs="Calibri"/>
                <w:color w:val="1A1A1A"/>
                <w:sz w:val="20"/>
                <w:szCs w:val="20"/>
                <w:lang w:eastAsia="hr-HR"/>
              </w:rPr>
            </w:pPr>
            <w:r>
              <w:rPr>
                <w:rFonts w:ascii="Calibri" w:eastAsia="Times New Roman" w:hAnsi="Calibri" w:cs="Calibri"/>
                <w:color w:val="1A1A1A"/>
                <w:sz w:val="20"/>
                <w:szCs w:val="20"/>
                <w:lang w:eastAsia="hr-HR"/>
              </w:rPr>
              <w:t>14</w:t>
            </w:r>
            <w:r w:rsidRPr="003B2BDF">
              <w:rPr>
                <w:rFonts w:ascii="Calibri" w:eastAsia="Times New Roman" w:hAnsi="Calibri" w:cs="Calibri"/>
                <w:b/>
                <w:bCs/>
                <w:color w:val="1A1A1A"/>
                <w:sz w:val="20"/>
                <w:szCs w:val="20"/>
                <w:lang w:eastAsia="hr-HR"/>
              </w:rPr>
              <w:t>.</w:t>
            </w:r>
          </w:p>
        </w:tc>
        <w:tc>
          <w:tcPr>
            <w:tcW w:w="3566" w:type="dxa"/>
            <w:tcBorders>
              <w:top w:val="nil"/>
              <w:left w:val="nil"/>
              <w:bottom w:val="single" w:sz="8" w:space="0" w:color="auto"/>
              <w:right w:val="single" w:sz="8" w:space="0" w:color="auto"/>
            </w:tcBorders>
            <w:shd w:val="clear" w:color="auto" w:fill="auto"/>
            <w:vAlign w:val="center"/>
            <w:hideMark/>
          </w:tcPr>
          <w:p w14:paraId="359D6F73" w14:textId="77777777" w:rsidR="00D07378" w:rsidRPr="003B2BDF" w:rsidRDefault="00D07378" w:rsidP="00BA499D">
            <w:pPr>
              <w:rPr>
                <w:rFonts w:ascii="Calibri" w:eastAsia="Times New Roman" w:hAnsi="Calibri" w:cs="Calibri"/>
                <w:b/>
                <w:bCs/>
                <w:color w:val="1A1A1A"/>
                <w:sz w:val="20"/>
                <w:szCs w:val="20"/>
                <w:lang w:eastAsia="hr-HR"/>
              </w:rPr>
            </w:pPr>
            <w:r w:rsidRPr="003B2BDF">
              <w:rPr>
                <w:rFonts w:ascii="Calibri" w:eastAsia="Times New Roman" w:hAnsi="Calibri" w:cs="Calibri"/>
                <w:b/>
                <w:bCs/>
                <w:color w:val="1A1A1A"/>
                <w:sz w:val="20"/>
                <w:szCs w:val="20"/>
                <w:lang w:eastAsia="hr-HR"/>
              </w:rPr>
              <w:t>Veterinarsko-medicinski proizvodi (VMP)</w:t>
            </w:r>
            <w:r w:rsidRPr="003B2BDF">
              <w:rPr>
                <w:rFonts w:ascii="Calibri" w:eastAsia="Times New Roman" w:hAnsi="Calibri" w:cs="Calibri"/>
                <w:color w:val="1A1A1A"/>
                <w:vertAlign w:val="superscript"/>
                <w:lang w:eastAsia="hr-HR"/>
              </w:rPr>
              <w:t xml:space="preserve"> 1</w:t>
            </w:r>
          </w:p>
        </w:tc>
        <w:tc>
          <w:tcPr>
            <w:tcW w:w="1560" w:type="dxa"/>
            <w:tcBorders>
              <w:top w:val="nil"/>
              <w:left w:val="nil"/>
              <w:bottom w:val="single" w:sz="8" w:space="0" w:color="auto"/>
              <w:right w:val="single" w:sz="8" w:space="0" w:color="auto"/>
            </w:tcBorders>
            <w:shd w:val="clear" w:color="auto" w:fill="auto"/>
            <w:noWrap/>
            <w:vAlign w:val="center"/>
          </w:tcPr>
          <w:p w14:paraId="73C94EB0" w14:textId="77777777" w:rsidR="00D07378" w:rsidRPr="00BC5C59" w:rsidRDefault="00D07378" w:rsidP="00BA499D">
            <w:pPr>
              <w:jc w:val="center"/>
              <w:rPr>
                <w:rFonts w:ascii="Calibri" w:hAnsi="Calibri" w:cs="Calibri"/>
                <w:b/>
                <w:color w:val="000000"/>
                <w:sz w:val="20"/>
                <w:szCs w:val="20"/>
              </w:rPr>
            </w:pPr>
            <w:r>
              <w:rPr>
                <w:rFonts w:ascii="Calibri" w:hAnsi="Calibri" w:cs="Calibri"/>
                <w:b/>
                <w:bCs/>
                <w:color w:val="000000"/>
                <w:sz w:val="20"/>
                <w:szCs w:val="20"/>
              </w:rPr>
              <w:t>27</w:t>
            </w:r>
          </w:p>
        </w:tc>
        <w:tc>
          <w:tcPr>
            <w:tcW w:w="1647" w:type="dxa"/>
            <w:tcBorders>
              <w:top w:val="nil"/>
              <w:left w:val="nil"/>
              <w:bottom w:val="single" w:sz="8" w:space="0" w:color="auto"/>
              <w:right w:val="single" w:sz="8" w:space="0" w:color="auto"/>
            </w:tcBorders>
            <w:shd w:val="clear" w:color="auto" w:fill="auto"/>
            <w:noWrap/>
            <w:vAlign w:val="center"/>
          </w:tcPr>
          <w:p w14:paraId="0CDCB3D2" w14:textId="77777777" w:rsidR="00D07378" w:rsidRPr="00BC5C59" w:rsidRDefault="00D07378" w:rsidP="00BA499D">
            <w:pPr>
              <w:jc w:val="center"/>
              <w:rPr>
                <w:rFonts w:ascii="Calibri" w:hAnsi="Calibri" w:cs="Calibri"/>
                <w:b/>
                <w:color w:val="000000"/>
                <w:sz w:val="20"/>
                <w:szCs w:val="20"/>
              </w:rPr>
            </w:pPr>
            <w:r>
              <w:rPr>
                <w:rFonts w:ascii="Calibri" w:hAnsi="Calibri" w:cs="Calibri"/>
                <w:b/>
                <w:bCs/>
                <w:color w:val="000000"/>
                <w:sz w:val="20"/>
                <w:szCs w:val="20"/>
              </w:rPr>
              <w:t>38</w:t>
            </w:r>
          </w:p>
        </w:tc>
        <w:tc>
          <w:tcPr>
            <w:tcW w:w="1276" w:type="dxa"/>
            <w:tcBorders>
              <w:top w:val="nil"/>
              <w:left w:val="nil"/>
              <w:bottom w:val="single" w:sz="8" w:space="0" w:color="auto"/>
              <w:right w:val="single" w:sz="8" w:space="0" w:color="auto"/>
            </w:tcBorders>
            <w:shd w:val="clear" w:color="auto" w:fill="auto"/>
            <w:noWrap/>
            <w:vAlign w:val="center"/>
          </w:tcPr>
          <w:p w14:paraId="09EB38C3" w14:textId="77777777" w:rsidR="00D07378" w:rsidRPr="00BC5C59" w:rsidRDefault="00D07378" w:rsidP="00BA499D">
            <w:pPr>
              <w:jc w:val="center"/>
              <w:rPr>
                <w:rFonts w:ascii="Calibri" w:hAnsi="Calibri" w:cs="Calibri"/>
                <w:b/>
                <w:color w:val="000000"/>
                <w:sz w:val="20"/>
                <w:szCs w:val="20"/>
              </w:rPr>
            </w:pPr>
            <w:r>
              <w:rPr>
                <w:rFonts w:ascii="Calibri" w:hAnsi="Calibri" w:cs="Calibri"/>
                <w:b/>
                <w:bCs/>
                <w:color w:val="000000"/>
                <w:sz w:val="20"/>
                <w:szCs w:val="20"/>
              </w:rPr>
              <w:t>141%</w:t>
            </w:r>
          </w:p>
        </w:tc>
      </w:tr>
      <w:tr w:rsidR="00D07378" w:rsidRPr="003B2BDF" w14:paraId="435A49BE" w14:textId="77777777" w:rsidTr="00BA499D">
        <w:trPr>
          <w:trHeight w:val="142"/>
        </w:trPr>
        <w:tc>
          <w:tcPr>
            <w:tcW w:w="4526"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6E373404" w14:textId="77777777" w:rsidR="00D07378" w:rsidRPr="003B2BDF" w:rsidRDefault="00D07378" w:rsidP="00BA499D">
            <w:pPr>
              <w:rPr>
                <w:rFonts w:ascii="Calibri" w:eastAsia="Times New Roman" w:hAnsi="Calibri" w:cs="Calibri"/>
                <w:b/>
                <w:bCs/>
                <w:color w:val="1A1A1A"/>
                <w:sz w:val="20"/>
                <w:szCs w:val="20"/>
                <w:lang w:eastAsia="hr-HR"/>
              </w:rPr>
            </w:pPr>
            <w:r w:rsidRPr="003B2BDF">
              <w:rPr>
                <w:rFonts w:ascii="Calibri" w:eastAsia="Times New Roman" w:hAnsi="Calibri" w:cs="Calibri"/>
                <w:b/>
                <w:bCs/>
                <w:color w:val="1A1A1A"/>
                <w:sz w:val="20"/>
                <w:szCs w:val="20"/>
                <w:lang w:eastAsia="hr-HR"/>
              </w:rPr>
              <w:t>UKUPNO</w:t>
            </w:r>
          </w:p>
        </w:tc>
        <w:tc>
          <w:tcPr>
            <w:tcW w:w="1560" w:type="dxa"/>
            <w:tcBorders>
              <w:top w:val="nil"/>
              <w:left w:val="nil"/>
              <w:bottom w:val="single" w:sz="8" w:space="0" w:color="auto"/>
              <w:right w:val="single" w:sz="8" w:space="0" w:color="auto"/>
            </w:tcBorders>
            <w:shd w:val="clear" w:color="000000" w:fill="D9D9D9"/>
            <w:noWrap/>
            <w:vAlign w:val="center"/>
          </w:tcPr>
          <w:p w14:paraId="56D369A6" w14:textId="77777777" w:rsidR="00D07378" w:rsidRDefault="00D07378" w:rsidP="00BA499D">
            <w:pPr>
              <w:jc w:val="center"/>
              <w:rPr>
                <w:rFonts w:ascii="Calibri" w:hAnsi="Calibri" w:cs="Calibri"/>
                <w:b/>
                <w:bCs/>
                <w:color w:val="000000"/>
                <w:sz w:val="20"/>
                <w:szCs w:val="20"/>
              </w:rPr>
            </w:pPr>
            <w:r>
              <w:rPr>
                <w:rFonts w:ascii="Calibri" w:hAnsi="Calibri" w:cs="Calibri"/>
                <w:b/>
                <w:bCs/>
                <w:color w:val="000000"/>
                <w:sz w:val="20"/>
                <w:szCs w:val="20"/>
              </w:rPr>
              <w:t>25.772</w:t>
            </w:r>
          </w:p>
        </w:tc>
        <w:tc>
          <w:tcPr>
            <w:tcW w:w="1647" w:type="dxa"/>
            <w:tcBorders>
              <w:top w:val="nil"/>
              <w:left w:val="nil"/>
              <w:bottom w:val="single" w:sz="8" w:space="0" w:color="auto"/>
              <w:right w:val="single" w:sz="8" w:space="0" w:color="auto"/>
            </w:tcBorders>
            <w:shd w:val="clear" w:color="000000" w:fill="D9D9D9"/>
            <w:noWrap/>
            <w:vAlign w:val="center"/>
          </w:tcPr>
          <w:p w14:paraId="0788EA3D" w14:textId="77777777" w:rsidR="00D07378" w:rsidRDefault="00D07378" w:rsidP="00BA499D">
            <w:pPr>
              <w:jc w:val="center"/>
              <w:rPr>
                <w:rFonts w:ascii="Calibri" w:hAnsi="Calibri" w:cs="Calibri"/>
                <w:b/>
                <w:bCs/>
                <w:color w:val="000000"/>
                <w:sz w:val="20"/>
                <w:szCs w:val="20"/>
              </w:rPr>
            </w:pPr>
            <w:r>
              <w:rPr>
                <w:rFonts w:ascii="Calibri" w:hAnsi="Calibri" w:cs="Calibri"/>
                <w:b/>
                <w:bCs/>
                <w:color w:val="000000"/>
                <w:sz w:val="20"/>
                <w:szCs w:val="20"/>
              </w:rPr>
              <w:t>25.887</w:t>
            </w:r>
          </w:p>
        </w:tc>
        <w:tc>
          <w:tcPr>
            <w:tcW w:w="1276" w:type="dxa"/>
            <w:tcBorders>
              <w:top w:val="nil"/>
              <w:left w:val="nil"/>
              <w:bottom w:val="single" w:sz="8" w:space="0" w:color="auto"/>
              <w:right w:val="single" w:sz="8" w:space="0" w:color="auto"/>
            </w:tcBorders>
            <w:shd w:val="clear" w:color="000000" w:fill="D9D9D9"/>
            <w:noWrap/>
            <w:vAlign w:val="center"/>
          </w:tcPr>
          <w:p w14:paraId="2A8ECCFA" w14:textId="77777777" w:rsidR="00D07378" w:rsidRDefault="00D07378" w:rsidP="00BA499D">
            <w:pPr>
              <w:jc w:val="center"/>
              <w:rPr>
                <w:rFonts w:ascii="Calibri" w:hAnsi="Calibri" w:cs="Calibri"/>
                <w:b/>
                <w:bCs/>
                <w:color w:val="000000"/>
                <w:sz w:val="20"/>
                <w:szCs w:val="20"/>
              </w:rPr>
            </w:pPr>
            <w:r>
              <w:rPr>
                <w:rFonts w:ascii="Calibri" w:hAnsi="Calibri" w:cs="Calibri"/>
                <w:b/>
                <w:bCs/>
                <w:color w:val="000000"/>
                <w:sz w:val="20"/>
                <w:szCs w:val="20"/>
              </w:rPr>
              <w:t>100%</w:t>
            </w:r>
          </w:p>
        </w:tc>
      </w:tr>
      <w:tr w:rsidR="00D07378" w:rsidRPr="003B2BDF" w14:paraId="07DD48F4" w14:textId="77777777" w:rsidTr="00BA499D">
        <w:trPr>
          <w:trHeight w:val="142"/>
        </w:trPr>
        <w:tc>
          <w:tcPr>
            <w:tcW w:w="4526"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9CBDD54" w14:textId="77777777" w:rsidR="00D07378" w:rsidRPr="003B2BDF" w:rsidRDefault="00D07378" w:rsidP="00BA499D">
            <w:pPr>
              <w:rPr>
                <w:rFonts w:ascii="Calibri" w:eastAsia="Times New Roman" w:hAnsi="Calibri" w:cs="Calibri"/>
                <w:color w:val="000000"/>
                <w:sz w:val="20"/>
                <w:szCs w:val="20"/>
                <w:lang w:eastAsia="hr-HR"/>
              </w:rPr>
            </w:pPr>
            <w:r w:rsidRPr="003B2BDF">
              <w:rPr>
                <w:rFonts w:ascii="Calibri" w:eastAsia="Times New Roman" w:hAnsi="Calibri" w:cs="Calibri"/>
                <w:color w:val="000000"/>
                <w:sz w:val="20"/>
                <w:szCs w:val="20"/>
                <w:lang w:eastAsia="hr-HR"/>
              </w:rPr>
              <w:t xml:space="preserve">Europski konkurentni poslovi </w:t>
            </w:r>
            <w:r w:rsidRPr="003B2BDF">
              <w:rPr>
                <w:rFonts w:ascii="Calibri" w:eastAsia="Times New Roman" w:hAnsi="Calibri" w:cs="Calibri"/>
                <w:color w:val="1A1A1A"/>
                <w:sz w:val="20"/>
                <w:szCs w:val="20"/>
                <w:vertAlign w:val="superscript"/>
                <w:lang w:eastAsia="hr-HR"/>
              </w:rPr>
              <w:t>4</w:t>
            </w:r>
          </w:p>
        </w:tc>
        <w:tc>
          <w:tcPr>
            <w:tcW w:w="1560" w:type="dxa"/>
            <w:tcBorders>
              <w:top w:val="nil"/>
              <w:left w:val="nil"/>
              <w:bottom w:val="single" w:sz="8" w:space="0" w:color="auto"/>
              <w:right w:val="single" w:sz="8" w:space="0" w:color="auto"/>
            </w:tcBorders>
            <w:shd w:val="clear" w:color="auto" w:fill="auto"/>
            <w:noWrap/>
            <w:vAlign w:val="center"/>
          </w:tcPr>
          <w:p w14:paraId="1CF6E185" w14:textId="77777777" w:rsidR="00D07378" w:rsidRDefault="00D07378" w:rsidP="00BA499D">
            <w:pPr>
              <w:jc w:val="center"/>
              <w:rPr>
                <w:rFonts w:ascii="Calibri" w:hAnsi="Calibri" w:cs="Calibri"/>
                <w:color w:val="000000"/>
                <w:sz w:val="20"/>
                <w:szCs w:val="20"/>
              </w:rPr>
            </w:pPr>
            <w:r>
              <w:rPr>
                <w:rFonts w:ascii="Calibri" w:hAnsi="Calibri" w:cs="Calibri"/>
                <w:color w:val="000000"/>
                <w:sz w:val="20"/>
                <w:szCs w:val="20"/>
              </w:rPr>
              <w:t>749</w:t>
            </w:r>
          </w:p>
        </w:tc>
        <w:tc>
          <w:tcPr>
            <w:tcW w:w="1647" w:type="dxa"/>
            <w:tcBorders>
              <w:top w:val="nil"/>
              <w:left w:val="nil"/>
              <w:bottom w:val="single" w:sz="8" w:space="0" w:color="auto"/>
              <w:right w:val="single" w:sz="8" w:space="0" w:color="auto"/>
            </w:tcBorders>
            <w:shd w:val="clear" w:color="auto" w:fill="auto"/>
            <w:noWrap/>
            <w:vAlign w:val="center"/>
          </w:tcPr>
          <w:p w14:paraId="4636647D" w14:textId="77777777" w:rsidR="00D07378" w:rsidRDefault="00D07378" w:rsidP="00BA499D">
            <w:pPr>
              <w:jc w:val="center"/>
              <w:rPr>
                <w:rFonts w:ascii="Calibri" w:hAnsi="Calibri" w:cs="Calibri"/>
                <w:color w:val="000000"/>
                <w:sz w:val="20"/>
                <w:szCs w:val="20"/>
              </w:rPr>
            </w:pPr>
            <w:r>
              <w:rPr>
                <w:rFonts w:ascii="Calibri" w:hAnsi="Calibri" w:cs="Calibri"/>
                <w:color w:val="000000"/>
                <w:sz w:val="20"/>
                <w:szCs w:val="20"/>
              </w:rPr>
              <w:t>713</w:t>
            </w:r>
          </w:p>
        </w:tc>
        <w:tc>
          <w:tcPr>
            <w:tcW w:w="1276" w:type="dxa"/>
            <w:tcBorders>
              <w:top w:val="nil"/>
              <w:left w:val="nil"/>
              <w:bottom w:val="single" w:sz="8" w:space="0" w:color="auto"/>
              <w:right w:val="single" w:sz="8" w:space="0" w:color="auto"/>
            </w:tcBorders>
            <w:shd w:val="clear" w:color="auto" w:fill="auto"/>
            <w:noWrap/>
            <w:vAlign w:val="center"/>
          </w:tcPr>
          <w:p w14:paraId="2FB9D997" w14:textId="77777777" w:rsidR="00D07378" w:rsidRDefault="00D07378" w:rsidP="00BA499D">
            <w:pPr>
              <w:jc w:val="center"/>
              <w:rPr>
                <w:rFonts w:ascii="Calibri" w:hAnsi="Calibri" w:cs="Calibri"/>
                <w:color w:val="000000"/>
                <w:sz w:val="20"/>
                <w:szCs w:val="20"/>
              </w:rPr>
            </w:pPr>
            <w:r>
              <w:rPr>
                <w:rFonts w:ascii="Calibri" w:hAnsi="Calibri" w:cs="Calibri"/>
                <w:color w:val="000000"/>
                <w:sz w:val="20"/>
                <w:szCs w:val="20"/>
              </w:rPr>
              <w:t>95%</w:t>
            </w:r>
          </w:p>
        </w:tc>
      </w:tr>
      <w:tr w:rsidR="00D07378" w:rsidRPr="003B2BDF" w14:paraId="14CDEF38" w14:textId="77777777" w:rsidTr="00BA499D">
        <w:trPr>
          <w:trHeight w:val="142"/>
        </w:trPr>
        <w:tc>
          <w:tcPr>
            <w:tcW w:w="4526"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F447CFA" w14:textId="77777777" w:rsidR="00D07378" w:rsidRPr="003B2BDF" w:rsidRDefault="00D07378" w:rsidP="00BA499D">
            <w:pPr>
              <w:rPr>
                <w:rFonts w:ascii="Calibri" w:eastAsia="Times New Roman" w:hAnsi="Calibri" w:cs="Calibri"/>
                <w:color w:val="000000"/>
                <w:sz w:val="20"/>
                <w:szCs w:val="20"/>
                <w:lang w:eastAsia="hr-HR"/>
              </w:rPr>
            </w:pPr>
            <w:r w:rsidRPr="003B2BDF">
              <w:rPr>
                <w:rFonts w:ascii="Calibri" w:eastAsia="Times New Roman" w:hAnsi="Calibri" w:cs="Calibri"/>
                <w:color w:val="000000"/>
                <w:sz w:val="20"/>
                <w:szCs w:val="20"/>
                <w:lang w:eastAsia="hr-HR"/>
              </w:rPr>
              <w:t xml:space="preserve">Nacionalni poslovi </w:t>
            </w:r>
          </w:p>
        </w:tc>
        <w:tc>
          <w:tcPr>
            <w:tcW w:w="1560" w:type="dxa"/>
            <w:tcBorders>
              <w:top w:val="nil"/>
              <w:left w:val="nil"/>
              <w:bottom w:val="single" w:sz="8" w:space="0" w:color="auto"/>
              <w:right w:val="single" w:sz="8" w:space="0" w:color="auto"/>
            </w:tcBorders>
            <w:shd w:val="clear" w:color="auto" w:fill="auto"/>
            <w:noWrap/>
            <w:vAlign w:val="center"/>
          </w:tcPr>
          <w:p w14:paraId="117B4F7A" w14:textId="77777777" w:rsidR="00D07378" w:rsidRDefault="00D07378" w:rsidP="00BA499D">
            <w:pPr>
              <w:jc w:val="center"/>
              <w:rPr>
                <w:rFonts w:ascii="Calibri" w:hAnsi="Calibri" w:cs="Calibri"/>
                <w:color w:val="000000"/>
                <w:sz w:val="20"/>
                <w:szCs w:val="20"/>
              </w:rPr>
            </w:pPr>
            <w:r>
              <w:rPr>
                <w:rFonts w:ascii="Calibri" w:hAnsi="Calibri" w:cs="Calibri"/>
                <w:color w:val="000000"/>
                <w:sz w:val="20"/>
                <w:szCs w:val="20"/>
              </w:rPr>
              <w:t>25.023</w:t>
            </w:r>
          </w:p>
        </w:tc>
        <w:tc>
          <w:tcPr>
            <w:tcW w:w="1647" w:type="dxa"/>
            <w:tcBorders>
              <w:top w:val="nil"/>
              <w:left w:val="nil"/>
              <w:bottom w:val="single" w:sz="8" w:space="0" w:color="auto"/>
              <w:right w:val="single" w:sz="8" w:space="0" w:color="auto"/>
            </w:tcBorders>
            <w:shd w:val="clear" w:color="auto" w:fill="auto"/>
            <w:noWrap/>
            <w:vAlign w:val="center"/>
          </w:tcPr>
          <w:p w14:paraId="42A4A7D4" w14:textId="77777777" w:rsidR="00D07378" w:rsidRDefault="00D07378" w:rsidP="00BA499D">
            <w:pPr>
              <w:jc w:val="center"/>
              <w:rPr>
                <w:rFonts w:ascii="Calibri" w:hAnsi="Calibri" w:cs="Calibri"/>
                <w:color w:val="000000"/>
                <w:sz w:val="20"/>
                <w:szCs w:val="20"/>
              </w:rPr>
            </w:pPr>
            <w:r>
              <w:rPr>
                <w:rFonts w:ascii="Calibri" w:hAnsi="Calibri" w:cs="Calibri"/>
                <w:color w:val="000000"/>
                <w:sz w:val="20"/>
                <w:szCs w:val="20"/>
              </w:rPr>
              <w:t>25.174</w:t>
            </w:r>
          </w:p>
        </w:tc>
        <w:tc>
          <w:tcPr>
            <w:tcW w:w="1276" w:type="dxa"/>
            <w:tcBorders>
              <w:top w:val="nil"/>
              <w:left w:val="nil"/>
              <w:bottom w:val="single" w:sz="8" w:space="0" w:color="auto"/>
              <w:right w:val="single" w:sz="8" w:space="0" w:color="auto"/>
            </w:tcBorders>
            <w:shd w:val="clear" w:color="auto" w:fill="auto"/>
            <w:noWrap/>
            <w:vAlign w:val="center"/>
          </w:tcPr>
          <w:p w14:paraId="41C745CF" w14:textId="77777777" w:rsidR="00D07378" w:rsidRDefault="00D07378" w:rsidP="00BA499D">
            <w:pPr>
              <w:jc w:val="center"/>
              <w:rPr>
                <w:rFonts w:ascii="Calibri" w:hAnsi="Calibri" w:cs="Calibri"/>
                <w:color w:val="000000"/>
                <w:sz w:val="20"/>
                <w:szCs w:val="20"/>
              </w:rPr>
            </w:pPr>
            <w:r>
              <w:rPr>
                <w:rFonts w:ascii="Calibri" w:hAnsi="Calibri" w:cs="Calibri"/>
                <w:color w:val="000000"/>
                <w:sz w:val="20"/>
                <w:szCs w:val="20"/>
              </w:rPr>
              <w:t>101%</w:t>
            </w:r>
          </w:p>
        </w:tc>
      </w:tr>
    </w:tbl>
    <w:p w14:paraId="3B5EE2BA" w14:textId="77777777" w:rsidR="00D07378" w:rsidRDefault="00D07378" w:rsidP="00D07378">
      <w:pPr>
        <w:pStyle w:val="NoSpacing"/>
        <w:rPr>
          <w:sz w:val="18"/>
          <w:szCs w:val="18"/>
        </w:rPr>
      </w:pPr>
      <w:r>
        <w:rPr>
          <w:rFonts w:eastAsia="Times New Roman"/>
          <w:iCs/>
          <w:color w:val="1A1A1A"/>
          <w:vertAlign w:val="superscript"/>
          <w:lang w:eastAsia="hr-HR"/>
        </w:rPr>
        <w:t>1</w:t>
      </w:r>
      <w:r>
        <w:rPr>
          <w:rFonts w:eastAsia="Times New Roman"/>
          <w:iCs/>
          <w:color w:val="1A1A1A"/>
          <w:lang w:eastAsia="hr-HR"/>
        </w:rPr>
        <w:t xml:space="preserve"> </w:t>
      </w:r>
      <w:r w:rsidRPr="00570AE5">
        <w:rPr>
          <w:rFonts w:eastAsia="Times New Roman" w:cstheme="minorHAnsi"/>
          <w:iCs/>
          <w:color w:val="1A1A1A"/>
          <w:sz w:val="18"/>
          <w:szCs w:val="18"/>
          <w:lang w:eastAsia="hr-HR"/>
        </w:rPr>
        <w:t>nacionalni poslovi</w:t>
      </w:r>
      <w:r>
        <w:rPr>
          <w:rFonts w:eastAsia="Times New Roman"/>
          <w:iCs/>
          <w:color w:val="1A1A1A"/>
          <w:sz w:val="18"/>
          <w:szCs w:val="18"/>
          <w:lang w:eastAsia="hr-HR"/>
        </w:rPr>
        <w:t xml:space="preserve"> </w:t>
      </w:r>
    </w:p>
    <w:p w14:paraId="422CD9EE" w14:textId="77777777" w:rsidR="00D07378" w:rsidRDefault="00D07378" w:rsidP="00D07378">
      <w:pPr>
        <w:spacing w:after="240"/>
        <w:contextualSpacing/>
        <w:rPr>
          <w:sz w:val="18"/>
          <w:szCs w:val="18"/>
        </w:rPr>
      </w:pPr>
      <w:r>
        <w:rPr>
          <w:rFonts w:eastAsia="Times New Roman" w:cs="Times New Roman"/>
          <w:iCs/>
          <w:color w:val="1A1A1A"/>
          <w:vertAlign w:val="superscript"/>
          <w:lang w:eastAsia="hr-HR"/>
        </w:rPr>
        <w:t>2</w:t>
      </w:r>
      <w:r>
        <w:rPr>
          <w:sz w:val="18"/>
          <w:szCs w:val="18"/>
        </w:rPr>
        <w:t xml:space="preserve"> europski poslovi </w:t>
      </w:r>
    </w:p>
    <w:p w14:paraId="4DB14991" w14:textId="77777777" w:rsidR="00D07378" w:rsidRDefault="00D07378" w:rsidP="00D07378">
      <w:pPr>
        <w:spacing w:after="240"/>
        <w:contextualSpacing/>
        <w:rPr>
          <w:sz w:val="18"/>
          <w:szCs w:val="18"/>
        </w:rPr>
      </w:pPr>
      <w:r>
        <w:rPr>
          <w:rFonts w:eastAsia="Times New Roman" w:cs="Times New Roman"/>
          <w:iCs/>
          <w:color w:val="1A1A1A"/>
          <w:vertAlign w:val="superscript"/>
          <w:lang w:eastAsia="hr-HR"/>
        </w:rPr>
        <w:t xml:space="preserve">3 </w:t>
      </w:r>
      <w:r>
        <w:rPr>
          <w:sz w:val="18"/>
          <w:szCs w:val="18"/>
        </w:rPr>
        <w:t xml:space="preserve">stavkom su obuhvaćeni nacionalni i europski poslovi </w:t>
      </w:r>
    </w:p>
    <w:p w14:paraId="25600BCE" w14:textId="77777777" w:rsidR="00D07378" w:rsidRDefault="00D07378" w:rsidP="00D07378">
      <w:pPr>
        <w:spacing w:after="240"/>
        <w:contextualSpacing/>
      </w:pPr>
      <w:r>
        <w:rPr>
          <w:rFonts w:eastAsia="Times New Roman" w:cs="Times New Roman"/>
          <w:iCs/>
          <w:color w:val="1A1A1A"/>
          <w:vertAlign w:val="superscript"/>
          <w:lang w:eastAsia="hr-HR"/>
        </w:rPr>
        <w:t xml:space="preserve">4 </w:t>
      </w:r>
      <w:r>
        <w:rPr>
          <w:sz w:val="18"/>
          <w:szCs w:val="18"/>
        </w:rPr>
        <w:t>RMS, CHMP, PRAC, SAWP, GMP, EDQM (Privitak X)</w:t>
      </w:r>
    </w:p>
    <w:p w14:paraId="07F77725" w14:textId="5D6C675E" w:rsidR="00D07378" w:rsidRDefault="00D07378">
      <w:pPr>
        <w:rPr>
          <w:rFonts w:ascii="Calibri" w:hAnsi="Calibri" w:cs="Calibri"/>
        </w:rPr>
      </w:pPr>
      <w:r>
        <w:rPr>
          <w:rFonts w:ascii="Calibri" w:hAnsi="Calibri" w:cs="Calibri"/>
        </w:rPr>
        <w:br w:type="page"/>
      </w:r>
    </w:p>
    <w:p w14:paraId="4F2C5DFD" w14:textId="77777777" w:rsidR="00D07378" w:rsidRDefault="00D07378" w:rsidP="00D07378">
      <w:pPr>
        <w:pStyle w:val="Heading2"/>
      </w:pPr>
      <w:bookmarkStart w:id="64" w:name="_Toc165035438"/>
      <w:r w:rsidRPr="00A82905">
        <w:lastRenderedPageBreak/>
        <w:t xml:space="preserve">2.1. </w:t>
      </w:r>
      <w:r w:rsidRPr="00A82905">
        <w:rPr>
          <w:rStyle w:val="Heading2Char"/>
        </w:rPr>
        <w:t>Stavljanje lijeka u promet</w:t>
      </w:r>
      <w:bookmarkEnd w:id="64"/>
      <w:r w:rsidRPr="00A82905">
        <w:t xml:space="preserve"> </w:t>
      </w:r>
    </w:p>
    <w:p w14:paraId="741EA253" w14:textId="77777777" w:rsidR="00D07378" w:rsidRPr="00527144" w:rsidRDefault="00D07378" w:rsidP="00D07378">
      <w:pPr>
        <w:spacing w:line="276" w:lineRule="auto"/>
        <w:jc w:val="both"/>
      </w:pPr>
      <w:r>
        <w:br/>
      </w:r>
      <w:r w:rsidRPr="00527144">
        <w:t xml:space="preserve">U skladu s odredbama Zakona o lijekovima i pravilnicima donesenim na temelju Zakona, HALMED daje odobrenje za stavljanje lijeka u promet u Republici Hrvatskoj, odobrenje za obnovu odobrenja kao i odobrenje za sve izmjene odobrenja za stavljanje lijeka u promet u nacionalnom postupku te zajedničkim europskim postupcima; postupku međusobnog priznavanja </w:t>
      </w:r>
      <w:r w:rsidRPr="00527144">
        <w:rPr>
          <w:rFonts w:cs="Times New Roman"/>
          <w:color w:val="000000"/>
          <w:lang w:eastAsia="hr-HR"/>
        </w:rPr>
        <w:t>(</w:t>
      </w:r>
      <w:r w:rsidRPr="00527144">
        <w:rPr>
          <w:rStyle w:val="Emphasis"/>
          <w:rFonts w:cs="Arial"/>
        </w:rPr>
        <w:t>Mutual Recognition Procedure</w:t>
      </w:r>
      <w:r w:rsidRPr="00527144">
        <w:rPr>
          <w:rFonts w:cs="Times New Roman"/>
          <w:i/>
          <w:color w:val="000000"/>
          <w:lang w:eastAsia="hr-HR"/>
        </w:rPr>
        <w:t xml:space="preserve">, </w:t>
      </w:r>
      <w:r w:rsidRPr="00527144">
        <w:rPr>
          <w:rFonts w:cs="Times New Roman"/>
          <w:color w:val="000000"/>
          <w:lang w:eastAsia="hr-HR"/>
        </w:rPr>
        <w:t xml:space="preserve">MRP) </w:t>
      </w:r>
      <w:r w:rsidRPr="00527144">
        <w:t xml:space="preserve">i decentraliziranom postupku </w:t>
      </w:r>
      <w:r w:rsidRPr="00527144">
        <w:rPr>
          <w:rFonts w:cs="Times New Roman"/>
          <w:color w:val="000000"/>
          <w:lang w:eastAsia="hr-HR"/>
        </w:rPr>
        <w:t>(</w:t>
      </w:r>
      <w:r w:rsidRPr="00527144">
        <w:rPr>
          <w:rStyle w:val="kurziv"/>
          <w:i/>
        </w:rPr>
        <w:t>Decentralised Procedure</w:t>
      </w:r>
      <w:r w:rsidRPr="00527144">
        <w:rPr>
          <w:rStyle w:val="kurziv"/>
        </w:rPr>
        <w:t>,</w:t>
      </w:r>
      <w:r w:rsidRPr="00527144">
        <w:rPr>
          <w:rFonts w:cs="Times New Roman"/>
          <w:color w:val="000000"/>
          <w:lang w:eastAsia="hr-HR"/>
        </w:rPr>
        <w:t xml:space="preserve"> DCP)</w:t>
      </w:r>
      <w:r w:rsidRPr="00527144">
        <w:t>.</w:t>
      </w:r>
    </w:p>
    <w:p w14:paraId="56464E2D" w14:textId="77777777" w:rsidR="00D07378" w:rsidRPr="00527144" w:rsidRDefault="00D07378" w:rsidP="00D07378">
      <w:pPr>
        <w:spacing w:line="276" w:lineRule="auto"/>
        <w:jc w:val="both"/>
      </w:pPr>
    </w:p>
    <w:p w14:paraId="6231F048" w14:textId="77777777" w:rsidR="00D07378" w:rsidRPr="00527144" w:rsidRDefault="00D07378" w:rsidP="00D07378">
      <w:pPr>
        <w:pStyle w:val="FootnoteText"/>
        <w:spacing w:line="276" w:lineRule="auto"/>
        <w:jc w:val="both"/>
        <w:rPr>
          <w:rFonts w:eastAsia="Times New Roman" w:cstheme="minorHAnsi"/>
          <w:bCs/>
          <w:color w:val="000000"/>
          <w:sz w:val="22"/>
          <w:szCs w:val="22"/>
          <w:lang w:eastAsia="hr-HR"/>
        </w:rPr>
      </w:pPr>
      <w:r w:rsidRPr="00527144">
        <w:rPr>
          <w:rFonts w:eastAsia="Times New Roman" w:cstheme="minorHAnsi"/>
          <w:bCs/>
          <w:color w:val="000000"/>
          <w:sz w:val="22"/>
          <w:szCs w:val="22"/>
          <w:lang w:eastAsia="hr-HR"/>
        </w:rPr>
        <w:t xml:space="preserve">Centralizirani postupak vodi Europska agencija za lijekove (EMA), a </w:t>
      </w:r>
      <w:r w:rsidRPr="00527144">
        <w:rPr>
          <w:rFonts w:eastAsia="Times New Roman" w:cstheme="minorHAnsi"/>
          <w:bCs/>
          <w:sz w:val="22"/>
          <w:szCs w:val="22"/>
          <w:lang w:eastAsia="hr-HR"/>
        </w:rPr>
        <w:t xml:space="preserve">primjenjuje se za inovativne i posebne skupine lijekova. Po završetku postupka </w:t>
      </w:r>
      <w:r w:rsidRPr="00527144">
        <w:rPr>
          <w:rFonts w:eastAsia="Times New Roman" w:cstheme="minorHAnsi"/>
          <w:bCs/>
          <w:color w:val="000000"/>
          <w:sz w:val="22"/>
          <w:szCs w:val="22"/>
          <w:lang w:eastAsia="hr-HR"/>
        </w:rPr>
        <w:t xml:space="preserve">odobrenje za stavljanje lijeka u promet i informacije o lijeku daje </w:t>
      </w:r>
      <w:r w:rsidRPr="00527144">
        <w:rPr>
          <w:color w:val="000000"/>
          <w:sz w:val="22"/>
          <w:szCs w:val="22"/>
          <w:lang w:eastAsia="hr-HR"/>
        </w:rPr>
        <w:t>EK</w:t>
      </w:r>
      <w:r w:rsidRPr="00527144" w:rsidDel="0031040A">
        <w:rPr>
          <w:rFonts w:eastAsia="Times New Roman" w:cstheme="minorHAnsi"/>
          <w:bCs/>
          <w:color w:val="000000"/>
          <w:sz w:val="22"/>
          <w:szCs w:val="22"/>
          <w:lang w:eastAsia="hr-HR"/>
        </w:rPr>
        <w:t xml:space="preserve"> </w:t>
      </w:r>
      <w:r w:rsidRPr="00527144">
        <w:rPr>
          <w:rFonts w:eastAsia="Times New Roman" w:cstheme="minorHAnsi"/>
          <w:bCs/>
          <w:color w:val="000000"/>
          <w:sz w:val="22"/>
          <w:szCs w:val="22"/>
          <w:lang w:eastAsia="hr-HR"/>
        </w:rPr>
        <w:t xml:space="preserve">i vrijedi za cijelo područje EU-a, </w:t>
      </w:r>
      <w:r w:rsidRPr="00527144">
        <w:rPr>
          <w:sz w:val="22"/>
          <w:szCs w:val="22"/>
        </w:rPr>
        <w:t xml:space="preserve">u </w:t>
      </w:r>
      <w:r w:rsidRPr="00527144">
        <w:rPr>
          <w:rFonts w:eastAsia="Times New Roman" w:cstheme="minorHAnsi"/>
          <w:bCs/>
          <w:color w:val="000000"/>
          <w:sz w:val="22"/>
          <w:szCs w:val="22"/>
          <w:lang w:eastAsia="hr-HR"/>
        </w:rPr>
        <w:t>skladu s odredbama Uredbe (EZ) broj 726/2004.</w:t>
      </w:r>
    </w:p>
    <w:p w14:paraId="30DBF57D" w14:textId="77777777" w:rsidR="00D07378" w:rsidRPr="00527144" w:rsidRDefault="00D07378" w:rsidP="00D07378">
      <w:pPr>
        <w:spacing w:line="276" w:lineRule="auto"/>
        <w:jc w:val="both"/>
        <w:rPr>
          <w:rFonts w:cs="Times New Roman"/>
          <w:color w:val="000000"/>
          <w:lang w:eastAsia="hr-HR"/>
        </w:rPr>
      </w:pPr>
    </w:p>
    <w:p w14:paraId="01659581" w14:textId="77777777" w:rsidR="00D07378" w:rsidRPr="009026A6" w:rsidRDefault="00D07378" w:rsidP="00D07378">
      <w:pPr>
        <w:spacing w:line="276" w:lineRule="auto"/>
        <w:jc w:val="both"/>
        <w:rPr>
          <w:rFonts w:eastAsia="Times New Roman" w:cstheme="minorHAnsi"/>
          <w:bCs/>
          <w:lang w:eastAsia="hr-HR"/>
        </w:rPr>
      </w:pPr>
      <w:r w:rsidRPr="00527144">
        <w:rPr>
          <w:rFonts w:eastAsia="Times New Roman" w:cstheme="minorHAnsi"/>
          <w:color w:val="000000"/>
        </w:rPr>
        <w:t xml:space="preserve">Podaci o odobrenjima za stavljanje lijeka u promet u Republici Hrvatskoj objavljuju se na </w:t>
      </w:r>
      <w:r>
        <w:rPr>
          <w:rFonts w:eastAsia="Times New Roman" w:cstheme="minorHAnsi"/>
          <w:color w:val="000000"/>
        </w:rPr>
        <w:t>internetskim</w:t>
      </w:r>
      <w:r w:rsidRPr="00527144">
        <w:rPr>
          <w:rFonts w:eastAsia="Times New Roman" w:cstheme="minorHAnsi"/>
          <w:color w:val="000000"/>
        </w:rPr>
        <w:t xml:space="preserve"> stranicama</w:t>
      </w:r>
      <w:r w:rsidRPr="00527144">
        <w:t xml:space="preserve"> </w:t>
      </w:r>
      <w:hyperlink r:id="rId27" w:history="1">
        <w:r w:rsidRPr="00136B03">
          <w:rPr>
            <w:rStyle w:val="Hyperlink"/>
            <w:rFonts w:eastAsia="Times New Roman"/>
            <w:color w:val="auto"/>
            <w:u w:val="none"/>
            <w:lang w:eastAsia="hr-HR"/>
          </w:rPr>
          <w:t>http://halmed.hr/Lijekovi/Baza-lijekova/</w:t>
        </w:r>
      </w:hyperlink>
      <w:r w:rsidRPr="009026A6">
        <w:rPr>
          <w:rFonts w:eastAsia="Times New Roman" w:cstheme="minorHAnsi"/>
          <w:bCs/>
          <w:lang w:eastAsia="hr-HR"/>
        </w:rPr>
        <w:t>.</w:t>
      </w:r>
    </w:p>
    <w:p w14:paraId="31252837" w14:textId="77777777" w:rsidR="00D07378" w:rsidRPr="003607DE" w:rsidRDefault="00D07378" w:rsidP="00D07378">
      <w:pPr>
        <w:pStyle w:val="Heading3"/>
        <w:rPr>
          <w:b/>
        </w:rPr>
      </w:pPr>
      <w:bookmarkStart w:id="65" w:name="_Toc26534619"/>
      <w:bookmarkStart w:id="66" w:name="_Toc165035439"/>
      <w:r w:rsidRPr="003607DE">
        <w:t>2.1.1. Davanje odobrenja za stavljanje lijeka u promet</w:t>
      </w:r>
      <w:bookmarkEnd w:id="65"/>
      <w:bookmarkEnd w:id="66"/>
      <w:r w:rsidRPr="003607DE">
        <w:t xml:space="preserve"> </w:t>
      </w:r>
    </w:p>
    <w:p w14:paraId="7984A237" w14:textId="77777777" w:rsidR="00D07378" w:rsidRPr="00527144" w:rsidRDefault="00D07378" w:rsidP="00D07378">
      <w:pPr>
        <w:spacing w:line="276" w:lineRule="auto"/>
        <w:jc w:val="both"/>
        <w:rPr>
          <w:rFonts w:cs="Times New Roman"/>
          <w:color w:val="000000"/>
          <w:lang w:eastAsia="hr-HR"/>
        </w:rPr>
      </w:pPr>
      <w:r w:rsidRPr="00527144">
        <w:rPr>
          <w:rStyle w:val="tlid-translation"/>
        </w:rPr>
        <w:t xml:space="preserve">Na davanje odobrenja za stavljanje lijeka u promet u EU </w:t>
      </w:r>
      <w:r w:rsidRPr="00527144">
        <w:rPr>
          <w:rFonts w:eastAsia="Times New Roman" w:cstheme="minorHAnsi"/>
          <w:bCs/>
          <w:color w:val="000000"/>
          <w:lang w:eastAsia="hr-HR"/>
        </w:rPr>
        <w:t xml:space="preserve">primjenjuju se nacionalni postupak, zajednički europski postupci </w:t>
      </w:r>
      <w:r w:rsidRPr="00527144">
        <w:rPr>
          <w:rFonts w:cs="Times New Roman"/>
          <w:color w:val="000000"/>
          <w:lang w:eastAsia="hr-HR"/>
        </w:rPr>
        <w:t xml:space="preserve">MRP i DCP te centralizirani postupak. </w:t>
      </w:r>
    </w:p>
    <w:p w14:paraId="70501452" w14:textId="77777777" w:rsidR="00D07378" w:rsidRPr="00527144" w:rsidRDefault="00D07378" w:rsidP="00D07378">
      <w:pPr>
        <w:spacing w:line="276" w:lineRule="auto"/>
        <w:jc w:val="both"/>
        <w:rPr>
          <w:rFonts w:cs="Times New Roman"/>
          <w:color w:val="000000"/>
          <w:lang w:eastAsia="hr-HR"/>
        </w:rPr>
      </w:pPr>
    </w:p>
    <w:p w14:paraId="4B288B72" w14:textId="77777777" w:rsidR="00D07378" w:rsidRPr="00527144" w:rsidRDefault="00D07378" w:rsidP="00D07378">
      <w:pPr>
        <w:spacing w:line="276" w:lineRule="auto"/>
        <w:jc w:val="both"/>
        <w:rPr>
          <w:rFonts w:cs="Times New Roman"/>
          <w:color w:val="000000"/>
          <w:lang w:eastAsia="hr-HR"/>
        </w:rPr>
      </w:pPr>
      <w:r w:rsidRPr="00527144">
        <w:rPr>
          <w:rFonts w:cs="Times New Roman"/>
          <w:color w:val="000000"/>
          <w:lang w:eastAsia="hr-HR"/>
        </w:rPr>
        <w:t>Na dobivanje odobrenja za stavljanje u promet lijeka samo u jednoj državi članici primjenjuje se nacionalni postupak. Podnositelj zahtjeva podnosi zahtjev za davanje odobrenja u državi članici u kojoj namjerava staviti lijek u promet.</w:t>
      </w:r>
    </w:p>
    <w:p w14:paraId="6D7A5F6A" w14:textId="77777777" w:rsidR="00D07378" w:rsidRPr="00527144" w:rsidRDefault="00D07378" w:rsidP="00D07378">
      <w:pPr>
        <w:spacing w:line="276" w:lineRule="auto"/>
        <w:jc w:val="both"/>
        <w:rPr>
          <w:rFonts w:cs="Times New Roman"/>
          <w:color w:val="000000"/>
          <w:lang w:eastAsia="hr-HR"/>
        </w:rPr>
      </w:pPr>
    </w:p>
    <w:p w14:paraId="0AAB5EE5" w14:textId="77777777" w:rsidR="00D07378" w:rsidRPr="00801A8D" w:rsidRDefault="00D07378" w:rsidP="00D07378">
      <w:pPr>
        <w:spacing w:line="276" w:lineRule="auto"/>
        <w:jc w:val="both"/>
      </w:pPr>
      <w:r w:rsidRPr="00527144">
        <w:t xml:space="preserve">Radi dobivanja odobrenja za stavljanje lijeka u promet u više od jedne države članice primjenjuju se zajednički europski postupci MRP i DCP. Podnositelj zahtjeva obvezan je na temelju istovjetne dokumentacije o lijeku podnijeti zahtjev državama članicama i zatražiti od jedne države da bude „referentna država članica” </w:t>
      </w:r>
      <w:r w:rsidRPr="00801A8D">
        <w:rPr>
          <w:rFonts w:eastAsia="Times New Roman" w:cstheme="minorHAnsi"/>
          <w:bCs/>
          <w:color w:val="000000"/>
          <w:lang w:eastAsia="hr-HR"/>
        </w:rPr>
        <w:t>(</w:t>
      </w:r>
      <w:r w:rsidRPr="00C55899">
        <w:rPr>
          <w:rFonts w:cs="Arial"/>
          <w:bCs/>
          <w:i/>
          <w:shd w:val="clear" w:color="auto" w:fill="FFFFFF"/>
        </w:rPr>
        <w:t>Reference Member State</w:t>
      </w:r>
      <w:r w:rsidRPr="00801A8D">
        <w:rPr>
          <w:rFonts w:cs="Arial"/>
          <w:bCs/>
          <w:shd w:val="clear" w:color="auto" w:fill="FFFFFF"/>
        </w:rPr>
        <w:t>,</w:t>
      </w:r>
      <w:r w:rsidRPr="00801A8D">
        <w:rPr>
          <w:rFonts w:eastAsia="Times New Roman" w:cstheme="minorHAnsi"/>
          <w:bCs/>
          <w:color w:val="000000"/>
          <w:lang w:eastAsia="hr-HR"/>
        </w:rPr>
        <w:t xml:space="preserve"> RMS) </w:t>
      </w:r>
      <w:r w:rsidRPr="00801A8D">
        <w:t xml:space="preserve">te da pripremi izvješće o ocjeni dokumentacije o lijeka. </w:t>
      </w:r>
      <w:r w:rsidRPr="00801A8D">
        <w:rPr>
          <w:rFonts w:eastAsia="Times New Roman" w:cstheme="minorHAnsi"/>
          <w:bCs/>
          <w:color w:val="000000"/>
          <w:lang w:eastAsia="hr-HR"/>
        </w:rPr>
        <w:t>Po završetku postupka, svaka država sudionica (</w:t>
      </w:r>
      <w:r w:rsidRPr="00C55899">
        <w:rPr>
          <w:rFonts w:cs="Arial"/>
          <w:i/>
          <w:shd w:val="clear" w:color="auto" w:fill="FFFFFF"/>
        </w:rPr>
        <w:t>Concerned Member State</w:t>
      </w:r>
      <w:r w:rsidRPr="00801A8D">
        <w:rPr>
          <w:rFonts w:cs="Arial"/>
          <w:shd w:val="clear" w:color="auto" w:fill="FFFFFF"/>
        </w:rPr>
        <w:t>,</w:t>
      </w:r>
      <w:r w:rsidRPr="00801A8D">
        <w:rPr>
          <w:rFonts w:eastAsia="Times New Roman" w:cstheme="minorHAnsi"/>
          <w:bCs/>
          <w:color w:val="000000"/>
          <w:lang w:eastAsia="hr-HR"/>
        </w:rPr>
        <w:t xml:space="preserve"> CMS) u MRP/DCP postupku daje nacionalno odobrenje za lijek </w:t>
      </w:r>
      <w:r w:rsidRPr="00801A8D">
        <w:t xml:space="preserve">i informacije o lijeku (sažetak opisa svojstava lijeka, uputu o lijeku, označivanje) na službenom jeziku države članice. </w:t>
      </w:r>
    </w:p>
    <w:p w14:paraId="6B64348E" w14:textId="77777777" w:rsidR="00D07378" w:rsidRPr="00801A8D" w:rsidRDefault="00D07378" w:rsidP="00D07378">
      <w:pPr>
        <w:spacing w:line="276" w:lineRule="auto"/>
        <w:jc w:val="both"/>
        <w:rPr>
          <w:rFonts w:cs="Times New Roman"/>
          <w:color w:val="000000"/>
          <w:lang w:eastAsia="hr-HR"/>
        </w:rPr>
      </w:pPr>
    </w:p>
    <w:p w14:paraId="7E4122B8" w14:textId="77777777" w:rsidR="00D07378" w:rsidRPr="00801A8D" w:rsidRDefault="00D07378" w:rsidP="00D07378">
      <w:pPr>
        <w:pStyle w:val="FootnoteText"/>
        <w:spacing w:line="276" w:lineRule="auto"/>
        <w:jc w:val="both"/>
        <w:rPr>
          <w:rStyle w:val="tlid-translation"/>
          <w:sz w:val="22"/>
          <w:szCs w:val="22"/>
        </w:rPr>
      </w:pPr>
      <w:r w:rsidRPr="00801A8D">
        <w:rPr>
          <w:rStyle w:val="tlid-translation"/>
          <w:sz w:val="22"/>
          <w:szCs w:val="22"/>
        </w:rPr>
        <w:t>HALMED je odgovoran za davanje odobrenja za stavljanje u promet lijekova koji se stavljaju na tržište Republike Hrvatske nacionalnim te zajedničkim europskim postupcima MRP i DCP.</w:t>
      </w:r>
    </w:p>
    <w:p w14:paraId="23DDE5DB" w14:textId="77777777" w:rsidR="00D07378" w:rsidRPr="00801A8D" w:rsidRDefault="00D07378" w:rsidP="00D07378">
      <w:pPr>
        <w:pStyle w:val="FootnoteText"/>
        <w:spacing w:line="276" w:lineRule="auto"/>
        <w:jc w:val="both"/>
        <w:rPr>
          <w:rStyle w:val="tlid-translation"/>
          <w:sz w:val="22"/>
          <w:szCs w:val="22"/>
        </w:rPr>
      </w:pPr>
    </w:p>
    <w:p w14:paraId="12C7C386" w14:textId="77777777" w:rsidR="00D07378" w:rsidRDefault="00D07378" w:rsidP="00D07378">
      <w:pPr>
        <w:tabs>
          <w:tab w:val="left" w:pos="2300"/>
        </w:tabs>
        <w:spacing w:line="276" w:lineRule="auto"/>
        <w:jc w:val="both"/>
      </w:pPr>
      <w:r w:rsidRPr="004B5F35">
        <w:t xml:space="preserve">U izvještajnom razdoblju, HALMED je zaprimio </w:t>
      </w:r>
      <w:r>
        <w:t>1 MRP i 30</w:t>
      </w:r>
      <w:r w:rsidRPr="004B5F35">
        <w:t xml:space="preserve"> DCP postupaka u kojima je Republika Hrvatska referentna država članica za ocjenu dokumentacije o lijeku i vođenje postupka.</w:t>
      </w:r>
    </w:p>
    <w:p w14:paraId="14A4B1AA" w14:textId="77777777" w:rsidR="00D07378" w:rsidRDefault="00D07378" w:rsidP="00D07378">
      <w:pPr>
        <w:pStyle w:val="FootnoteText"/>
        <w:spacing w:line="276" w:lineRule="auto"/>
        <w:jc w:val="both"/>
        <w:rPr>
          <w:rStyle w:val="tlid-translation"/>
          <w:sz w:val="22"/>
          <w:szCs w:val="22"/>
        </w:rPr>
      </w:pPr>
    </w:p>
    <w:p w14:paraId="0D409343" w14:textId="77777777" w:rsidR="00D07378" w:rsidRPr="00801A8D" w:rsidRDefault="00D07378" w:rsidP="00D07378">
      <w:pPr>
        <w:tabs>
          <w:tab w:val="left" w:pos="2300"/>
        </w:tabs>
        <w:spacing w:line="276" w:lineRule="auto"/>
        <w:jc w:val="both"/>
      </w:pPr>
      <w:r w:rsidRPr="00801A8D">
        <w:rPr>
          <w:rFonts w:cstheme="minorHAnsi"/>
        </w:rPr>
        <w:t xml:space="preserve">Podaci o broju završenih davanja odobrenja za stavljanje lijeka u promet nacionalnim i MRP/DCP postupcima u </w:t>
      </w:r>
      <w:r>
        <w:rPr>
          <w:rFonts w:cstheme="minorHAnsi"/>
        </w:rPr>
        <w:t>izvještajnom</w:t>
      </w:r>
      <w:r w:rsidRPr="00801A8D">
        <w:rPr>
          <w:rFonts w:cstheme="minorHAnsi"/>
        </w:rPr>
        <w:t xml:space="preserve"> razdoblju prikazani su u </w:t>
      </w:r>
      <w:r w:rsidRPr="00801A8D">
        <w:t>Tablici 2.</w:t>
      </w:r>
    </w:p>
    <w:p w14:paraId="015E3647" w14:textId="77777777" w:rsidR="00D07378" w:rsidRPr="00801A8D" w:rsidRDefault="00D07378" w:rsidP="00D07378">
      <w:pPr>
        <w:pStyle w:val="FootnoteText"/>
        <w:spacing w:line="276" w:lineRule="auto"/>
        <w:jc w:val="both"/>
        <w:rPr>
          <w:rFonts w:eastAsia="Times New Roman" w:cstheme="minorHAnsi"/>
          <w:bCs/>
          <w:color w:val="000000"/>
          <w:sz w:val="22"/>
          <w:szCs w:val="22"/>
          <w:lang w:eastAsia="hr-HR"/>
        </w:rPr>
      </w:pPr>
    </w:p>
    <w:p w14:paraId="1654F978" w14:textId="77777777" w:rsidR="00D07378" w:rsidRDefault="00D07378" w:rsidP="00D07378">
      <w:pPr>
        <w:spacing w:line="276" w:lineRule="auto"/>
        <w:jc w:val="both"/>
      </w:pPr>
      <w:r w:rsidRPr="00801A8D">
        <w:t xml:space="preserve">U centraliziranim postupcima odobravanja lijekova, koje </w:t>
      </w:r>
      <w:r w:rsidRPr="00801A8D">
        <w:rPr>
          <w:rFonts w:eastAsia="Times New Roman" w:cstheme="minorHAnsi"/>
          <w:bCs/>
          <w:color w:val="000000"/>
          <w:lang w:eastAsia="hr-HR"/>
        </w:rPr>
        <w:t xml:space="preserve">vodi EMA, a odobrenje za stavljanje lijeka u promet daje </w:t>
      </w:r>
      <w:r w:rsidRPr="00801A8D">
        <w:rPr>
          <w:color w:val="000000"/>
          <w:lang w:eastAsia="hr-HR"/>
        </w:rPr>
        <w:t>EK</w:t>
      </w:r>
      <w:r w:rsidRPr="00801A8D">
        <w:rPr>
          <w:rFonts w:eastAsia="Times New Roman" w:cstheme="minorHAnsi"/>
          <w:bCs/>
          <w:color w:val="000000"/>
          <w:lang w:eastAsia="hr-HR"/>
        </w:rPr>
        <w:t xml:space="preserve">, </w:t>
      </w:r>
      <w:r w:rsidRPr="00801A8D">
        <w:t xml:space="preserve">HALMED se pri EMA-i natječe za ulogu </w:t>
      </w:r>
      <w:r>
        <w:t>izvjestitelja (</w:t>
      </w:r>
      <w:r w:rsidRPr="00801A8D">
        <w:t>ocjenitelja</w:t>
      </w:r>
      <w:r>
        <w:t>)</w:t>
      </w:r>
      <w:r w:rsidRPr="00801A8D">
        <w:t xml:space="preserve"> dokumentacije o lijeku.</w:t>
      </w:r>
    </w:p>
    <w:p w14:paraId="54F3227F" w14:textId="77777777" w:rsidR="00D07378" w:rsidRPr="00801A8D" w:rsidRDefault="00D07378" w:rsidP="00D07378">
      <w:pPr>
        <w:tabs>
          <w:tab w:val="left" w:pos="2300"/>
        </w:tabs>
        <w:spacing w:line="276" w:lineRule="auto"/>
        <w:jc w:val="both"/>
      </w:pPr>
      <w:r w:rsidRPr="00801A8D">
        <w:rPr>
          <w:rFonts w:cstheme="minorHAnsi"/>
        </w:rPr>
        <w:lastRenderedPageBreak/>
        <w:t xml:space="preserve">Podaci o sudjelovanju HALMED-a u centraliziranim postupcima davanja odobrenja opisani su u dijelu </w:t>
      </w:r>
      <w:r w:rsidRPr="00801A8D">
        <w:t xml:space="preserve">2.1.5.3. i u dijelu 2.2.12.1. </w:t>
      </w:r>
    </w:p>
    <w:p w14:paraId="0E7F466E" w14:textId="77777777" w:rsidR="00D07378" w:rsidRPr="00801A8D" w:rsidRDefault="00D07378" w:rsidP="00D07378">
      <w:pPr>
        <w:tabs>
          <w:tab w:val="left" w:pos="2300"/>
        </w:tabs>
        <w:spacing w:line="276" w:lineRule="auto"/>
        <w:jc w:val="both"/>
      </w:pPr>
    </w:p>
    <w:p w14:paraId="43BDB57D" w14:textId="77777777" w:rsidR="00D07378" w:rsidRPr="00801A8D" w:rsidRDefault="00D07378" w:rsidP="00D07378">
      <w:pPr>
        <w:spacing w:line="276" w:lineRule="auto"/>
        <w:jc w:val="both"/>
      </w:pPr>
      <w:r w:rsidRPr="00801A8D">
        <w:t xml:space="preserve">Podaci o broju završenih predmeta u centraliziranom postupku odobravanja lijekova u </w:t>
      </w:r>
      <w:r>
        <w:t>izvještajnom</w:t>
      </w:r>
      <w:r w:rsidRPr="00801A8D">
        <w:t xml:space="preserve"> razdoblju prikazani su u Tablici 1. (R.br. 1.5.).</w:t>
      </w:r>
    </w:p>
    <w:p w14:paraId="5FE859D8" w14:textId="77777777" w:rsidR="00D07378" w:rsidRPr="00801A8D" w:rsidRDefault="00D07378" w:rsidP="00D07378">
      <w:pPr>
        <w:pStyle w:val="Heading3"/>
      </w:pPr>
      <w:bookmarkStart w:id="67" w:name="_Toc26534620"/>
      <w:bookmarkStart w:id="68" w:name="_Toc165035440"/>
      <w:r w:rsidRPr="00801A8D">
        <w:t>2.1.2. Obnova odobrenja za stavljanje lijeka u promet</w:t>
      </w:r>
      <w:bookmarkEnd w:id="67"/>
      <w:bookmarkEnd w:id="68"/>
      <w:r w:rsidRPr="00801A8D">
        <w:t xml:space="preserve"> </w:t>
      </w:r>
    </w:p>
    <w:p w14:paraId="6FCBA0B6" w14:textId="77777777" w:rsidR="00D07378" w:rsidRPr="00801A8D" w:rsidRDefault="00D07378" w:rsidP="00D07378">
      <w:pPr>
        <w:tabs>
          <w:tab w:val="center" w:pos="858"/>
          <w:tab w:val="center" w:pos="4320"/>
          <w:tab w:val="right" w:pos="8306"/>
          <w:tab w:val="right" w:pos="8640"/>
        </w:tabs>
        <w:spacing w:line="276" w:lineRule="auto"/>
        <w:jc w:val="both"/>
        <w:rPr>
          <w:rFonts w:cs="Times New Roman"/>
        </w:rPr>
      </w:pPr>
      <w:r w:rsidRPr="00801A8D">
        <w:rPr>
          <w:rFonts w:cs="Times New Roman"/>
        </w:rPr>
        <w:t>Odobrenje za stavljanje lijeka u promet može se na temelju procjene rizika i koristi primjene lijeka obnoviti na sljedećih pet godina ili na neograničeno vrijeme.</w:t>
      </w:r>
    </w:p>
    <w:p w14:paraId="71E15FDF" w14:textId="77777777" w:rsidR="00D07378" w:rsidRPr="00801A8D" w:rsidRDefault="00D07378" w:rsidP="00D07378">
      <w:pPr>
        <w:tabs>
          <w:tab w:val="center" w:pos="858"/>
          <w:tab w:val="center" w:pos="4320"/>
          <w:tab w:val="right" w:pos="8306"/>
          <w:tab w:val="right" w:pos="8640"/>
        </w:tabs>
        <w:spacing w:line="276" w:lineRule="auto"/>
        <w:jc w:val="both"/>
        <w:rPr>
          <w:rFonts w:cs="Times New Roman"/>
        </w:rPr>
      </w:pPr>
    </w:p>
    <w:p w14:paraId="6E27F4A8" w14:textId="77777777" w:rsidR="00D07378" w:rsidRPr="00801A8D" w:rsidRDefault="00D07378" w:rsidP="00D07378">
      <w:pPr>
        <w:tabs>
          <w:tab w:val="left" w:pos="2300"/>
        </w:tabs>
        <w:spacing w:line="276" w:lineRule="auto"/>
        <w:jc w:val="both"/>
      </w:pPr>
      <w:r w:rsidRPr="00801A8D">
        <w:rPr>
          <w:rFonts w:cstheme="minorHAnsi"/>
        </w:rPr>
        <w:t xml:space="preserve">Podaci o </w:t>
      </w:r>
      <w:r w:rsidRPr="00801A8D">
        <w:t xml:space="preserve">broju završenih </w:t>
      </w:r>
      <w:r w:rsidRPr="00801A8D">
        <w:rPr>
          <w:rFonts w:cstheme="minorHAnsi"/>
        </w:rPr>
        <w:t xml:space="preserve">obnova odobrenja nacionalnim i MRP/DCP postupcima u </w:t>
      </w:r>
      <w:r>
        <w:rPr>
          <w:rFonts w:cstheme="minorHAnsi"/>
        </w:rPr>
        <w:t>izvještajnom</w:t>
      </w:r>
      <w:r w:rsidRPr="00801A8D">
        <w:rPr>
          <w:rFonts w:cstheme="minorHAnsi"/>
        </w:rPr>
        <w:t xml:space="preserve"> razdoblju prikazani su u </w:t>
      </w:r>
      <w:r w:rsidRPr="00801A8D">
        <w:t xml:space="preserve">Tablici 3. </w:t>
      </w:r>
    </w:p>
    <w:p w14:paraId="0DE1BA9C" w14:textId="77777777" w:rsidR="00D07378" w:rsidRPr="00801A8D" w:rsidRDefault="00D07378" w:rsidP="00D07378">
      <w:pPr>
        <w:pStyle w:val="Heading3"/>
      </w:pPr>
      <w:bookmarkStart w:id="69" w:name="_Toc26534621"/>
      <w:bookmarkStart w:id="70" w:name="_Toc165035441"/>
      <w:r w:rsidRPr="00801A8D">
        <w:t>2.1.3. Izmjena odobrenja za stavljanje lijeka u promet</w:t>
      </w:r>
      <w:bookmarkEnd w:id="69"/>
      <w:bookmarkEnd w:id="70"/>
      <w:r w:rsidRPr="00801A8D">
        <w:t xml:space="preserve"> </w:t>
      </w:r>
    </w:p>
    <w:p w14:paraId="27C0A39A" w14:textId="77777777" w:rsidR="00D07378" w:rsidRPr="00801A8D" w:rsidRDefault="00D07378" w:rsidP="00D07378">
      <w:pPr>
        <w:tabs>
          <w:tab w:val="left" w:pos="2300"/>
        </w:tabs>
        <w:spacing w:after="240"/>
        <w:jc w:val="both"/>
      </w:pPr>
      <w:r w:rsidRPr="00801A8D">
        <w:rPr>
          <w:rFonts w:cstheme="minorHAnsi"/>
        </w:rPr>
        <w:t xml:space="preserve">Podaci o </w:t>
      </w:r>
      <w:r w:rsidRPr="00801A8D">
        <w:t xml:space="preserve">broju završenih </w:t>
      </w:r>
      <w:r w:rsidRPr="00801A8D">
        <w:rPr>
          <w:rFonts w:cstheme="minorHAnsi"/>
        </w:rPr>
        <w:t xml:space="preserve">izmjena odobrenja nacionalnim i MRP/DCP postupcima u </w:t>
      </w:r>
      <w:r>
        <w:rPr>
          <w:rFonts w:cstheme="minorHAnsi"/>
        </w:rPr>
        <w:t>izvještajnom</w:t>
      </w:r>
      <w:r w:rsidRPr="00801A8D">
        <w:rPr>
          <w:rFonts w:cstheme="minorHAnsi"/>
        </w:rPr>
        <w:t xml:space="preserve"> razdoblju prikazani su u </w:t>
      </w:r>
      <w:r w:rsidRPr="00801A8D">
        <w:t xml:space="preserve">Tablici 4. </w:t>
      </w:r>
    </w:p>
    <w:p w14:paraId="245115E0" w14:textId="77777777" w:rsidR="00D07378" w:rsidRPr="00801A8D" w:rsidRDefault="00D07378" w:rsidP="00D07378">
      <w:pPr>
        <w:pStyle w:val="Heading3"/>
      </w:pPr>
      <w:bookmarkStart w:id="71" w:name="_Toc26534622"/>
      <w:bookmarkStart w:id="72" w:name="_Toc165035442"/>
      <w:r w:rsidRPr="00801A8D">
        <w:t xml:space="preserve">2.1.4. </w:t>
      </w:r>
      <w:bookmarkEnd w:id="71"/>
      <w:r w:rsidRPr="00801A8D">
        <w:t>Davanje znanstvenog savjeta pri EMA-i</w:t>
      </w:r>
      <w:bookmarkEnd w:id="72"/>
    </w:p>
    <w:p w14:paraId="55C0FE6D" w14:textId="7C6A9E18" w:rsidR="00D07378" w:rsidRPr="00801A8D" w:rsidRDefault="00D07378" w:rsidP="00D07378">
      <w:pPr>
        <w:spacing w:line="276" w:lineRule="auto"/>
        <w:jc w:val="both"/>
        <w:rPr>
          <w:bCs/>
        </w:rPr>
      </w:pPr>
      <w:r w:rsidRPr="00801A8D">
        <w:rPr>
          <w:bCs/>
        </w:rPr>
        <w:t xml:space="preserve">U </w:t>
      </w:r>
      <w:r>
        <w:rPr>
          <w:bCs/>
        </w:rPr>
        <w:t>izvještajnom</w:t>
      </w:r>
      <w:r w:rsidRPr="00801A8D">
        <w:rPr>
          <w:bCs/>
        </w:rPr>
        <w:t xml:space="preserve"> razdoblju, Hrvatska se natjecala za poslove pri </w:t>
      </w:r>
      <w:r w:rsidRPr="00801A8D">
        <w:t xml:space="preserve">Radnoj skupini za znanstveni savjet EMA-e </w:t>
      </w:r>
      <w:r w:rsidRPr="00136B03">
        <w:rPr>
          <w:rStyle w:val="Strong"/>
        </w:rPr>
        <w:t>(</w:t>
      </w:r>
      <w:r w:rsidRPr="00136B03">
        <w:rPr>
          <w:rStyle w:val="Strong"/>
          <w:i/>
        </w:rPr>
        <w:t xml:space="preserve">Scientific Advice Working Party, SAWP) </w:t>
      </w:r>
      <w:r w:rsidRPr="00801A8D">
        <w:rPr>
          <w:bCs/>
        </w:rPr>
        <w:t>i bila imenovana SAWP izvjestiteljem (</w:t>
      </w:r>
      <w:r w:rsidRPr="00801A8D">
        <w:rPr>
          <w:bCs/>
          <w:i/>
        </w:rPr>
        <w:t>Rapporteur</w:t>
      </w:r>
      <w:r w:rsidRPr="00801A8D">
        <w:rPr>
          <w:bCs/>
        </w:rPr>
        <w:t>) ili suizvjestiteljem (</w:t>
      </w:r>
      <w:r w:rsidRPr="00801A8D">
        <w:rPr>
          <w:bCs/>
          <w:i/>
        </w:rPr>
        <w:t>Co-Rapporteur</w:t>
      </w:r>
      <w:r w:rsidRPr="00801A8D">
        <w:rPr>
          <w:bCs/>
        </w:rPr>
        <w:t xml:space="preserve">) za </w:t>
      </w:r>
      <w:r>
        <w:rPr>
          <w:bCs/>
        </w:rPr>
        <w:t xml:space="preserve">31 </w:t>
      </w:r>
      <w:r w:rsidRPr="00801A8D">
        <w:rPr>
          <w:bCs/>
        </w:rPr>
        <w:t xml:space="preserve">predmet (od čega za </w:t>
      </w:r>
      <w:r>
        <w:rPr>
          <w:bCs/>
        </w:rPr>
        <w:t>8</w:t>
      </w:r>
      <w:r w:rsidRPr="00801A8D">
        <w:rPr>
          <w:bCs/>
        </w:rPr>
        <w:t xml:space="preserve"> predmeta u multinacionalnom timu) te kao recenzent ocjene za</w:t>
      </w:r>
      <w:r>
        <w:rPr>
          <w:bCs/>
        </w:rPr>
        <w:t xml:space="preserve"> 6</w:t>
      </w:r>
      <w:r w:rsidRPr="00801A8D">
        <w:rPr>
          <w:bCs/>
        </w:rPr>
        <w:t xml:space="preserve"> predmet</w:t>
      </w:r>
      <w:r>
        <w:rPr>
          <w:bCs/>
        </w:rPr>
        <w:t>a</w:t>
      </w:r>
      <w:r w:rsidRPr="00801A8D">
        <w:rPr>
          <w:bCs/>
        </w:rPr>
        <w:t xml:space="preserve">. </w:t>
      </w:r>
    </w:p>
    <w:p w14:paraId="67ED8372" w14:textId="77777777" w:rsidR="00D07378" w:rsidRPr="00801A8D" w:rsidRDefault="00D07378" w:rsidP="00D07378">
      <w:pPr>
        <w:spacing w:line="276" w:lineRule="auto"/>
        <w:jc w:val="both"/>
        <w:rPr>
          <w:bCs/>
        </w:rPr>
      </w:pPr>
    </w:p>
    <w:p w14:paraId="1DD8A32E" w14:textId="77777777" w:rsidR="00D07378" w:rsidRPr="00801A8D" w:rsidRDefault="00D07378" w:rsidP="00D07378">
      <w:pPr>
        <w:spacing w:line="276" w:lineRule="auto"/>
        <w:jc w:val="both"/>
        <w:rPr>
          <w:bCs/>
        </w:rPr>
      </w:pPr>
      <w:r w:rsidRPr="00801A8D">
        <w:rPr>
          <w:bCs/>
        </w:rPr>
        <w:t xml:space="preserve">Završena je ocjena ukupno </w:t>
      </w:r>
      <w:r>
        <w:rPr>
          <w:bCs/>
        </w:rPr>
        <w:t>29</w:t>
      </w:r>
      <w:r w:rsidRPr="00801A8D">
        <w:rPr>
          <w:bCs/>
        </w:rPr>
        <w:t xml:space="preserve"> predmeta (od čega </w:t>
      </w:r>
      <w:r>
        <w:rPr>
          <w:bCs/>
        </w:rPr>
        <w:t>8</w:t>
      </w:r>
      <w:r w:rsidRPr="00801A8D">
        <w:rPr>
          <w:bCs/>
        </w:rPr>
        <w:t xml:space="preserve"> predmeta u multinacionalnom timu). Završen</w:t>
      </w:r>
      <w:r>
        <w:rPr>
          <w:bCs/>
        </w:rPr>
        <w:t>o je</w:t>
      </w:r>
      <w:r w:rsidRPr="00801A8D">
        <w:rPr>
          <w:bCs/>
        </w:rPr>
        <w:t xml:space="preserve"> </w:t>
      </w:r>
      <w:r>
        <w:rPr>
          <w:bCs/>
        </w:rPr>
        <w:t>7</w:t>
      </w:r>
      <w:r w:rsidRPr="00801A8D">
        <w:rPr>
          <w:bCs/>
        </w:rPr>
        <w:t xml:space="preserve"> recenzij</w:t>
      </w:r>
      <w:r>
        <w:rPr>
          <w:bCs/>
        </w:rPr>
        <w:t>a</w:t>
      </w:r>
      <w:r w:rsidRPr="00801A8D">
        <w:rPr>
          <w:bCs/>
        </w:rPr>
        <w:t xml:space="preserve"> ocjen</w:t>
      </w:r>
      <w:r>
        <w:rPr>
          <w:bCs/>
        </w:rPr>
        <w:t>a</w:t>
      </w:r>
      <w:r w:rsidRPr="00801A8D">
        <w:rPr>
          <w:bCs/>
        </w:rPr>
        <w:t>.</w:t>
      </w:r>
    </w:p>
    <w:p w14:paraId="1AF8CB5E" w14:textId="77777777" w:rsidR="00D07378" w:rsidRPr="00801A8D" w:rsidRDefault="00D07378" w:rsidP="00D07378">
      <w:pPr>
        <w:spacing w:line="276" w:lineRule="auto"/>
        <w:jc w:val="both"/>
      </w:pPr>
    </w:p>
    <w:p w14:paraId="559E9CB4" w14:textId="77777777" w:rsidR="00D07378" w:rsidRPr="00801A8D" w:rsidRDefault="00D07378" w:rsidP="00D07378">
      <w:pPr>
        <w:spacing w:line="276" w:lineRule="auto"/>
        <w:jc w:val="both"/>
        <w:rPr>
          <w:bCs/>
        </w:rPr>
      </w:pPr>
      <w:r w:rsidRPr="00801A8D">
        <w:rPr>
          <w:bCs/>
        </w:rPr>
        <w:t>Podaci o broju završenih znanstvenih savjeta pri SAWP-u</w:t>
      </w:r>
      <w:r w:rsidRPr="00C55899">
        <w:rPr>
          <w:bCs/>
        </w:rPr>
        <w:t xml:space="preserve"> </w:t>
      </w:r>
      <w:r>
        <w:rPr>
          <w:bCs/>
        </w:rPr>
        <w:t>u izvještajnom</w:t>
      </w:r>
      <w:r w:rsidRPr="00801A8D">
        <w:rPr>
          <w:bCs/>
        </w:rPr>
        <w:t xml:space="preserve"> razdoblju prikazani su u Tablici 1. (R.br. 1</w:t>
      </w:r>
      <w:r>
        <w:rPr>
          <w:bCs/>
        </w:rPr>
        <w:t>3</w:t>
      </w:r>
      <w:r w:rsidRPr="00801A8D">
        <w:rPr>
          <w:bCs/>
        </w:rPr>
        <w:t>).</w:t>
      </w:r>
    </w:p>
    <w:p w14:paraId="40EE9123" w14:textId="77777777" w:rsidR="00D07378" w:rsidRPr="003607DE" w:rsidRDefault="00D07378" w:rsidP="00D07378">
      <w:pPr>
        <w:pStyle w:val="Heading3"/>
      </w:pPr>
      <w:bookmarkStart w:id="73" w:name="_Toc165035443"/>
      <w:r w:rsidRPr="003607DE">
        <w:t>2.1</w:t>
      </w:r>
      <w:r>
        <w:t>.5</w:t>
      </w:r>
      <w:r w:rsidRPr="003607DE">
        <w:t xml:space="preserve">. </w:t>
      </w:r>
      <w:r>
        <w:t>Sudjelovanje</w:t>
      </w:r>
      <w:r w:rsidRPr="0060785E">
        <w:t xml:space="preserve"> HALMED-a u povjerenstvima i radnim skupinama</w:t>
      </w:r>
      <w:bookmarkEnd w:id="73"/>
    </w:p>
    <w:p w14:paraId="1B42CD33" w14:textId="77777777" w:rsidR="00D07378" w:rsidRPr="00400CA1" w:rsidRDefault="00D07378" w:rsidP="00D07378">
      <w:pPr>
        <w:pStyle w:val="Heading4"/>
      </w:pPr>
      <w:r w:rsidRPr="00400CA1">
        <w:t xml:space="preserve">2.1.5.1. Izvješće o radu HALMED-a u povjerenstvima i radnim skupinama EK-a </w:t>
      </w:r>
    </w:p>
    <w:p w14:paraId="6CC6DD10" w14:textId="77777777" w:rsidR="00D07378" w:rsidRDefault="00D07378" w:rsidP="00D07378">
      <w:pPr>
        <w:spacing w:line="276" w:lineRule="auto"/>
        <w:jc w:val="both"/>
        <w:rPr>
          <w:b/>
          <w:i/>
        </w:rPr>
      </w:pPr>
      <w:r w:rsidRPr="00801A8D">
        <w:rPr>
          <w:b/>
        </w:rPr>
        <w:t>A) Radna skupina za upute podnositeljima zahtjeva (</w:t>
      </w:r>
      <w:r w:rsidRPr="00801A8D">
        <w:rPr>
          <w:rFonts w:cs="Arial"/>
          <w:b/>
          <w:i/>
          <w:color w:val="000000"/>
        </w:rPr>
        <w:t>Notice to Applicants</w:t>
      </w:r>
      <w:r w:rsidRPr="00801A8D">
        <w:rPr>
          <w:rFonts w:cs="Arial"/>
          <w:b/>
          <w:color w:val="000000"/>
        </w:rPr>
        <w:t xml:space="preserve">, </w:t>
      </w:r>
      <w:r w:rsidRPr="00801A8D">
        <w:rPr>
          <w:b/>
          <w:i/>
        </w:rPr>
        <w:t>NtA)</w:t>
      </w:r>
    </w:p>
    <w:p w14:paraId="241BB037" w14:textId="77777777" w:rsidR="00D07378" w:rsidRPr="00801A8D" w:rsidRDefault="00D07378" w:rsidP="00D07378">
      <w:pPr>
        <w:spacing w:line="276" w:lineRule="auto"/>
        <w:jc w:val="both"/>
        <w:rPr>
          <w:b/>
          <w:i/>
        </w:rPr>
      </w:pPr>
    </w:p>
    <w:p w14:paraId="5543FC21" w14:textId="77777777" w:rsidR="00D07378" w:rsidRPr="00801A8D" w:rsidRDefault="00D07378" w:rsidP="00D07378">
      <w:pPr>
        <w:spacing w:line="276" w:lineRule="auto"/>
        <w:jc w:val="both"/>
        <w:rPr>
          <w:rFonts w:eastAsia="Times New Roman" w:cstheme="minorHAnsi"/>
        </w:rPr>
      </w:pPr>
      <w:r w:rsidRPr="00801A8D">
        <w:rPr>
          <w:rFonts w:eastAsia="Times New Roman" w:cstheme="minorHAnsi"/>
        </w:rPr>
        <w:t>Radnu skupinu NtA pri EK čine predstavnici nadležnih tijela za lijekove država članica EU-a. Radna skupina se bavi regulatornim smjernicama, definiranjem postupaka za davanje odobrenja za stavljanje lijeka u promet i sadržajem dokumenata za davanje odobrenja. U Radnoj skupini Hrvatska ima jednog predstavnika HALMED-a.</w:t>
      </w:r>
    </w:p>
    <w:p w14:paraId="2C2C6923" w14:textId="77777777" w:rsidR="00D07378" w:rsidRDefault="00D07378" w:rsidP="00D07378">
      <w:pPr>
        <w:spacing w:line="276" w:lineRule="auto"/>
        <w:jc w:val="both"/>
        <w:rPr>
          <w:rFonts w:eastAsia="Times New Roman" w:cstheme="minorHAnsi"/>
          <w:b/>
        </w:rPr>
      </w:pPr>
    </w:p>
    <w:p w14:paraId="3ECA33D0" w14:textId="77777777" w:rsidR="00D07378" w:rsidRDefault="00D07378" w:rsidP="00D07378">
      <w:pPr>
        <w:spacing w:line="276" w:lineRule="auto"/>
        <w:jc w:val="both"/>
        <w:rPr>
          <w:rFonts w:eastAsia="Times New Roman" w:cstheme="minorHAnsi"/>
          <w:b/>
        </w:rPr>
      </w:pPr>
      <w:r w:rsidRPr="00801A8D">
        <w:rPr>
          <w:rFonts w:eastAsia="Times New Roman" w:cstheme="minorHAnsi"/>
          <w:b/>
        </w:rPr>
        <w:t xml:space="preserve">B) </w:t>
      </w:r>
      <w:r w:rsidRPr="00801A8D">
        <w:rPr>
          <w:b/>
          <w:bCs/>
        </w:rPr>
        <w:t>Odbor Europske komisije za lijekove za humanu primjenu</w:t>
      </w:r>
      <w:r w:rsidRPr="00801A8D">
        <w:rPr>
          <w:rFonts w:eastAsia="Times New Roman" w:cstheme="minorHAnsi"/>
          <w:b/>
        </w:rPr>
        <w:t xml:space="preserve"> (</w:t>
      </w:r>
      <w:r w:rsidRPr="00801A8D">
        <w:rPr>
          <w:rFonts w:eastAsia="Times New Roman" w:cstheme="minorHAnsi"/>
          <w:b/>
          <w:i/>
        </w:rPr>
        <w:t>Pharmaceutical Committee</w:t>
      </w:r>
      <w:r w:rsidRPr="00801A8D">
        <w:rPr>
          <w:rFonts w:eastAsia="Times New Roman" w:cstheme="minorHAnsi"/>
          <w:b/>
        </w:rPr>
        <w:t>)</w:t>
      </w:r>
    </w:p>
    <w:p w14:paraId="6E329311" w14:textId="77777777" w:rsidR="00D07378" w:rsidRPr="00801A8D" w:rsidRDefault="00D07378" w:rsidP="00D07378">
      <w:pPr>
        <w:spacing w:line="276" w:lineRule="auto"/>
        <w:jc w:val="both"/>
        <w:rPr>
          <w:rFonts w:eastAsia="Times New Roman" w:cstheme="minorHAnsi"/>
          <w:b/>
        </w:rPr>
      </w:pPr>
    </w:p>
    <w:p w14:paraId="2540F195" w14:textId="77777777" w:rsidR="00D07378" w:rsidRPr="00801A8D" w:rsidRDefault="00D07378" w:rsidP="00D07378">
      <w:pPr>
        <w:spacing w:line="276" w:lineRule="auto"/>
        <w:jc w:val="both"/>
        <w:rPr>
          <w:rFonts w:eastAsia="Times New Roman" w:cstheme="minorHAnsi"/>
        </w:rPr>
      </w:pPr>
      <w:r w:rsidRPr="00801A8D">
        <w:rPr>
          <w:bCs/>
        </w:rPr>
        <w:lastRenderedPageBreak/>
        <w:t>Odbor Europske komisije za lijekove za humanu primjenu</w:t>
      </w:r>
      <w:r w:rsidRPr="00801A8D">
        <w:rPr>
          <w:rFonts w:eastAsia="Times New Roman" w:cstheme="minorHAnsi"/>
        </w:rPr>
        <w:t xml:space="preserve"> je savjetodavno tijelo koje je osnovano 1975. godine s ciljem raspravljanja o svim pitanjima koja se odnose na lijekove za ljudsku uporabu, a naročito vezano uz pripremu novih zakonskih inicijativa. Članovi Odbora su predstavnici država članica, a Odboru predsjeda predstavnik Europske komisije. U Odboru Hrvatska ima jednog predstavnika Ministarstva zdravstva i jednog predstavnika HALMED-a.</w:t>
      </w:r>
    </w:p>
    <w:p w14:paraId="4780A517" w14:textId="77777777" w:rsidR="00D07378" w:rsidRPr="00801A8D" w:rsidRDefault="00D07378" w:rsidP="00D07378">
      <w:pPr>
        <w:spacing w:line="276" w:lineRule="auto"/>
        <w:jc w:val="both"/>
        <w:rPr>
          <w:rFonts w:eastAsia="Times New Roman" w:cstheme="minorHAnsi"/>
        </w:rPr>
      </w:pPr>
    </w:p>
    <w:p w14:paraId="2D4A3388" w14:textId="77777777" w:rsidR="00D07378" w:rsidRDefault="00D07378" w:rsidP="00D07378">
      <w:pPr>
        <w:spacing w:line="276" w:lineRule="auto"/>
        <w:jc w:val="both"/>
        <w:rPr>
          <w:rFonts w:eastAsia="Times New Roman" w:cstheme="minorHAnsi"/>
          <w:b/>
        </w:rPr>
      </w:pPr>
      <w:r w:rsidRPr="00801A8D">
        <w:rPr>
          <w:rFonts w:eastAsia="Times New Roman" w:cstheme="minorHAnsi"/>
          <w:b/>
        </w:rPr>
        <w:t>C) Stalni odbor za lijekove za humanu primjenu Europske komisije (</w:t>
      </w:r>
      <w:r w:rsidRPr="00801A8D">
        <w:rPr>
          <w:rFonts w:eastAsia="Times New Roman" w:cstheme="minorHAnsi"/>
          <w:b/>
          <w:i/>
        </w:rPr>
        <w:t>Standing Committee</w:t>
      </w:r>
      <w:r w:rsidRPr="00801A8D">
        <w:rPr>
          <w:rFonts w:eastAsia="Times New Roman" w:cstheme="minorHAnsi"/>
          <w:b/>
        </w:rPr>
        <w:t>)</w:t>
      </w:r>
    </w:p>
    <w:p w14:paraId="12A7A986" w14:textId="77777777" w:rsidR="00D07378" w:rsidRPr="00801A8D" w:rsidRDefault="00D07378" w:rsidP="00D07378">
      <w:pPr>
        <w:spacing w:line="276" w:lineRule="auto"/>
        <w:jc w:val="both"/>
        <w:rPr>
          <w:rFonts w:eastAsia="Times New Roman" w:cstheme="minorHAnsi"/>
          <w:b/>
        </w:rPr>
      </w:pPr>
    </w:p>
    <w:p w14:paraId="451F273C" w14:textId="77777777" w:rsidR="00D07378" w:rsidRDefault="00D07378" w:rsidP="00D07378">
      <w:pPr>
        <w:spacing w:line="276" w:lineRule="auto"/>
        <w:jc w:val="both"/>
        <w:rPr>
          <w:rFonts w:eastAsia="Times New Roman" w:cstheme="minorHAnsi"/>
        </w:rPr>
      </w:pPr>
      <w:r w:rsidRPr="00801A8D">
        <w:rPr>
          <w:rFonts w:eastAsia="Times New Roman" w:cstheme="minorHAnsi"/>
        </w:rPr>
        <w:t>Stalni odbor sastoji se od predstavnika država članica, a predsjeda mu predstavnik Europske komisije. Stalni odbor osnovan je Direktivom 2001/83/EC (čl. 121.), budući da tijekom bilo kojeg europskog postupka svaka država članica koja se ne slaže s prijedlogom odluke Europske komisije može zatražiti da Stalni odbor razmotri nacrt odluke, obrazloživši iscrpno svoj zahtjev. Hrvatska u Stalnom odboru ima jednog predstavnika HALMED-a.</w:t>
      </w:r>
    </w:p>
    <w:p w14:paraId="5731136B" w14:textId="77777777" w:rsidR="00D07378" w:rsidRDefault="00D07378" w:rsidP="00D07378">
      <w:pPr>
        <w:spacing w:line="276" w:lineRule="auto"/>
      </w:pPr>
    </w:p>
    <w:p w14:paraId="10C2DBEC" w14:textId="77777777" w:rsidR="00D07378" w:rsidRDefault="00D07378" w:rsidP="00D07378">
      <w:pPr>
        <w:spacing w:line="276" w:lineRule="auto"/>
        <w:jc w:val="both"/>
        <w:rPr>
          <w:rFonts w:eastAsia="Times New Roman" w:cstheme="minorHAnsi"/>
          <w:b/>
        </w:rPr>
      </w:pPr>
      <w:r w:rsidRPr="00283A63">
        <w:rPr>
          <w:b/>
        </w:rPr>
        <w:t xml:space="preserve">D) </w:t>
      </w:r>
      <w:r w:rsidRPr="00283A63">
        <w:rPr>
          <w:rFonts w:eastAsia="Times New Roman" w:cstheme="minorHAnsi"/>
          <w:b/>
        </w:rPr>
        <w:t>Ekspertna skupina Europske komisije za siguran i pravovremen pristup lijekova bolesnicima (Commission Expert Group on Safe and Timely Access to Medicines for Patients, STAMP)</w:t>
      </w:r>
    </w:p>
    <w:p w14:paraId="1E7B9D5D" w14:textId="77777777" w:rsidR="00D07378" w:rsidRPr="00283A63" w:rsidRDefault="00D07378" w:rsidP="00D07378">
      <w:pPr>
        <w:spacing w:line="276" w:lineRule="auto"/>
        <w:jc w:val="both"/>
        <w:rPr>
          <w:rFonts w:eastAsia="Times New Roman" w:cstheme="minorHAnsi"/>
          <w:b/>
        </w:rPr>
      </w:pPr>
    </w:p>
    <w:p w14:paraId="0750CE35" w14:textId="77777777" w:rsidR="00D07378" w:rsidRPr="00D60C32" w:rsidRDefault="00D07378" w:rsidP="00D07378">
      <w:pPr>
        <w:spacing w:line="276" w:lineRule="auto"/>
        <w:jc w:val="both"/>
        <w:rPr>
          <w:rFonts w:eastAsia="Times New Roman" w:cstheme="minorHAnsi"/>
        </w:rPr>
      </w:pPr>
      <w:r w:rsidRPr="00283A63">
        <w:rPr>
          <w:bCs/>
        </w:rPr>
        <w:t>E</w:t>
      </w:r>
      <w:r w:rsidRPr="00283A63">
        <w:t xml:space="preserve">kspertnu skupinu STAMP organizira Ravnateljstvo za opće zdravlje i sigurnost hrane pri EK u Bruxellesu. Ekspertna skupina raspravlja o modelima za pravovremeni pristup novim lijekovima, kao i poznatim lijekovima u novim terapijskim indikacijama i/ili pojedinim populacijskim skupinama (pedijatrijska primjena, rijetke bolesti) u cilju pomaka s “off-label” na “on-label” primjenu lijekova. </w:t>
      </w:r>
      <w:r w:rsidRPr="00283A63">
        <w:rPr>
          <w:bCs/>
        </w:rPr>
        <w:t xml:space="preserve">Članovi ekspertne skupine su predstavnici regulatornih tijela država članica EU-a odgovornih za lijekove i predstavnici EMA-e. </w:t>
      </w:r>
      <w:r w:rsidRPr="00283A63">
        <w:rPr>
          <w:rFonts w:eastAsia="Times New Roman" w:cstheme="minorHAnsi"/>
        </w:rPr>
        <w:t>U Radnoj skupini Hrvatska ima jednog predstavnika HALMED-a.</w:t>
      </w:r>
    </w:p>
    <w:p w14:paraId="42037D6D" w14:textId="77777777" w:rsidR="00D07378" w:rsidRDefault="00D07378" w:rsidP="00D07378">
      <w:pPr>
        <w:spacing w:line="276" w:lineRule="auto"/>
      </w:pPr>
    </w:p>
    <w:p w14:paraId="1AEFA4F4" w14:textId="77777777" w:rsidR="00D07378" w:rsidRPr="004207D8" w:rsidRDefault="00D07378" w:rsidP="00D07378">
      <w:pPr>
        <w:spacing w:line="276" w:lineRule="auto"/>
        <w:jc w:val="both"/>
        <w:rPr>
          <w:b/>
        </w:rPr>
      </w:pPr>
      <w:r w:rsidRPr="004207D8">
        <w:rPr>
          <w:b/>
        </w:rPr>
        <w:t>E) Koordinacijska skupina za procjenu zdravstvenih tehnologija (Coordination Group on Health Technology Assessment, HTACG)</w:t>
      </w:r>
    </w:p>
    <w:p w14:paraId="7697DCC2" w14:textId="77777777" w:rsidR="00D07378" w:rsidRPr="003B47C2" w:rsidRDefault="00D07378" w:rsidP="00D07378">
      <w:pPr>
        <w:jc w:val="both"/>
        <w:rPr>
          <w:rFonts w:ascii="Calibri" w:eastAsia="Times New Roman" w:hAnsi="Calibri" w:cs="Calibri"/>
          <w:b/>
        </w:rPr>
      </w:pPr>
    </w:p>
    <w:p w14:paraId="3AFD008D" w14:textId="77777777" w:rsidR="00D07378" w:rsidRPr="004207D8" w:rsidRDefault="00D07378" w:rsidP="00D07378">
      <w:pPr>
        <w:spacing w:line="276" w:lineRule="auto"/>
        <w:jc w:val="both"/>
        <w:rPr>
          <w:bCs/>
        </w:rPr>
      </w:pPr>
      <w:r w:rsidRPr="004207D8">
        <w:rPr>
          <w:bCs/>
        </w:rPr>
        <w:t xml:space="preserve">Uredbom o procjeni zdravstvenih tehnologija uspostavljena je Koordinacijska skupina za procjenu zdravstvenih tehnologija koja je sastavljena od predstavnika država članica. Ključne zadaće HTACG-a su koordinacija i usvajanje zajedničkog rada na HTA-u koji provode njegove podskupine u okviru područja primjene Uredbe te usvajanje dokumenata metodoloških i proceduralnih smjernica za zajednički rad. HTACG također ima za cilj osigurati suradnju između relevantnih tijela Europske unije (npr. Europske agencije za lijekove), kao i odgovarajuće uključivanje organizacija dionika i stručnjaka u njegov rad. U koordinacijskoj skupini Hrvatska ima dva predstavnika HALMED-a. </w:t>
      </w:r>
    </w:p>
    <w:p w14:paraId="170B07A7" w14:textId="77777777" w:rsidR="00D07378" w:rsidRPr="003B47C2" w:rsidRDefault="00D07378" w:rsidP="00D07378">
      <w:pPr>
        <w:jc w:val="both"/>
        <w:rPr>
          <w:rFonts w:ascii="Calibri" w:eastAsia="Times New Roman" w:hAnsi="Calibri" w:cs="Calibri"/>
        </w:rPr>
      </w:pPr>
    </w:p>
    <w:p w14:paraId="1D3150C3" w14:textId="77777777" w:rsidR="00D07378" w:rsidRPr="004207D8" w:rsidRDefault="00D07378" w:rsidP="00D07378">
      <w:pPr>
        <w:spacing w:line="276" w:lineRule="auto"/>
        <w:jc w:val="both"/>
        <w:rPr>
          <w:b/>
        </w:rPr>
      </w:pPr>
      <w:r w:rsidRPr="004207D8">
        <w:rPr>
          <w:b/>
        </w:rPr>
        <w:t>F) Stručna radna skupina za medicinske protumjere (Health Emergency Preparedness and Response Authority, HERA MCM)</w:t>
      </w:r>
    </w:p>
    <w:p w14:paraId="07F3FA12" w14:textId="77777777" w:rsidR="00D07378" w:rsidRPr="003B47C2" w:rsidRDefault="00D07378" w:rsidP="00D07378">
      <w:pPr>
        <w:jc w:val="both"/>
        <w:rPr>
          <w:rFonts w:ascii="Calibri" w:eastAsia="Times New Roman" w:hAnsi="Calibri" w:cs="Calibri"/>
          <w:b/>
        </w:rPr>
      </w:pPr>
    </w:p>
    <w:p w14:paraId="35CD44FA" w14:textId="77777777" w:rsidR="00D07378" w:rsidRPr="004207D8" w:rsidRDefault="00D07378" w:rsidP="00D07378">
      <w:pPr>
        <w:spacing w:line="276" w:lineRule="auto"/>
        <w:jc w:val="both"/>
        <w:rPr>
          <w:bCs/>
        </w:rPr>
      </w:pPr>
      <w:r w:rsidRPr="004207D8">
        <w:rPr>
          <w:bCs/>
        </w:rPr>
        <w:t xml:space="preserve">Uprava za hitne zdravstvene situacije, pripravnost i odgovor (HERA) osnovana je kako bi ojačala sposobnost Europe da spriječi, otkrije i brzo odgovori na prekogranične hitne zdravstvene situacije, osiguravajući razvoj, proizvodnju, nabavu i pravednu distribuciju ključnih medicinskih protumjera. Ova radna skupina HERA-e želi pružiti, putem relevantnih instrumenata i gdje je to relevantno u suradnji s drugim službama Komisije, dodatnu potporu Unije spremnosti država članica na pandemije i druge zdravstvene krize velikih razmjera, </w:t>
      </w:r>
      <w:r w:rsidRPr="004207D8">
        <w:rPr>
          <w:bCs/>
        </w:rPr>
        <w:lastRenderedPageBreak/>
        <w:t xml:space="preserve">s fokusom </w:t>
      </w:r>
      <w:r>
        <w:rPr>
          <w:bCs/>
        </w:rPr>
        <w:t>na</w:t>
      </w:r>
      <w:r w:rsidRPr="004207D8">
        <w:rPr>
          <w:bCs/>
        </w:rPr>
        <w:t xml:space="preserve"> dostupnost medicinskih protumjera (MCM). U radnoj skupini Hrvatska ima dva predstavnika HALMED-a. </w:t>
      </w:r>
    </w:p>
    <w:p w14:paraId="1EDC0CC1" w14:textId="77777777" w:rsidR="00D07378" w:rsidRDefault="00D07378" w:rsidP="00D07378">
      <w:pPr>
        <w:spacing w:line="276" w:lineRule="auto"/>
      </w:pPr>
    </w:p>
    <w:p w14:paraId="7AE20B19" w14:textId="77777777" w:rsidR="00D07378" w:rsidRPr="00801A8D" w:rsidRDefault="00D07378" w:rsidP="00D07378">
      <w:pPr>
        <w:spacing w:line="276" w:lineRule="auto"/>
        <w:jc w:val="both"/>
        <w:rPr>
          <w:rFonts w:eastAsia="Times New Roman" w:cstheme="minorHAnsi"/>
        </w:rPr>
      </w:pPr>
      <w:r w:rsidRPr="00801A8D">
        <w:rPr>
          <w:rFonts w:eastAsia="Times New Roman" w:cstheme="minorHAnsi"/>
        </w:rPr>
        <w:t xml:space="preserve">Podaci o sudjelovanju predstavnika HALMED-a na radnim sastancima povjerenstava i radnih skupina Europske komisije u </w:t>
      </w:r>
      <w:r>
        <w:rPr>
          <w:rFonts w:cstheme="minorHAnsi"/>
        </w:rPr>
        <w:t>izvještajnom</w:t>
      </w:r>
      <w:r w:rsidRPr="00801A8D">
        <w:rPr>
          <w:rFonts w:cstheme="minorHAnsi"/>
        </w:rPr>
        <w:t xml:space="preserve"> razdoblju</w:t>
      </w:r>
      <w:r w:rsidRPr="00801A8D">
        <w:rPr>
          <w:rFonts w:eastAsia="Times New Roman" w:cstheme="minorHAnsi"/>
        </w:rPr>
        <w:t xml:space="preserve"> prikazani su u Tablici br. 5.</w:t>
      </w:r>
    </w:p>
    <w:p w14:paraId="4CD0A6C2" w14:textId="77777777" w:rsidR="00D07378" w:rsidRPr="00801A8D" w:rsidRDefault="00D07378" w:rsidP="00D07378">
      <w:pPr>
        <w:spacing w:line="276" w:lineRule="auto"/>
      </w:pPr>
    </w:p>
    <w:p w14:paraId="7B9A30DF" w14:textId="77777777" w:rsidR="00D07378" w:rsidRPr="00400CA1" w:rsidRDefault="00D07378" w:rsidP="00D07378">
      <w:pPr>
        <w:pStyle w:val="Heading4"/>
      </w:pPr>
      <w:r w:rsidRPr="00400CA1">
        <w:t>2.1.5.2. Izvješće o radu HALMED-a u radnim skupinama Vijeća EU</w:t>
      </w:r>
    </w:p>
    <w:p w14:paraId="6551D764" w14:textId="77777777" w:rsidR="00D07378" w:rsidRPr="00801A8D" w:rsidRDefault="00D07378" w:rsidP="00D07378">
      <w:pPr>
        <w:spacing w:line="276" w:lineRule="auto"/>
        <w:jc w:val="both"/>
        <w:rPr>
          <w:rFonts w:eastAsia="Times New Roman" w:cs="Tahoma"/>
          <w:b/>
          <w:bCs/>
          <w:color w:val="000000"/>
          <w:lang w:eastAsia="hr-HR"/>
        </w:rPr>
      </w:pPr>
      <w:r w:rsidRPr="00801A8D">
        <w:rPr>
          <w:rFonts w:eastAsia="Times New Roman" w:cs="Tahoma"/>
          <w:b/>
          <w:bCs/>
          <w:color w:val="000000"/>
          <w:lang w:eastAsia="hr-HR"/>
        </w:rPr>
        <w:t>Radna skupina Vijeća EU za lijekove i medicinske proizvode (</w:t>
      </w:r>
      <w:r w:rsidRPr="00801A8D">
        <w:rPr>
          <w:rFonts w:eastAsia="Times New Roman" w:cs="Tahoma"/>
          <w:b/>
          <w:bCs/>
          <w:i/>
          <w:color w:val="000000"/>
          <w:lang w:eastAsia="hr-HR"/>
        </w:rPr>
        <w:t>Pharmaceuticals and Medical Devices Group</w:t>
      </w:r>
      <w:r w:rsidRPr="00801A8D">
        <w:rPr>
          <w:rFonts w:eastAsia="Times New Roman" w:cs="Tahoma"/>
          <w:b/>
          <w:bCs/>
          <w:color w:val="000000"/>
          <w:lang w:eastAsia="hr-HR"/>
        </w:rPr>
        <w:t>)</w:t>
      </w:r>
    </w:p>
    <w:p w14:paraId="0FC10540" w14:textId="77777777" w:rsidR="00D07378" w:rsidRPr="00801A8D" w:rsidRDefault="00D07378" w:rsidP="00D07378">
      <w:pPr>
        <w:spacing w:line="276" w:lineRule="auto"/>
        <w:jc w:val="both"/>
        <w:rPr>
          <w:rFonts w:eastAsia="Times New Roman" w:cs="Tahoma"/>
          <w:bCs/>
          <w:color w:val="000000"/>
          <w:sz w:val="18"/>
          <w:szCs w:val="18"/>
          <w:lang w:eastAsia="hr-HR"/>
        </w:rPr>
      </w:pPr>
    </w:p>
    <w:p w14:paraId="7AF32DA1" w14:textId="77777777" w:rsidR="00D07378" w:rsidRPr="00801A8D" w:rsidRDefault="00D07378" w:rsidP="00D07378">
      <w:pPr>
        <w:spacing w:line="276" w:lineRule="auto"/>
        <w:jc w:val="both"/>
        <w:rPr>
          <w:rFonts w:eastAsia="Times New Roman" w:cstheme="minorHAnsi"/>
        </w:rPr>
      </w:pPr>
      <w:r w:rsidRPr="00801A8D">
        <w:rPr>
          <w:rFonts w:eastAsia="Times New Roman" w:cstheme="minorHAnsi"/>
        </w:rPr>
        <w:t>Radna skupina bavi se postojećim i novim zakonodavstvom EU koje se odnosi na regulatorne zahtjeve za pristup lijekova i medicinskih proizvoda tržištu te njihov nadzor i vigilanciju nakon što se isti stave na tržište. Glavni ciljevi Radne skupine su osiguravanje najviše moguće razine sigurnosti bolesnika i učinkovito funkcioniranje unutarnjeg tržišta, uz istodobno promicanje inovativnih aktivnosti. U radu Radne skupine sudjeluje po jedan predstavnik HALMED-a za lijekove i za medicinske proizvode.</w:t>
      </w:r>
    </w:p>
    <w:p w14:paraId="5E2A8155" w14:textId="77777777" w:rsidR="00D07378" w:rsidRPr="00801A8D" w:rsidRDefault="00D07378" w:rsidP="00D07378">
      <w:pPr>
        <w:spacing w:line="276" w:lineRule="auto"/>
        <w:jc w:val="both"/>
        <w:rPr>
          <w:rFonts w:eastAsia="Times New Roman" w:cstheme="minorHAnsi"/>
        </w:rPr>
      </w:pPr>
    </w:p>
    <w:p w14:paraId="1FB07FDC" w14:textId="77777777" w:rsidR="00D07378" w:rsidRDefault="00D07378" w:rsidP="00D07378">
      <w:pPr>
        <w:spacing w:line="276" w:lineRule="auto"/>
        <w:jc w:val="both"/>
        <w:rPr>
          <w:rFonts w:eastAsia="Times New Roman" w:cstheme="minorHAnsi"/>
        </w:rPr>
      </w:pPr>
      <w:r w:rsidRPr="00801A8D">
        <w:rPr>
          <w:rFonts w:eastAsia="Times New Roman" w:cstheme="minorHAnsi"/>
        </w:rPr>
        <w:t xml:space="preserve">Podaci o sudjelovanju predstavnika HALMED-a na radnim sastancima </w:t>
      </w:r>
      <w:r w:rsidRPr="00801A8D">
        <w:rPr>
          <w:rFonts w:eastAsia="Times New Roman" w:cs="Tahoma"/>
          <w:bCs/>
          <w:color w:val="000000"/>
          <w:lang w:eastAsia="hr-HR"/>
        </w:rPr>
        <w:t>Radne skupine Vijeća EU za lijekove i medicinske proizvode</w:t>
      </w:r>
      <w:r w:rsidRPr="00801A8D">
        <w:rPr>
          <w:rFonts w:eastAsia="Times New Roman" w:cstheme="minorHAnsi"/>
        </w:rPr>
        <w:t xml:space="preserve"> u </w:t>
      </w:r>
      <w:r>
        <w:rPr>
          <w:rFonts w:cstheme="minorHAnsi"/>
        </w:rPr>
        <w:t>izvještajnom</w:t>
      </w:r>
      <w:r w:rsidRPr="00801A8D">
        <w:rPr>
          <w:rFonts w:cstheme="minorHAnsi"/>
        </w:rPr>
        <w:t xml:space="preserve"> razdoblju</w:t>
      </w:r>
      <w:r w:rsidRPr="00801A8D">
        <w:rPr>
          <w:rFonts w:eastAsia="Times New Roman" w:cstheme="minorHAnsi"/>
        </w:rPr>
        <w:t xml:space="preserve"> prikazani su u Tablici br. 5.</w:t>
      </w:r>
    </w:p>
    <w:p w14:paraId="5125D690" w14:textId="77777777" w:rsidR="00D07378" w:rsidRDefault="00D07378" w:rsidP="00D07378">
      <w:pPr>
        <w:pStyle w:val="Heading4"/>
      </w:pPr>
    </w:p>
    <w:p w14:paraId="33A542A2" w14:textId="77777777" w:rsidR="00D07378" w:rsidRPr="00400CA1" w:rsidRDefault="00D07378" w:rsidP="00D07378">
      <w:pPr>
        <w:pStyle w:val="Heading4"/>
      </w:pPr>
      <w:r w:rsidRPr="00400CA1">
        <w:t>2.1.5.3. Izvješće o radu HALMED-a u povjerenstvima i radnim skupinama EMA-e</w:t>
      </w:r>
    </w:p>
    <w:p w14:paraId="65F9FF0A" w14:textId="77777777" w:rsidR="00D07378" w:rsidRPr="00801A8D" w:rsidRDefault="00D07378" w:rsidP="00D07378">
      <w:pPr>
        <w:spacing w:line="276" w:lineRule="auto"/>
        <w:jc w:val="both"/>
        <w:rPr>
          <w:b/>
          <w:i/>
        </w:rPr>
      </w:pPr>
      <w:r w:rsidRPr="00801A8D">
        <w:rPr>
          <w:b/>
        </w:rPr>
        <w:t>A) Povjerenstvo za humane lijekove (</w:t>
      </w:r>
      <w:r w:rsidRPr="00801A8D">
        <w:rPr>
          <w:b/>
          <w:i/>
        </w:rPr>
        <w:t>Committee for Medicinal Product for Human Use</w:t>
      </w:r>
      <w:r w:rsidRPr="00801A8D">
        <w:rPr>
          <w:b/>
        </w:rPr>
        <w:t xml:space="preserve">, </w:t>
      </w:r>
      <w:r w:rsidRPr="00801A8D">
        <w:rPr>
          <w:b/>
          <w:i/>
        </w:rPr>
        <w:t>CHMP)</w:t>
      </w:r>
    </w:p>
    <w:p w14:paraId="42BA19B2" w14:textId="77777777" w:rsidR="00D07378" w:rsidRPr="00801A8D" w:rsidRDefault="00D07378" w:rsidP="00D07378">
      <w:pPr>
        <w:spacing w:line="276" w:lineRule="auto"/>
        <w:jc w:val="both"/>
      </w:pPr>
    </w:p>
    <w:p w14:paraId="78788D30" w14:textId="77777777" w:rsidR="00D07378" w:rsidRPr="00801A8D" w:rsidRDefault="00D07378" w:rsidP="00D07378">
      <w:pPr>
        <w:tabs>
          <w:tab w:val="left" w:pos="567"/>
        </w:tabs>
        <w:spacing w:line="276" w:lineRule="auto"/>
        <w:jc w:val="both"/>
        <w:rPr>
          <w:rFonts w:eastAsia="Times New Roman" w:cstheme="minorHAnsi"/>
        </w:rPr>
      </w:pPr>
      <w:r w:rsidRPr="00801A8D">
        <w:rPr>
          <w:rFonts w:eastAsia="Times New Roman" w:cstheme="minorHAnsi"/>
        </w:rPr>
        <w:t xml:space="preserve">Povjerenstvo CHMP jedno je od sedam znanstvenih povjerenstava EMA-e koje evaluira zahtjeve </w:t>
      </w:r>
      <w:r w:rsidRPr="00801A8D">
        <w:t>u centraliziranim postupcima</w:t>
      </w:r>
      <w:r w:rsidRPr="00801A8D">
        <w:rPr>
          <w:rFonts w:eastAsia="Times New Roman" w:cstheme="minorHAnsi"/>
        </w:rPr>
        <w:t>, prati sigurnost lijekova odobrenih centraliziranim postupkom, donosi odluku o hitnim upozorenjima o ograničenju primjene lijeka, odobrava informacije o lijeku, priprema Europska javna izvješća o ocjeni dokumentacije o lijeku (</w:t>
      </w:r>
      <w:r w:rsidRPr="00801A8D">
        <w:rPr>
          <w:i/>
        </w:rPr>
        <w:t>European public assessment report</w:t>
      </w:r>
      <w:r w:rsidRPr="00801A8D">
        <w:rPr>
          <w:rFonts w:eastAsia="Times New Roman" w:cstheme="minorHAnsi"/>
        </w:rPr>
        <w:t xml:space="preserve">, EPAR), pruža znanstvene savjete tvrtkama u istraživanju i razvoju novih lijekova, priprema stručne i regulatorne smjernice za farmaceutsku industriju, sudjeluje u harmonizaciji regulatornih zahtjeva za lijekove na internacionalnoj razini, vodi arbitražne postupke iz MRP/DCP postupaka te sudjeluje u arbitražnim postupcima važnim za javno zdravlje. Povjerenstvo u radu konzultira radne skupine koje pružaju stručnu podršku iz svog znanstvenog područja. Članovi Povjerenstva su predstavnici država članica EU-a, stručnjaci iz određenih znanstvenih područja. U CHMP-u Hrvatska ima dva predstavnika HALMED-a; člana i zamjenika. </w:t>
      </w:r>
    </w:p>
    <w:p w14:paraId="43CD6E3D" w14:textId="77777777" w:rsidR="00D07378" w:rsidRPr="00801A8D" w:rsidRDefault="00D07378" w:rsidP="00D07378">
      <w:pPr>
        <w:spacing w:line="276" w:lineRule="auto"/>
        <w:jc w:val="both"/>
      </w:pPr>
    </w:p>
    <w:p w14:paraId="3B0AE11E" w14:textId="77777777" w:rsidR="00D07378" w:rsidRPr="00801A8D" w:rsidRDefault="00D07378" w:rsidP="00D07378">
      <w:pPr>
        <w:tabs>
          <w:tab w:val="left" w:pos="567"/>
        </w:tabs>
        <w:spacing w:line="276" w:lineRule="auto"/>
        <w:jc w:val="both"/>
        <w:rPr>
          <w:rFonts w:eastAsia="Times New Roman" w:cstheme="minorHAnsi"/>
        </w:rPr>
      </w:pPr>
      <w:r w:rsidRPr="00801A8D">
        <w:rPr>
          <w:rFonts w:eastAsia="Times New Roman" w:cstheme="minorHAnsi"/>
        </w:rPr>
        <w:t xml:space="preserve">U </w:t>
      </w:r>
      <w:r>
        <w:rPr>
          <w:rFonts w:eastAsia="Times New Roman" w:cstheme="minorHAnsi"/>
        </w:rPr>
        <w:t>izvještajnom</w:t>
      </w:r>
      <w:r w:rsidRPr="00801A8D">
        <w:rPr>
          <w:rFonts w:eastAsia="Times New Roman" w:cstheme="minorHAnsi"/>
        </w:rPr>
        <w:t xml:space="preserve"> razdoblju predstavnici HALMED-a sudjelovali su u radu </w:t>
      </w:r>
      <w:r>
        <w:rPr>
          <w:rFonts w:eastAsia="Times New Roman" w:cstheme="minorHAnsi"/>
        </w:rPr>
        <w:t>11</w:t>
      </w:r>
      <w:r w:rsidRPr="00801A8D">
        <w:rPr>
          <w:rFonts w:eastAsia="Times New Roman" w:cstheme="minorHAnsi"/>
        </w:rPr>
        <w:t xml:space="preserve"> sjednic</w:t>
      </w:r>
      <w:r>
        <w:rPr>
          <w:rFonts w:eastAsia="Times New Roman" w:cstheme="minorHAnsi"/>
        </w:rPr>
        <w:t>a</w:t>
      </w:r>
      <w:r w:rsidRPr="00801A8D">
        <w:rPr>
          <w:rFonts w:eastAsia="Times New Roman" w:cstheme="minorHAnsi"/>
        </w:rPr>
        <w:t xml:space="preserve"> i </w:t>
      </w:r>
      <w:r>
        <w:rPr>
          <w:rFonts w:eastAsia="Times New Roman" w:cstheme="minorHAnsi"/>
        </w:rPr>
        <w:t>11</w:t>
      </w:r>
      <w:r w:rsidRPr="00801A8D">
        <w:rPr>
          <w:rFonts w:eastAsia="Times New Roman" w:cstheme="minorHAnsi"/>
        </w:rPr>
        <w:t xml:space="preserve"> organizacijsk</w:t>
      </w:r>
      <w:r>
        <w:rPr>
          <w:rFonts w:eastAsia="Times New Roman" w:cstheme="minorHAnsi"/>
        </w:rPr>
        <w:t>ih</w:t>
      </w:r>
      <w:r w:rsidRPr="00801A8D">
        <w:rPr>
          <w:rFonts w:eastAsia="Times New Roman" w:cstheme="minorHAnsi"/>
        </w:rPr>
        <w:t xml:space="preserve"> sastan</w:t>
      </w:r>
      <w:r>
        <w:rPr>
          <w:rFonts w:eastAsia="Times New Roman" w:cstheme="minorHAnsi"/>
        </w:rPr>
        <w:t>a</w:t>
      </w:r>
      <w:r w:rsidRPr="00801A8D">
        <w:rPr>
          <w:rFonts w:eastAsia="Times New Roman" w:cstheme="minorHAnsi"/>
        </w:rPr>
        <w:t>ka (</w:t>
      </w:r>
      <w:r w:rsidRPr="00801A8D">
        <w:rPr>
          <w:rFonts w:eastAsia="Times New Roman" w:cstheme="minorHAnsi"/>
          <w:i/>
        </w:rPr>
        <w:t>P</w:t>
      </w:r>
      <w:r>
        <w:rPr>
          <w:rFonts w:eastAsia="Times New Roman" w:cstheme="minorHAnsi"/>
          <w:i/>
        </w:rPr>
        <w:t>R</w:t>
      </w:r>
      <w:r w:rsidRPr="00801A8D">
        <w:rPr>
          <w:rFonts w:eastAsia="Times New Roman" w:cstheme="minorHAnsi"/>
          <w:i/>
        </w:rPr>
        <w:t>ocedural and Organisational Matters</w:t>
      </w:r>
      <w:r w:rsidRPr="00801A8D">
        <w:rPr>
          <w:rFonts w:eastAsia="Times New Roman" w:cstheme="minorHAnsi"/>
        </w:rPr>
        <w:t>, PROM)</w:t>
      </w:r>
      <w:r>
        <w:rPr>
          <w:rFonts w:eastAsia="Times New Roman" w:cstheme="minorHAnsi"/>
        </w:rPr>
        <w:t>, te 2 SRLM sastanka (</w:t>
      </w:r>
      <w:r w:rsidRPr="00B12729">
        <w:rPr>
          <w:rFonts w:eastAsia="Times New Roman" w:cstheme="minorHAnsi"/>
          <w:i/>
        </w:rPr>
        <w:t>Strategic Review and Learning Meeting</w:t>
      </w:r>
      <w:r>
        <w:rPr>
          <w:rFonts w:eastAsia="Times New Roman" w:cstheme="minorHAnsi"/>
        </w:rPr>
        <w:t>).</w:t>
      </w:r>
    </w:p>
    <w:p w14:paraId="2B6B1643" w14:textId="77777777" w:rsidR="00D07378" w:rsidRPr="00801A8D" w:rsidRDefault="00D07378" w:rsidP="00D07378">
      <w:pPr>
        <w:tabs>
          <w:tab w:val="left" w:pos="567"/>
        </w:tabs>
        <w:spacing w:line="276" w:lineRule="auto"/>
        <w:jc w:val="both"/>
      </w:pPr>
    </w:p>
    <w:p w14:paraId="4641E46D" w14:textId="77777777" w:rsidR="00D07378" w:rsidRPr="00801A8D" w:rsidRDefault="00D07378" w:rsidP="00D07378">
      <w:pPr>
        <w:spacing w:line="276" w:lineRule="auto"/>
        <w:jc w:val="both"/>
      </w:pPr>
      <w:r w:rsidRPr="00801A8D">
        <w:t xml:space="preserve">U </w:t>
      </w:r>
      <w:r>
        <w:t>izvještajnom</w:t>
      </w:r>
      <w:r w:rsidRPr="00801A8D">
        <w:t xml:space="preserve"> razdoblju Hrvatska je aktivno komentirala zahtjeve tijekom postupaka davanja odobrenja za stavljanje lijeka u promet, redovito se natjecala za poslove CHMP-a i bila imenovana kao glavni izvjestitelj (</w:t>
      </w:r>
      <w:r w:rsidRPr="00801A8D">
        <w:rPr>
          <w:i/>
          <w:iCs/>
        </w:rPr>
        <w:t>Rapporteur</w:t>
      </w:r>
      <w:r w:rsidRPr="00801A8D">
        <w:t>), suizvjestitelj (Co-</w:t>
      </w:r>
      <w:r w:rsidRPr="00801A8D">
        <w:rPr>
          <w:i/>
          <w:iCs/>
        </w:rPr>
        <w:t xml:space="preserve">Rapporteur) </w:t>
      </w:r>
      <w:r w:rsidRPr="00801A8D">
        <w:rPr>
          <w:iCs/>
        </w:rPr>
        <w:t xml:space="preserve">i recenzent </w:t>
      </w:r>
      <w:r w:rsidRPr="00801A8D">
        <w:t>(</w:t>
      </w:r>
      <w:r w:rsidRPr="00801A8D">
        <w:rPr>
          <w:i/>
          <w:iCs/>
        </w:rPr>
        <w:t>Peer-reviewer</w:t>
      </w:r>
      <w:r w:rsidRPr="00801A8D">
        <w:t>)</w:t>
      </w:r>
      <w:r>
        <w:t xml:space="preserve"> u slijedećim predmetima</w:t>
      </w:r>
      <w:r w:rsidRPr="00801A8D">
        <w:t xml:space="preserve">: </w:t>
      </w:r>
    </w:p>
    <w:p w14:paraId="68E50C80" w14:textId="77777777" w:rsidR="00D07378" w:rsidRDefault="00D07378" w:rsidP="00D07378">
      <w:pPr>
        <w:pStyle w:val="ListParagraph"/>
        <w:numPr>
          <w:ilvl w:val="0"/>
          <w:numId w:val="13"/>
        </w:numPr>
        <w:spacing w:before="0" w:after="0"/>
        <w:contextualSpacing w:val="0"/>
        <w:jc w:val="both"/>
        <w:rPr>
          <w:sz w:val="22"/>
          <w:szCs w:val="22"/>
        </w:rPr>
      </w:pPr>
      <w:r w:rsidRPr="00D05929">
        <w:rPr>
          <w:sz w:val="22"/>
          <w:szCs w:val="22"/>
        </w:rPr>
        <w:lastRenderedPageBreak/>
        <w:t>suizvjestitelj u centraliziranom postupku odobravanja</w:t>
      </w:r>
      <w:r>
        <w:rPr>
          <w:sz w:val="22"/>
          <w:szCs w:val="22"/>
        </w:rPr>
        <w:t xml:space="preserve"> 5 </w:t>
      </w:r>
      <w:r w:rsidRPr="00D05929">
        <w:rPr>
          <w:sz w:val="22"/>
          <w:szCs w:val="22"/>
        </w:rPr>
        <w:t>lijek</w:t>
      </w:r>
      <w:r>
        <w:rPr>
          <w:sz w:val="22"/>
          <w:szCs w:val="22"/>
        </w:rPr>
        <w:t>ova</w:t>
      </w:r>
      <w:r w:rsidRPr="00D05929">
        <w:rPr>
          <w:sz w:val="22"/>
          <w:szCs w:val="22"/>
        </w:rPr>
        <w:t xml:space="preserve"> s novom djelatnom tvari </w:t>
      </w:r>
      <w:r>
        <w:rPr>
          <w:sz w:val="22"/>
          <w:szCs w:val="22"/>
        </w:rPr>
        <w:t xml:space="preserve">od kojih su dvije biološke djelatne tvari </w:t>
      </w:r>
      <w:r w:rsidRPr="00D05929">
        <w:rPr>
          <w:sz w:val="22"/>
          <w:szCs w:val="22"/>
        </w:rPr>
        <w:t>(</w:t>
      </w:r>
      <w:r>
        <w:rPr>
          <w:sz w:val="22"/>
          <w:szCs w:val="22"/>
        </w:rPr>
        <w:t>dva od navedenih postupaka su započela</w:t>
      </w:r>
      <w:r w:rsidRPr="00D05929">
        <w:rPr>
          <w:sz w:val="22"/>
          <w:szCs w:val="22"/>
        </w:rPr>
        <w:t>)</w:t>
      </w:r>
      <w:r>
        <w:rPr>
          <w:sz w:val="22"/>
          <w:szCs w:val="22"/>
        </w:rPr>
        <w:t xml:space="preserve">. Za jednu od bioloških djelatnih tvari HALMED je kao suizvjestitelj sudjelovao u pripremi izvješća o prikladnosti ubrzanog postupka ocjene. </w:t>
      </w:r>
    </w:p>
    <w:p w14:paraId="361D81B6" w14:textId="77777777" w:rsidR="00D07378" w:rsidRDefault="00D07378" w:rsidP="00D07378">
      <w:pPr>
        <w:pStyle w:val="ListParagraph"/>
        <w:numPr>
          <w:ilvl w:val="0"/>
          <w:numId w:val="13"/>
        </w:numPr>
        <w:spacing w:before="0" w:after="0"/>
        <w:contextualSpacing w:val="0"/>
        <w:jc w:val="both"/>
        <w:rPr>
          <w:sz w:val="22"/>
          <w:szCs w:val="22"/>
        </w:rPr>
      </w:pPr>
      <w:r>
        <w:rPr>
          <w:sz w:val="22"/>
          <w:szCs w:val="22"/>
        </w:rPr>
        <w:t xml:space="preserve">suizvjestitelj u multinacionalnom timu s Češkom u </w:t>
      </w:r>
      <w:r w:rsidRPr="002C31AE">
        <w:rPr>
          <w:sz w:val="22"/>
          <w:szCs w:val="22"/>
        </w:rPr>
        <w:t xml:space="preserve">centraliziranom postupku odobravanja </w:t>
      </w:r>
      <w:r>
        <w:rPr>
          <w:sz w:val="22"/>
          <w:szCs w:val="22"/>
        </w:rPr>
        <w:t>biosličnog lijeka i njegovog lijeka-duplikata (postupci nisu</w:t>
      </w:r>
      <w:r w:rsidRPr="002C31AE">
        <w:rPr>
          <w:sz w:val="22"/>
          <w:szCs w:val="22"/>
        </w:rPr>
        <w:t xml:space="preserve"> započe</w:t>
      </w:r>
      <w:r>
        <w:rPr>
          <w:sz w:val="22"/>
          <w:szCs w:val="22"/>
        </w:rPr>
        <w:t>li</w:t>
      </w:r>
      <w:r w:rsidRPr="002C31AE">
        <w:rPr>
          <w:sz w:val="22"/>
          <w:szCs w:val="22"/>
        </w:rPr>
        <w:t>).</w:t>
      </w:r>
    </w:p>
    <w:p w14:paraId="2505FC95" w14:textId="77777777" w:rsidR="00D07378" w:rsidRDefault="00D07378" w:rsidP="00D07378">
      <w:pPr>
        <w:pStyle w:val="ListParagraph"/>
        <w:numPr>
          <w:ilvl w:val="0"/>
          <w:numId w:val="13"/>
        </w:numPr>
        <w:rPr>
          <w:sz w:val="22"/>
          <w:szCs w:val="22"/>
        </w:rPr>
      </w:pPr>
      <w:r w:rsidRPr="002C31AE">
        <w:rPr>
          <w:sz w:val="22"/>
          <w:szCs w:val="22"/>
        </w:rPr>
        <w:t xml:space="preserve">suizvjestitelj </w:t>
      </w:r>
      <w:r>
        <w:rPr>
          <w:sz w:val="22"/>
          <w:szCs w:val="22"/>
        </w:rPr>
        <w:t xml:space="preserve">u </w:t>
      </w:r>
      <w:r w:rsidRPr="002C31AE">
        <w:rPr>
          <w:sz w:val="22"/>
          <w:szCs w:val="22"/>
        </w:rPr>
        <w:t>multinacionalnom timu sa Slovenijom u centraliziranom</w:t>
      </w:r>
      <w:r>
        <w:rPr>
          <w:sz w:val="22"/>
          <w:szCs w:val="22"/>
        </w:rPr>
        <w:t xml:space="preserve"> postupku odobravanja biološkog</w:t>
      </w:r>
      <w:r w:rsidRPr="002C31AE">
        <w:rPr>
          <w:sz w:val="22"/>
          <w:szCs w:val="22"/>
        </w:rPr>
        <w:t xml:space="preserve"> lijeka (</w:t>
      </w:r>
      <w:r>
        <w:rPr>
          <w:sz w:val="22"/>
          <w:szCs w:val="22"/>
        </w:rPr>
        <w:t>podnositelj je u međuvremenu povukao zahtjev</w:t>
      </w:r>
      <w:r w:rsidRPr="002C31AE">
        <w:rPr>
          <w:sz w:val="22"/>
          <w:szCs w:val="22"/>
        </w:rPr>
        <w:t>).</w:t>
      </w:r>
    </w:p>
    <w:p w14:paraId="71B7B552" w14:textId="77777777" w:rsidR="00D07378" w:rsidRDefault="00D07378" w:rsidP="00D07378">
      <w:pPr>
        <w:pStyle w:val="ListParagraph"/>
        <w:numPr>
          <w:ilvl w:val="0"/>
          <w:numId w:val="13"/>
        </w:numPr>
        <w:rPr>
          <w:sz w:val="22"/>
          <w:szCs w:val="22"/>
        </w:rPr>
      </w:pPr>
      <w:r>
        <w:rPr>
          <w:sz w:val="22"/>
          <w:szCs w:val="22"/>
        </w:rPr>
        <w:t>suizvjestitelj u multinacionalnom timu sa Španjolskom u centraliziranom postupku odobravanja biosličnog lijeka (postupak nije započeo).</w:t>
      </w:r>
    </w:p>
    <w:p w14:paraId="2FB3F8C9" w14:textId="77777777" w:rsidR="00D07378" w:rsidRDefault="00D07378" w:rsidP="00D07378">
      <w:pPr>
        <w:pStyle w:val="ListParagraph"/>
        <w:numPr>
          <w:ilvl w:val="0"/>
          <w:numId w:val="13"/>
        </w:numPr>
        <w:rPr>
          <w:sz w:val="22"/>
          <w:szCs w:val="22"/>
        </w:rPr>
      </w:pPr>
      <w:r>
        <w:rPr>
          <w:sz w:val="22"/>
          <w:szCs w:val="22"/>
        </w:rPr>
        <w:t>Izvjestitelj u centraliziranom postupku odobravanja lijeka s novom djelatnom tvari (postupak nije započeo).</w:t>
      </w:r>
    </w:p>
    <w:p w14:paraId="265C0360" w14:textId="77777777" w:rsidR="00D07378" w:rsidRPr="0083444B" w:rsidRDefault="00D07378" w:rsidP="00D07378">
      <w:pPr>
        <w:pStyle w:val="ListParagraph"/>
        <w:numPr>
          <w:ilvl w:val="0"/>
          <w:numId w:val="13"/>
        </w:numPr>
        <w:rPr>
          <w:sz w:val="22"/>
          <w:szCs w:val="22"/>
        </w:rPr>
      </w:pPr>
      <w:r>
        <w:rPr>
          <w:sz w:val="22"/>
          <w:szCs w:val="22"/>
        </w:rPr>
        <w:t>Izvjestitelj u centraliziranom postupku odobravanja generičkog lijeka (postupak nije započeo).</w:t>
      </w:r>
    </w:p>
    <w:p w14:paraId="32FA30E0" w14:textId="77777777" w:rsidR="00D07378" w:rsidRPr="00801A8D" w:rsidRDefault="00D07378" w:rsidP="00D07378">
      <w:pPr>
        <w:spacing w:line="276" w:lineRule="auto"/>
        <w:jc w:val="both"/>
      </w:pPr>
      <w:r w:rsidRPr="00801A8D">
        <w:t>Od centraliziranih postupaka za koje je HALMED bio imenovani izvjestitelj/recenzent od strane EMA-e prije početka 202</w:t>
      </w:r>
      <w:r>
        <w:t>3</w:t>
      </w:r>
      <w:r w:rsidRPr="00801A8D">
        <w:t>. godine, HALMED je</w:t>
      </w:r>
      <w:r>
        <w:t xml:space="preserve"> bio</w:t>
      </w:r>
      <w:r w:rsidRPr="00801A8D">
        <w:t xml:space="preserve"> :</w:t>
      </w:r>
    </w:p>
    <w:p w14:paraId="4331C14A" w14:textId="77777777" w:rsidR="00D07378" w:rsidRDefault="00D07378" w:rsidP="00D07378">
      <w:pPr>
        <w:pStyle w:val="ListParagraph"/>
        <w:numPr>
          <w:ilvl w:val="0"/>
          <w:numId w:val="13"/>
        </w:numPr>
        <w:spacing w:before="0" w:after="0"/>
        <w:contextualSpacing w:val="0"/>
        <w:jc w:val="both"/>
        <w:rPr>
          <w:rFonts w:cstheme="minorHAnsi"/>
          <w:sz w:val="22"/>
          <w:szCs w:val="22"/>
        </w:rPr>
      </w:pPr>
      <w:r>
        <w:rPr>
          <w:rFonts w:cstheme="minorHAnsi"/>
          <w:sz w:val="22"/>
          <w:szCs w:val="22"/>
        </w:rPr>
        <w:t>izvjestitelj u</w:t>
      </w:r>
      <w:r w:rsidRPr="003F01D8">
        <w:rPr>
          <w:rFonts w:cstheme="minorHAnsi"/>
          <w:sz w:val="22"/>
          <w:szCs w:val="22"/>
        </w:rPr>
        <w:t xml:space="preserve"> multinacionalnom timu s</w:t>
      </w:r>
      <w:r>
        <w:rPr>
          <w:rFonts w:cstheme="minorHAnsi"/>
          <w:sz w:val="22"/>
          <w:szCs w:val="22"/>
        </w:rPr>
        <w:t xml:space="preserve">a Slovačkom u </w:t>
      </w:r>
      <w:r w:rsidRPr="00EA71EC">
        <w:rPr>
          <w:rFonts w:cstheme="minorHAnsi"/>
          <w:sz w:val="22"/>
          <w:szCs w:val="22"/>
        </w:rPr>
        <w:t>centraliziran</w:t>
      </w:r>
      <w:r>
        <w:rPr>
          <w:rFonts w:cstheme="minorHAnsi"/>
          <w:sz w:val="22"/>
          <w:szCs w:val="22"/>
        </w:rPr>
        <w:t>om</w:t>
      </w:r>
      <w:r w:rsidRPr="00EA71EC">
        <w:rPr>
          <w:rFonts w:cstheme="minorHAnsi"/>
          <w:sz w:val="22"/>
          <w:szCs w:val="22"/>
        </w:rPr>
        <w:t xml:space="preserve"> postupk</w:t>
      </w:r>
      <w:r>
        <w:rPr>
          <w:rFonts w:cstheme="minorHAnsi"/>
          <w:sz w:val="22"/>
          <w:szCs w:val="22"/>
        </w:rPr>
        <w:t>u</w:t>
      </w:r>
      <w:r w:rsidRPr="00EA71EC">
        <w:rPr>
          <w:rFonts w:cstheme="minorHAnsi"/>
          <w:sz w:val="22"/>
          <w:szCs w:val="22"/>
        </w:rPr>
        <w:t xml:space="preserve"> odobravanja </w:t>
      </w:r>
      <w:r>
        <w:rPr>
          <w:rFonts w:cstheme="minorHAnsi"/>
          <w:sz w:val="22"/>
          <w:szCs w:val="22"/>
        </w:rPr>
        <w:t xml:space="preserve">tzv. hibridnog </w:t>
      </w:r>
      <w:r w:rsidRPr="00EA71EC">
        <w:rPr>
          <w:rFonts w:cstheme="minorHAnsi"/>
          <w:sz w:val="22"/>
          <w:szCs w:val="22"/>
        </w:rPr>
        <w:t>lijeka (postup</w:t>
      </w:r>
      <w:r>
        <w:rPr>
          <w:rFonts w:cstheme="minorHAnsi"/>
          <w:sz w:val="22"/>
          <w:szCs w:val="22"/>
        </w:rPr>
        <w:t>ak</w:t>
      </w:r>
      <w:r w:rsidRPr="00EA71EC">
        <w:rPr>
          <w:rFonts w:cstheme="minorHAnsi"/>
          <w:sz w:val="22"/>
          <w:szCs w:val="22"/>
        </w:rPr>
        <w:t xml:space="preserve"> </w:t>
      </w:r>
      <w:r>
        <w:rPr>
          <w:rFonts w:cstheme="minorHAnsi"/>
          <w:sz w:val="22"/>
          <w:szCs w:val="22"/>
        </w:rPr>
        <w:t>završen</w:t>
      </w:r>
      <w:r w:rsidRPr="00EA71EC">
        <w:rPr>
          <w:rFonts w:cstheme="minorHAnsi"/>
          <w:sz w:val="22"/>
          <w:szCs w:val="22"/>
        </w:rPr>
        <w:t>)</w:t>
      </w:r>
    </w:p>
    <w:p w14:paraId="66D10B66" w14:textId="77777777" w:rsidR="00D07378" w:rsidRDefault="00D07378" w:rsidP="00D07378">
      <w:pPr>
        <w:pStyle w:val="ListParagraph"/>
        <w:numPr>
          <w:ilvl w:val="0"/>
          <w:numId w:val="13"/>
        </w:numPr>
        <w:spacing w:before="0" w:after="0"/>
        <w:contextualSpacing w:val="0"/>
        <w:jc w:val="both"/>
        <w:rPr>
          <w:rFonts w:cstheme="minorHAnsi"/>
          <w:sz w:val="22"/>
          <w:szCs w:val="22"/>
        </w:rPr>
      </w:pPr>
      <w:r>
        <w:rPr>
          <w:rFonts w:cstheme="minorHAnsi"/>
          <w:sz w:val="22"/>
          <w:szCs w:val="22"/>
        </w:rPr>
        <w:t xml:space="preserve">izvjestitelj u  tri </w:t>
      </w:r>
      <w:r w:rsidRPr="00EA71EC">
        <w:rPr>
          <w:rFonts w:cstheme="minorHAnsi"/>
          <w:sz w:val="22"/>
          <w:szCs w:val="22"/>
        </w:rPr>
        <w:t>centraliziran</w:t>
      </w:r>
      <w:r>
        <w:rPr>
          <w:rFonts w:cstheme="minorHAnsi"/>
          <w:sz w:val="22"/>
          <w:szCs w:val="22"/>
        </w:rPr>
        <w:t>a</w:t>
      </w:r>
      <w:r w:rsidRPr="00EA71EC">
        <w:rPr>
          <w:rFonts w:cstheme="minorHAnsi"/>
          <w:sz w:val="22"/>
          <w:szCs w:val="22"/>
        </w:rPr>
        <w:t xml:space="preserve"> postupk</w:t>
      </w:r>
      <w:r>
        <w:rPr>
          <w:rFonts w:cstheme="minorHAnsi"/>
          <w:sz w:val="22"/>
          <w:szCs w:val="22"/>
        </w:rPr>
        <w:t>a</w:t>
      </w:r>
      <w:r w:rsidRPr="00EA71EC">
        <w:rPr>
          <w:rFonts w:cstheme="minorHAnsi"/>
          <w:sz w:val="22"/>
          <w:szCs w:val="22"/>
        </w:rPr>
        <w:t xml:space="preserve"> odobravanja </w:t>
      </w:r>
      <w:r>
        <w:rPr>
          <w:rFonts w:cstheme="minorHAnsi"/>
          <w:sz w:val="22"/>
          <w:szCs w:val="22"/>
        </w:rPr>
        <w:t xml:space="preserve">generičkog </w:t>
      </w:r>
      <w:r w:rsidRPr="00EA71EC">
        <w:rPr>
          <w:rFonts w:cstheme="minorHAnsi"/>
          <w:sz w:val="22"/>
          <w:szCs w:val="22"/>
        </w:rPr>
        <w:t>lijeka (</w:t>
      </w:r>
      <w:r>
        <w:rPr>
          <w:rFonts w:cstheme="minorHAnsi"/>
          <w:sz w:val="22"/>
          <w:szCs w:val="22"/>
        </w:rPr>
        <w:t xml:space="preserve">jedan je </w:t>
      </w:r>
      <w:r w:rsidRPr="00EA71EC">
        <w:rPr>
          <w:rFonts w:cstheme="minorHAnsi"/>
          <w:sz w:val="22"/>
          <w:szCs w:val="22"/>
        </w:rPr>
        <w:t>postup</w:t>
      </w:r>
      <w:r>
        <w:rPr>
          <w:rFonts w:cstheme="minorHAnsi"/>
          <w:sz w:val="22"/>
          <w:szCs w:val="22"/>
        </w:rPr>
        <w:t>ak</w:t>
      </w:r>
      <w:r w:rsidRPr="00EA71EC">
        <w:rPr>
          <w:rFonts w:cstheme="minorHAnsi"/>
          <w:sz w:val="22"/>
          <w:szCs w:val="22"/>
        </w:rPr>
        <w:t xml:space="preserve"> </w:t>
      </w:r>
      <w:r>
        <w:rPr>
          <w:rFonts w:cstheme="minorHAnsi"/>
          <w:sz w:val="22"/>
          <w:szCs w:val="22"/>
        </w:rPr>
        <w:t>završen, za drugi je ocjena započela, a treći postupak je prekinut jer je podnositelj povukao zahtjev</w:t>
      </w:r>
      <w:r w:rsidRPr="00EA71EC">
        <w:rPr>
          <w:rFonts w:cstheme="minorHAnsi"/>
          <w:sz w:val="22"/>
          <w:szCs w:val="22"/>
        </w:rPr>
        <w:t>)</w:t>
      </w:r>
    </w:p>
    <w:p w14:paraId="7CAF27E2" w14:textId="77777777" w:rsidR="00D07378" w:rsidRPr="006240EC" w:rsidRDefault="00D07378" w:rsidP="00D07378">
      <w:pPr>
        <w:pStyle w:val="ListParagraph"/>
        <w:numPr>
          <w:ilvl w:val="0"/>
          <w:numId w:val="13"/>
        </w:numPr>
        <w:spacing w:before="0" w:after="0"/>
        <w:contextualSpacing w:val="0"/>
        <w:jc w:val="both"/>
        <w:rPr>
          <w:rFonts w:cstheme="minorHAnsi"/>
          <w:sz w:val="22"/>
          <w:szCs w:val="22"/>
        </w:rPr>
      </w:pPr>
      <w:r>
        <w:rPr>
          <w:rFonts w:cstheme="minorHAnsi"/>
          <w:sz w:val="22"/>
          <w:szCs w:val="22"/>
        </w:rPr>
        <w:t>izvjestitelj u dva centralizirana postupka obnove odobrenja za generički lijek (postupci završeni), te šest izmjena za generički lijek (postupci završeni za četiri izmjene, a za dvije su u tijeku)</w:t>
      </w:r>
    </w:p>
    <w:p w14:paraId="669A1584" w14:textId="77777777" w:rsidR="00D07378" w:rsidRPr="00EA71EC" w:rsidRDefault="00D07378" w:rsidP="00D07378">
      <w:pPr>
        <w:pStyle w:val="ListParagraph"/>
        <w:numPr>
          <w:ilvl w:val="0"/>
          <w:numId w:val="13"/>
        </w:numPr>
        <w:spacing w:before="0" w:after="0"/>
        <w:contextualSpacing w:val="0"/>
        <w:jc w:val="both"/>
        <w:rPr>
          <w:rFonts w:cstheme="minorHAnsi"/>
          <w:sz w:val="22"/>
          <w:szCs w:val="22"/>
        </w:rPr>
      </w:pPr>
      <w:r w:rsidRPr="00EA71EC">
        <w:rPr>
          <w:rFonts w:cstheme="minorHAnsi"/>
          <w:sz w:val="22"/>
          <w:szCs w:val="22"/>
        </w:rPr>
        <w:t xml:space="preserve">suizvjestitelj u </w:t>
      </w:r>
      <w:r>
        <w:rPr>
          <w:rFonts w:cstheme="minorHAnsi"/>
          <w:sz w:val="22"/>
          <w:szCs w:val="22"/>
        </w:rPr>
        <w:t xml:space="preserve">7 </w:t>
      </w:r>
      <w:r w:rsidRPr="00EA71EC">
        <w:rPr>
          <w:rFonts w:cstheme="minorHAnsi"/>
          <w:sz w:val="22"/>
          <w:szCs w:val="22"/>
        </w:rPr>
        <w:t>centraliziran</w:t>
      </w:r>
      <w:r>
        <w:rPr>
          <w:rFonts w:cstheme="minorHAnsi"/>
          <w:sz w:val="22"/>
          <w:szCs w:val="22"/>
        </w:rPr>
        <w:t>ih</w:t>
      </w:r>
      <w:r w:rsidRPr="00EA71EC">
        <w:rPr>
          <w:rFonts w:cstheme="minorHAnsi"/>
          <w:sz w:val="22"/>
          <w:szCs w:val="22"/>
        </w:rPr>
        <w:t xml:space="preserve"> postupka odobravanja lijeka s novom djelatnom tvari</w:t>
      </w:r>
      <w:r>
        <w:rPr>
          <w:rFonts w:cstheme="minorHAnsi"/>
          <w:sz w:val="22"/>
          <w:szCs w:val="22"/>
        </w:rPr>
        <w:t xml:space="preserve">, od kojih su dvije biološke  </w:t>
      </w:r>
      <w:r w:rsidRPr="00EA71EC">
        <w:rPr>
          <w:rFonts w:cstheme="minorHAnsi"/>
          <w:sz w:val="22"/>
          <w:szCs w:val="22"/>
        </w:rPr>
        <w:t>(</w:t>
      </w:r>
      <w:r>
        <w:rPr>
          <w:rFonts w:cstheme="minorHAnsi"/>
          <w:sz w:val="22"/>
          <w:szCs w:val="22"/>
        </w:rPr>
        <w:t>tri postupka završena, četiri u tijeku</w:t>
      </w:r>
      <w:r w:rsidRPr="00EA71EC">
        <w:rPr>
          <w:rFonts w:cstheme="minorHAnsi"/>
          <w:sz w:val="22"/>
          <w:szCs w:val="22"/>
        </w:rPr>
        <w:t>)</w:t>
      </w:r>
    </w:p>
    <w:p w14:paraId="40385214" w14:textId="77777777" w:rsidR="00D07378" w:rsidRDefault="00D07378" w:rsidP="00D07378">
      <w:pPr>
        <w:pStyle w:val="ListParagraph"/>
        <w:numPr>
          <w:ilvl w:val="0"/>
          <w:numId w:val="13"/>
        </w:numPr>
        <w:spacing w:before="0" w:after="0"/>
        <w:contextualSpacing w:val="0"/>
        <w:jc w:val="both"/>
        <w:rPr>
          <w:rFonts w:cstheme="minorHAnsi"/>
          <w:sz w:val="22"/>
          <w:szCs w:val="22"/>
        </w:rPr>
      </w:pPr>
      <w:r w:rsidRPr="00EA71EC">
        <w:rPr>
          <w:rFonts w:cstheme="minorHAnsi"/>
          <w:sz w:val="22"/>
          <w:szCs w:val="22"/>
        </w:rPr>
        <w:t>suizvjestitelj u multinacionalnom timu s</w:t>
      </w:r>
      <w:r>
        <w:rPr>
          <w:rFonts w:cstheme="minorHAnsi"/>
          <w:sz w:val="22"/>
          <w:szCs w:val="22"/>
        </w:rPr>
        <w:t xml:space="preserve"> Češkom</w:t>
      </w:r>
      <w:r w:rsidRPr="00EA71EC">
        <w:rPr>
          <w:rFonts w:cstheme="minorHAnsi"/>
          <w:sz w:val="22"/>
          <w:szCs w:val="22"/>
        </w:rPr>
        <w:t xml:space="preserve"> u jednom centraliziranom postupku odobravanja lijeka s novom djelatnom tvari (postupak </w:t>
      </w:r>
      <w:r>
        <w:rPr>
          <w:rFonts w:cstheme="minorHAnsi"/>
          <w:sz w:val="22"/>
          <w:szCs w:val="22"/>
        </w:rPr>
        <w:t>završen</w:t>
      </w:r>
      <w:r w:rsidRPr="00EA71EC">
        <w:rPr>
          <w:rFonts w:cstheme="minorHAnsi"/>
          <w:sz w:val="22"/>
          <w:szCs w:val="22"/>
        </w:rPr>
        <w:t>)</w:t>
      </w:r>
    </w:p>
    <w:p w14:paraId="4BB19D09" w14:textId="77777777" w:rsidR="00D07378" w:rsidRDefault="00D07378" w:rsidP="00D07378">
      <w:pPr>
        <w:pStyle w:val="ListParagraph"/>
        <w:numPr>
          <w:ilvl w:val="0"/>
          <w:numId w:val="13"/>
        </w:numPr>
        <w:spacing w:before="0" w:after="0"/>
        <w:contextualSpacing w:val="0"/>
        <w:jc w:val="both"/>
        <w:rPr>
          <w:rFonts w:cstheme="minorHAnsi"/>
          <w:sz w:val="22"/>
          <w:szCs w:val="22"/>
        </w:rPr>
      </w:pPr>
      <w:r>
        <w:rPr>
          <w:rFonts w:cstheme="minorHAnsi"/>
          <w:sz w:val="22"/>
          <w:szCs w:val="22"/>
        </w:rPr>
        <w:t>suizvjestitelj u multinacionalnom timu sa Slovačkom u jednom centraliziranom postupku odobravanja biosličnog lijeka (postupak završen)</w:t>
      </w:r>
    </w:p>
    <w:p w14:paraId="77E23EF4" w14:textId="77777777" w:rsidR="00D07378" w:rsidRDefault="00D07378" w:rsidP="00D07378">
      <w:pPr>
        <w:pStyle w:val="ListParagraph"/>
        <w:numPr>
          <w:ilvl w:val="0"/>
          <w:numId w:val="13"/>
        </w:numPr>
        <w:spacing w:before="0" w:after="0"/>
        <w:contextualSpacing w:val="0"/>
        <w:jc w:val="both"/>
        <w:rPr>
          <w:rFonts w:cstheme="minorHAnsi"/>
          <w:sz w:val="22"/>
          <w:szCs w:val="22"/>
        </w:rPr>
      </w:pPr>
      <w:r>
        <w:rPr>
          <w:rFonts w:cstheme="minorHAnsi"/>
          <w:sz w:val="22"/>
          <w:szCs w:val="22"/>
        </w:rPr>
        <w:t>suizvjestitelj u multinacionalnom timu s Francuskom i Italijom u jednom centraliziranom postupku odobravanja biološkog lijeka (postupak u tijeku)</w:t>
      </w:r>
    </w:p>
    <w:p w14:paraId="3D960AEE" w14:textId="77777777" w:rsidR="00D07378" w:rsidRDefault="00D07378" w:rsidP="00D07378">
      <w:pPr>
        <w:pStyle w:val="ListParagraph"/>
        <w:numPr>
          <w:ilvl w:val="0"/>
          <w:numId w:val="13"/>
        </w:numPr>
        <w:spacing w:before="0" w:after="0"/>
        <w:contextualSpacing w:val="0"/>
        <w:jc w:val="both"/>
        <w:rPr>
          <w:rFonts w:cstheme="minorHAnsi"/>
          <w:sz w:val="22"/>
          <w:szCs w:val="22"/>
        </w:rPr>
      </w:pPr>
      <w:r>
        <w:rPr>
          <w:rFonts w:cstheme="minorHAnsi"/>
          <w:sz w:val="22"/>
          <w:szCs w:val="22"/>
        </w:rPr>
        <w:t>suizvjestitelj u multinacionalnom timu s Češkom u jednom centraliziranom postupku odobravanja biološkog lijeka (postupak završen)</w:t>
      </w:r>
    </w:p>
    <w:p w14:paraId="402E22B4" w14:textId="77777777" w:rsidR="00D07378" w:rsidRPr="00CA1C96" w:rsidRDefault="00D07378" w:rsidP="00D07378">
      <w:pPr>
        <w:pStyle w:val="ListParagraph"/>
        <w:numPr>
          <w:ilvl w:val="0"/>
          <w:numId w:val="13"/>
        </w:numPr>
        <w:spacing w:before="0" w:after="0"/>
        <w:contextualSpacing w:val="0"/>
        <w:jc w:val="both"/>
        <w:rPr>
          <w:rFonts w:cstheme="minorHAnsi"/>
          <w:sz w:val="22"/>
          <w:szCs w:val="22"/>
        </w:rPr>
      </w:pPr>
      <w:r w:rsidRPr="00CA1C96">
        <w:rPr>
          <w:rFonts w:cstheme="minorHAnsi"/>
          <w:sz w:val="22"/>
          <w:szCs w:val="22"/>
        </w:rPr>
        <w:t>suizvjestitelj u multinacionalnom timu s Norveškom u jednom centraliziranom postupku odobravanja biološkog lijeka (postupak u tijeku)</w:t>
      </w:r>
    </w:p>
    <w:p w14:paraId="44F62FDA" w14:textId="77777777" w:rsidR="00D07378" w:rsidRDefault="00D07378" w:rsidP="00D07378">
      <w:pPr>
        <w:pStyle w:val="ListParagraph"/>
        <w:numPr>
          <w:ilvl w:val="0"/>
          <w:numId w:val="13"/>
        </w:numPr>
        <w:spacing w:before="0" w:after="0"/>
        <w:contextualSpacing w:val="0"/>
        <w:jc w:val="both"/>
        <w:rPr>
          <w:rFonts w:cstheme="minorHAnsi"/>
          <w:sz w:val="22"/>
          <w:szCs w:val="22"/>
        </w:rPr>
      </w:pPr>
      <w:r w:rsidRPr="00EA71EC">
        <w:rPr>
          <w:rFonts w:cstheme="minorHAnsi"/>
          <w:sz w:val="22"/>
          <w:szCs w:val="22"/>
        </w:rPr>
        <w:t xml:space="preserve">suizvjestitelj u </w:t>
      </w:r>
      <w:r>
        <w:rPr>
          <w:rFonts w:cstheme="minorHAnsi"/>
          <w:sz w:val="22"/>
          <w:szCs w:val="22"/>
        </w:rPr>
        <w:t>dva centralizirana postupka</w:t>
      </w:r>
      <w:r w:rsidRPr="00EA71EC">
        <w:rPr>
          <w:rFonts w:cstheme="minorHAnsi"/>
          <w:sz w:val="22"/>
          <w:szCs w:val="22"/>
        </w:rPr>
        <w:t xml:space="preserve"> odobravanja </w:t>
      </w:r>
      <w:r>
        <w:rPr>
          <w:rFonts w:cstheme="minorHAnsi"/>
          <w:sz w:val="22"/>
          <w:szCs w:val="22"/>
        </w:rPr>
        <w:t xml:space="preserve">nove indikacije za odobrenje </w:t>
      </w:r>
      <w:r w:rsidRPr="00EA71EC">
        <w:rPr>
          <w:rFonts w:cstheme="minorHAnsi"/>
          <w:sz w:val="22"/>
          <w:szCs w:val="22"/>
        </w:rPr>
        <w:t>lijeka</w:t>
      </w:r>
      <w:r>
        <w:rPr>
          <w:rFonts w:cstheme="minorHAnsi"/>
          <w:sz w:val="22"/>
          <w:szCs w:val="22"/>
        </w:rPr>
        <w:t xml:space="preserve"> </w:t>
      </w:r>
      <w:r w:rsidRPr="00EA71EC">
        <w:rPr>
          <w:rFonts w:cstheme="minorHAnsi"/>
          <w:sz w:val="22"/>
          <w:szCs w:val="22"/>
        </w:rPr>
        <w:t>(</w:t>
      </w:r>
      <w:r>
        <w:rPr>
          <w:rFonts w:cstheme="minorHAnsi"/>
          <w:sz w:val="22"/>
          <w:szCs w:val="22"/>
        </w:rPr>
        <w:t>jedan postupak  završen, drugi u tijeku</w:t>
      </w:r>
      <w:r w:rsidRPr="00EA71EC">
        <w:rPr>
          <w:rFonts w:cstheme="minorHAnsi"/>
          <w:sz w:val="22"/>
          <w:szCs w:val="22"/>
        </w:rPr>
        <w:t>)</w:t>
      </w:r>
    </w:p>
    <w:p w14:paraId="33969D95" w14:textId="77777777" w:rsidR="00D07378" w:rsidRPr="00801A8D" w:rsidRDefault="00D07378" w:rsidP="00D07378">
      <w:pPr>
        <w:pStyle w:val="ListParagraph"/>
        <w:spacing w:before="0" w:after="0"/>
        <w:contextualSpacing w:val="0"/>
      </w:pPr>
    </w:p>
    <w:p w14:paraId="3428195F" w14:textId="77777777" w:rsidR="00D07378" w:rsidRDefault="00D07378" w:rsidP="00D07378">
      <w:pPr>
        <w:pStyle w:val="ListParagraph"/>
        <w:spacing w:before="0" w:after="0"/>
        <w:ind w:left="0"/>
        <w:contextualSpacing w:val="0"/>
        <w:jc w:val="both"/>
        <w:rPr>
          <w:sz w:val="22"/>
          <w:szCs w:val="22"/>
        </w:rPr>
      </w:pPr>
      <w:r w:rsidRPr="00801A8D">
        <w:rPr>
          <w:sz w:val="22"/>
          <w:szCs w:val="22"/>
        </w:rPr>
        <w:t>Izvršenje prihodovnih poslova pri CHMP-u prikazano je u Tablici 1. (R.br. 1.5.).</w:t>
      </w:r>
    </w:p>
    <w:p w14:paraId="01622CDA" w14:textId="77777777" w:rsidR="00D07378" w:rsidRPr="00801A8D" w:rsidRDefault="00D07378" w:rsidP="00D07378">
      <w:pPr>
        <w:pStyle w:val="ListParagraph"/>
        <w:spacing w:before="0" w:after="0"/>
        <w:ind w:left="0"/>
        <w:contextualSpacing w:val="0"/>
        <w:jc w:val="both"/>
      </w:pPr>
    </w:p>
    <w:p w14:paraId="2E5F6AC8" w14:textId="77777777" w:rsidR="00D07378" w:rsidRPr="00801A8D" w:rsidRDefault="00D07378" w:rsidP="00D07378">
      <w:pPr>
        <w:spacing w:line="276" w:lineRule="auto"/>
        <w:jc w:val="both"/>
        <w:rPr>
          <w:b/>
        </w:rPr>
      </w:pPr>
      <w:r w:rsidRPr="00801A8D">
        <w:rPr>
          <w:b/>
        </w:rPr>
        <w:t>Radne skupine CHMP-a</w:t>
      </w:r>
    </w:p>
    <w:p w14:paraId="1D904E5B" w14:textId="77777777" w:rsidR="00D07378" w:rsidRPr="00801A8D" w:rsidRDefault="00D07378" w:rsidP="00D07378">
      <w:pPr>
        <w:spacing w:line="276" w:lineRule="auto"/>
        <w:jc w:val="both"/>
        <w:rPr>
          <w:b/>
        </w:rPr>
      </w:pPr>
    </w:p>
    <w:p w14:paraId="441AB3EA" w14:textId="77777777" w:rsidR="00D07378" w:rsidRPr="0099568E" w:rsidRDefault="00D07378" w:rsidP="00D07378">
      <w:pPr>
        <w:spacing w:line="276" w:lineRule="auto"/>
        <w:jc w:val="both"/>
      </w:pPr>
      <w:r w:rsidRPr="00801A8D">
        <w:t xml:space="preserve">Radne skupine CHMP-a pružaju potporu u znanstvenom, regulatornom i organizacijskom dijelu poslova CHMP-a te drugih povjerenstava EMA-e i radnih skupina. Poslovi radnih skupina CHMP-a obuhvaćaju: izradu/izmjenu EU i ICH smjernica, stručnu potporu procesu razvoja i evaluacije lijeka (priprema odgovora </w:t>
      </w:r>
      <w:r w:rsidRPr="00801A8D">
        <w:lastRenderedPageBreak/>
        <w:t>na upite), stručnu potporu relevantnim EU institucijama i projektima, suradnju s FDA i PMDA (Japan), edukaciju ocjenitelja, suradnju sa stručnim društvima i zdravstvenim ustanovama, publikacije stručnih članaka, te druge poslove na zahtjev CHMP-a.</w:t>
      </w:r>
      <w:r>
        <w:t xml:space="preserve"> </w:t>
      </w:r>
    </w:p>
    <w:p w14:paraId="4F74F8B4" w14:textId="77777777" w:rsidR="00D07378" w:rsidRPr="0099568E" w:rsidRDefault="00D07378" w:rsidP="00D07378">
      <w:pPr>
        <w:spacing w:line="276" w:lineRule="auto"/>
        <w:jc w:val="both"/>
      </w:pPr>
    </w:p>
    <w:p w14:paraId="5575E7B5" w14:textId="77777777" w:rsidR="00D07378" w:rsidRPr="00876025" w:rsidRDefault="00D07378" w:rsidP="00D07378">
      <w:pPr>
        <w:spacing w:line="276" w:lineRule="auto"/>
        <w:jc w:val="both"/>
        <w:rPr>
          <w:rStyle w:val="Strong"/>
          <w:b w:val="0"/>
          <w:i/>
          <w:color w:val="FFFFFF" w:themeColor="background1"/>
          <w:sz w:val="28"/>
          <w:szCs w:val="28"/>
          <w:lang w:val="en"/>
        </w:rPr>
      </w:pPr>
      <w:r w:rsidRPr="00AD7C2E">
        <w:rPr>
          <w:b/>
        </w:rPr>
        <w:t xml:space="preserve">A-I) Radna skupina za znanstveni savjet </w:t>
      </w:r>
      <w:r w:rsidRPr="00876025">
        <w:rPr>
          <w:rStyle w:val="Strong"/>
          <w:lang w:val="en"/>
        </w:rPr>
        <w:t>(</w:t>
      </w:r>
      <w:r w:rsidRPr="00876025">
        <w:rPr>
          <w:rStyle w:val="Strong"/>
          <w:i/>
          <w:lang w:val="en"/>
        </w:rPr>
        <w:t xml:space="preserve">Scientific Advice Working Party, SAWP) </w:t>
      </w:r>
    </w:p>
    <w:p w14:paraId="2746EE30" w14:textId="77777777" w:rsidR="00D07378" w:rsidRPr="0079660C" w:rsidRDefault="00D07378" w:rsidP="00D07378">
      <w:pPr>
        <w:spacing w:line="276" w:lineRule="auto"/>
        <w:jc w:val="both"/>
        <w:rPr>
          <w:rStyle w:val="Strong"/>
          <w:b w:val="0"/>
        </w:rPr>
      </w:pPr>
      <w:r w:rsidRPr="00136B03">
        <w:rPr>
          <w:rStyle w:val="Strong"/>
          <w:b w:val="0"/>
        </w:rPr>
        <w:t xml:space="preserve">SAWP daje znanstvene savjete o pitanjima vezanim uz razvoj lijekova u područjima koja se odnose na kakvoću lijeka, neklinički i klinički razvoj lijekova te značajnu korist lijekova za liječenje rijetkih i teških bolesti. Specifična područja za koja ova multidisciplinarna skupina pruža znanstveni savjet obuhvaćaju područja razvoja lijekova kao što su farmakokinetika, metodologija i statistika te terapijska područja za koja se često traži znanstveni savjet, kao što su onkologija, imunologija/reumatologija, kardiovaskularni poremećaji, dijabetes, neurodegenerativni poremećaji, infektivne bolesti i hematologija. U SAWP-u Hrvatska ima </w:t>
      </w:r>
      <w:r>
        <w:rPr>
          <w:rStyle w:val="Strong"/>
          <w:b w:val="0"/>
        </w:rPr>
        <w:t xml:space="preserve">jednog </w:t>
      </w:r>
      <w:r w:rsidRPr="00136B03">
        <w:rPr>
          <w:rStyle w:val="Strong"/>
          <w:b w:val="0"/>
        </w:rPr>
        <w:t>predstavnika HALMED-a</w:t>
      </w:r>
      <w:r>
        <w:rPr>
          <w:rStyle w:val="Strong"/>
          <w:b w:val="0"/>
        </w:rPr>
        <w:t>; člana</w:t>
      </w:r>
      <w:r w:rsidRPr="00136B03">
        <w:rPr>
          <w:rStyle w:val="Strong"/>
          <w:b w:val="0"/>
        </w:rPr>
        <w:t xml:space="preserve"> </w:t>
      </w:r>
      <w:r w:rsidRPr="0079660C">
        <w:rPr>
          <w:rFonts w:eastAsia="Times New Roman" w:cstheme="minorHAnsi"/>
        </w:rPr>
        <w:t>(vanjski stručnjak HALMED-a</w:t>
      </w:r>
      <w:r w:rsidRPr="00136B03">
        <w:rPr>
          <w:rFonts w:eastAsia="Times New Roman" w:cstheme="minorHAnsi"/>
          <w:b/>
        </w:rPr>
        <w:t>)</w:t>
      </w:r>
      <w:r w:rsidRPr="00136B03">
        <w:rPr>
          <w:rStyle w:val="Strong"/>
          <w:b w:val="0"/>
        </w:rPr>
        <w:t>.</w:t>
      </w:r>
    </w:p>
    <w:p w14:paraId="672C5C56" w14:textId="77777777" w:rsidR="00D07378" w:rsidRDefault="00D07378" w:rsidP="00D07378">
      <w:pPr>
        <w:spacing w:line="276" w:lineRule="auto"/>
        <w:jc w:val="both"/>
        <w:rPr>
          <w:bCs/>
        </w:rPr>
      </w:pPr>
    </w:p>
    <w:p w14:paraId="2BDF3239" w14:textId="77777777" w:rsidR="00D07378" w:rsidRDefault="00D07378" w:rsidP="00D07378">
      <w:pPr>
        <w:spacing w:line="276" w:lineRule="auto"/>
        <w:jc w:val="both"/>
        <w:rPr>
          <w:bCs/>
        </w:rPr>
      </w:pPr>
    </w:p>
    <w:p w14:paraId="2C968C86" w14:textId="77777777" w:rsidR="00D07378" w:rsidRPr="00DD58F0" w:rsidRDefault="00D07378" w:rsidP="00D07378">
      <w:pPr>
        <w:spacing w:line="276" w:lineRule="auto"/>
        <w:jc w:val="both"/>
        <w:rPr>
          <w:b/>
          <w:i/>
        </w:rPr>
      </w:pPr>
      <w:r w:rsidRPr="00EF527F">
        <w:rPr>
          <w:b/>
        </w:rPr>
        <w:t>A-II) Radna skupina za biološke lijekove (</w:t>
      </w:r>
      <w:r w:rsidRPr="00EF527F">
        <w:rPr>
          <w:b/>
          <w:i/>
        </w:rPr>
        <w:t>Biologics Working Party, BWP)</w:t>
      </w:r>
    </w:p>
    <w:p w14:paraId="2699C606" w14:textId="77777777" w:rsidR="00D07378" w:rsidRPr="00E5700A" w:rsidRDefault="00D07378" w:rsidP="00D07378">
      <w:pPr>
        <w:pStyle w:val="HTMLPreformatted"/>
        <w:shd w:val="clear" w:color="auto" w:fill="FFFFFF"/>
        <w:spacing w:line="276" w:lineRule="auto"/>
        <w:jc w:val="both"/>
        <w:rPr>
          <w:rFonts w:asciiTheme="minorHAnsi" w:hAnsiTheme="minorHAnsi" w:cstheme="minorHAnsi"/>
          <w:sz w:val="22"/>
          <w:szCs w:val="22"/>
        </w:rPr>
      </w:pPr>
      <w:r>
        <w:rPr>
          <w:rFonts w:asciiTheme="minorHAnsi" w:hAnsiTheme="minorHAnsi"/>
          <w:color w:val="212121"/>
          <w:sz w:val="22"/>
          <w:szCs w:val="22"/>
        </w:rPr>
        <w:t xml:space="preserve">BWP </w:t>
      </w:r>
      <w:r w:rsidRPr="00935385">
        <w:rPr>
          <w:rFonts w:asciiTheme="minorHAnsi" w:hAnsiTheme="minorHAnsi"/>
          <w:color w:val="212121"/>
          <w:sz w:val="22"/>
          <w:szCs w:val="22"/>
        </w:rPr>
        <w:t xml:space="preserve">daje preporuke znanstvenim povjerenstvima EMA-e o svim pitanjima koja se odnose na kakvoću i sigurnost bioloških lijekova. BWP daje podršku CHMP-u kako bi se </w:t>
      </w:r>
      <w:r>
        <w:rPr>
          <w:rFonts w:asciiTheme="minorHAnsi" w:hAnsiTheme="minorHAnsi"/>
          <w:color w:val="212121"/>
          <w:sz w:val="22"/>
          <w:szCs w:val="22"/>
        </w:rPr>
        <w:t>postigla</w:t>
      </w:r>
      <w:r w:rsidRPr="00935385">
        <w:rPr>
          <w:rFonts w:asciiTheme="minorHAnsi" w:hAnsiTheme="minorHAnsi"/>
          <w:color w:val="212121"/>
          <w:sz w:val="22"/>
          <w:szCs w:val="22"/>
        </w:rPr>
        <w:t xml:space="preserve"> dosljednost u ocjeni odnosno koherentnost CHMP mišljenja. </w:t>
      </w:r>
      <w:r w:rsidRPr="00935385">
        <w:rPr>
          <w:rFonts w:asciiTheme="minorHAnsi" w:hAnsiTheme="minorHAnsi" w:cstheme="minorHAnsi"/>
          <w:sz w:val="22"/>
          <w:szCs w:val="22"/>
        </w:rPr>
        <w:t xml:space="preserve">U </w:t>
      </w:r>
      <w:r w:rsidRPr="00832ADC">
        <w:rPr>
          <w:rFonts w:asciiTheme="minorHAnsi" w:hAnsiTheme="minorHAnsi" w:cstheme="minorHAnsi"/>
          <w:sz w:val="22"/>
          <w:szCs w:val="22"/>
        </w:rPr>
        <w:t xml:space="preserve">radnoj skupini </w:t>
      </w:r>
      <w:r w:rsidRPr="00935385">
        <w:rPr>
          <w:rFonts w:asciiTheme="minorHAnsi" w:hAnsiTheme="minorHAnsi" w:cstheme="minorHAnsi"/>
          <w:sz w:val="22"/>
          <w:szCs w:val="22"/>
        </w:rPr>
        <w:t xml:space="preserve">BWP Hrvatska ima </w:t>
      </w:r>
      <w:r>
        <w:rPr>
          <w:rFonts w:asciiTheme="minorHAnsi" w:hAnsiTheme="minorHAnsi" w:cstheme="minorHAnsi"/>
          <w:sz w:val="22"/>
          <w:szCs w:val="22"/>
        </w:rPr>
        <w:t>jednog</w:t>
      </w:r>
      <w:r w:rsidRPr="00935385">
        <w:rPr>
          <w:rFonts w:asciiTheme="minorHAnsi" w:hAnsiTheme="minorHAnsi" w:cstheme="minorHAnsi"/>
          <w:sz w:val="22"/>
          <w:szCs w:val="22"/>
        </w:rPr>
        <w:t xml:space="preserve"> predstavnika HALMED-a</w:t>
      </w:r>
      <w:r>
        <w:rPr>
          <w:rFonts w:asciiTheme="minorHAnsi" w:hAnsiTheme="minorHAnsi" w:cstheme="minorHAnsi"/>
          <w:sz w:val="22"/>
          <w:szCs w:val="22"/>
        </w:rPr>
        <w:t>.</w:t>
      </w:r>
      <w:r w:rsidRPr="00935385">
        <w:rPr>
          <w:rFonts w:asciiTheme="minorHAnsi" w:hAnsiTheme="minorHAnsi" w:cstheme="minorHAnsi"/>
          <w:sz w:val="22"/>
          <w:szCs w:val="22"/>
        </w:rPr>
        <w:t xml:space="preserve"> </w:t>
      </w:r>
      <w:r>
        <w:rPr>
          <w:rFonts w:asciiTheme="minorHAnsi" w:hAnsiTheme="minorHAnsi" w:cstheme="minorHAnsi"/>
          <w:sz w:val="22"/>
          <w:szCs w:val="22"/>
        </w:rPr>
        <w:t>U Radnoj g</w:t>
      </w:r>
      <w:r w:rsidRPr="00935385">
        <w:rPr>
          <w:rFonts w:asciiTheme="minorHAnsi" w:hAnsiTheme="minorHAnsi" w:cstheme="minorHAnsi"/>
          <w:sz w:val="22"/>
          <w:szCs w:val="22"/>
        </w:rPr>
        <w:t xml:space="preserve">rupi za influencu koja je dio Radne </w:t>
      </w:r>
      <w:r w:rsidRPr="00E5700A">
        <w:rPr>
          <w:rFonts w:asciiTheme="minorHAnsi" w:hAnsiTheme="minorHAnsi" w:cstheme="minorHAnsi"/>
          <w:sz w:val="22"/>
          <w:szCs w:val="22"/>
        </w:rPr>
        <w:t>skupin</w:t>
      </w:r>
      <w:r>
        <w:rPr>
          <w:rFonts w:asciiTheme="minorHAnsi" w:hAnsiTheme="minorHAnsi" w:cstheme="minorHAnsi"/>
          <w:sz w:val="22"/>
          <w:szCs w:val="22"/>
        </w:rPr>
        <w:t>i</w:t>
      </w:r>
      <w:r w:rsidRPr="00E5700A">
        <w:rPr>
          <w:rFonts w:asciiTheme="minorHAnsi" w:hAnsiTheme="minorHAnsi" w:cstheme="minorHAnsi"/>
          <w:sz w:val="22"/>
          <w:szCs w:val="22"/>
        </w:rPr>
        <w:t xml:space="preserve"> za biološke lijekove (</w:t>
      </w:r>
      <w:r w:rsidRPr="00E5700A">
        <w:rPr>
          <w:rFonts w:asciiTheme="minorHAnsi" w:hAnsiTheme="minorHAnsi" w:cstheme="minorHAnsi"/>
          <w:i/>
          <w:sz w:val="22"/>
          <w:szCs w:val="22"/>
        </w:rPr>
        <w:t>CHMP Biologics Working Party Ad Hoc Influenza Working Group</w:t>
      </w:r>
      <w:r w:rsidRPr="00774D06">
        <w:rPr>
          <w:rFonts w:asciiTheme="minorHAnsi" w:hAnsiTheme="minorHAnsi" w:cstheme="minorHAnsi"/>
          <w:sz w:val="22"/>
          <w:szCs w:val="22"/>
        </w:rPr>
        <w:t>)</w:t>
      </w:r>
      <w:r>
        <w:rPr>
          <w:rFonts w:asciiTheme="minorHAnsi" w:hAnsiTheme="minorHAnsi" w:cstheme="minorHAnsi"/>
          <w:sz w:val="22"/>
          <w:szCs w:val="22"/>
        </w:rPr>
        <w:t>, Hrvatska također ima jednog predstavnika HALMED-a</w:t>
      </w:r>
      <w:r w:rsidRPr="00205A82">
        <w:rPr>
          <w:rFonts w:asciiTheme="minorHAnsi" w:hAnsiTheme="minorHAnsi" w:cstheme="minorHAnsi"/>
          <w:sz w:val="22"/>
          <w:szCs w:val="22"/>
        </w:rPr>
        <w:t>.</w:t>
      </w:r>
    </w:p>
    <w:p w14:paraId="744EA9BF" w14:textId="77777777" w:rsidR="00D07378" w:rsidRPr="008205A5" w:rsidRDefault="00D07378" w:rsidP="00D07378">
      <w:pPr>
        <w:pStyle w:val="HTMLPreformatted"/>
        <w:shd w:val="clear" w:color="auto" w:fill="FFFFFF"/>
        <w:spacing w:line="276" w:lineRule="auto"/>
        <w:jc w:val="both"/>
        <w:rPr>
          <w:rFonts w:asciiTheme="minorHAnsi" w:hAnsiTheme="minorHAnsi" w:cstheme="minorHAnsi"/>
          <w:sz w:val="22"/>
          <w:szCs w:val="22"/>
        </w:rPr>
      </w:pPr>
    </w:p>
    <w:p w14:paraId="08D2EEDD" w14:textId="77777777" w:rsidR="00D07378" w:rsidRDefault="00D07378" w:rsidP="00D07378">
      <w:pPr>
        <w:pStyle w:val="HTMLPreformatted"/>
        <w:shd w:val="clear" w:color="auto" w:fill="FFFFFF"/>
        <w:spacing w:line="276" w:lineRule="auto"/>
        <w:jc w:val="both"/>
        <w:rPr>
          <w:rFonts w:asciiTheme="minorHAnsi" w:hAnsiTheme="minorHAnsi" w:cstheme="minorHAnsi"/>
          <w:sz w:val="22"/>
          <w:szCs w:val="22"/>
        </w:rPr>
      </w:pPr>
      <w:r w:rsidRPr="00136B03">
        <w:rPr>
          <w:rStyle w:val="Strong"/>
          <w:rFonts w:asciiTheme="minorHAnsi" w:hAnsiTheme="minorHAnsi" w:cstheme="minorHAnsi"/>
          <w:b w:val="0"/>
          <w:sz w:val="22"/>
          <w:szCs w:val="22"/>
        </w:rPr>
        <w:t xml:space="preserve">U </w:t>
      </w:r>
      <w:r>
        <w:rPr>
          <w:rFonts w:asciiTheme="minorHAnsi" w:hAnsiTheme="minorHAnsi" w:cstheme="minorHAnsi"/>
          <w:sz w:val="22"/>
          <w:szCs w:val="22"/>
        </w:rPr>
        <w:t>izvještajnom</w:t>
      </w:r>
      <w:r w:rsidRPr="007F343A">
        <w:rPr>
          <w:rFonts w:asciiTheme="minorHAnsi" w:hAnsiTheme="minorHAnsi" w:cstheme="minorHAnsi"/>
          <w:sz w:val="22"/>
          <w:szCs w:val="22"/>
        </w:rPr>
        <w:t xml:space="preserve"> razdoblju</w:t>
      </w:r>
      <w:r w:rsidRPr="00644D1F">
        <w:rPr>
          <w:rFonts w:asciiTheme="minorHAnsi" w:hAnsiTheme="minorHAnsi" w:cstheme="minorHAnsi"/>
          <w:sz w:val="22"/>
          <w:szCs w:val="22"/>
        </w:rPr>
        <w:t xml:space="preserve"> </w:t>
      </w:r>
      <w:r w:rsidRPr="00136B03">
        <w:rPr>
          <w:rStyle w:val="Strong"/>
          <w:rFonts w:asciiTheme="minorHAnsi" w:hAnsiTheme="minorHAnsi" w:cstheme="minorHAnsi"/>
          <w:b w:val="0"/>
          <w:sz w:val="22"/>
          <w:szCs w:val="22"/>
        </w:rPr>
        <w:t>HALMED je aktivno sudjelovao</w:t>
      </w:r>
      <w:r w:rsidRPr="007F343A">
        <w:rPr>
          <w:rStyle w:val="Strong"/>
          <w:rFonts w:asciiTheme="minorHAnsi" w:hAnsiTheme="minorHAnsi" w:cstheme="minorHAnsi"/>
          <w:sz w:val="22"/>
          <w:szCs w:val="22"/>
        </w:rPr>
        <w:t xml:space="preserve"> </w:t>
      </w:r>
      <w:r w:rsidRPr="007F343A">
        <w:rPr>
          <w:rFonts w:asciiTheme="minorHAnsi" w:hAnsiTheme="minorHAnsi" w:cstheme="minorHAnsi"/>
          <w:sz w:val="22"/>
          <w:szCs w:val="22"/>
        </w:rPr>
        <w:t>u raspravi i donošenju odluke o sojevima virusa koji će u sezoni 202</w:t>
      </w:r>
      <w:r>
        <w:rPr>
          <w:rFonts w:asciiTheme="minorHAnsi" w:hAnsiTheme="minorHAnsi" w:cstheme="minorHAnsi"/>
          <w:sz w:val="22"/>
          <w:szCs w:val="22"/>
        </w:rPr>
        <w:t>3</w:t>
      </w:r>
      <w:r w:rsidRPr="007F343A">
        <w:rPr>
          <w:rFonts w:asciiTheme="minorHAnsi" w:hAnsiTheme="minorHAnsi" w:cstheme="minorHAnsi"/>
          <w:sz w:val="22"/>
          <w:szCs w:val="22"/>
        </w:rPr>
        <w:t>./202</w:t>
      </w:r>
      <w:r>
        <w:rPr>
          <w:rFonts w:asciiTheme="minorHAnsi" w:hAnsiTheme="minorHAnsi" w:cstheme="minorHAnsi"/>
          <w:sz w:val="22"/>
          <w:szCs w:val="22"/>
        </w:rPr>
        <w:t>4</w:t>
      </w:r>
      <w:r w:rsidRPr="007F343A">
        <w:rPr>
          <w:rFonts w:asciiTheme="minorHAnsi" w:hAnsiTheme="minorHAnsi" w:cstheme="minorHAnsi"/>
          <w:sz w:val="22"/>
          <w:szCs w:val="22"/>
        </w:rPr>
        <w:t>. godine biti u sastavu cjepiva protiv gripe</w:t>
      </w:r>
      <w:r>
        <w:rPr>
          <w:rFonts w:asciiTheme="minorHAnsi" w:hAnsiTheme="minorHAnsi" w:cstheme="minorHAnsi"/>
          <w:sz w:val="22"/>
          <w:szCs w:val="22"/>
        </w:rPr>
        <w:t xml:space="preserve"> i</w:t>
      </w:r>
      <w:r w:rsidRPr="00637EFF">
        <w:rPr>
          <w:rFonts w:asciiTheme="minorHAnsi" w:hAnsiTheme="minorHAnsi" w:cstheme="minorHAnsi"/>
          <w:sz w:val="22"/>
          <w:szCs w:val="22"/>
        </w:rPr>
        <w:t xml:space="preserve"> </w:t>
      </w:r>
      <w:r>
        <w:rPr>
          <w:rFonts w:asciiTheme="minorHAnsi" w:hAnsiTheme="minorHAnsi" w:cstheme="minorHAnsi"/>
          <w:sz w:val="22"/>
          <w:szCs w:val="22"/>
        </w:rPr>
        <w:t>u izradi internih BWP zaključaka („</w:t>
      </w:r>
      <w:r w:rsidRPr="00C55899">
        <w:rPr>
          <w:rFonts w:asciiTheme="minorHAnsi" w:hAnsiTheme="minorHAnsi" w:cstheme="minorHAnsi"/>
          <w:i/>
          <w:sz w:val="22"/>
          <w:szCs w:val="22"/>
        </w:rPr>
        <w:t>Learnings</w:t>
      </w:r>
      <w:r>
        <w:rPr>
          <w:rFonts w:asciiTheme="minorHAnsi" w:hAnsiTheme="minorHAnsi" w:cstheme="minorHAnsi"/>
          <w:sz w:val="22"/>
          <w:szCs w:val="22"/>
        </w:rPr>
        <w:t>“)</w:t>
      </w:r>
      <w:r w:rsidRPr="00763253">
        <w:t xml:space="preserve"> </w:t>
      </w:r>
      <w:r w:rsidRPr="00763253">
        <w:rPr>
          <w:rFonts w:asciiTheme="minorHAnsi" w:hAnsiTheme="minorHAnsi" w:cstheme="minorHAnsi"/>
          <w:sz w:val="22"/>
          <w:szCs w:val="22"/>
        </w:rPr>
        <w:t xml:space="preserve">koji </w:t>
      </w:r>
      <w:r>
        <w:rPr>
          <w:rFonts w:asciiTheme="minorHAnsi" w:hAnsiTheme="minorHAnsi" w:cstheme="minorHAnsi"/>
          <w:sz w:val="22"/>
          <w:szCs w:val="22"/>
        </w:rPr>
        <w:t>doprinose</w:t>
      </w:r>
      <w:r w:rsidRPr="00763253">
        <w:rPr>
          <w:rFonts w:asciiTheme="minorHAnsi" w:hAnsiTheme="minorHAnsi" w:cstheme="minorHAnsi"/>
          <w:sz w:val="22"/>
          <w:szCs w:val="22"/>
        </w:rPr>
        <w:t xml:space="preserve"> konzistentnost</w:t>
      </w:r>
      <w:r>
        <w:rPr>
          <w:rFonts w:asciiTheme="minorHAnsi" w:hAnsiTheme="minorHAnsi" w:cstheme="minorHAnsi"/>
          <w:sz w:val="22"/>
          <w:szCs w:val="22"/>
        </w:rPr>
        <w:t>i</w:t>
      </w:r>
      <w:r w:rsidRPr="00763253">
        <w:rPr>
          <w:rFonts w:asciiTheme="minorHAnsi" w:hAnsiTheme="minorHAnsi" w:cstheme="minorHAnsi"/>
          <w:sz w:val="22"/>
          <w:szCs w:val="22"/>
        </w:rPr>
        <w:t xml:space="preserve"> u donošenju odluka za pojedina pitanja koja nisu definirana dostupnim smjernicama</w:t>
      </w:r>
      <w:r>
        <w:rPr>
          <w:rFonts w:asciiTheme="minorHAnsi" w:hAnsiTheme="minorHAnsi" w:cstheme="minorHAnsi"/>
          <w:sz w:val="22"/>
          <w:szCs w:val="22"/>
        </w:rPr>
        <w:t>.</w:t>
      </w:r>
    </w:p>
    <w:p w14:paraId="1F224C1C" w14:textId="77777777" w:rsidR="00D07378" w:rsidRDefault="00D07378" w:rsidP="00D07378">
      <w:pPr>
        <w:pStyle w:val="HTMLPreformatted"/>
        <w:shd w:val="clear" w:color="auto" w:fill="FFFFFF"/>
        <w:spacing w:line="276" w:lineRule="auto"/>
        <w:jc w:val="both"/>
        <w:rPr>
          <w:rFonts w:asciiTheme="minorHAnsi" w:hAnsiTheme="minorHAnsi" w:cstheme="minorHAnsi"/>
          <w:sz w:val="22"/>
          <w:szCs w:val="22"/>
        </w:rPr>
      </w:pPr>
    </w:p>
    <w:p w14:paraId="01CE8E04" w14:textId="77777777" w:rsidR="00D07378" w:rsidRPr="00892427" w:rsidRDefault="00D07378" w:rsidP="00D07378">
      <w:pPr>
        <w:tabs>
          <w:tab w:val="left" w:pos="567"/>
        </w:tabs>
        <w:spacing w:line="276" w:lineRule="auto"/>
        <w:jc w:val="both"/>
        <w:rPr>
          <w:rFonts w:eastAsia="Times New Roman" w:cstheme="minorHAnsi"/>
        </w:rPr>
      </w:pPr>
      <w:r>
        <w:rPr>
          <w:rFonts w:cstheme="minorHAnsi"/>
        </w:rPr>
        <w:t xml:space="preserve">Predstavnici HALMED-a aktivno su sudjelovali i na izvanrednim </w:t>
      </w:r>
      <w:r>
        <w:rPr>
          <w:rFonts w:eastAsia="Times New Roman" w:cstheme="minorHAnsi"/>
        </w:rPr>
        <w:t>sastancima vezano uz proceduru postupne ocjene (</w:t>
      </w:r>
      <w:r w:rsidRPr="00074327">
        <w:rPr>
          <w:rFonts w:eastAsia="Times New Roman" w:cstheme="minorHAnsi"/>
          <w:i/>
        </w:rPr>
        <w:t>rolling review</w:t>
      </w:r>
      <w:r>
        <w:rPr>
          <w:rFonts w:eastAsia="Times New Roman" w:cstheme="minorHAnsi"/>
        </w:rPr>
        <w:t>) u svrhu davanja uvjetnog odobrenja za cjepiva protiv COVID-19 bolesti.</w:t>
      </w:r>
    </w:p>
    <w:p w14:paraId="6C2AD9A3" w14:textId="77777777" w:rsidR="00D07378" w:rsidRPr="007F343A" w:rsidRDefault="00D07378" w:rsidP="00D07378">
      <w:pPr>
        <w:pStyle w:val="HTMLPreformatted"/>
        <w:shd w:val="clear" w:color="auto" w:fill="FFFFFF"/>
        <w:spacing w:line="276" w:lineRule="auto"/>
        <w:jc w:val="both"/>
        <w:rPr>
          <w:rFonts w:asciiTheme="minorHAnsi" w:hAnsiTheme="minorHAnsi" w:cstheme="minorHAnsi"/>
          <w:sz w:val="22"/>
          <w:szCs w:val="22"/>
        </w:rPr>
      </w:pPr>
    </w:p>
    <w:p w14:paraId="42EC262C" w14:textId="77777777" w:rsidR="00D07378" w:rsidRDefault="00D07378" w:rsidP="00D07378">
      <w:pPr>
        <w:pStyle w:val="HTMLPreformatted"/>
        <w:shd w:val="clear" w:color="auto" w:fill="FFFFFF"/>
        <w:spacing w:line="276" w:lineRule="auto"/>
        <w:jc w:val="both"/>
        <w:rPr>
          <w:rFonts w:asciiTheme="minorHAnsi" w:hAnsiTheme="minorHAnsi" w:cstheme="minorHAnsi"/>
          <w:sz w:val="22"/>
          <w:szCs w:val="22"/>
        </w:rPr>
      </w:pPr>
      <w:r w:rsidRPr="007F343A">
        <w:rPr>
          <w:rFonts w:asciiTheme="minorHAnsi" w:hAnsiTheme="minorHAnsi" w:cstheme="minorHAnsi"/>
          <w:sz w:val="22"/>
          <w:szCs w:val="22"/>
        </w:rPr>
        <w:t>Predstavnici HALMED-a bili su</w:t>
      </w:r>
      <w:r>
        <w:rPr>
          <w:rFonts w:asciiTheme="minorHAnsi" w:hAnsiTheme="minorHAnsi" w:cstheme="minorHAnsi"/>
          <w:sz w:val="22"/>
          <w:szCs w:val="22"/>
        </w:rPr>
        <w:t>:</w:t>
      </w:r>
    </w:p>
    <w:p w14:paraId="10F61947" w14:textId="674C8FA4" w:rsidR="00D07378" w:rsidRPr="002D26F8" w:rsidRDefault="00D07378" w:rsidP="002D26F8">
      <w:pPr>
        <w:pStyle w:val="HTMLPreformatted"/>
        <w:numPr>
          <w:ilvl w:val="0"/>
          <w:numId w:val="16"/>
        </w:numPr>
        <w:shd w:val="clear" w:color="auto" w:fill="FFFFFF"/>
        <w:spacing w:line="276" w:lineRule="auto"/>
        <w:jc w:val="both"/>
        <w:rPr>
          <w:rFonts w:asciiTheme="minorHAnsi" w:hAnsiTheme="minorHAnsi" w:cstheme="minorHAnsi"/>
          <w:sz w:val="22"/>
          <w:szCs w:val="22"/>
        </w:rPr>
      </w:pPr>
      <w:r w:rsidRPr="003F6BA1">
        <w:rPr>
          <w:rFonts w:asciiTheme="minorHAnsi" w:hAnsiTheme="minorHAnsi" w:cstheme="minorHAnsi"/>
          <w:sz w:val="22"/>
          <w:szCs w:val="22"/>
        </w:rPr>
        <w:t xml:space="preserve">suizvjestitelji u ocjeni kakvoće za </w:t>
      </w:r>
      <w:r>
        <w:rPr>
          <w:rFonts w:asciiTheme="minorHAnsi" w:hAnsiTheme="minorHAnsi" w:cstheme="minorHAnsi"/>
          <w:sz w:val="22"/>
          <w:szCs w:val="22"/>
        </w:rPr>
        <w:t>5</w:t>
      </w:r>
      <w:r w:rsidRPr="003F6BA1">
        <w:rPr>
          <w:rFonts w:asciiTheme="minorHAnsi" w:hAnsiTheme="minorHAnsi" w:cstheme="minorHAnsi"/>
          <w:sz w:val="22"/>
          <w:szCs w:val="22"/>
        </w:rPr>
        <w:t xml:space="preserve"> biološk</w:t>
      </w:r>
      <w:r>
        <w:rPr>
          <w:rFonts w:asciiTheme="minorHAnsi" w:hAnsiTheme="minorHAnsi" w:cstheme="minorHAnsi"/>
          <w:sz w:val="22"/>
          <w:szCs w:val="22"/>
        </w:rPr>
        <w:t>ih</w:t>
      </w:r>
      <w:r w:rsidRPr="003F6BA1">
        <w:rPr>
          <w:rFonts w:asciiTheme="minorHAnsi" w:hAnsiTheme="minorHAnsi" w:cstheme="minorHAnsi"/>
          <w:sz w:val="22"/>
          <w:szCs w:val="22"/>
        </w:rPr>
        <w:t xml:space="preserve"> lijek</w:t>
      </w:r>
      <w:r>
        <w:rPr>
          <w:rFonts w:asciiTheme="minorHAnsi" w:hAnsiTheme="minorHAnsi" w:cstheme="minorHAnsi"/>
          <w:sz w:val="22"/>
          <w:szCs w:val="22"/>
        </w:rPr>
        <w:t>ova (sva tri u multinacionalnim timovima)</w:t>
      </w:r>
      <w:r w:rsidRPr="003F6BA1">
        <w:rPr>
          <w:rFonts w:asciiTheme="minorHAnsi" w:hAnsiTheme="minorHAnsi" w:cstheme="minorHAnsi"/>
          <w:sz w:val="22"/>
          <w:szCs w:val="22"/>
        </w:rPr>
        <w:t xml:space="preserve"> </w:t>
      </w:r>
    </w:p>
    <w:p w14:paraId="4C346992" w14:textId="77777777" w:rsidR="00D07378" w:rsidRDefault="00D07378" w:rsidP="00D07378">
      <w:pPr>
        <w:pStyle w:val="HTMLPreformatted"/>
        <w:numPr>
          <w:ilvl w:val="0"/>
          <w:numId w:val="16"/>
        </w:numPr>
        <w:shd w:val="clear" w:color="auto" w:fill="FFFFFF"/>
        <w:spacing w:line="276" w:lineRule="auto"/>
        <w:jc w:val="both"/>
        <w:rPr>
          <w:rFonts w:asciiTheme="minorHAnsi" w:hAnsiTheme="minorHAnsi" w:cstheme="minorHAnsi"/>
          <w:sz w:val="22"/>
          <w:szCs w:val="22"/>
        </w:rPr>
      </w:pPr>
      <w:r>
        <w:rPr>
          <w:rFonts w:asciiTheme="minorHAnsi" w:hAnsiTheme="minorHAnsi" w:cstheme="minorHAnsi"/>
          <w:sz w:val="22"/>
          <w:szCs w:val="22"/>
        </w:rPr>
        <w:t>glavni ocjenitelji za tzv. „gap analysis“ za difterijski antitoksin</w:t>
      </w:r>
    </w:p>
    <w:p w14:paraId="11C2E966" w14:textId="118A7B50" w:rsidR="00D07378" w:rsidRDefault="00D07378" w:rsidP="00D07378">
      <w:pPr>
        <w:pStyle w:val="HTMLPreformatted"/>
        <w:numPr>
          <w:ilvl w:val="0"/>
          <w:numId w:val="16"/>
        </w:numPr>
        <w:shd w:val="clear" w:color="auto" w:fill="FFFFFF"/>
        <w:spacing w:line="276" w:lineRule="auto"/>
        <w:jc w:val="both"/>
        <w:rPr>
          <w:rFonts w:asciiTheme="minorHAnsi" w:hAnsiTheme="minorHAnsi" w:cstheme="minorHAnsi"/>
          <w:sz w:val="22"/>
          <w:szCs w:val="22"/>
        </w:rPr>
      </w:pPr>
      <w:r>
        <w:rPr>
          <w:rFonts w:asciiTheme="minorHAnsi" w:hAnsiTheme="minorHAnsi" w:cstheme="minorHAnsi"/>
          <w:sz w:val="22"/>
          <w:szCs w:val="22"/>
        </w:rPr>
        <w:t>CAT recenzent za ATMP VX 880 (alogene ljudske, dobivene iz matičnih stanica, stanice langerhansovih otočića pankreasa koji izlučuju inzulin)</w:t>
      </w:r>
    </w:p>
    <w:p w14:paraId="7D809BFB" w14:textId="08A953DA" w:rsidR="00D07378" w:rsidRPr="003F6BA1" w:rsidRDefault="00D07378" w:rsidP="00D07378">
      <w:pPr>
        <w:pStyle w:val="HTMLPreformatted"/>
        <w:numPr>
          <w:ilvl w:val="0"/>
          <w:numId w:val="16"/>
        </w:numPr>
        <w:shd w:val="clear" w:color="auto" w:fill="FFFFFF"/>
        <w:spacing w:line="276" w:lineRule="auto"/>
        <w:jc w:val="both"/>
        <w:rPr>
          <w:rFonts w:asciiTheme="minorHAnsi" w:hAnsiTheme="minorHAnsi" w:cstheme="minorHAnsi"/>
          <w:sz w:val="22"/>
          <w:szCs w:val="22"/>
        </w:rPr>
      </w:pPr>
      <w:r>
        <w:rPr>
          <w:rFonts w:asciiTheme="minorHAnsi" w:hAnsiTheme="minorHAnsi" w:cstheme="minorHAnsi"/>
          <w:sz w:val="22"/>
          <w:szCs w:val="22"/>
        </w:rPr>
        <w:t>rencenzent za znanstveni savjet za botulinski toksin tipa A.</w:t>
      </w:r>
    </w:p>
    <w:p w14:paraId="49ECF9A6" w14:textId="7BDC96B0" w:rsidR="00D07378" w:rsidRDefault="002D26F8" w:rsidP="002D26F8">
      <w:pPr>
        <w:pStyle w:val="HTMLPreformatted"/>
        <w:numPr>
          <w:ilvl w:val="0"/>
          <w:numId w:val="16"/>
        </w:numPr>
        <w:shd w:val="clear" w:color="auto" w:fill="FFFFFF"/>
        <w:spacing w:line="276" w:lineRule="auto"/>
        <w:jc w:val="both"/>
        <w:rPr>
          <w:rFonts w:asciiTheme="minorHAnsi" w:hAnsiTheme="minorHAnsi" w:cstheme="minorHAnsi"/>
          <w:sz w:val="22"/>
          <w:szCs w:val="22"/>
        </w:rPr>
      </w:pPr>
      <w:r w:rsidRPr="003F6BA1">
        <w:rPr>
          <w:rFonts w:asciiTheme="minorHAnsi" w:hAnsiTheme="minorHAnsi" w:cstheme="minorHAnsi"/>
          <w:sz w:val="22"/>
          <w:szCs w:val="22"/>
        </w:rPr>
        <w:t xml:space="preserve">ocjenitelji u </w:t>
      </w:r>
      <w:r>
        <w:rPr>
          <w:rFonts w:asciiTheme="minorHAnsi" w:hAnsiTheme="minorHAnsi" w:cstheme="minorHAnsi"/>
          <w:sz w:val="22"/>
          <w:szCs w:val="22"/>
        </w:rPr>
        <w:t>4</w:t>
      </w:r>
      <w:r w:rsidRPr="003F6BA1">
        <w:rPr>
          <w:rFonts w:asciiTheme="minorHAnsi" w:hAnsiTheme="minorHAnsi" w:cstheme="minorHAnsi"/>
          <w:sz w:val="22"/>
          <w:szCs w:val="22"/>
        </w:rPr>
        <w:t xml:space="preserve"> znanstvena savjeta iz područja kakvoće bioloških lijekova</w:t>
      </w:r>
      <w:r>
        <w:rPr>
          <w:rFonts w:asciiTheme="minorHAnsi" w:hAnsiTheme="minorHAnsi" w:cstheme="minorHAnsi"/>
          <w:sz w:val="22"/>
          <w:szCs w:val="22"/>
        </w:rPr>
        <w:t xml:space="preserve"> za koje su </w:t>
      </w:r>
      <w:r w:rsidRPr="003B0D12">
        <w:rPr>
          <w:rFonts w:asciiTheme="minorHAnsi" w:hAnsiTheme="minorHAnsi" w:cstheme="minorHAnsi"/>
          <w:sz w:val="22"/>
          <w:szCs w:val="22"/>
        </w:rPr>
        <w:t>pripremili brojne komentare na izvješća postupaka u tijeku</w:t>
      </w:r>
    </w:p>
    <w:p w14:paraId="231B4EE1" w14:textId="77777777" w:rsidR="002D26F8" w:rsidRDefault="002D26F8" w:rsidP="00A22291">
      <w:pPr>
        <w:pStyle w:val="HTMLPreformatted"/>
        <w:shd w:val="clear" w:color="auto" w:fill="FFFFFF"/>
        <w:spacing w:line="276" w:lineRule="auto"/>
        <w:ind w:left="720"/>
        <w:jc w:val="both"/>
        <w:rPr>
          <w:rFonts w:asciiTheme="minorHAnsi" w:hAnsiTheme="minorHAnsi" w:cstheme="minorHAnsi"/>
          <w:sz w:val="22"/>
          <w:szCs w:val="22"/>
        </w:rPr>
      </w:pPr>
    </w:p>
    <w:p w14:paraId="23322CC0" w14:textId="77777777" w:rsidR="00D07378" w:rsidRDefault="00D07378" w:rsidP="00D07378">
      <w:pPr>
        <w:spacing w:line="276" w:lineRule="auto"/>
        <w:rPr>
          <w:b/>
        </w:rPr>
      </w:pPr>
      <w:r w:rsidRPr="00A878C9">
        <w:rPr>
          <w:b/>
        </w:rPr>
        <w:t>A-III) Radna skupina za kakvoću lijekova (</w:t>
      </w:r>
      <w:r w:rsidRPr="00A878C9">
        <w:rPr>
          <w:b/>
          <w:i/>
        </w:rPr>
        <w:t>Quality Working Party</w:t>
      </w:r>
      <w:r w:rsidRPr="00A878C9">
        <w:rPr>
          <w:b/>
        </w:rPr>
        <w:t>, QWP)</w:t>
      </w:r>
    </w:p>
    <w:p w14:paraId="56EB7440" w14:textId="77777777" w:rsidR="00D07378" w:rsidRDefault="00D07378" w:rsidP="00D07378">
      <w:pPr>
        <w:tabs>
          <w:tab w:val="left" w:pos="709"/>
        </w:tabs>
        <w:spacing w:line="276" w:lineRule="auto"/>
        <w:jc w:val="both"/>
        <w:rPr>
          <w:rFonts w:eastAsia="Times New Roman" w:cstheme="minorHAnsi"/>
        </w:rPr>
      </w:pPr>
      <w:r w:rsidRPr="00A878C9">
        <w:t xml:space="preserve">QWP daje </w:t>
      </w:r>
      <w:r w:rsidRPr="00A878C9">
        <w:rPr>
          <w:rFonts w:eastAsia="Times New Roman" w:cstheme="minorHAnsi"/>
        </w:rPr>
        <w:t xml:space="preserve">preporuke i mišljenja Povjerenstvu za humane lijekove (CHMP) i Povjerenstvu za veterinarske lijekove (CVMP) EMA-e koja su vezana uz kakvoću lijekova. Uz delegate iz regulatornih tijela svake zemlje članice EU-a, na plenarnim sjednicama sudjeluju promatrači iz EDQM-a, a povremeno i predstavnici regulatornih tijela zemalja izvan EU-a. U QWP-u Hrvatska ima </w:t>
      </w:r>
      <w:r>
        <w:rPr>
          <w:rFonts w:eastAsia="Times New Roman" w:cstheme="minorHAnsi"/>
        </w:rPr>
        <w:t>jednog</w:t>
      </w:r>
      <w:r w:rsidRPr="00A878C9">
        <w:rPr>
          <w:rFonts w:eastAsia="Times New Roman" w:cstheme="minorHAnsi"/>
        </w:rPr>
        <w:t xml:space="preserve"> predstavnika HALMED-a; člana zadužen</w:t>
      </w:r>
      <w:r>
        <w:rPr>
          <w:rFonts w:eastAsia="Times New Roman" w:cstheme="minorHAnsi"/>
        </w:rPr>
        <w:t>og</w:t>
      </w:r>
      <w:r w:rsidRPr="00A878C9">
        <w:rPr>
          <w:rFonts w:eastAsia="Times New Roman" w:cstheme="minorHAnsi"/>
        </w:rPr>
        <w:t xml:space="preserve"> za humane lijekove.</w:t>
      </w:r>
    </w:p>
    <w:p w14:paraId="21D7A56D" w14:textId="77777777" w:rsidR="00D07378" w:rsidRDefault="00D07378" w:rsidP="00D07378">
      <w:pPr>
        <w:tabs>
          <w:tab w:val="left" w:pos="709"/>
        </w:tabs>
        <w:spacing w:line="276" w:lineRule="auto"/>
        <w:jc w:val="both"/>
        <w:rPr>
          <w:rFonts w:eastAsia="Times New Roman" w:cstheme="minorHAnsi"/>
        </w:rPr>
      </w:pPr>
    </w:p>
    <w:p w14:paraId="68F208D5" w14:textId="77777777" w:rsidR="00D07378" w:rsidRPr="00132BD2" w:rsidRDefault="00D07378" w:rsidP="00D07378">
      <w:pPr>
        <w:spacing w:line="276" w:lineRule="auto"/>
        <w:jc w:val="both"/>
        <w:rPr>
          <w:rFonts w:eastAsia="Times New Roman" w:cstheme="minorHAnsi"/>
        </w:rPr>
      </w:pPr>
      <w:r>
        <w:rPr>
          <w:rFonts w:cstheme="minorHAnsi"/>
        </w:rPr>
        <w:t xml:space="preserve">U izvještajnom razdoblju predstavnici HALMED-a aktivno su bili uključeni u </w:t>
      </w:r>
      <w:r w:rsidRPr="00132BD2">
        <w:rPr>
          <w:rFonts w:ascii="Calibri" w:eastAsia="Calibri" w:hAnsi="Calibri" w:cs="Calibri"/>
          <w:bCs/>
          <w:lang w:val="en-GB"/>
        </w:rPr>
        <w:t>izradu/</w:t>
      </w:r>
      <w:r>
        <w:rPr>
          <w:rFonts w:ascii="Calibri" w:eastAsia="Calibri" w:hAnsi="Calibri" w:cs="Calibri"/>
          <w:bCs/>
          <w:lang w:val="en-GB"/>
        </w:rPr>
        <w:t>reviziju sljedećih s</w:t>
      </w:r>
      <w:r w:rsidRPr="00132BD2">
        <w:rPr>
          <w:rFonts w:ascii="Calibri" w:eastAsia="Calibri" w:hAnsi="Calibri" w:cs="Calibri"/>
          <w:bCs/>
          <w:lang w:val="en-GB"/>
        </w:rPr>
        <w:t>mjernica:</w:t>
      </w:r>
    </w:p>
    <w:p w14:paraId="2849C319" w14:textId="77777777" w:rsidR="00D07378" w:rsidRPr="00494A17" w:rsidRDefault="00D07378" w:rsidP="00D07378">
      <w:pPr>
        <w:pStyle w:val="HTMLPreformatted"/>
        <w:numPr>
          <w:ilvl w:val="0"/>
          <w:numId w:val="16"/>
        </w:numPr>
        <w:shd w:val="clear" w:color="auto" w:fill="FFFFFF"/>
        <w:spacing w:line="276" w:lineRule="auto"/>
        <w:jc w:val="both"/>
        <w:rPr>
          <w:rFonts w:cstheme="minorHAnsi"/>
          <w:sz w:val="22"/>
          <w:szCs w:val="22"/>
        </w:rPr>
      </w:pPr>
      <w:r w:rsidRPr="00494A17">
        <w:rPr>
          <w:rFonts w:asciiTheme="minorHAnsi" w:hAnsiTheme="minorHAnsi" w:cstheme="minorHAnsi"/>
          <w:sz w:val="22"/>
          <w:szCs w:val="22"/>
        </w:rPr>
        <w:t>Guideline on the chemistry of active substances</w:t>
      </w:r>
    </w:p>
    <w:p w14:paraId="30CE6941" w14:textId="77777777" w:rsidR="00D07378" w:rsidRPr="00A12E28" w:rsidRDefault="00D07378" w:rsidP="00D07378">
      <w:pPr>
        <w:pStyle w:val="HTMLPreformatted"/>
        <w:numPr>
          <w:ilvl w:val="0"/>
          <w:numId w:val="16"/>
        </w:numPr>
        <w:shd w:val="clear" w:color="auto" w:fill="FFFFFF"/>
        <w:spacing w:line="276" w:lineRule="auto"/>
        <w:jc w:val="both"/>
        <w:rPr>
          <w:rFonts w:cstheme="minorHAnsi"/>
        </w:rPr>
      </w:pPr>
      <w:r w:rsidRPr="00494A17">
        <w:rPr>
          <w:rFonts w:asciiTheme="minorHAnsi" w:hAnsiTheme="minorHAnsi" w:cstheme="minorHAnsi"/>
          <w:sz w:val="22"/>
          <w:szCs w:val="22"/>
        </w:rPr>
        <w:t>How to use a CEP in the context of a Marketing Authorisation Application (MAA) or a Marketing Authorisation Variation</w:t>
      </w:r>
    </w:p>
    <w:p w14:paraId="79A8ADEA" w14:textId="77777777" w:rsidR="00D07378" w:rsidRDefault="00D07378" w:rsidP="00D07378">
      <w:pPr>
        <w:pStyle w:val="HTMLPreformatted"/>
        <w:numPr>
          <w:ilvl w:val="0"/>
          <w:numId w:val="16"/>
        </w:numPr>
        <w:shd w:val="clear" w:color="auto" w:fill="FFFFFF"/>
        <w:spacing w:line="276" w:lineRule="auto"/>
        <w:jc w:val="both"/>
        <w:rPr>
          <w:rFonts w:asciiTheme="minorHAnsi" w:hAnsiTheme="minorHAnsi" w:cstheme="minorHAnsi"/>
          <w:sz w:val="22"/>
          <w:szCs w:val="22"/>
        </w:rPr>
      </w:pPr>
      <w:r w:rsidRPr="00B12729">
        <w:rPr>
          <w:rFonts w:asciiTheme="minorHAnsi" w:hAnsiTheme="minorHAnsi" w:cstheme="minorHAnsi"/>
          <w:sz w:val="22"/>
          <w:szCs w:val="22"/>
        </w:rPr>
        <w:t>ICH</w:t>
      </w:r>
      <w:r>
        <w:rPr>
          <w:rFonts w:asciiTheme="minorHAnsi" w:hAnsiTheme="minorHAnsi" w:cstheme="minorHAnsi"/>
          <w:sz w:val="22"/>
          <w:szCs w:val="22"/>
        </w:rPr>
        <w:t xml:space="preserve"> Q13 Continuous Manufacturing for drug substance and drug products (H),</w:t>
      </w:r>
    </w:p>
    <w:p w14:paraId="5724D8E7" w14:textId="77777777" w:rsidR="00D07378" w:rsidRDefault="00D07378" w:rsidP="00D07378">
      <w:pPr>
        <w:pStyle w:val="HTMLPreformatted"/>
        <w:numPr>
          <w:ilvl w:val="0"/>
          <w:numId w:val="16"/>
        </w:numPr>
        <w:shd w:val="clear" w:color="auto" w:fill="FFFFFF"/>
        <w:spacing w:line="276" w:lineRule="auto"/>
        <w:jc w:val="both"/>
        <w:rPr>
          <w:rFonts w:asciiTheme="minorHAnsi" w:hAnsiTheme="minorHAnsi" w:cstheme="minorHAnsi"/>
          <w:sz w:val="22"/>
          <w:szCs w:val="22"/>
        </w:rPr>
      </w:pPr>
      <w:r>
        <w:rPr>
          <w:rFonts w:asciiTheme="minorHAnsi" w:hAnsiTheme="minorHAnsi" w:cstheme="minorHAnsi"/>
          <w:sz w:val="22"/>
          <w:szCs w:val="22"/>
        </w:rPr>
        <w:t>ICH MQ4 Common Technical Document on Quality Guideline</w:t>
      </w:r>
    </w:p>
    <w:p w14:paraId="3BA1E92A" w14:textId="77777777" w:rsidR="00D07378" w:rsidRPr="00494A17" w:rsidRDefault="00D07378" w:rsidP="00D07378">
      <w:pPr>
        <w:pStyle w:val="HTMLPreformatted"/>
        <w:numPr>
          <w:ilvl w:val="0"/>
          <w:numId w:val="16"/>
        </w:numPr>
        <w:shd w:val="clear" w:color="auto" w:fill="FFFFFF"/>
        <w:spacing w:line="276" w:lineRule="auto"/>
        <w:jc w:val="both"/>
        <w:rPr>
          <w:rFonts w:cstheme="minorHAnsi"/>
        </w:rPr>
      </w:pPr>
      <w:r>
        <w:rPr>
          <w:rFonts w:asciiTheme="minorHAnsi" w:hAnsiTheme="minorHAnsi" w:cstheme="minorHAnsi"/>
          <w:sz w:val="22"/>
          <w:szCs w:val="22"/>
        </w:rPr>
        <w:t>ICH Q12 Lifecycle Management</w:t>
      </w:r>
    </w:p>
    <w:p w14:paraId="4D7AC287" w14:textId="77777777" w:rsidR="00D07378" w:rsidRPr="00494A17" w:rsidRDefault="00D07378" w:rsidP="00D07378">
      <w:pPr>
        <w:pStyle w:val="HTMLPreformatted"/>
        <w:numPr>
          <w:ilvl w:val="0"/>
          <w:numId w:val="16"/>
        </w:numPr>
        <w:shd w:val="clear" w:color="auto" w:fill="FFFFFF"/>
        <w:spacing w:line="276" w:lineRule="auto"/>
        <w:jc w:val="both"/>
        <w:rPr>
          <w:rFonts w:cstheme="minorHAnsi"/>
          <w:sz w:val="22"/>
          <w:szCs w:val="22"/>
        </w:rPr>
      </w:pPr>
      <w:r w:rsidRPr="00494A17">
        <w:rPr>
          <w:rFonts w:asciiTheme="minorHAnsi" w:hAnsiTheme="minorHAnsi" w:cstheme="minorHAnsi"/>
          <w:sz w:val="22"/>
          <w:szCs w:val="22"/>
        </w:rPr>
        <w:t>ICH Q2(R2) / Q14 Analytical procedure development and revision of Q2(R1) on analytical procedure validation – Step 2</w:t>
      </w:r>
    </w:p>
    <w:p w14:paraId="79859FD0" w14:textId="77777777" w:rsidR="00D07378" w:rsidRPr="00B20178" w:rsidRDefault="00D07378" w:rsidP="00D07378">
      <w:pPr>
        <w:pStyle w:val="HTMLPreformatted"/>
        <w:numPr>
          <w:ilvl w:val="0"/>
          <w:numId w:val="16"/>
        </w:numPr>
        <w:shd w:val="clear" w:color="auto" w:fill="FFFFFF"/>
        <w:spacing w:line="276" w:lineRule="auto"/>
        <w:jc w:val="both"/>
        <w:rPr>
          <w:rFonts w:cstheme="minorHAnsi"/>
        </w:rPr>
      </w:pPr>
      <w:r w:rsidRPr="00494A17">
        <w:rPr>
          <w:rFonts w:asciiTheme="minorHAnsi" w:hAnsiTheme="minorHAnsi" w:cstheme="minorHAnsi"/>
          <w:sz w:val="22"/>
          <w:szCs w:val="22"/>
        </w:rPr>
        <w:t>ICH M4Q(R2) Common Technical Document on Quality Guideline</w:t>
      </w:r>
    </w:p>
    <w:p w14:paraId="1650E88C" w14:textId="77777777" w:rsidR="00D07378" w:rsidRPr="00036F2A" w:rsidRDefault="00D07378" w:rsidP="00D07378">
      <w:pPr>
        <w:pStyle w:val="HTMLPreformatted"/>
        <w:numPr>
          <w:ilvl w:val="0"/>
          <w:numId w:val="16"/>
        </w:numPr>
        <w:shd w:val="clear" w:color="auto" w:fill="FFFFFF"/>
        <w:spacing w:line="276" w:lineRule="auto"/>
        <w:jc w:val="both"/>
        <w:rPr>
          <w:rFonts w:cstheme="minorHAnsi"/>
        </w:rPr>
      </w:pPr>
      <w:r>
        <w:rPr>
          <w:rFonts w:asciiTheme="minorHAnsi" w:hAnsiTheme="minorHAnsi" w:cstheme="minorHAnsi"/>
          <w:sz w:val="22"/>
          <w:szCs w:val="22"/>
        </w:rPr>
        <w:t>ICH Q1/Q5C Stability testing.</w:t>
      </w:r>
    </w:p>
    <w:p w14:paraId="38F6119C" w14:textId="77777777" w:rsidR="00D07378" w:rsidRDefault="00D07378" w:rsidP="00D07378">
      <w:pPr>
        <w:tabs>
          <w:tab w:val="left" w:pos="709"/>
        </w:tabs>
        <w:spacing w:line="276" w:lineRule="auto"/>
        <w:jc w:val="both"/>
        <w:rPr>
          <w:rFonts w:eastAsia="Times New Roman" w:cstheme="minorHAnsi"/>
        </w:rPr>
      </w:pPr>
      <w:r>
        <w:rPr>
          <w:rFonts w:eastAsia="Times New Roman" w:cstheme="minorHAnsi"/>
        </w:rPr>
        <w:t xml:space="preserve">U sklopu CMDh </w:t>
      </w:r>
      <w:r w:rsidRPr="003B0D12">
        <w:rPr>
          <w:rFonts w:eastAsia="Times New Roman" w:cstheme="minorHAnsi"/>
          <w:i/>
        </w:rPr>
        <w:t>referrala</w:t>
      </w:r>
      <w:r>
        <w:rPr>
          <w:rFonts w:eastAsia="Times New Roman" w:cstheme="minorHAnsi"/>
        </w:rPr>
        <w:t xml:space="preserve"> vezanog uz utjecaj alkohola na oslobađanje djelatne tvari (farmaceutski oblik s modificiranom oslobađanjem, različiti rezultati između prijavljenog i referentnog lijeka) oformljena je grupa koja će pripremiti odgovore na pitanja CMDh-a. U grupu je uključena ocjeniteljica HALMED-a.</w:t>
      </w:r>
    </w:p>
    <w:p w14:paraId="530E63D7" w14:textId="05BB3F63" w:rsidR="00D07378" w:rsidRPr="00036F2A" w:rsidRDefault="00D07378" w:rsidP="00D07378">
      <w:pPr>
        <w:tabs>
          <w:tab w:val="left" w:pos="709"/>
        </w:tabs>
        <w:spacing w:line="276" w:lineRule="auto"/>
        <w:jc w:val="both"/>
        <w:rPr>
          <w:rFonts w:cstheme="minorHAnsi"/>
        </w:rPr>
      </w:pPr>
      <w:r w:rsidRPr="00036F2A">
        <w:rPr>
          <w:rFonts w:eastAsia="Times New Roman" w:cstheme="minorHAnsi"/>
        </w:rPr>
        <w:t xml:space="preserve">Hrvatska je također </w:t>
      </w:r>
      <w:r>
        <w:rPr>
          <w:rFonts w:eastAsia="Times New Roman" w:cstheme="minorHAnsi"/>
        </w:rPr>
        <w:t>inicirala raspravu</w:t>
      </w:r>
      <w:r w:rsidRPr="001154E0">
        <w:t xml:space="preserve"> </w:t>
      </w:r>
      <w:r>
        <w:rPr>
          <w:rFonts w:eastAsia="Times New Roman" w:cstheme="minorHAnsi"/>
        </w:rPr>
        <w:t>o ispitivanju</w:t>
      </w:r>
      <w:r w:rsidRPr="001154E0">
        <w:rPr>
          <w:rFonts w:eastAsia="Times New Roman" w:cstheme="minorHAnsi"/>
        </w:rPr>
        <w:t xml:space="preserve"> dimetilsulfoksida</w:t>
      </w:r>
      <w:r>
        <w:rPr>
          <w:rFonts w:eastAsia="Times New Roman" w:cstheme="minorHAnsi"/>
        </w:rPr>
        <w:t>, za koji je nakon dogovora prihvaćena finalna verzija teksta.</w:t>
      </w:r>
    </w:p>
    <w:p w14:paraId="6A190499" w14:textId="77777777" w:rsidR="00D07378" w:rsidRDefault="00D07378" w:rsidP="00D07378">
      <w:pPr>
        <w:tabs>
          <w:tab w:val="left" w:pos="709"/>
        </w:tabs>
        <w:spacing w:line="276" w:lineRule="auto"/>
        <w:jc w:val="both"/>
        <w:rPr>
          <w:b/>
        </w:rPr>
      </w:pPr>
    </w:p>
    <w:p w14:paraId="5CD24516" w14:textId="77777777" w:rsidR="00D07378" w:rsidRDefault="00D07378" w:rsidP="00D07378">
      <w:pPr>
        <w:spacing w:line="276" w:lineRule="auto"/>
        <w:jc w:val="both"/>
        <w:rPr>
          <w:b/>
        </w:rPr>
      </w:pPr>
    </w:p>
    <w:p w14:paraId="09B13F3A" w14:textId="213FFA94" w:rsidR="00D07378" w:rsidRPr="0099568E" w:rsidRDefault="00D07378" w:rsidP="00D07378">
      <w:pPr>
        <w:spacing w:line="276" w:lineRule="auto"/>
        <w:jc w:val="both"/>
        <w:rPr>
          <w:b/>
        </w:rPr>
      </w:pPr>
      <w:r>
        <w:rPr>
          <w:b/>
        </w:rPr>
        <w:t>A-I</w:t>
      </w:r>
      <w:r w:rsidRPr="0099568E">
        <w:rPr>
          <w:b/>
        </w:rPr>
        <w:t xml:space="preserve">V) Radna </w:t>
      </w:r>
      <w:r w:rsidR="00791176">
        <w:rPr>
          <w:b/>
        </w:rPr>
        <w:t>skupina</w:t>
      </w:r>
      <w:r w:rsidR="00791176" w:rsidRPr="0099568E">
        <w:rPr>
          <w:b/>
        </w:rPr>
        <w:t xml:space="preserve"> </w:t>
      </w:r>
      <w:r w:rsidRPr="0099568E">
        <w:rPr>
          <w:b/>
        </w:rPr>
        <w:t>za lingvističku provjeru dokumenata (</w:t>
      </w:r>
      <w:r w:rsidRPr="0099568E">
        <w:rPr>
          <w:rStyle w:val="Strong"/>
          <w:i/>
        </w:rPr>
        <w:t>Working Group on Quality Review of Documents</w:t>
      </w:r>
      <w:r w:rsidRPr="0099568E">
        <w:rPr>
          <w:rFonts w:cs="Verdana"/>
          <w:b/>
        </w:rPr>
        <w:t>,</w:t>
      </w:r>
      <w:r w:rsidRPr="0099568E">
        <w:rPr>
          <w:b/>
        </w:rPr>
        <w:t xml:space="preserve"> QRD)</w:t>
      </w:r>
    </w:p>
    <w:p w14:paraId="6FD34C90" w14:textId="77777777" w:rsidR="00D07378" w:rsidRDefault="00D07378" w:rsidP="00D07378">
      <w:pPr>
        <w:tabs>
          <w:tab w:val="left" w:pos="794"/>
          <w:tab w:val="left" w:pos="1940"/>
        </w:tabs>
        <w:spacing w:line="276" w:lineRule="auto"/>
        <w:jc w:val="both"/>
        <w:rPr>
          <w:rFonts w:cs="Arial"/>
        </w:rPr>
      </w:pPr>
      <w:r>
        <w:rPr>
          <w:rFonts w:cs="Arial"/>
        </w:rPr>
        <w:t>QRD</w:t>
      </w:r>
      <w:r w:rsidRPr="0099568E">
        <w:rPr>
          <w:rFonts w:cs="Arial"/>
        </w:rPr>
        <w:t xml:space="preserve"> pruža podršku znanstvenim povjerenstvima EMA-e i podnositeljima zahtjeva vezanu uz lingvističke aspekte informacija o lijeku u svrhu osiguravanja jasnoće i terminološke usklađenosti informacija u sažetku opisa svojstava lijeka, uputi o lijeku</w:t>
      </w:r>
      <w:r w:rsidRPr="0099568E" w:rsidDel="00C453B2">
        <w:rPr>
          <w:rFonts w:cs="Arial"/>
        </w:rPr>
        <w:t xml:space="preserve"> </w:t>
      </w:r>
      <w:r w:rsidRPr="0099568E">
        <w:rPr>
          <w:rFonts w:cs="Arial"/>
        </w:rPr>
        <w:t xml:space="preserve">i označivanju u EU-u/EGP-u. </w:t>
      </w:r>
      <w:r w:rsidRPr="0099568E">
        <w:rPr>
          <w:rFonts w:eastAsia="Times New Roman" w:cstheme="minorHAnsi"/>
        </w:rPr>
        <w:t xml:space="preserve">U radnoj grupi </w:t>
      </w:r>
      <w:r>
        <w:rPr>
          <w:rFonts w:eastAsia="Times New Roman" w:cstheme="minorHAnsi"/>
        </w:rPr>
        <w:t xml:space="preserve">QRD </w:t>
      </w:r>
      <w:r w:rsidRPr="0099568E">
        <w:rPr>
          <w:rFonts w:eastAsia="Times New Roman" w:cstheme="minorHAnsi"/>
        </w:rPr>
        <w:t xml:space="preserve">Hrvatska </w:t>
      </w:r>
      <w:r>
        <w:rPr>
          <w:rFonts w:eastAsia="Times New Roman" w:cstheme="minorHAnsi"/>
        </w:rPr>
        <w:t>ima</w:t>
      </w:r>
      <w:r w:rsidRPr="0099568E">
        <w:rPr>
          <w:rFonts w:eastAsia="Times New Roman" w:cstheme="minorHAnsi"/>
        </w:rPr>
        <w:t xml:space="preserve"> dva </w:t>
      </w:r>
      <w:r>
        <w:rPr>
          <w:rFonts w:eastAsia="Times New Roman" w:cstheme="minorHAnsi"/>
        </w:rPr>
        <w:t>predstavnika HALMED-a; člana i zamjenika</w:t>
      </w:r>
      <w:r w:rsidRPr="0099568E">
        <w:rPr>
          <w:rFonts w:eastAsia="Times New Roman" w:cstheme="minorHAnsi"/>
        </w:rPr>
        <w:t>.</w:t>
      </w:r>
      <w:r w:rsidRPr="00935385" w:rsidDel="00DD3D21">
        <w:rPr>
          <w:rFonts w:cs="Arial"/>
        </w:rPr>
        <w:t xml:space="preserve"> </w:t>
      </w:r>
    </w:p>
    <w:p w14:paraId="182D2EDF" w14:textId="77777777" w:rsidR="00D07378" w:rsidRDefault="00D07378" w:rsidP="00D07378">
      <w:pPr>
        <w:spacing w:line="276" w:lineRule="auto"/>
        <w:jc w:val="both"/>
      </w:pPr>
      <w:r w:rsidRPr="0060785E">
        <w:t>Izvršenje prihodovnih poslova jezične provjere informacija o lijeku prikazano je u Tablici 1. (R.br. 1.4.).</w:t>
      </w:r>
    </w:p>
    <w:p w14:paraId="186BCC8C" w14:textId="77777777" w:rsidR="00D07378" w:rsidRDefault="00D07378" w:rsidP="00D07378">
      <w:pPr>
        <w:spacing w:line="276" w:lineRule="auto"/>
        <w:rPr>
          <w:b/>
        </w:rPr>
      </w:pPr>
    </w:p>
    <w:p w14:paraId="7A92DECA" w14:textId="2E7CBCFC" w:rsidR="00D07378" w:rsidRPr="0099568E" w:rsidRDefault="00D07378" w:rsidP="00D07378">
      <w:pPr>
        <w:spacing w:line="276" w:lineRule="auto"/>
        <w:rPr>
          <w:b/>
        </w:rPr>
      </w:pPr>
      <w:r>
        <w:rPr>
          <w:b/>
        </w:rPr>
        <w:t>A-</w:t>
      </w:r>
      <w:r w:rsidRPr="0099568E">
        <w:rPr>
          <w:b/>
        </w:rPr>
        <w:t xml:space="preserve">V) Radna </w:t>
      </w:r>
      <w:r w:rsidR="00791176">
        <w:rPr>
          <w:b/>
        </w:rPr>
        <w:t>skupina</w:t>
      </w:r>
      <w:r w:rsidR="00791176" w:rsidRPr="0099568E">
        <w:rPr>
          <w:b/>
        </w:rPr>
        <w:t xml:space="preserve"> </w:t>
      </w:r>
      <w:r w:rsidRPr="0099568E">
        <w:rPr>
          <w:b/>
        </w:rPr>
        <w:t>za pregled prihvatljivosti predloženog naziva lijeka (</w:t>
      </w:r>
      <w:r w:rsidRPr="0099568E">
        <w:rPr>
          <w:b/>
          <w:i/>
        </w:rPr>
        <w:t>Invented Name Review Group</w:t>
      </w:r>
      <w:r w:rsidRPr="0099568E">
        <w:rPr>
          <w:b/>
        </w:rPr>
        <w:t>, NRG)</w:t>
      </w:r>
    </w:p>
    <w:p w14:paraId="6F79D39B" w14:textId="77777777" w:rsidR="00D07378" w:rsidRDefault="00D07378" w:rsidP="00D07378">
      <w:pPr>
        <w:tabs>
          <w:tab w:val="left" w:pos="794"/>
          <w:tab w:val="left" w:pos="1940"/>
        </w:tabs>
        <w:spacing w:line="276" w:lineRule="auto"/>
        <w:jc w:val="both"/>
        <w:rPr>
          <w:rFonts w:eastAsia="Times New Roman" w:cstheme="minorHAnsi"/>
        </w:rPr>
      </w:pPr>
      <w:r>
        <w:rPr>
          <w:rFonts w:eastAsia="Times New Roman" w:cstheme="minorHAnsi"/>
        </w:rPr>
        <w:t xml:space="preserve">Radna grupa NRG </w:t>
      </w:r>
      <w:r w:rsidRPr="0099568E">
        <w:rPr>
          <w:rFonts w:eastAsia="Times New Roman" w:cstheme="minorHAnsi"/>
        </w:rPr>
        <w:t xml:space="preserve">zadužena </w:t>
      </w:r>
      <w:r>
        <w:rPr>
          <w:rFonts w:eastAsia="Times New Roman" w:cstheme="minorHAnsi"/>
        </w:rPr>
        <w:t xml:space="preserve">je </w:t>
      </w:r>
      <w:r w:rsidRPr="0099568E">
        <w:rPr>
          <w:rFonts w:eastAsia="Times New Roman" w:cstheme="minorHAnsi"/>
        </w:rPr>
        <w:t xml:space="preserve">za pregled prihvatljivosti </w:t>
      </w:r>
      <w:r>
        <w:rPr>
          <w:rFonts w:eastAsia="Times New Roman" w:cstheme="minorHAnsi"/>
        </w:rPr>
        <w:t xml:space="preserve">predloženog </w:t>
      </w:r>
      <w:r w:rsidRPr="0099568E">
        <w:rPr>
          <w:rFonts w:eastAsia="Times New Roman" w:cstheme="minorHAnsi"/>
        </w:rPr>
        <w:t>naziva lijeka u centraliziran</w:t>
      </w:r>
      <w:r>
        <w:rPr>
          <w:rFonts w:eastAsia="Times New Roman" w:cstheme="minorHAnsi"/>
        </w:rPr>
        <w:t>om postupku odobravanja lijeka za koji</w:t>
      </w:r>
      <w:r w:rsidRPr="0099568E">
        <w:rPr>
          <w:rFonts w:eastAsia="Times New Roman" w:cstheme="minorHAnsi"/>
        </w:rPr>
        <w:t xml:space="preserve"> će zahtjev biti ili je već podnesen EMA-i. </w:t>
      </w:r>
      <w:r>
        <w:rPr>
          <w:rFonts w:eastAsia="Times New Roman" w:cstheme="minorHAnsi"/>
        </w:rPr>
        <w:t>Predstavnici</w:t>
      </w:r>
      <w:r w:rsidRPr="0099568E">
        <w:rPr>
          <w:rFonts w:eastAsia="Times New Roman" w:cstheme="minorHAnsi"/>
        </w:rPr>
        <w:t xml:space="preserve"> </w:t>
      </w:r>
      <w:r>
        <w:rPr>
          <w:rFonts w:eastAsia="Times New Roman" w:cstheme="minorHAnsi"/>
        </w:rPr>
        <w:t xml:space="preserve">HALMED-a </w:t>
      </w:r>
      <w:r w:rsidRPr="0099568E">
        <w:rPr>
          <w:rFonts w:eastAsia="Times New Roman" w:cstheme="minorHAnsi"/>
        </w:rPr>
        <w:t xml:space="preserve">prijedloge naziva </w:t>
      </w:r>
      <w:r>
        <w:rPr>
          <w:rFonts w:eastAsia="Times New Roman" w:cstheme="minorHAnsi"/>
        </w:rPr>
        <w:t xml:space="preserve">lijekova </w:t>
      </w:r>
      <w:r w:rsidRPr="0099568E">
        <w:rPr>
          <w:rFonts w:eastAsia="Times New Roman" w:cstheme="minorHAnsi"/>
        </w:rPr>
        <w:t xml:space="preserve">zaprimaju </w:t>
      </w:r>
      <w:r>
        <w:rPr>
          <w:rFonts w:eastAsia="Times New Roman" w:cstheme="minorHAnsi"/>
        </w:rPr>
        <w:t xml:space="preserve">putem „online“ </w:t>
      </w:r>
      <w:r w:rsidRPr="0099568E">
        <w:rPr>
          <w:rFonts w:eastAsia="Times New Roman" w:cstheme="minorHAnsi"/>
        </w:rPr>
        <w:t xml:space="preserve">portala. </w:t>
      </w:r>
    </w:p>
    <w:p w14:paraId="2FB7D4A0" w14:textId="77777777" w:rsidR="00D07378" w:rsidRPr="0099568E" w:rsidRDefault="00D07378" w:rsidP="00D07378">
      <w:pPr>
        <w:tabs>
          <w:tab w:val="left" w:pos="794"/>
          <w:tab w:val="left" w:pos="1940"/>
        </w:tabs>
        <w:spacing w:line="276" w:lineRule="auto"/>
        <w:jc w:val="both"/>
        <w:rPr>
          <w:rFonts w:eastAsia="Times New Roman" w:cstheme="minorHAnsi"/>
        </w:rPr>
      </w:pPr>
      <w:r w:rsidRPr="0099568E">
        <w:rPr>
          <w:rFonts w:eastAsia="Times New Roman" w:cstheme="minorHAnsi"/>
        </w:rPr>
        <w:t xml:space="preserve">HALMED je u </w:t>
      </w:r>
      <w:r>
        <w:rPr>
          <w:rFonts w:eastAsia="Times New Roman" w:cstheme="minorHAnsi"/>
        </w:rPr>
        <w:t xml:space="preserve">izvještajnom razdoblju </w:t>
      </w:r>
      <w:r w:rsidRPr="0099568E">
        <w:rPr>
          <w:rFonts w:eastAsia="Times New Roman" w:cstheme="minorHAnsi"/>
        </w:rPr>
        <w:t>preko portala zaprimio</w:t>
      </w:r>
      <w:r>
        <w:rPr>
          <w:rFonts w:eastAsia="Times New Roman" w:cstheme="minorHAnsi"/>
        </w:rPr>
        <w:t xml:space="preserve"> i pregledao 434</w:t>
      </w:r>
      <w:r w:rsidRPr="0099568E">
        <w:rPr>
          <w:rFonts w:eastAsia="Times New Roman" w:cstheme="minorHAnsi"/>
        </w:rPr>
        <w:t xml:space="preserve"> pr</w:t>
      </w:r>
      <w:r>
        <w:rPr>
          <w:rFonts w:eastAsia="Times New Roman" w:cstheme="minorHAnsi"/>
        </w:rPr>
        <w:t>edložena</w:t>
      </w:r>
      <w:r w:rsidRPr="0099568E">
        <w:rPr>
          <w:rFonts w:eastAsia="Times New Roman" w:cstheme="minorHAnsi"/>
        </w:rPr>
        <w:t xml:space="preserve"> naziv</w:t>
      </w:r>
      <w:r>
        <w:rPr>
          <w:rFonts w:eastAsia="Times New Roman" w:cstheme="minorHAnsi"/>
        </w:rPr>
        <w:t>a</w:t>
      </w:r>
      <w:r w:rsidRPr="0099568E">
        <w:rPr>
          <w:rFonts w:eastAsia="Times New Roman" w:cstheme="minorHAnsi"/>
        </w:rPr>
        <w:t xml:space="preserve"> </w:t>
      </w:r>
      <w:r>
        <w:rPr>
          <w:rFonts w:eastAsia="Times New Roman" w:cstheme="minorHAnsi"/>
        </w:rPr>
        <w:t>lijeka.</w:t>
      </w:r>
    </w:p>
    <w:p w14:paraId="3A64C695" w14:textId="77777777" w:rsidR="00D07378" w:rsidRDefault="00D07378" w:rsidP="00D07378">
      <w:pPr>
        <w:spacing w:line="276" w:lineRule="auto"/>
        <w:jc w:val="both"/>
        <w:rPr>
          <w:rFonts w:eastAsia="Times New Roman" w:cstheme="minorHAnsi"/>
        </w:rPr>
      </w:pPr>
    </w:p>
    <w:p w14:paraId="47230E68" w14:textId="77777777" w:rsidR="00D07378" w:rsidRPr="00E9425B" w:rsidRDefault="00D07378" w:rsidP="00D07378">
      <w:pPr>
        <w:spacing w:line="276" w:lineRule="auto"/>
        <w:jc w:val="both"/>
        <w:rPr>
          <w:rFonts w:eastAsia="Times New Roman" w:cstheme="minorHAnsi"/>
          <w:b/>
        </w:rPr>
      </w:pPr>
      <w:r w:rsidRPr="00E9425B">
        <w:rPr>
          <w:rFonts w:eastAsia="Times New Roman" w:cstheme="minorHAnsi"/>
          <w:b/>
        </w:rPr>
        <w:t>A-VI) Radna skupina za metodologiju (</w:t>
      </w:r>
      <w:r w:rsidRPr="00E026E1">
        <w:rPr>
          <w:rFonts w:eastAsia="Times New Roman" w:cstheme="minorHAnsi"/>
          <w:b/>
          <w:i/>
        </w:rPr>
        <w:t>Methodology Working Party</w:t>
      </w:r>
      <w:r w:rsidRPr="00E9425B">
        <w:rPr>
          <w:rFonts w:eastAsia="Times New Roman" w:cstheme="minorHAnsi"/>
          <w:b/>
        </w:rPr>
        <w:t>, MWP)</w:t>
      </w:r>
    </w:p>
    <w:p w14:paraId="26EC822D" w14:textId="77777777" w:rsidR="00D07378" w:rsidRPr="00E9425B" w:rsidRDefault="00D07378" w:rsidP="00D07378">
      <w:pPr>
        <w:spacing w:line="276" w:lineRule="auto"/>
        <w:jc w:val="both"/>
        <w:rPr>
          <w:rFonts w:eastAsia="Times New Roman" w:cstheme="minorHAnsi"/>
        </w:rPr>
      </w:pPr>
    </w:p>
    <w:p w14:paraId="5A4ABC62" w14:textId="77777777" w:rsidR="00D07378" w:rsidRPr="00E9425B" w:rsidRDefault="00D07378" w:rsidP="00D07378">
      <w:pPr>
        <w:spacing w:line="276" w:lineRule="auto"/>
        <w:jc w:val="both"/>
        <w:rPr>
          <w:rFonts w:eastAsia="Times New Roman" w:cstheme="minorHAnsi"/>
        </w:rPr>
      </w:pPr>
      <w:r w:rsidRPr="00E9425B">
        <w:rPr>
          <w:rFonts w:eastAsia="Times New Roman" w:cstheme="minorHAnsi"/>
        </w:rPr>
        <w:t>Nakon reorganizacije radnih skupina pri CHMP-u, iz nekolicine dosadašnjih radnih skupina osnovana je jedinstvena Radna skupina za metodologiju, MWP. Osnovana je s ciljem pružanja objedinjenog stručnog mišljenja o specifičnim pitanjima iz područja biostatistike, modela i simulacija, farmakokinetike, farmakogenomike i podataka iz stvarnog života (</w:t>
      </w:r>
      <w:r w:rsidRPr="00E026E1">
        <w:rPr>
          <w:rFonts w:eastAsia="Times New Roman" w:cstheme="minorHAnsi"/>
          <w:i/>
        </w:rPr>
        <w:t>real world evidence</w:t>
      </w:r>
      <w:r w:rsidRPr="00E9425B">
        <w:rPr>
          <w:rFonts w:eastAsia="Times New Roman" w:cstheme="minorHAnsi"/>
        </w:rPr>
        <w:t>, RWE). U skupinu stručnjaka (</w:t>
      </w:r>
      <w:r w:rsidRPr="00E026E1">
        <w:rPr>
          <w:rFonts w:eastAsia="Times New Roman" w:cstheme="minorHAnsi"/>
          <w:i/>
        </w:rPr>
        <w:t>Methodology European Specialised Expert Community</w:t>
      </w:r>
      <w:r w:rsidRPr="00E9425B">
        <w:rPr>
          <w:rFonts w:eastAsia="Times New Roman" w:cstheme="minorHAnsi"/>
        </w:rPr>
        <w:t>, ESEC) koji  pružaju podršku radu MWP-a, uključeno je 5 predstavnika HALMED-a</w:t>
      </w:r>
      <w:r>
        <w:rPr>
          <w:rFonts w:eastAsia="Times New Roman" w:cstheme="minorHAnsi"/>
        </w:rPr>
        <w:t xml:space="preserve"> no HALMED nema stalnog člana pri MWP-u</w:t>
      </w:r>
      <w:r w:rsidRPr="00E9425B">
        <w:rPr>
          <w:rFonts w:eastAsia="Times New Roman" w:cstheme="minorHAnsi"/>
        </w:rPr>
        <w:t>. U sklopu rada Methodology ESEC-a djeluju i posebne radne skupine u kojima predstavnici HALMED-a sudjeluju u svojstvu stalnih članova.</w:t>
      </w:r>
    </w:p>
    <w:p w14:paraId="0029D2BF" w14:textId="026AD263" w:rsidR="00D07378" w:rsidRPr="00E9425B" w:rsidRDefault="00D07378" w:rsidP="00D07378">
      <w:pPr>
        <w:spacing w:line="276" w:lineRule="auto"/>
        <w:jc w:val="both"/>
        <w:rPr>
          <w:rFonts w:eastAsia="Times New Roman" w:cstheme="minorHAnsi"/>
        </w:rPr>
      </w:pPr>
      <w:r w:rsidRPr="00E9425B">
        <w:rPr>
          <w:rFonts w:eastAsia="Times New Roman" w:cstheme="minorHAnsi"/>
        </w:rPr>
        <w:lastRenderedPageBreak/>
        <w:t>Podršku radnim skupina</w:t>
      </w:r>
      <w:r w:rsidR="00791176">
        <w:rPr>
          <w:rFonts w:eastAsia="Times New Roman" w:cstheme="minorHAnsi"/>
        </w:rPr>
        <w:t>ma</w:t>
      </w:r>
      <w:r w:rsidRPr="00E9425B">
        <w:rPr>
          <w:rFonts w:eastAsia="Times New Roman" w:cstheme="minorHAnsi"/>
        </w:rPr>
        <w:t xml:space="preserve"> pružaju i privremene radne </w:t>
      </w:r>
      <w:r w:rsidR="00791176">
        <w:rPr>
          <w:rFonts w:eastAsia="Times New Roman" w:cstheme="minorHAnsi"/>
        </w:rPr>
        <w:t>skupine</w:t>
      </w:r>
      <w:r w:rsidR="00791176" w:rsidRPr="00E9425B">
        <w:rPr>
          <w:rFonts w:eastAsia="Times New Roman" w:cstheme="minorHAnsi"/>
        </w:rPr>
        <w:t xml:space="preserve"> </w:t>
      </w:r>
      <w:r w:rsidRPr="00E9425B">
        <w:rPr>
          <w:rFonts w:eastAsia="Times New Roman" w:cstheme="minorHAnsi"/>
        </w:rPr>
        <w:t>za izradu ili reviziju smjernica (</w:t>
      </w:r>
      <w:r w:rsidRPr="00E026E1">
        <w:rPr>
          <w:rFonts w:eastAsia="Times New Roman" w:cstheme="minorHAnsi"/>
          <w:i/>
        </w:rPr>
        <w:t>Temporary drafting groups</w:t>
      </w:r>
      <w:r w:rsidRPr="00E9425B">
        <w:rPr>
          <w:rFonts w:eastAsia="Times New Roman" w:cstheme="minorHAnsi"/>
        </w:rPr>
        <w:t>, tDGs).</w:t>
      </w:r>
      <w:r>
        <w:rPr>
          <w:rFonts w:eastAsia="Times New Roman" w:cstheme="minorHAnsi"/>
        </w:rPr>
        <w:t xml:space="preserve"> </w:t>
      </w:r>
    </w:p>
    <w:p w14:paraId="5F86A660" w14:textId="77777777" w:rsidR="00D07378" w:rsidRPr="00E9425B" w:rsidRDefault="00D07378" w:rsidP="00D07378">
      <w:pPr>
        <w:spacing w:line="276" w:lineRule="auto"/>
        <w:jc w:val="both"/>
        <w:rPr>
          <w:rFonts w:eastAsia="Times New Roman" w:cstheme="minorHAnsi"/>
        </w:rPr>
      </w:pPr>
    </w:p>
    <w:p w14:paraId="4BA9AB89" w14:textId="77777777" w:rsidR="00D07378" w:rsidRPr="00E9425B" w:rsidRDefault="00D07378" w:rsidP="00D07378">
      <w:pPr>
        <w:spacing w:line="276" w:lineRule="auto"/>
        <w:jc w:val="both"/>
        <w:rPr>
          <w:rFonts w:eastAsia="Times New Roman" w:cstheme="minorHAnsi"/>
          <w:b/>
        </w:rPr>
      </w:pPr>
      <w:r w:rsidRPr="00E9425B">
        <w:rPr>
          <w:rFonts w:eastAsia="Times New Roman" w:cstheme="minorHAnsi"/>
          <w:b/>
        </w:rPr>
        <w:t>a) Radna skupina za modele i simulacije (</w:t>
      </w:r>
      <w:r w:rsidRPr="00E026E1">
        <w:rPr>
          <w:rFonts w:eastAsia="Times New Roman" w:cstheme="minorHAnsi"/>
          <w:b/>
          <w:i/>
        </w:rPr>
        <w:t>Modelling and Simulation Operational Expert Group</w:t>
      </w:r>
      <w:r w:rsidRPr="00E9425B">
        <w:rPr>
          <w:rFonts w:eastAsia="Times New Roman" w:cstheme="minorHAnsi"/>
          <w:b/>
        </w:rPr>
        <w:t xml:space="preserve">, MSOEG, ex. </w:t>
      </w:r>
      <w:r w:rsidRPr="00E026E1">
        <w:rPr>
          <w:rFonts w:eastAsia="Times New Roman" w:cstheme="minorHAnsi"/>
          <w:b/>
          <w:i/>
        </w:rPr>
        <w:t>Modelling and Simulation Working Party</w:t>
      </w:r>
      <w:r w:rsidRPr="00E9425B">
        <w:rPr>
          <w:rFonts w:eastAsia="Times New Roman" w:cstheme="minorHAnsi"/>
          <w:b/>
        </w:rPr>
        <w:t>, MSWP)</w:t>
      </w:r>
    </w:p>
    <w:p w14:paraId="472675E5" w14:textId="77777777" w:rsidR="00D07378" w:rsidRPr="00E9425B" w:rsidRDefault="00D07378" w:rsidP="00D07378">
      <w:pPr>
        <w:spacing w:line="276" w:lineRule="auto"/>
        <w:jc w:val="both"/>
        <w:rPr>
          <w:rFonts w:eastAsia="Times New Roman" w:cstheme="minorHAnsi"/>
        </w:rPr>
      </w:pPr>
      <w:r w:rsidRPr="00E9425B">
        <w:rPr>
          <w:rFonts w:eastAsia="Times New Roman" w:cstheme="minorHAnsi"/>
        </w:rPr>
        <w:t>MSOEG je radna skupina koja pruža podršku CHMP-u, PDCO-u i SAWP-u vezano uz postupke u kojima se koriste modeli i simulacije npr. za određivanje doze kod prvog ispitivanja u ljudi, za optimizaciju dizajna kliničkih ispitivanja, ekstrapolaciju na pedijatrijsku populaciju i dr. Jedan od ciljeva grupe je povećati svjesnost i izvrsnost u korištenju modela i simulacija među europskim nacionalnim regulatornim tijelima. U MSOEG-u Hrvatska ima jednog predstavnika HALMED-a u svojstvu člana radne skupine.</w:t>
      </w:r>
    </w:p>
    <w:p w14:paraId="2985A4D7" w14:textId="77777777" w:rsidR="00D07378" w:rsidRPr="00E9425B" w:rsidRDefault="00D07378" w:rsidP="00D07378">
      <w:pPr>
        <w:spacing w:line="276" w:lineRule="auto"/>
        <w:jc w:val="both"/>
        <w:rPr>
          <w:rFonts w:eastAsia="Times New Roman" w:cstheme="minorHAnsi"/>
        </w:rPr>
      </w:pPr>
      <w:r w:rsidRPr="00E9425B">
        <w:rPr>
          <w:rFonts w:eastAsia="Times New Roman" w:cstheme="minorHAnsi"/>
        </w:rPr>
        <w:t xml:space="preserve">U izvještajnom razdoblju predstavnik HALMED-a pregledao je </w:t>
      </w:r>
      <w:r>
        <w:rPr>
          <w:rFonts w:eastAsia="Times New Roman" w:cstheme="minorHAnsi"/>
        </w:rPr>
        <w:t>30</w:t>
      </w:r>
      <w:r w:rsidRPr="00E9425B">
        <w:rPr>
          <w:rFonts w:eastAsia="Times New Roman" w:cstheme="minorHAnsi"/>
        </w:rPr>
        <w:t xml:space="preserve"> lijek</w:t>
      </w:r>
      <w:r>
        <w:rPr>
          <w:rFonts w:eastAsia="Times New Roman" w:cstheme="minorHAnsi"/>
        </w:rPr>
        <w:t>ova</w:t>
      </w:r>
      <w:r w:rsidRPr="00E9425B">
        <w:rPr>
          <w:rFonts w:eastAsia="Times New Roman" w:cstheme="minorHAnsi"/>
        </w:rPr>
        <w:t xml:space="preserve"> koje ocjenjuje PDCO i/ili SAWP, a prezentiran je i lijek Velsipity (za koji je Hrvatska suizvjestitelj) u svrhu rasprave oko moguće ekstrapolacije djelotvornosti i sigurnosti na adolescente. </w:t>
      </w:r>
      <w:r>
        <w:rPr>
          <w:rFonts w:eastAsia="Times New Roman" w:cstheme="minorHAnsi"/>
        </w:rPr>
        <w:t xml:space="preserve">Predstavnik HALMED-a uključen je u rad grupe za kvalifikacijski savjet za Simcyo simulator. </w:t>
      </w:r>
      <w:r w:rsidRPr="00E9425B">
        <w:rPr>
          <w:rFonts w:eastAsia="Times New Roman" w:cstheme="minorHAnsi"/>
        </w:rPr>
        <w:t>Predstavnik HALMED-a ima dodatnu ulogu raditi na jačanju povezanosti CHMP-a i MSOEG-a.</w:t>
      </w:r>
    </w:p>
    <w:p w14:paraId="07118CFF" w14:textId="77777777" w:rsidR="00D07378" w:rsidRPr="00E9425B" w:rsidRDefault="00D07378" w:rsidP="00D07378">
      <w:pPr>
        <w:spacing w:line="276" w:lineRule="auto"/>
        <w:jc w:val="both"/>
        <w:rPr>
          <w:rFonts w:eastAsia="Times New Roman" w:cstheme="minorHAnsi"/>
        </w:rPr>
      </w:pPr>
    </w:p>
    <w:p w14:paraId="475AD1A7" w14:textId="77777777" w:rsidR="00D07378" w:rsidRPr="00E9425B" w:rsidRDefault="00D07378" w:rsidP="00D07378">
      <w:pPr>
        <w:spacing w:line="276" w:lineRule="auto"/>
        <w:jc w:val="both"/>
        <w:rPr>
          <w:rFonts w:eastAsia="Times New Roman" w:cstheme="minorHAnsi"/>
          <w:b/>
        </w:rPr>
      </w:pPr>
      <w:r w:rsidRPr="00E9425B">
        <w:rPr>
          <w:rFonts w:eastAsia="Times New Roman" w:cstheme="minorHAnsi"/>
          <w:b/>
        </w:rPr>
        <w:t>b) Radna skupina za biostatistiku (</w:t>
      </w:r>
      <w:r w:rsidRPr="00E026E1">
        <w:rPr>
          <w:rFonts w:eastAsia="Times New Roman" w:cstheme="minorHAnsi"/>
          <w:b/>
          <w:i/>
        </w:rPr>
        <w:t>Biostatistics Operational Expert Group</w:t>
      </w:r>
      <w:r w:rsidRPr="00E9425B">
        <w:rPr>
          <w:rFonts w:eastAsia="Times New Roman" w:cstheme="minorHAnsi"/>
          <w:b/>
        </w:rPr>
        <w:t xml:space="preserve">, BSOEG, ex. </w:t>
      </w:r>
      <w:r w:rsidRPr="00E026E1">
        <w:rPr>
          <w:rFonts w:eastAsia="Times New Roman" w:cstheme="minorHAnsi"/>
          <w:b/>
          <w:i/>
        </w:rPr>
        <w:t>Biostatistics Working Party</w:t>
      </w:r>
      <w:r w:rsidRPr="00E9425B">
        <w:rPr>
          <w:rFonts w:eastAsia="Times New Roman" w:cstheme="minorHAnsi"/>
          <w:b/>
        </w:rPr>
        <w:t>, BSWP)</w:t>
      </w:r>
    </w:p>
    <w:p w14:paraId="0229C44B" w14:textId="77777777" w:rsidR="00D07378" w:rsidRPr="00E9425B" w:rsidRDefault="00D07378" w:rsidP="00D07378">
      <w:pPr>
        <w:spacing w:line="276" w:lineRule="auto"/>
        <w:jc w:val="both"/>
        <w:rPr>
          <w:rFonts w:eastAsia="Times New Roman" w:cstheme="minorHAnsi"/>
        </w:rPr>
      </w:pPr>
      <w:r w:rsidRPr="00E9425B">
        <w:rPr>
          <w:rFonts w:eastAsia="Times New Roman" w:cstheme="minorHAnsi"/>
        </w:rPr>
        <w:t>BSOEG je radna skupina koja pruža podršku SAWP-u u području pitanja iz biostatistike. U BSOEG-u Hrvatska ima jednog predstavnika HALMED-a u svojstvu člana radne skupine.</w:t>
      </w:r>
    </w:p>
    <w:p w14:paraId="175C35CF" w14:textId="77777777" w:rsidR="00D07378" w:rsidRPr="00E9425B" w:rsidRDefault="00D07378" w:rsidP="00D07378">
      <w:pPr>
        <w:spacing w:line="276" w:lineRule="auto"/>
        <w:jc w:val="both"/>
        <w:rPr>
          <w:rFonts w:eastAsia="Times New Roman" w:cstheme="minorHAnsi"/>
        </w:rPr>
      </w:pPr>
      <w:r w:rsidRPr="00E9425B">
        <w:rPr>
          <w:rFonts w:eastAsia="Times New Roman" w:cstheme="minorHAnsi"/>
        </w:rPr>
        <w:t xml:space="preserve">U izvještajnom razdoblju predstavnik HALMED-a pregledao je </w:t>
      </w:r>
      <w:r>
        <w:rPr>
          <w:rFonts w:eastAsia="Times New Roman" w:cstheme="minorHAnsi"/>
        </w:rPr>
        <w:t>13</w:t>
      </w:r>
      <w:r w:rsidRPr="00E9425B">
        <w:rPr>
          <w:rFonts w:eastAsia="Times New Roman" w:cstheme="minorHAnsi"/>
        </w:rPr>
        <w:t xml:space="preserve"> lijek</w:t>
      </w:r>
      <w:r>
        <w:rPr>
          <w:rFonts w:eastAsia="Times New Roman" w:cstheme="minorHAnsi"/>
        </w:rPr>
        <w:t>ov</w:t>
      </w:r>
      <w:r w:rsidRPr="00E9425B">
        <w:rPr>
          <w:rFonts w:eastAsia="Times New Roman" w:cstheme="minorHAnsi"/>
        </w:rPr>
        <w:t>a koj</w:t>
      </w:r>
      <w:r>
        <w:rPr>
          <w:rFonts w:eastAsia="Times New Roman" w:cstheme="minorHAnsi"/>
        </w:rPr>
        <w:t>e</w:t>
      </w:r>
      <w:r w:rsidRPr="00E9425B">
        <w:rPr>
          <w:rFonts w:eastAsia="Times New Roman" w:cstheme="minorHAnsi"/>
        </w:rPr>
        <w:t xml:space="preserve"> ocjenjuje SAWP.</w:t>
      </w:r>
    </w:p>
    <w:p w14:paraId="47890165" w14:textId="77777777" w:rsidR="00D07378" w:rsidRPr="00E9425B" w:rsidRDefault="00D07378" w:rsidP="00D07378">
      <w:pPr>
        <w:spacing w:line="276" w:lineRule="auto"/>
        <w:jc w:val="both"/>
        <w:rPr>
          <w:rFonts w:eastAsia="Times New Roman" w:cstheme="minorHAnsi"/>
        </w:rPr>
      </w:pPr>
      <w:r w:rsidRPr="00E9425B">
        <w:rPr>
          <w:rFonts w:eastAsia="Times New Roman" w:cstheme="minorHAnsi"/>
        </w:rPr>
        <w:t>Također, predstavnik HALMED-a član je i tDG</w:t>
      </w:r>
      <w:r>
        <w:rPr>
          <w:rFonts w:eastAsia="Times New Roman" w:cstheme="minorHAnsi"/>
        </w:rPr>
        <w:t>-a</w:t>
      </w:r>
      <w:r w:rsidRPr="00E9425B">
        <w:rPr>
          <w:rFonts w:eastAsia="Times New Roman" w:cstheme="minorHAnsi"/>
        </w:rPr>
        <w:t xml:space="preserve"> za reviziju dviju smjernica: </w:t>
      </w:r>
      <w:r w:rsidRPr="00E026E1">
        <w:rPr>
          <w:rFonts w:eastAsia="Times New Roman" w:cstheme="minorHAnsi"/>
          <w:i/>
        </w:rPr>
        <w:t>Guideline on the choice of the non-inferiority margin</w:t>
      </w:r>
      <w:r w:rsidRPr="00E9425B">
        <w:rPr>
          <w:rFonts w:eastAsia="Times New Roman" w:cstheme="minorHAnsi"/>
        </w:rPr>
        <w:t xml:space="preserve"> (EMEA/CPMP/EWP/2158/99) i </w:t>
      </w:r>
      <w:r w:rsidRPr="00E026E1">
        <w:rPr>
          <w:rFonts w:eastAsia="Times New Roman" w:cstheme="minorHAnsi"/>
          <w:i/>
        </w:rPr>
        <w:t>Points to consider on switching between superiority and non-inferiority</w:t>
      </w:r>
      <w:r w:rsidRPr="00E9425B">
        <w:rPr>
          <w:rFonts w:eastAsia="Times New Roman" w:cstheme="minorHAnsi"/>
        </w:rPr>
        <w:t xml:space="preserve"> (CPMP/EWP/482/99).</w:t>
      </w:r>
    </w:p>
    <w:p w14:paraId="6E075D33" w14:textId="77777777" w:rsidR="00D07378" w:rsidRPr="00E9425B" w:rsidRDefault="00D07378" w:rsidP="00D07378">
      <w:pPr>
        <w:spacing w:line="276" w:lineRule="auto"/>
        <w:jc w:val="both"/>
        <w:rPr>
          <w:rFonts w:eastAsia="Times New Roman" w:cstheme="minorHAnsi"/>
        </w:rPr>
      </w:pPr>
    </w:p>
    <w:p w14:paraId="2B8F61BE" w14:textId="5715D457" w:rsidR="00D07378" w:rsidRPr="00E9425B" w:rsidRDefault="00D07378" w:rsidP="00D07378">
      <w:pPr>
        <w:spacing w:line="276" w:lineRule="auto"/>
        <w:jc w:val="both"/>
        <w:rPr>
          <w:rFonts w:eastAsia="Times New Roman" w:cstheme="minorHAnsi"/>
          <w:b/>
        </w:rPr>
      </w:pPr>
      <w:r w:rsidRPr="00E9425B">
        <w:rPr>
          <w:rFonts w:eastAsia="Times New Roman" w:cstheme="minorHAnsi"/>
          <w:b/>
        </w:rPr>
        <w:t xml:space="preserve">c) </w:t>
      </w:r>
      <w:r w:rsidR="00791176">
        <w:rPr>
          <w:rFonts w:eastAsia="Times New Roman" w:cstheme="minorHAnsi"/>
          <w:b/>
        </w:rPr>
        <w:t>Skupina</w:t>
      </w:r>
      <w:r w:rsidR="00791176" w:rsidRPr="00E9425B">
        <w:rPr>
          <w:rFonts w:eastAsia="Times New Roman" w:cstheme="minorHAnsi"/>
          <w:b/>
        </w:rPr>
        <w:t xml:space="preserve"> </w:t>
      </w:r>
      <w:r w:rsidRPr="00E9425B">
        <w:rPr>
          <w:rFonts w:eastAsia="Times New Roman" w:cstheme="minorHAnsi"/>
          <w:b/>
        </w:rPr>
        <w:t>za izradu smjernica o genericima (</w:t>
      </w:r>
      <w:r w:rsidRPr="00E026E1">
        <w:rPr>
          <w:rFonts w:eastAsia="Times New Roman" w:cstheme="minorHAnsi"/>
          <w:b/>
          <w:i/>
        </w:rPr>
        <w:t>Generics drafting group</w:t>
      </w:r>
      <w:r w:rsidRPr="00E9425B">
        <w:rPr>
          <w:rFonts w:eastAsia="Times New Roman" w:cstheme="minorHAnsi"/>
          <w:b/>
        </w:rPr>
        <w:t>)</w:t>
      </w:r>
    </w:p>
    <w:p w14:paraId="36A58560" w14:textId="77777777" w:rsidR="00D07378" w:rsidRDefault="00D07378" w:rsidP="00D07378">
      <w:pPr>
        <w:spacing w:line="276" w:lineRule="auto"/>
        <w:jc w:val="both"/>
        <w:rPr>
          <w:rFonts w:eastAsia="Times New Roman" w:cstheme="minorHAnsi"/>
        </w:rPr>
      </w:pPr>
      <w:r w:rsidRPr="00E9425B">
        <w:rPr>
          <w:rFonts w:eastAsia="Times New Roman" w:cstheme="minorHAnsi"/>
        </w:rPr>
        <w:t>Grupa za izradu smjernica o genericima osnovana je s ciljem pripremanja specifičnih smjernica za pojedine djelatne tvari. Predstavnica HALMED-a (dosadašnji dodatni stručnjak pri nekadašnjem PKWP-u (</w:t>
      </w:r>
      <w:r w:rsidRPr="00E026E1">
        <w:rPr>
          <w:rFonts w:eastAsia="Times New Roman" w:cstheme="minorHAnsi"/>
          <w:i/>
        </w:rPr>
        <w:t>Pharmacokinetics Working Party</w:t>
      </w:r>
      <w:r w:rsidRPr="00E9425B">
        <w:rPr>
          <w:rFonts w:eastAsia="Times New Roman" w:cstheme="minorHAnsi"/>
        </w:rPr>
        <w:t>)), član je ove grupe od travnja.</w:t>
      </w:r>
    </w:p>
    <w:p w14:paraId="06FA7511" w14:textId="77777777" w:rsidR="00D07378" w:rsidRDefault="00D07378" w:rsidP="00D07378">
      <w:pPr>
        <w:spacing w:line="276" w:lineRule="auto"/>
        <w:jc w:val="both"/>
        <w:rPr>
          <w:rFonts w:eastAsia="Times New Roman" w:cstheme="minorHAnsi"/>
        </w:rPr>
      </w:pPr>
    </w:p>
    <w:p w14:paraId="5169C1B3" w14:textId="74AE0B49" w:rsidR="00D07378" w:rsidRPr="00355145" w:rsidRDefault="00D07378" w:rsidP="00D07378">
      <w:pPr>
        <w:spacing w:after="240"/>
        <w:jc w:val="both"/>
        <w:rPr>
          <w:b/>
          <w:bCs/>
        </w:rPr>
      </w:pPr>
      <w:r>
        <w:rPr>
          <w:b/>
          <w:bCs/>
        </w:rPr>
        <w:t>d</w:t>
      </w:r>
      <w:r w:rsidRPr="00355145">
        <w:rPr>
          <w:b/>
          <w:bCs/>
        </w:rPr>
        <w:t xml:space="preserve">) </w:t>
      </w:r>
      <w:r>
        <w:rPr>
          <w:b/>
          <w:bCs/>
        </w:rPr>
        <w:t xml:space="preserve">Privremena radna </w:t>
      </w:r>
      <w:r w:rsidR="00791176">
        <w:rPr>
          <w:b/>
          <w:bCs/>
        </w:rPr>
        <w:t>skupina</w:t>
      </w:r>
      <w:r w:rsidR="00791176" w:rsidRPr="00355145">
        <w:rPr>
          <w:b/>
          <w:bCs/>
        </w:rPr>
        <w:t xml:space="preserve"> </w:t>
      </w:r>
      <w:r w:rsidRPr="00355145">
        <w:rPr>
          <w:b/>
          <w:bCs/>
        </w:rPr>
        <w:t xml:space="preserve">za </w:t>
      </w:r>
      <w:r>
        <w:rPr>
          <w:b/>
          <w:bCs/>
        </w:rPr>
        <w:t xml:space="preserve">reviziju smjernice </w:t>
      </w:r>
      <w:r w:rsidRPr="0033482D">
        <w:rPr>
          <w:b/>
          <w:bCs/>
        </w:rPr>
        <w:t>"</w:t>
      </w:r>
      <w:r w:rsidRPr="00834BA1">
        <w:rPr>
          <w:b/>
          <w:bCs/>
          <w:i/>
        </w:rPr>
        <w:t>Best practices for clinical trials</w:t>
      </w:r>
      <w:r w:rsidRPr="0033482D">
        <w:rPr>
          <w:b/>
          <w:bCs/>
        </w:rPr>
        <w:t xml:space="preserve">" </w:t>
      </w:r>
    </w:p>
    <w:p w14:paraId="6138D687" w14:textId="77777777" w:rsidR="00D07378" w:rsidRPr="00713723" w:rsidRDefault="00D07378" w:rsidP="00D07378">
      <w:r>
        <w:t>Predstavnica HALMED-a uključena je u privremenu radnu grupu za reviziju dokumenta "</w:t>
      </w:r>
      <w:r w:rsidRPr="00834BA1">
        <w:rPr>
          <w:i/>
        </w:rPr>
        <w:t>Best practices for clinical trials</w:t>
      </w:r>
      <w:r>
        <w:t>" koji je pripremila WHO. U sklopu ove aktivnosti hrvatska predstavnica je predložila više amandmana koji su usvojeni na razini konsolidacijskog sastanka.</w:t>
      </w:r>
    </w:p>
    <w:p w14:paraId="5C8AE576" w14:textId="77777777" w:rsidR="00D07378" w:rsidRPr="00394FBF" w:rsidRDefault="00D07378" w:rsidP="00D07378">
      <w:pPr>
        <w:spacing w:line="276" w:lineRule="auto"/>
        <w:jc w:val="both"/>
        <w:rPr>
          <w:rFonts w:eastAsia="Times New Roman" w:cstheme="minorHAnsi"/>
        </w:rPr>
      </w:pPr>
    </w:p>
    <w:p w14:paraId="5791D9B3" w14:textId="77777777" w:rsidR="00D07378" w:rsidRPr="00A12E28" w:rsidRDefault="00D07378" w:rsidP="00D07378">
      <w:pPr>
        <w:rPr>
          <w:b/>
        </w:rPr>
      </w:pPr>
      <w:r w:rsidRPr="00A12E28">
        <w:rPr>
          <w:b/>
        </w:rPr>
        <w:t>B) Povjerenstvo za naprednu terapiju (</w:t>
      </w:r>
      <w:r w:rsidRPr="00A12E28">
        <w:rPr>
          <w:b/>
          <w:i/>
        </w:rPr>
        <w:t>Committee for Advanced Therapies</w:t>
      </w:r>
      <w:r w:rsidRPr="00A12E28">
        <w:rPr>
          <w:b/>
        </w:rPr>
        <w:t>, CAT)</w:t>
      </w:r>
    </w:p>
    <w:p w14:paraId="11598F35" w14:textId="77777777" w:rsidR="00D07378" w:rsidRPr="00244488" w:rsidRDefault="00D07378" w:rsidP="00D07378">
      <w:pPr>
        <w:tabs>
          <w:tab w:val="left" w:pos="142"/>
        </w:tabs>
        <w:spacing w:line="276" w:lineRule="auto"/>
        <w:jc w:val="both"/>
        <w:rPr>
          <w:rFonts w:cstheme="minorHAnsi"/>
        </w:rPr>
      </w:pPr>
    </w:p>
    <w:p w14:paraId="33D79C4D" w14:textId="77777777" w:rsidR="00D07378" w:rsidRDefault="00D07378" w:rsidP="00D07378">
      <w:pPr>
        <w:tabs>
          <w:tab w:val="left" w:pos="142"/>
        </w:tabs>
        <w:spacing w:line="276" w:lineRule="auto"/>
        <w:jc w:val="both"/>
        <w:rPr>
          <w:rFonts w:eastAsia="Times New Roman" w:cstheme="minorHAnsi"/>
        </w:rPr>
      </w:pPr>
      <w:r w:rsidRPr="00EA71EC">
        <w:rPr>
          <w:rFonts w:cstheme="minorHAnsi"/>
        </w:rPr>
        <w:t xml:space="preserve">Povjerenstvo CAT </w:t>
      </w:r>
      <w:r w:rsidRPr="0007686A">
        <w:rPr>
          <w:rFonts w:cstheme="minorHAnsi"/>
        </w:rPr>
        <w:t>EMA-e</w:t>
      </w:r>
      <w:r w:rsidRPr="00EA71EC">
        <w:rPr>
          <w:rFonts w:cstheme="minorHAnsi"/>
        </w:rPr>
        <w:t xml:space="preserve"> odgovorno je za ocjenu kakvoće, sigurnosti, djelotvornosti i omjera koristi/rizika lijekova za naprednu terapiju (engl. </w:t>
      </w:r>
      <w:r w:rsidRPr="00EA71EC">
        <w:rPr>
          <w:rFonts w:cstheme="minorHAnsi"/>
          <w:i/>
        </w:rPr>
        <w:t>advanced therapy medicinal products</w:t>
      </w:r>
      <w:r w:rsidRPr="00EA71EC">
        <w:rPr>
          <w:rFonts w:cstheme="minorHAnsi"/>
        </w:rPr>
        <w:t xml:space="preserve">, ATMP) u okviru centraliziranog postupka odobravanja, te kao takvo pruža stručnu podršku CHMP-u i drugim povjerenstvima te radnim skupinama vezano uz naprednu terapiju. Naprednom terapijom smatraju se terapija somatskim stanicama, genska terapija i lijekovi dobiveni tkivnim inženjerstvom. </w:t>
      </w:r>
      <w:r w:rsidRPr="00EA71EC">
        <w:rPr>
          <w:rFonts w:eastAsia="Times New Roman" w:cstheme="minorHAnsi"/>
        </w:rPr>
        <w:t>U Povjerenstvu za naprednu terapiju CAT Hrvatska ima dva predstavnika</w:t>
      </w:r>
      <w:r w:rsidRPr="00F0362C">
        <w:rPr>
          <w:rFonts w:eastAsia="Times New Roman" w:cstheme="minorHAnsi"/>
        </w:rPr>
        <w:t xml:space="preserve"> HALMED-a; člana i zamjenika</w:t>
      </w:r>
      <w:r>
        <w:rPr>
          <w:rFonts w:eastAsia="Times New Roman" w:cstheme="minorHAnsi"/>
        </w:rPr>
        <w:t>.</w:t>
      </w:r>
    </w:p>
    <w:p w14:paraId="71940AB7" w14:textId="77777777" w:rsidR="00D07378" w:rsidRDefault="00D07378" w:rsidP="00D07378">
      <w:pPr>
        <w:tabs>
          <w:tab w:val="left" w:pos="142"/>
        </w:tabs>
        <w:spacing w:line="276" w:lineRule="auto"/>
        <w:jc w:val="both"/>
        <w:rPr>
          <w:rFonts w:eastAsia="Times New Roman" w:cstheme="minorHAnsi"/>
        </w:rPr>
      </w:pPr>
    </w:p>
    <w:p w14:paraId="576BF907" w14:textId="77777777" w:rsidR="00D07378" w:rsidRDefault="00D07378" w:rsidP="00D07378">
      <w:pPr>
        <w:tabs>
          <w:tab w:val="left" w:pos="142"/>
        </w:tabs>
        <w:spacing w:line="276" w:lineRule="auto"/>
        <w:jc w:val="both"/>
        <w:rPr>
          <w:rFonts w:eastAsia="Times New Roman" w:cstheme="minorHAnsi"/>
        </w:rPr>
      </w:pPr>
      <w:r w:rsidRPr="00B96AAA">
        <w:rPr>
          <w:rFonts w:eastAsia="Times New Roman" w:cstheme="minorHAnsi"/>
        </w:rPr>
        <w:lastRenderedPageBreak/>
        <w:t xml:space="preserve">U </w:t>
      </w:r>
      <w:r>
        <w:rPr>
          <w:rFonts w:eastAsia="Times New Roman" w:cstheme="minorHAnsi"/>
        </w:rPr>
        <w:t>izvještajnom razdoblju</w:t>
      </w:r>
      <w:r w:rsidRPr="00B96AAA">
        <w:rPr>
          <w:rFonts w:eastAsia="Times New Roman" w:cstheme="minorHAnsi"/>
        </w:rPr>
        <w:t xml:space="preserve"> HALMED je sudjelovao u klasifikaciji </w:t>
      </w:r>
      <w:r>
        <w:rPr>
          <w:rFonts w:eastAsia="Times New Roman" w:cstheme="minorHAnsi"/>
        </w:rPr>
        <w:t>dva</w:t>
      </w:r>
      <w:r w:rsidRPr="00B96AAA">
        <w:rPr>
          <w:rFonts w:eastAsia="Times New Roman" w:cstheme="minorHAnsi"/>
        </w:rPr>
        <w:t xml:space="preserve"> </w:t>
      </w:r>
      <w:r>
        <w:rPr>
          <w:rFonts w:eastAsia="Times New Roman" w:cstheme="minorHAnsi"/>
        </w:rPr>
        <w:t xml:space="preserve">lijeka za naprednu terapiju te u recenziji (CAT </w:t>
      </w:r>
      <w:r w:rsidRPr="003B0D12">
        <w:rPr>
          <w:rFonts w:eastAsia="Times New Roman" w:cstheme="minorHAnsi"/>
          <w:i/>
        </w:rPr>
        <w:t>peer reviewer</w:t>
      </w:r>
      <w:r>
        <w:rPr>
          <w:rFonts w:eastAsia="Times New Roman" w:cstheme="minorHAnsi"/>
        </w:rPr>
        <w:t>) jednog znanstvenog savjeta za ATMP.</w:t>
      </w:r>
    </w:p>
    <w:p w14:paraId="643D66C5" w14:textId="77777777" w:rsidR="00D07378" w:rsidRDefault="00D07378" w:rsidP="00D07378">
      <w:pPr>
        <w:tabs>
          <w:tab w:val="left" w:pos="142"/>
        </w:tabs>
        <w:spacing w:line="276" w:lineRule="auto"/>
        <w:jc w:val="both"/>
        <w:rPr>
          <w:rFonts w:eastAsia="Times New Roman" w:cstheme="minorHAnsi"/>
        </w:rPr>
      </w:pPr>
    </w:p>
    <w:p w14:paraId="229C7C9E" w14:textId="77777777" w:rsidR="00D07378" w:rsidRPr="0099568E" w:rsidRDefault="00D07378" w:rsidP="00D07378">
      <w:pPr>
        <w:spacing w:line="276" w:lineRule="auto"/>
        <w:jc w:val="both"/>
        <w:rPr>
          <w:rFonts w:eastAsia="Times New Roman" w:cstheme="minorHAnsi"/>
          <w:b/>
        </w:rPr>
      </w:pPr>
      <w:r w:rsidRPr="00DC2946">
        <w:rPr>
          <w:rFonts w:eastAsia="Times New Roman" w:cstheme="minorHAnsi"/>
          <w:b/>
        </w:rPr>
        <w:t>C) Povjerenstvo za lijekove za rijetke bolesti (</w:t>
      </w:r>
      <w:r w:rsidRPr="00DC2946">
        <w:rPr>
          <w:rFonts w:eastAsia="Times New Roman" w:cstheme="minorHAnsi"/>
          <w:b/>
          <w:i/>
        </w:rPr>
        <w:t>Committee for Orphan Medicinal Products</w:t>
      </w:r>
      <w:r w:rsidRPr="00DC2946">
        <w:rPr>
          <w:rFonts w:eastAsia="Times New Roman" w:cstheme="minorHAnsi"/>
          <w:b/>
        </w:rPr>
        <w:t>, COMP)</w:t>
      </w:r>
    </w:p>
    <w:p w14:paraId="68658633" w14:textId="77777777" w:rsidR="00D07378" w:rsidRDefault="00D07378" w:rsidP="00D07378">
      <w:pPr>
        <w:spacing w:line="276" w:lineRule="auto"/>
        <w:jc w:val="both"/>
        <w:rPr>
          <w:rFonts w:eastAsia="Times New Roman" w:cstheme="minorHAnsi"/>
        </w:rPr>
      </w:pPr>
      <w:r w:rsidRPr="0099568E">
        <w:rPr>
          <w:rFonts w:eastAsia="Times New Roman" w:cstheme="minorHAnsi"/>
        </w:rPr>
        <w:t>U COMP</w:t>
      </w:r>
      <w:r>
        <w:rPr>
          <w:rFonts w:eastAsia="Times New Roman" w:cstheme="minorHAnsi"/>
        </w:rPr>
        <w:t>-u</w:t>
      </w:r>
      <w:r w:rsidRPr="0099568E">
        <w:rPr>
          <w:rFonts w:eastAsia="Times New Roman" w:cstheme="minorHAnsi"/>
        </w:rPr>
        <w:t xml:space="preserve"> Hrvatska </w:t>
      </w:r>
      <w:r>
        <w:rPr>
          <w:rFonts w:eastAsia="Times New Roman" w:cstheme="minorHAnsi"/>
        </w:rPr>
        <w:t xml:space="preserve">ima jednog predstavnika </w:t>
      </w:r>
      <w:r w:rsidRPr="0099568E">
        <w:rPr>
          <w:rFonts w:eastAsia="Times New Roman" w:cstheme="minorHAnsi"/>
        </w:rPr>
        <w:t>HALMED-a</w:t>
      </w:r>
      <w:r w:rsidRPr="00E94CA7">
        <w:rPr>
          <w:rFonts w:eastAsia="Times New Roman" w:cstheme="minorHAnsi"/>
        </w:rPr>
        <w:t xml:space="preserve"> </w:t>
      </w:r>
      <w:r>
        <w:rPr>
          <w:rFonts w:eastAsia="Times New Roman" w:cstheme="minorHAnsi"/>
        </w:rPr>
        <w:t>(vanjski stručnjak HALMED-a)</w:t>
      </w:r>
      <w:r w:rsidRPr="0099568E">
        <w:rPr>
          <w:rFonts w:eastAsia="Times New Roman" w:cstheme="minorHAnsi"/>
        </w:rPr>
        <w:t xml:space="preserve">. </w:t>
      </w:r>
      <w:r>
        <w:rPr>
          <w:rFonts w:eastAsia="Times New Roman" w:cstheme="minorHAnsi"/>
        </w:rPr>
        <w:t>H</w:t>
      </w:r>
      <w:r w:rsidRPr="0099568E">
        <w:rPr>
          <w:rFonts w:eastAsia="Times New Roman" w:cstheme="minorHAnsi"/>
        </w:rPr>
        <w:t xml:space="preserve">rvatski </w:t>
      </w:r>
      <w:r>
        <w:rPr>
          <w:rFonts w:eastAsia="Times New Roman" w:cstheme="minorHAnsi"/>
        </w:rPr>
        <w:t>predstavnik</w:t>
      </w:r>
      <w:r w:rsidRPr="0099568E">
        <w:rPr>
          <w:rFonts w:eastAsia="Times New Roman" w:cstheme="minorHAnsi"/>
        </w:rPr>
        <w:t xml:space="preserve"> </w:t>
      </w:r>
      <w:r>
        <w:rPr>
          <w:rFonts w:eastAsia="Times New Roman" w:cstheme="minorHAnsi"/>
        </w:rPr>
        <w:t>sudjeluje i u radu radne grupe</w:t>
      </w:r>
      <w:r w:rsidRPr="0099568E">
        <w:rPr>
          <w:rFonts w:eastAsia="Times New Roman" w:cstheme="minorHAnsi"/>
        </w:rPr>
        <w:t xml:space="preserve"> </w:t>
      </w:r>
      <w:r w:rsidRPr="0099568E">
        <w:rPr>
          <w:rFonts w:eastAsia="Times New Roman" w:cstheme="minorHAnsi"/>
          <w:i/>
        </w:rPr>
        <w:t>Pre-clinical models COMP Working Group</w:t>
      </w:r>
      <w:r>
        <w:rPr>
          <w:rFonts w:eastAsia="Times New Roman" w:cstheme="minorHAnsi"/>
          <w:i/>
        </w:rPr>
        <w:t xml:space="preserve">, </w:t>
      </w:r>
      <w:r w:rsidRPr="0099568E">
        <w:rPr>
          <w:rFonts w:eastAsia="Times New Roman" w:cstheme="minorHAnsi"/>
          <w:i/>
        </w:rPr>
        <w:t>Scientific Advice Working Group</w:t>
      </w:r>
      <w:r>
        <w:rPr>
          <w:rFonts w:eastAsia="Times New Roman" w:cstheme="minorHAnsi"/>
          <w:i/>
        </w:rPr>
        <w:t xml:space="preserve"> (SAWG) </w:t>
      </w:r>
      <w:r w:rsidRPr="004A335C">
        <w:rPr>
          <w:rFonts w:eastAsia="Times New Roman" w:cstheme="minorHAnsi"/>
        </w:rPr>
        <w:t>i</w:t>
      </w:r>
      <w:r>
        <w:rPr>
          <w:rFonts w:eastAsia="Times New Roman" w:cstheme="minorHAnsi"/>
          <w:i/>
        </w:rPr>
        <w:t xml:space="preserve"> </w:t>
      </w:r>
      <w:r w:rsidRPr="006C30D5">
        <w:rPr>
          <w:rFonts w:eastAsia="Times New Roman" w:cstheme="minorHAnsi"/>
          <w:i/>
        </w:rPr>
        <w:t>Innovative Therapies Working Group</w:t>
      </w:r>
      <w:r w:rsidRPr="0099568E">
        <w:rPr>
          <w:rFonts w:eastAsia="Times New Roman" w:cstheme="minorHAnsi"/>
          <w:i/>
        </w:rPr>
        <w:t>.</w:t>
      </w:r>
    </w:p>
    <w:p w14:paraId="19DA3356" w14:textId="77777777" w:rsidR="00D07378" w:rsidRDefault="00D07378" w:rsidP="00D07378">
      <w:pPr>
        <w:spacing w:line="276" w:lineRule="auto"/>
        <w:jc w:val="both"/>
        <w:rPr>
          <w:rFonts w:eastAsia="Times New Roman" w:cstheme="minorHAnsi"/>
        </w:rPr>
      </w:pPr>
    </w:p>
    <w:p w14:paraId="62F037CB" w14:textId="77777777" w:rsidR="00D07378" w:rsidRPr="00297D0E" w:rsidRDefault="00D07378" w:rsidP="00D07378">
      <w:pPr>
        <w:spacing w:line="276" w:lineRule="auto"/>
        <w:jc w:val="both"/>
        <w:rPr>
          <w:rFonts w:eastAsia="Times New Roman" w:cstheme="minorHAnsi"/>
        </w:rPr>
      </w:pPr>
      <w:r w:rsidRPr="0099568E">
        <w:rPr>
          <w:rFonts w:eastAsia="Times New Roman" w:cstheme="minorHAnsi"/>
        </w:rPr>
        <w:t xml:space="preserve">U </w:t>
      </w:r>
      <w:r>
        <w:rPr>
          <w:rFonts w:cstheme="minorHAnsi"/>
        </w:rPr>
        <w:t>izvještajnom razdoblju</w:t>
      </w:r>
      <w:r w:rsidRPr="0099568E">
        <w:rPr>
          <w:rFonts w:eastAsia="Times New Roman" w:cstheme="minorHAnsi"/>
        </w:rPr>
        <w:t xml:space="preserve"> </w:t>
      </w:r>
      <w:r>
        <w:rPr>
          <w:rFonts w:eastAsia="Times New Roman" w:cstheme="minorHAnsi"/>
        </w:rPr>
        <w:t>predstavnik</w:t>
      </w:r>
      <w:r w:rsidRPr="0099568E">
        <w:rPr>
          <w:rFonts w:eastAsia="Times New Roman" w:cstheme="minorHAnsi"/>
        </w:rPr>
        <w:t xml:space="preserve"> HALMED-a</w:t>
      </w:r>
      <w:r w:rsidRPr="00E94CA7">
        <w:rPr>
          <w:rFonts w:eastAsia="Times New Roman" w:cstheme="minorHAnsi"/>
        </w:rPr>
        <w:t xml:space="preserve"> </w:t>
      </w:r>
      <w:r w:rsidRPr="0099568E">
        <w:rPr>
          <w:rFonts w:eastAsia="Times New Roman" w:cstheme="minorHAnsi"/>
        </w:rPr>
        <w:t xml:space="preserve">sudjelovao </w:t>
      </w:r>
      <w:r>
        <w:rPr>
          <w:rFonts w:eastAsia="Times New Roman" w:cstheme="minorHAnsi"/>
        </w:rPr>
        <w:t xml:space="preserve">je </w:t>
      </w:r>
      <w:r w:rsidRPr="0099568E">
        <w:rPr>
          <w:rFonts w:eastAsia="Times New Roman" w:cstheme="minorHAnsi"/>
        </w:rPr>
        <w:t xml:space="preserve">u ocjeni </w:t>
      </w:r>
      <w:r>
        <w:rPr>
          <w:rFonts w:eastAsia="Times New Roman" w:cstheme="minorHAnsi"/>
        </w:rPr>
        <w:t xml:space="preserve">3 </w:t>
      </w:r>
      <w:r w:rsidRPr="0099568E">
        <w:rPr>
          <w:rFonts w:eastAsia="Times New Roman" w:cstheme="minorHAnsi"/>
        </w:rPr>
        <w:t>zahtjeva kojima je zatraženo dodjeljivanje statusa lijeka za rijetke i teške bolesti</w:t>
      </w:r>
      <w:r>
        <w:rPr>
          <w:rFonts w:eastAsia="Times New Roman" w:cstheme="minorHAnsi"/>
        </w:rPr>
        <w:t>.</w:t>
      </w:r>
    </w:p>
    <w:p w14:paraId="34994083" w14:textId="77777777" w:rsidR="00D07378" w:rsidRDefault="00D07378" w:rsidP="00D07378">
      <w:pPr>
        <w:spacing w:line="276" w:lineRule="auto"/>
        <w:jc w:val="both"/>
        <w:rPr>
          <w:rFonts w:eastAsia="Times New Roman" w:cstheme="minorHAnsi"/>
        </w:rPr>
      </w:pPr>
    </w:p>
    <w:p w14:paraId="764CAC4A" w14:textId="77777777" w:rsidR="00D07378" w:rsidRPr="00C74D70" w:rsidRDefault="00D07378" w:rsidP="00D07378">
      <w:pPr>
        <w:spacing w:line="276" w:lineRule="auto"/>
        <w:rPr>
          <w:i/>
        </w:rPr>
      </w:pPr>
      <w:r w:rsidRPr="0099568E">
        <w:rPr>
          <w:b/>
        </w:rPr>
        <w:t>D) Povjerenstvo za biljne lijekove (</w:t>
      </w:r>
      <w:r w:rsidRPr="0099568E">
        <w:rPr>
          <w:b/>
          <w:i/>
        </w:rPr>
        <w:t>Committee on Herbal Medicinal Products</w:t>
      </w:r>
      <w:r w:rsidRPr="00C74D70">
        <w:rPr>
          <w:b/>
          <w:i/>
        </w:rPr>
        <w:t>, HMPC)</w:t>
      </w:r>
    </w:p>
    <w:p w14:paraId="767A96C1" w14:textId="77777777" w:rsidR="00D07378" w:rsidRDefault="00D07378" w:rsidP="00D07378">
      <w:pPr>
        <w:tabs>
          <w:tab w:val="left" w:pos="709"/>
        </w:tabs>
        <w:spacing w:line="276" w:lineRule="auto"/>
        <w:jc w:val="both"/>
        <w:rPr>
          <w:rFonts w:eastAsia="Times New Roman" w:cstheme="minorHAnsi"/>
        </w:rPr>
      </w:pPr>
      <w:r>
        <w:rPr>
          <w:rFonts w:eastAsia="Times New Roman" w:cstheme="minorHAnsi"/>
        </w:rPr>
        <w:t>HMPC prihvaća i revidira biljne monografije</w:t>
      </w:r>
      <w:r w:rsidRPr="0099568E">
        <w:rPr>
          <w:rFonts w:eastAsia="Times New Roman" w:cstheme="minorHAnsi"/>
        </w:rPr>
        <w:t xml:space="preserve"> </w:t>
      </w:r>
      <w:r>
        <w:rPr>
          <w:rFonts w:eastAsia="Times New Roman" w:cstheme="minorHAnsi"/>
        </w:rPr>
        <w:t>i smjernice.</w:t>
      </w:r>
      <w:r w:rsidRPr="0099568E">
        <w:rPr>
          <w:rFonts w:eastAsia="Times New Roman" w:cstheme="minorHAnsi"/>
        </w:rPr>
        <w:t xml:space="preserve"> U HMPC</w:t>
      </w:r>
      <w:r>
        <w:rPr>
          <w:rFonts w:eastAsia="Times New Roman" w:cstheme="minorHAnsi"/>
        </w:rPr>
        <w:t>-u</w:t>
      </w:r>
      <w:r w:rsidRPr="0099568E">
        <w:rPr>
          <w:rFonts w:eastAsia="Times New Roman" w:cstheme="minorHAnsi"/>
        </w:rPr>
        <w:t xml:space="preserve"> Hrvatska </w:t>
      </w:r>
      <w:r>
        <w:rPr>
          <w:rFonts w:eastAsia="Times New Roman" w:cstheme="minorHAnsi"/>
        </w:rPr>
        <w:t>ima</w:t>
      </w:r>
      <w:r w:rsidRPr="0099568E">
        <w:rPr>
          <w:rFonts w:eastAsia="Times New Roman" w:cstheme="minorHAnsi"/>
        </w:rPr>
        <w:t xml:space="preserve"> dva </w:t>
      </w:r>
      <w:r>
        <w:rPr>
          <w:rFonts w:eastAsia="Times New Roman" w:cstheme="minorHAnsi"/>
        </w:rPr>
        <w:t>predstavnika</w:t>
      </w:r>
      <w:r w:rsidRPr="0099568E">
        <w:rPr>
          <w:rFonts w:eastAsia="Times New Roman" w:cstheme="minorHAnsi"/>
        </w:rPr>
        <w:t xml:space="preserve">; </w:t>
      </w:r>
      <w:r>
        <w:rPr>
          <w:rFonts w:eastAsia="Times New Roman" w:cstheme="minorHAnsi"/>
        </w:rPr>
        <w:t>člana (</w:t>
      </w:r>
      <w:r w:rsidRPr="0099568E">
        <w:rPr>
          <w:rFonts w:eastAsia="Times New Roman" w:cstheme="minorHAnsi"/>
        </w:rPr>
        <w:t>van</w:t>
      </w:r>
      <w:r>
        <w:rPr>
          <w:rFonts w:eastAsia="Times New Roman" w:cstheme="minorHAnsi"/>
        </w:rPr>
        <w:t>jski stručnjak HALMED-a) i zamjenika (stručnjak</w:t>
      </w:r>
      <w:r w:rsidRPr="0099568E">
        <w:rPr>
          <w:rFonts w:eastAsia="Times New Roman" w:cstheme="minorHAnsi"/>
        </w:rPr>
        <w:t xml:space="preserve"> iz HALMED-a</w:t>
      </w:r>
      <w:r>
        <w:rPr>
          <w:rFonts w:eastAsia="Times New Roman" w:cstheme="minorHAnsi"/>
        </w:rPr>
        <w:t>)</w:t>
      </w:r>
      <w:r w:rsidRPr="0099568E">
        <w:rPr>
          <w:rFonts w:eastAsia="Times New Roman" w:cstheme="minorHAnsi"/>
        </w:rPr>
        <w:t xml:space="preserve">. </w:t>
      </w:r>
    </w:p>
    <w:p w14:paraId="57F65E53" w14:textId="77777777" w:rsidR="00D07378" w:rsidRPr="00BB6E35" w:rsidRDefault="00D07378" w:rsidP="00D07378">
      <w:pPr>
        <w:tabs>
          <w:tab w:val="left" w:pos="426"/>
        </w:tabs>
        <w:spacing w:line="276" w:lineRule="auto"/>
        <w:jc w:val="both"/>
        <w:rPr>
          <w:rFonts w:eastAsia="Times New Roman" w:cstheme="minorHAnsi"/>
          <w:bCs/>
          <w:iCs/>
        </w:rPr>
      </w:pPr>
    </w:p>
    <w:p w14:paraId="218D8BDE" w14:textId="77777777" w:rsidR="00D07378" w:rsidRPr="001269F3" w:rsidRDefault="00D07378" w:rsidP="00D07378">
      <w:pPr>
        <w:spacing w:line="276" w:lineRule="auto"/>
        <w:jc w:val="both"/>
        <w:rPr>
          <w:rFonts w:eastAsia="Times New Roman" w:cstheme="minorHAnsi"/>
          <w:b/>
        </w:rPr>
      </w:pPr>
      <w:r w:rsidRPr="001269F3">
        <w:rPr>
          <w:rFonts w:eastAsia="Times New Roman" w:cstheme="minorHAnsi"/>
          <w:b/>
        </w:rPr>
        <w:t>E) EU Innovation Network (EU-IN)</w:t>
      </w:r>
    </w:p>
    <w:p w14:paraId="4E3B84D6" w14:textId="60AEFD60" w:rsidR="00D07378" w:rsidRPr="00AE558F" w:rsidRDefault="00D07378" w:rsidP="00D07378">
      <w:pPr>
        <w:spacing w:line="276" w:lineRule="auto"/>
        <w:jc w:val="both"/>
        <w:rPr>
          <w:rFonts w:eastAsia="Times New Roman" w:cstheme="minorHAnsi"/>
        </w:rPr>
      </w:pPr>
      <w:r w:rsidRPr="001269F3">
        <w:rPr>
          <w:rFonts w:eastAsia="Times New Roman" w:cstheme="minorHAnsi"/>
        </w:rPr>
        <w:t xml:space="preserve">EU Innovation Network je Europska mreža ureda za inovacije koja predstavlja platformu na kojoj nacionalna regulatorna tijela i EMA razmjenjuju informacije o razvoju inovacija na području lijekova i medicinskih proizvoda te imaju za cilj dati znanstvenu i regulatornu podršku kako bi što više inovativnih projekata ispunilo zahtjeve kakvoće, djelotvornosti i sigurnosti te dospjelo do pacijenata. Radna skupina podnosi izvješća o radu i EMA-i i HMA. U radnoj skupini Hrvatska ima </w:t>
      </w:r>
      <w:r w:rsidR="001269F3" w:rsidRPr="001269F3">
        <w:rPr>
          <w:rFonts w:eastAsia="Times New Roman" w:cstheme="minorHAnsi"/>
        </w:rPr>
        <w:t xml:space="preserve">jednog </w:t>
      </w:r>
      <w:r w:rsidRPr="001269F3">
        <w:rPr>
          <w:rFonts w:eastAsia="Times New Roman" w:cstheme="minorHAnsi"/>
        </w:rPr>
        <w:t>predstavnika HALMED-a.</w:t>
      </w:r>
    </w:p>
    <w:p w14:paraId="1CC8646D" w14:textId="77777777" w:rsidR="00D07378" w:rsidRPr="00AE558F" w:rsidRDefault="00D07378" w:rsidP="00D07378">
      <w:pPr>
        <w:spacing w:line="276" w:lineRule="auto"/>
        <w:jc w:val="both"/>
        <w:rPr>
          <w:rFonts w:eastAsia="Times New Roman" w:cstheme="minorHAnsi"/>
        </w:rPr>
      </w:pPr>
    </w:p>
    <w:p w14:paraId="4EC17161" w14:textId="343B2497" w:rsidR="00D07378" w:rsidRPr="00AE558F" w:rsidRDefault="00791176" w:rsidP="00D07378">
      <w:pPr>
        <w:spacing w:line="276" w:lineRule="auto"/>
        <w:rPr>
          <w:rFonts w:eastAsia="Times New Roman" w:cstheme="minorHAnsi"/>
          <w:b/>
          <w:bCs/>
        </w:rPr>
      </w:pPr>
      <w:r>
        <w:rPr>
          <w:rFonts w:eastAsia="Times New Roman" w:cstheme="minorHAnsi"/>
          <w:b/>
        </w:rPr>
        <w:t>F</w:t>
      </w:r>
      <w:r w:rsidR="00D07378" w:rsidRPr="00AE558F">
        <w:rPr>
          <w:rFonts w:eastAsia="Times New Roman" w:cstheme="minorHAnsi"/>
          <w:b/>
        </w:rPr>
        <w:t>) EU-IN/HMA skupina za klasifikaciju borderline proizvoda (</w:t>
      </w:r>
      <w:r w:rsidR="00D07378" w:rsidRPr="00AE558F">
        <w:rPr>
          <w:rFonts w:eastAsia="Times New Roman" w:cstheme="minorHAnsi"/>
          <w:b/>
          <w:i/>
        </w:rPr>
        <w:t>Borderline Classification Group</w:t>
      </w:r>
      <w:r w:rsidR="00D07378" w:rsidRPr="00AE558F">
        <w:rPr>
          <w:rFonts w:eastAsia="Times New Roman" w:cstheme="minorHAnsi"/>
          <w:b/>
        </w:rPr>
        <w:t xml:space="preserve">, BLCG) </w:t>
      </w:r>
    </w:p>
    <w:p w14:paraId="6E277086" w14:textId="77777777" w:rsidR="00D07378" w:rsidRDefault="00D07378" w:rsidP="00D07378">
      <w:pPr>
        <w:spacing w:line="276" w:lineRule="auto"/>
        <w:jc w:val="both"/>
        <w:rPr>
          <w:rFonts w:eastAsia="Times New Roman" w:cstheme="minorHAnsi"/>
          <w:bCs/>
        </w:rPr>
      </w:pPr>
      <w:r w:rsidRPr="00AE558F">
        <w:rPr>
          <w:rFonts w:eastAsia="Times New Roman" w:cstheme="minorHAnsi"/>
        </w:rPr>
        <w:t xml:space="preserve">EU-IN/HMA skupina za klasifikaciju </w:t>
      </w:r>
      <w:r w:rsidRPr="00AE558F">
        <w:rPr>
          <w:rFonts w:eastAsia="Times New Roman" w:cstheme="minorHAnsi"/>
          <w:i/>
        </w:rPr>
        <w:t>borderline</w:t>
      </w:r>
      <w:r w:rsidRPr="00AE558F">
        <w:rPr>
          <w:rFonts w:eastAsia="Times New Roman" w:cstheme="minorHAnsi"/>
        </w:rPr>
        <w:t xml:space="preserve"> proizvoda </w:t>
      </w:r>
      <w:r w:rsidRPr="00AE558F">
        <w:rPr>
          <w:rFonts w:eastAsia="Times New Roman" w:cstheme="minorHAnsi"/>
          <w:bCs/>
        </w:rPr>
        <w:t>osnovana je 2021. u</w:t>
      </w:r>
      <w:r w:rsidRPr="00AE558F">
        <w:rPr>
          <w:rFonts w:eastAsia="Times New Roman" w:cstheme="minorHAnsi"/>
        </w:rPr>
        <w:t xml:space="preserve"> okviru potpore EU-IN u području inovativnih lijekova i tehnologija te graničnih i kombiniranih proizvoda koja bi pridonijela prelasku iz istraživanja u razvoj, uključivanju regulatornih zahtjeva tijekom razvoja proizvoda i ranom otkrivanju područja u kojima su potrebni novi i poboljšani regulatorni alati ili pristupi te utvrđivanje prioritetnih tema za suradnju s drugim radnim skupinama EMA-e.</w:t>
      </w:r>
      <w:r w:rsidRPr="00AE558F">
        <w:rPr>
          <w:rFonts w:eastAsia="Times New Roman" w:cstheme="minorHAnsi"/>
          <w:bCs/>
        </w:rPr>
        <w:t xml:space="preserve"> U BLCG skupini Hrvatska ima jednog predstavnika HALMED-a.</w:t>
      </w:r>
    </w:p>
    <w:p w14:paraId="7A14C029" w14:textId="77777777" w:rsidR="00D07378" w:rsidRDefault="00D07378" w:rsidP="00D07378">
      <w:pPr>
        <w:spacing w:line="276" w:lineRule="auto"/>
        <w:jc w:val="both"/>
        <w:rPr>
          <w:rFonts w:eastAsia="Times New Roman" w:cstheme="minorHAnsi"/>
        </w:rPr>
      </w:pPr>
    </w:p>
    <w:p w14:paraId="091CCBED" w14:textId="77777777" w:rsidR="00D07378" w:rsidRDefault="00D07378" w:rsidP="00D07378">
      <w:pPr>
        <w:spacing w:line="276" w:lineRule="auto"/>
        <w:jc w:val="both"/>
        <w:rPr>
          <w:rFonts w:eastAsia="Times New Roman" w:cstheme="minorHAnsi"/>
        </w:rPr>
      </w:pPr>
      <w:r w:rsidRPr="009A1975">
        <w:rPr>
          <w:rFonts w:eastAsia="Times New Roman" w:cstheme="minorHAnsi"/>
        </w:rPr>
        <w:t>Podaci o sudjelovanju predstavnika HAL</w:t>
      </w:r>
      <w:r>
        <w:rPr>
          <w:rFonts w:eastAsia="Times New Roman" w:cstheme="minorHAnsi"/>
        </w:rPr>
        <w:t xml:space="preserve">MED-a na radnim sastancima povjerenstava i radnih skupina EMA-e u </w:t>
      </w:r>
      <w:r>
        <w:rPr>
          <w:rFonts w:cstheme="minorHAnsi"/>
        </w:rPr>
        <w:t>izvještajnom razdoblju</w:t>
      </w:r>
      <w:r w:rsidRPr="0099568E">
        <w:rPr>
          <w:rFonts w:eastAsia="Times New Roman" w:cstheme="minorHAnsi"/>
        </w:rPr>
        <w:t xml:space="preserve"> </w:t>
      </w:r>
      <w:r w:rsidRPr="009A1975">
        <w:rPr>
          <w:rFonts w:eastAsia="Times New Roman" w:cstheme="minorHAnsi"/>
        </w:rPr>
        <w:t>prikazani su u Tablici br. 5.</w:t>
      </w:r>
    </w:p>
    <w:p w14:paraId="30C7ED49" w14:textId="77777777" w:rsidR="00D07378" w:rsidRPr="00E5700A" w:rsidRDefault="00D07378" w:rsidP="00D07378">
      <w:pPr>
        <w:spacing w:line="276" w:lineRule="auto"/>
        <w:jc w:val="both"/>
        <w:rPr>
          <w:rFonts w:eastAsia="Times New Roman" w:cstheme="minorHAnsi"/>
        </w:rPr>
      </w:pPr>
    </w:p>
    <w:p w14:paraId="00E6C71D" w14:textId="77777777" w:rsidR="00D07378" w:rsidRPr="00400CA1" w:rsidRDefault="00D07378" w:rsidP="00D07378">
      <w:pPr>
        <w:pStyle w:val="Heading4"/>
      </w:pPr>
      <w:r w:rsidRPr="00400CA1">
        <w:t>2.1.5.4. Izvješće o radu HALMED-a u povjerenstvima i radnim skupinama EDQM-a</w:t>
      </w:r>
    </w:p>
    <w:p w14:paraId="307162DA" w14:textId="77777777" w:rsidR="00D07378" w:rsidRPr="0099568E" w:rsidRDefault="00D07378" w:rsidP="00D07378">
      <w:pPr>
        <w:spacing w:after="240" w:line="276" w:lineRule="auto"/>
        <w:rPr>
          <w:b/>
        </w:rPr>
      </w:pPr>
      <w:r w:rsidRPr="0099568E">
        <w:rPr>
          <w:b/>
        </w:rPr>
        <w:t>A) Povjerenstvo stručnjaka za klasifikaciju lijekova s obzirom na opskrbu (</w:t>
      </w:r>
      <w:r w:rsidRPr="0099568E">
        <w:rPr>
          <w:rFonts w:cstheme="minorHAnsi"/>
          <w:b/>
          <w:i/>
        </w:rPr>
        <w:t>Committee of Experts on the classification of medicines as regards their supply</w:t>
      </w:r>
      <w:r w:rsidRPr="0099568E">
        <w:rPr>
          <w:rFonts w:cstheme="minorHAnsi"/>
          <w:b/>
        </w:rPr>
        <w:t>, CD-P-PH/PHO)</w:t>
      </w:r>
    </w:p>
    <w:p w14:paraId="08EA0B55" w14:textId="77777777" w:rsidR="00D07378" w:rsidRDefault="00D07378" w:rsidP="00D07378">
      <w:pPr>
        <w:spacing w:line="276" w:lineRule="auto"/>
        <w:jc w:val="both"/>
      </w:pPr>
      <w:r w:rsidRPr="0099568E">
        <w:rPr>
          <w:rFonts w:cstheme="minorHAnsi"/>
        </w:rPr>
        <w:t xml:space="preserve">Povjerenstvo </w:t>
      </w:r>
      <w:r w:rsidRPr="00F541C2">
        <w:rPr>
          <w:rFonts w:cstheme="minorHAnsi"/>
        </w:rPr>
        <w:t xml:space="preserve">CD-P-PH/PHO </w:t>
      </w:r>
      <w:r w:rsidRPr="0099568E">
        <w:rPr>
          <w:rFonts w:cstheme="minorHAnsi"/>
        </w:rPr>
        <w:t>daje preporuke za ujednačavanje načina izdavanja lijekova u svim zemljama članicama Vijeća Europe putem dijaloga i konsenzusa svih država članica Vijeća Europe. Na temelju važećeg zakonodavstva, CD-P-PH/PHO koristi znanstveni pristup kako bi postavio ujednačene kriterije za razvrstavanje lijekova koji će promicati sigurnost pacijenata i širu do</w:t>
      </w:r>
      <w:r>
        <w:rPr>
          <w:rFonts w:cstheme="minorHAnsi"/>
        </w:rPr>
        <w:t xml:space="preserve">stupnost lijekova za društvo. </w:t>
      </w:r>
      <w:r w:rsidRPr="0099568E">
        <w:rPr>
          <w:rFonts w:cstheme="minorHAnsi"/>
        </w:rPr>
        <w:t>Rad povjerenstva odvija se kroz dvije redovite sjednice godišnje u Strasbourgu te organiziranje odnosno sudjelovanje na tematskim ekspertnim radionicama na kojima sudjeluju i međunarodni vanjski eksperti.</w:t>
      </w:r>
      <w:r w:rsidRPr="00E94CA7">
        <w:rPr>
          <w:rFonts w:cstheme="minorHAnsi"/>
        </w:rPr>
        <w:t xml:space="preserve"> </w:t>
      </w:r>
      <w:r w:rsidRPr="0099568E">
        <w:rPr>
          <w:rFonts w:cstheme="minorHAnsi"/>
        </w:rPr>
        <w:t xml:space="preserve">U </w:t>
      </w:r>
      <w:r w:rsidRPr="0099568E">
        <w:rPr>
          <w:rFonts w:cstheme="minorHAnsi"/>
        </w:rPr>
        <w:lastRenderedPageBreak/>
        <w:t>CD-P-PH/PHO</w:t>
      </w:r>
      <w:r>
        <w:rPr>
          <w:rFonts w:cstheme="minorHAnsi"/>
        </w:rPr>
        <w:t>-u</w:t>
      </w:r>
      <w:r w:rsidRPr="0099568E">
        <w:rPr>
          <w:rFonts w:cstheme="minorHAnsi"/>
        </w:rPr>
        <w:t xml:space="preserve"> Hrvatska </w:t>
      </w:r>
      <w:r>
        <w:rPr>
          <w:rFonts w:cstheme="minorHAnsi"/>
        </w:rPr>
        <w:t>ima jednog</w:t>
      </w:r>
      <w:r w:rsidRPr="0099568E">
        <w:rPr>
          <w:rFonts w:cstheme="minorHAnsi"/>
        </w:rPr>
        <w:t xml:space="preserve"> </w:t>
      </w:r>
      <w:r>
        <w:rPr>
          <w:rFonts w:cstheme="minorHAnsi"/>
        </w:rPr>
        <w:t>predstavnika</w:t>
      </w:r>
      <w:r w:rsidRPr="0099568E">
        <w:rPr>
          <w:rFonts w:cstheme="minorHAnsi"/>
        </w:rPr>
        <w:t xml:space="preserve"> HALMED-a.</w:t>
      </w:r>
      <w:r>
        <w:rPr>
          <w:rFonts w:cstheme="minorHAnsi"/>
        </w:rPr>
        <w:t xml:space="preserve"> </w:t>
      </w:r>
      <w:r>
        <w:t>Predstavnica HALMED-a je od siječnja 2022. godine imenovana predsjednicom Povjerenstva na razdoblje od dvije godine, kao i stalnim izvjestiteljem usvojenih preporuka PRAC-a i CHMP-a o sigurnosnim signalima i arbitražnim postupcima te posljedičnog utjecaja na klasifikaciju obuhvaćenih djelatnih tvari.</w:t>
      </w:r>
    </w:p>
    <w:p w14:paraId="15C17B75" w14:textId="77777777" w:rsidR="00D07378" w:rsidRPr="00DC1971" w:rsidRDefault="00D07378" w:rsidP="00D07378">
      <w:pPr>
        <w:spacing w:line="276" w:lineRule="auto"/>
        <w:jc w:val="both"/>
      </w:pPr>
      <w:r w:rsidRPr="00DC1971">
        <w:t xml:space="preserve">Predstavnica HALMED-a uključena </w:t>
      </w:r>
      <w:r>
        <w:t xml:space="preserve">je </w:t>
      </w:r>
      <w:r w:rsidRPr="00DC1971">
        <w:t xml:space="preserve">u radnu grupu za izradu EDQM smjernice </w:t>
      </w:r>
      <w:r w:rsidRPr="007E2A8F">
        <w:rPr>
          <w:i/>
        </w:rPr>
        <w:t>Guideline regarding classification (subject to prescription and not subject to prescription) for active substances and conditions</w:t>
      </w:r>
      <w:r>
        <w:t xml:space="preserve"> </w:t>
      </w:r>
      <w:r w:rsidRPr="00DC1971">
        <w:t xml:space="preserve">te u radnu grupu za izradu dokumenta </w:t>
      </w:r>
      <w:r w:rsidRPr="007E2A8F">
        <w:rPr>
          <w:i/>
        </w:rPr>
        <w:t>Welcome kit for new delegates to the Committee of Experts on the Classification of Medicines as Regards their Supply (CD-P-PH/PHO)</w:t>
      </w:r>
      <w:r>
        <w:t>.</w:t>
      </w:r>
    </w:p>
    <w:p w14:paraId="3AAA02D8" w14:textId="77777777" w:rsidR="00D07378" w:rsidRDefault="00D07378" w:rsidP="00D07378">
      <w:pPr>
        <w:spacing w:line="276" w:lineRule="auto"/>
        <w:jc w:val="both"/>
      </w:pPr>
    </w:p>
    <w:p w14:paraId="273BF7AB" w14:textId="77777777" w:rsidR="00D07378" w:rsidRPr="00780385" w:rsidRDefault="00D07378" w:rsidP="00D07378">
      <w:pPr>
        <w:spacing w:after="240"/>
        <w:jc w:val="both"/>
        <w:rPr>
          <w:b/>
          <w:i/>
        </w:rPr>
      </w:pPr>
      <w:r>
        <w:rPr>
          <w:b/>
        </w:rPr>
        <w:t>B</w:t>
      </w:r>
      <w:r w:rsidRPr="00780385">
        <w:rPr>
          <w:b/>
        </w:rPr>
        <w:t>)</w:t>
      </w:r>
      <w:r w:rsidRPr="00780385">
        <w:rPr>
          <w:b/>
          <w:i/>
        </w:rPr>
        <w:t xml:space="preserve"> </w:t>
      </w:r>
      <w:r w:rsidRPr="00780385">
        <w:rPr>
          <w:b/>
        </w:rPr>
        <w:t>Povjerenstvo za smanjenje rizika od krivotvorenih lijekova Vijeća Europe</w:t>
      </w:r>
      <w:r w:rsidRPr="00780385">
        <w:rPr>
          <w:b/>
          <w:i/>
        </w:rPr>
        <w:t xml:space="preserve"> (Committee of Experts on minimising the public health risks posed by falsified medical products and related crimes , CD-P-PH/CMED)</w:t>
      </w:r>
    </w:p>
    <w:p w14:paraId="42991929" w14:textId="77777777" w:rsidR="00D07378" w:rsidRDefault="00D07378" w:rsidP="00D07378">
      <w:pPr>
        <w:spacing w:line="276" w:lineRule="auto"/>
        <w:jc w:val="both"/>
      </w:pPr>
      <w:r>
        <w:t xml:space="preserve">Rad Povjerenstva CD-P-PH/CMED za smanjenje rizika od krivotvorenih lijekova koji djeluje pri Vijeću Europe usmjeren je u više područja smanjenja rizika od krivotvorenih lijekova. </w:t>
      </w:r>
      <w:r w:rsidRPr="003F0E73">
        <w:t xml:space="preserve">Republika Hrvatska ima </w:t>
      </w:r>
      <w:r>
        <w:t xml:space="preserve">dva predstavnika HALMED-a. </w:t>
      </w:r>
    </w:p>
    <w:p w14:paraId="06672306" w14:textId="77777777" w:rsidR="00D07378" w:rsidRDefault="00D07378" w:rsidP="00D07378">
      <w:pPr>
        <w:spacing w:line="276" w:lineRule="auto"/>
        <w:jc w:val="both"/>
      </w:pPr>
    </w:p>
    <w:p w14:paraId="3DB74A96" w14:textId="77777777" w:rsidR="00D07378" w:rsidRDefault="00D07378" w:rsidP="00D07378">
      <w:pPr>
        <w:spacing w:line="276" w:lineRule="auto"/>
        <w:jc w:val="both"/>
      </w:pPr>
      <w:r>
        <w:t xml:space="preserve">U izvještajnom razdoblju Povjerenstvo je provodilo sljedeće aktivnosti: </w:t>
      </w:r>
    </w:p>
    <w:p w14:paraId="3BB5392E" w14:textId="77777777" w:rsidR="00D07378" w:rsidRDefault="00D07378" w:rsidP="00D07378">
      <w:pPr>
        <w:spacing w:line="276" w:lineRule="auto"/>
        <w:jc w:val="both"/>
      </w:pPr>
      <w:r>
        <w:t>- planiranje radionica vezanih uz opasnost od krivotvorenih lijekova za GMP inspektore u organizaciji CMED stručnjaka</w:t>
      </w:r>
    </w:p>
    <w:p w14:paraId="325F67A3" w14:textId="77777777" w:rsidR="00D07378" w:rsidRDefault="00D07378" w:rsidP="00D07378">
      <w:pPr>
        <w:spacing w:line="276" w:lineRule="auto"/>
        <w:jc w:val="both"/>
      </w:pPr>
      <w:r>
        <w:t>- održavanje mreže nacionalnih kontakata (SPOC) za hitno obavještavanje i suradnju (Carinska uprava, policija, Ministarstvo zdravstva i HALMED), koja funkcionira kroz izvještavanje i suradnju na području klasifikacije zaplijenjenih lijekova</w:t>
      </w:r>
    </w:p>
    <w:p w14:paraId="1117AE76" w14:textId="77777777" w:rsidR="00D07378" w:rsidRDefault="00D07378" w:rsidP="00D07378">
      <w:pPr>
        <w:spacing w:line="276" w:lineRule="auto"/>
        <w:jc w:val="both"/>
      </w:pPr>
      <w:r>
        <w:t>- revizija i popunjavanje Know X baze, koja sadrži podatke i znanja iz završenih slučajeva krivotvorenja lijekova, raspoloživim završenim slučajevima</w:t>
      </w:r>
    </w:p>
    <w:p w14:paraId="548C9AF7" w14:textId="77777777" w:rsidR="00D07378" w:rsidRDefault="00D07378" w:rsidP="00D07378">
      <w:pPr>
        <w:spacing w:line="276" w:lineRule="auto"/>
        <w:jc w:val="both"/>
      </w:pPr>
      <w:r>
        <w:t xml:space="preserve">- izrada vodiča „Krivotvoreni lijekovi-na što se misli?“ (Falsified medicines-What does it Mean?) </w:t>
      </w:r>
    </w:p>
    <w:p w14:paraId="3121D51E" w14:textId="77777777" w:rsidR="00D07378" w:rsidRDefault="00D07378" w:rsidP="00D07378">
      <w:pPr>
        <w:spacing w:line="276" w:lineRule="auto"/>
        <w:jc w:val="both"/>
      </w:pPr>
      <w:r>
        <w:t>- priprema teksta rezolucije vezane za kupnju lijekova na daljinu (Remote Medicine Resolution)</w:t>
      </w:r>
    </w:p>
    <w:p w14:paraId="79F99C23" w14:textId="77777777" w:rsidR="00D07378" w:rsidRDefault="00D07378" w:rsidP="00D07378">
      <w:pPr>
        <w:spacing w:line="276" w:lineRule="auto"/>
        <w:jc w:val="both"/>
      </w:pPr>
      <w:r>
        <w:t>- rasprava o preporuci Vijeća Europe o nestajanju/krađi  lijekova iz legalnog lanca opskrbe (</w:t>
      </w:r>
      <w:r w:rsidRPr="00DD40F3">
        <w:t>CoE Recommendation on reporting of unaccounted disappearances of medicinal products for human and veterinary use from the legal supply chain</w:t>
      </w:r>
      <w:r>
        <w:t>)</w:t>
      </w:r>
    </w:p>
    <w:p w14:paraId="77E7EC6A" w14:textId="77777777" w:rsidR="00D07378" w:rsidRDefault="00D07378" w:rsidP="00D07378">
      <w:pPr>
        <w:spacing w:line="276" w:lineRule="auto"/>
        <w:jc w:val="both"/>
      </w:pPr>
      <w:r>
        <w:t>-spriječavanje ilegalne prodaje medicinskih proizvoda i lijekova za veterinarsku primjenu</w:t>
      </w:r>
    </w:p>
    <w:p w14:paraId="17658889" w14:textId="77777777" w:rsidR="00D07378" w:rsidRPr="0099568E" w:rsidRDefault="00D07378" w:rsidP="00D07378">
      <w:pPr>
        <w:spacing w:line="276" w:lineRule="auto"/>
        <w:contextualSpacing/>
        <w:jc w:val="both"/>
        <w:rPr>
          <w:rFonts w:cs="Times New Roman"/>
        </w:rPr>
      </w:pPr>
    </w:p>
    <w:p w14:paraId="2D33A425" w14:textId="77777777" w:rsidR="00D07378" w:rsidRPr="00C74D70" w:rsidRDefault="00D07378" w:rsidP="00D07378">
      <w:pPr>
        <w:spacing w:after="240"/>
        <w:jc w:val="both"/>
        <w:rPr>
          <w:b/>
          <w:i/>
        </w:rPr>
      </w:pPr>
      <w:r>
        <w:rPr>
          <w:b/>
        </w:rPr>
        <w:t>C</w:t>
      </w:r>
      <w:r w:rsidRPr="0099568E">
        <w:rPr>
          <w:b/>
        </w:rPr>
        <w:t xml:space="preserve">) </w:t>
      </w:r>
      <w:r>
        <w:rPr>
          <w:b/>
        </w:rPr>
        <w:t>Ovjernica</w:t>
      </w:r>
      <w:r w:rsidRPr="0099568E">
        <w:rPr>
          <w:b/>
        </w:rPr>
        <w:t xml:space="preserve"> Europske farmakopeje</w:t>
      </w:r>
      <w:r>
        <w:rPr>
          <w:b/>
        </w:rPr>
        <w:t xml:space="preserve"> </w:t>
      </w:r>
      <w:r w:rsidRPr="00C74D70">
        <w:rPr>
          <w:b/>
        </w:rPr>
        <w:t>(</w:t>
      </w:r>
      <w:r w:rsidRPr="00C74D70">
        <w:rPr>
          <w:rFonts w:cs="Arial"/>
          <w:b/>
          <w:i/>
          <w:color w:val="161616"/>
        </w:rPr>
        <w:t>Certificate of Suitability</w:t>
      </w:r>
      <w:r w:rsidRPr="00C74D70">
        <w:rPr>
          <w:rFonts w:cs="Arial"/>
          <w:b/>
          <w:color w:val="161616"/>
        </w:rPr>
        <w:t xml:space="preserve">, </w:t>
      </w:r>
      <w:r>
        <w:rPr>
          <w:rFonts w:cs="Arial"/>
          <w:b/>
          <w:i/>
          <w:color w:val="161616"/>
        </w:rPr>
        <w:t>CEP)</w:t>
      </w:r>
    </w:p>
    <w:p w14:paraId="312CF802" w14:textId="77777777" w:rsidR="00D07378" w:rsidRPr="00713723" w:rsidRDefault="00D07378" w:rsidP="00D07378">
      <w:pPr>
        <w:spacing w:line="276" w:lineRule="auto"/>
        <w:jc w:val="both"/>
      </w:pPr>
      <w:r>
        <w:t xml:space="preserve">Temeljem ugovora s EDQM-om iz 2016. godine </w:t>
      </w:r>
      <w:r w:rsidRPr="0099568E">
        <w:t xml:space="preserve">HALMED je </w:t>
      </w:r>
      <w:r>
        <w:t xml:space="preserve">nastavio  sudjelovanje u </w:t>
      </w:r>
      <w:r w:rsidRPr="0099568E">
        <w:t xml:space="preserve">postupku </w:t>
      </w:r>
      <w:r>
        <w:t xml:space="preserve">dobivanja Ovjernice </w:t>
      </w:r>
      <w:r w:rsidRPr="0099568E">
        <w:t>Europske farmakopeje</w:t>
      </w:r>
      <w:r>
        <w:t xml:space="preserve"> (</w:t>
      </w:r>
      <w:r w:rsidRPr="00136B03">
        <w:rPr>
          <w:i/>
        </w:rPr>
        <w:t>Certificate of Suitability, CEP).</w:t>
      </w:r>
      <w:r>
        <w:rPr>
          <w:i/>
        </w:rPr>
        <w:t xml:space="preserve"> </w:t>
      </w:r>
      <w:r w:rsidRPr="005C3AED">
        <w:t xml:space="preserve">Predstavnik HALMED-a je kao suocjenitelj sudjelovao u inicijalnoj ocjeni za </w:t>
      </w:r>
      <w:r>
        <w:t>deset</w:t>
      </w:r>
      <w:r w:rsidRPr="005C3AED">
        <w:t xml:space="preserve"> djelatnih tvari i ocjeni dopune za jednu djelatnu tvar.</w:t>
      </w:r>
    </w:p>
    <w:p w14:paraId="25333307" w14:textId="77777777" w:rsidR="00D07378" w:rsidRDefault="00D07378" w:rsidP="00D07378">
      <w:pPr>
        <w:spacing w:line="276" w:lineRule="auto"/>
        <w:jc w:val="both"/>
      </w:pPr>
    </w:p>
    <w:p w14:paraId="38396644" w14:textId="77777777" w:rsidR="00D07378" w:rsidRDefault="00D07378" w:rsidP="00D07378">
      <w:pPr>
        <w:spacing w:line="276" w:lineRule="auto"/>
        <w:jc w:val="both"/>
        <w:rPr>
          <w:rFonts w:ascii="Calibri" w:eastAsia="Times New Roman" w:hAnsi="Calibri" w:cs="Times New Roman"/>
          <w:color w:val="000000"/>
          <w:lang w:eastAsia="hr-HR"/>
        </w:rPr>
      </w:pPr>
      <w:r>
        <w:rPr>
          <w:rFonts w:ascii="Calibri" w:eastAsia="Times New Roman" w:hAnsi="Calibri" w:cs="Times New Roman"/>
          <w:bCs/>
          <w:lang w:eastAsia="hr-HR"/>
        </w:rPr>
        <w:t xml:space="preserve">Predstavnik HALMED-a sudjelovao je u radu </w:t>
      </w:r>
      <w:r w:rsidRPr="003C1882">
        <w:rPr>
          <w:rFonts w:ascii="Calibri" w:eastAsia="Times New Roman" w:hAnsi="Calibri" w:cs="Times New Roman"/>
          <w:color w:val="000000"/>
          <w:lang w:eastAsia="hr-HR"/>
        </w:rPr>
        <w:t>Tehničk</w:t>
      </w:r>
      <w:r>
        <w:rPr>
          <w:rFonts w:ascii="Calibri" w:eastAsia="Times New Roman" w:hAnsi="Calibri" w:cs="Times New Roman"/>
          <w:color w:val="000000"/>
          <w:lang w:eastAsia="hr-HR"/>
        </w:rPr>
        <w:t>og</w:t>
      </w:r>
      <w:r w:rsidRPr="003C1882">
        <w:rPr>
          <w:rFonts w:ascii="Calibri" w:eastAsia="Times New Roman" w:hAnsi="Calibri" w:cs="Times New Roman"/>
          <w:color w:val="000000"/>
          <w:lang w:eastAsia="hr-HR"/>
        </w:rPr>
        <w:t xml:space="preserve"> savjetodavn</w:t>
      </w:r>
      <w:r>
        <w:rPr>
          <w:rFonts w:ascii="Calibri" w:eastAsia="Times New Roman" w:hAnsi="Calibri" w:cs="Times New Roman"/>
          <w:color w:val="000000"/>
          <w:lang w:eastAsia="hr-HR"/>
        </w:rPr>
        <w:t>og</w:t>
      </w:r>
      <w:r w:rsidRPr="003C1882">
        <w:rPr>
          <w:rFonts w:ascii="Calibri" w:eastAsia="Times New Roman" w:hAnsi="Calibri" w:cs="Times New Roman"/>
          <w:color w:val="000000"/>
          <w:lang w:eastAsia="hr-HR"/>
        </w:rPr>
        <w:t xml:space="preserve"> odbor</w:t>
      </w:r>
      <w:r>
        <w:rPr>
          <w:rFonts w:ascii="Calibri" w:eastAsia="Times New Roman" w:hAnsi="Calibri" w:cs="Times New Roman"/>
          <w:color w:val="000000"/>
          <w:lang w:eastAsia="hr-HR"/>
        </w:rPr>
        <w:t>a</w:t>
      </w:r>
      <w:r w:rsidRPr="003C1882">
        <w:rPr>
          <w:rFonts w:ascii="Calibri" w:eastAsia="Times New Roman" w:hAnsi="Calibri" w:cs="Times New Roman"/>
          <w:color w:val="000000"/>
          <w:lang w:eastAsia="hr-HR"/>
        </w:rPr>
        <w:t xml:space="preserve"> (</w:t>
      </w:r>
      <w:r>
        <w:rPr>
          <w:rFonts w:ascii="Calibri" w:eastAsia="Times New Roman" w:hAnsi="Calibri" w:cs="Times New Roman"/>
          <w:i/>
          <w:iCs/>
          <w:color w:val="000000"/>
          <w:lang w:eastAsia="hr-HR"/>
        </w:rPr>
        <w:t>Technical Advisory Board</w:t>
      </w:r>
      <w:r w:rsidRPr="003C1882">
        <w:rPr>
          <w:rFonts w:ascii="Calibri" w:eastAsia="Times New Roman" w:hAnsi="Calibri" w:cs="Times New Roman"/>
          <w:i/>
          <w:iCs/>
          <w:color w:val="000000"/>
          <w:lang w:eastAsia="hr-HR"/>
        </w:rPr>
        <w:t xml:space="preserve">, </w:t>
      </w:r>
      <w:r>
        <w:rPr>
          <w:rFonts w:ascii="Calibri" w:eastAsia="Times New Roman" w:hAnsi="Calibri" w:cs="Times New Roman"/>
          <w:iCs/>
          <w:color w:val="000000"/>
          <w:lang w:eastAsia="hr-HR"/>
        </w:rPr>
        <w:t>TAB</w:t>
      </w:r>
      <w:r w:rsidRPr="003C1882">
        <w:rPr>
          <w:rFonts w:ascii="Calibri" w:eastAsia="Times New Roman" w:hAnsi="Calibri" w:cs="Times New Roman"/>
          <w:color w:val="000000"/>
          <w:lang w:eastAsia="hr-HR"/>
        </w:rPr>
        <w:t>)</w:t>
      </w:r>
      <w:r>
        <w:rPr>
          <w:rFonts w:ascii="Calibri" w:eastAsia="Times New Roman" w:hAnsi="Calibri" w:cs="Times New Roman"/>
          <w:color w:val="000000"/>
          <w:lang w:eastAsia="hr-HR"/>
        </w:rPr>
        <w:t xml:space="preserve"> za postupak ocjene dokumentacije o djelatnoj tvari za izdavanje Ovjernice Ph. Eur. pri EDQM-u</w:t>
      </w:r>
      <w:r w:rsidRPr="003C1882">
        <w:rPr>
          <w:rFonts w:ascii="Calibri" w:eastAsia="Times New Roman" w:hAnsi="Calibri" w:cs="Times New Roman"/>
          <w:color w:val="000000"/>
          <w:lang w:eastAsia="hr-HR"/>
        </w:rPr>
        <w:t>.</w:t>
      </w:r>
      <w:r>
        <w:rPr>
          <w:rFonts w:ascii="Calibri" w:eastAsia="Times New Roman" w:hAnsi="Calibri" w:cs="Times New Roman"/>
          <w:color w:val="000000"/>
          <w:lang w:eastAsia="hr-HR"/>
        </w:rPr>
        <w:t xml:space="preserve"> </w:t>
      </w:r>
      <w:r w:rsidRPr="0079605D">
        <w:rPr>
          <w:rFonts w:ascii="Calibri" w:eastAsia="Times New Roman" w:hAnsi="Calibri" w:cs="Times New Roman"/>
          <w:color w:val="000000"/>
          <w:lang w:eastAsia="hr-HR"/>
        </w:rPr>
        <w:t xml:space="preserve">Osim toga, djelatnik HALMED-a je </w:t>
      </w:r>
      <w:r>
        <w:rPr>
          <w:rFonts w:ascii="Calibri" w:eastAsia="Times New Roman" w:hAnsi="Calibri" w:cs="Times New Roman"/>
          <w:color w:val="000000"/>
          <w:lang w:eastAsia="hr-HR"/>
        </w:rPr>
        <w:t xml:space="preserve">tijekom izvještajnog razdoblja bio </w:t>
      </w:r>
      <w:r w:rsidRPr="0079605D">
        <w:rPr>
          <w:rFonts w:ascii="Calibri" w:eastAsia="Times New Roman" w:hAnsi="Calibri" w:cs="Times New Roman"/>
          <w:color w:val="000000"/>
          <w:lang w:eastAsia="hr-HR"/>
        </w:rPr>
        <w:t xml:space="preserve">uključen u radnu grupu za reviziju EDQM </w:t>
      </w:r>
      <w:r w:rsidRPr="00481A27">
        <w:rPr>
          <w:rFonts w:ascii="Calibri" w:eastAsia="Times New Roman" w:hAnsi="Calibri" w:cs="Times New Roman"/>
          <w:color w:val="000000"/>
          <w:lang w:eastAsia="hr-HR"/>
        </w:rPr>
        <w:t>obrasca</w:t>
      </w:r>
      <w:r w:rsidRPr="0079605D" w:rsidDel="00B20178">
        <w:rPr>
          <w:rFonts w:ascii="Calibri" w:eastAsia="Times New Roman" w:hAnsi="Calibri" w:cs="Times New Roman"/>
          <w:color w:val="000000"/>
          <w:lang w:eastAsia="hr-HR"/>
        </w:rPr>
        <w:t xml:space="preserve"> </w:t>
      </w:r>
      <w:r w:rsidRPr="00481A27">
        <w:rPr>
          <w:rFonts w:ascii="Calibri" w:eastAsia="Times New Roman" w:hAnsi="Calibri" w:cs="Times New Roman"/>
          <w:color w:val="000000"/>
          <w:lang w:eastAsia="hr-HR"/>
        </w:rPr>
        <w:t>(Quality Overall Summary)</w:t>
      </w:r>
      <w:r>
        <w:rPr>
          <w:rFonts w:ascii="Calibri" w:eastAsia="Times New Roman" w:hAnsi="Calibri" w:cs="Times New Roman"/>
          <w:color w:val="000000"/>
          <w:lang w:eastAsia="hr-HR"/>
        </w:rPr>
        <w:t xml:space="preserve">  </w:t>
      </w:r>
      <w:r>
        <w:t xml:space="preserve">i </w:t>
      </w:r>
      <w:r w:rsidRPr="001F1A7C">
        <w:t xml:space="preserve">dokumenta </w:t>
      </w:r>
      <w:r>
        <w:t>„</w:t>
      </w:r>
      <w:r w:rsidRPr="009D58E6">
        <w:rPr>
          <w:i/>
        </w:rPr>
        <w:t>Content of the dossier for CEP applications for chemical purity and microbiological quality of substances for pharmaceutical use</w:t>
      </w:r>
      <w:r>
        <w:t>“</w:t>
      </w:r>
      <w:r>
        <w:rPr>
          <w:rFonts w:ascii="Calibri" w:eastAsia="Times New Roman" w:hAnsi="Calibri" w:cs="Times New Roman"/>
          <w:color w:val="000000"/>
          <w:lang w:eastAsia="hr-HR"/>
        </w:rPr>
        <w:t xml:space="preserve">. </w:t>
      </w:r>
      <w:r>
        <w:t xml:space="preserve">Osim toga, djelatnik HALMED-a je prisustvovao plenarnom sastanku ocjenitelja koji sudjeluju </w:t>
      </w:r>
      <w:r w:rsidRPr="00FA4F2F">
        <w:t xml:space="preserve">u postupku ocjene dokumentacije o djelatnoj </w:t>
      </w:r>
      <w:r w:rsidRPr="00FA4F2F">
        <w:lastRenderedPageBreak/>
        <w:t>tvari za izdavanje Ovjernice Europske farmakopeje</w:t>
      </w:r>
      <w:r>
        <w:t xml:space="preserve">, na kojem je održao predavanje pod nazivom - </w:t>
      </w:r>
      <w:r w:rsidRPr="009D58E6">
        <w:rPr>
          <w:i/>
        </w:rPr>
        <w:t>Policy document</w:t>
      </w:r>
      <w:r>
        <w:t xml:space="preserve"> „ </w:t>
      </w:r>
      <w:r w:rsidRPr="009D58E6">
        <w:rPr>
          <w:i/>
        </w:rPr>
        <w:t>Content of the dossier …“ – overview of recent changes</w:t>
      </w:r>
      <w:r>
        <w:rPr>
          <w:i/>
        </w:rPr>
        <w:t>.</w:t>
      </w:r>
    </w:p>
    <w:p w14:paraId="0D150690" w14:textId="77777777" w:rsidR="00D07378" w:rsidRPr="00B20178" w:rsidRDefault="00D07378" w:rsidP="00D07378">
      <w:pPr>
        <w:spacing w:line="276" w:lineRule="auto"/>
        <w:jc w:val="both"/>
        <w:rPr>
          <w:rFonts w:ascii="Calibri" w:eastAsia="Times New Roman" w:hAnsi="Calibri" w:cs="Times New Roman"/>
          <w:b/>
          <w:lang w:eastAsia="hr-HR"/>
        </w:rPr>
      </w:pPr>
    </w:p>
    <w:p w14:paraId="7AA97D34" w14:textId="77777777" w:rsidR="00D07378" w:rsidRPr="00B20178" w:rsidRDefault="00D07378" w:rsidP="00D07378">
      <w:pPr>
        <w:spacing w:line="276" w:lineRule="auto"/>
        <w:jc w:val="both"/>
        <w:rPr>
          <w:rFonts w:ascii="Calibri" w:eastAsia="Times New Roman" w:hAnsi="Calibri" w:cs="Times New Roman"/>
          <w:b/>
          <w:lang w:eastAsia="hr-HR"/>
        </w:rPr>
      </w:pPr>
      <w:r>
        <w:rPr>
          <w:rFonts w:ascii="Calibri" w:eastAsia="Times New Roman" w:hAnsi="Calibri" w:cs="Times New Roman"/>
          <w:b/>
          <w:lang w:eastAsia="hr-HR"/>
        </w:rPr>
        <w:t>D</w:t>
      </w:r>
      <w:r w:rsidRPr="00B20178">
        <w:rPr>
          <w:rFonts w:ascii="Calibri" w:eastAsia="Times New Roman" w:hAnsi="Calibri" w:cs="Times New Roman"/>
          <w:b/>
          <w:lang w:eastAsia="hr-HR"/>
        </w:rPr>
        <w:t xml:space="preserve">) </w:t>
      </w:r>
      <w:r w:rsidRPr="008952FB">
        <w:rPr>
          <w:rFonts w:ascii="Calibri" w:eastAsia="Times New Roman" w:hAnsi="Calibri" w:cs="Times New Roman"/>
          <w:b/>
          <w:lang w:eastAsia="hr-HR"/>
        </w:rPr>
        <w:t>Mreža kontakata za granične proizvode (</w:t>
      </w:r>
      <w:r w:rsidRPr="00B20178">
        <w:rPr>
          <w:rFonts w:ascii="Calibri" w:eastAsia="Times New Roman" w:hAnsi="Calibri" w:cs="Times New Roman"/>
          <w:b/>
          <w:i/>
          <w:lang w:eastAsia="hr-HR"/>
        </w:rPr>
        <w:t>EDQM Network on Borderline Products</w:t>
      </w:r>
      <w:r w:rsidRPr="008952FB">
        <w:rPr>
          <w:rFonts w:ascii="Calibri" w:eastAsia="Times New Roman" w:hAnsi="Calibri" w:cs="Times New Roman"/>
          <w:b/>
          <w:lang w:eastAsia="hr-HR"/>
        </w:rPr>
        <w:t>)</w:t>
      </w:r>
    </w:p>
    <w:p w14:paraId="53352B40" w14:textId="77777777" w:rsidR="00D07378" w:rsidRPr="00B20178" w:rsidRDefault="00D07378" w:rsidP="00D07378">
      <w:pPr>
        <w:spacing w:line="276" w:lineRule="auto"/>
        <w:jc w:val="both"/>
        <w:rPr>
          <w:rFonts w:ascii="Calibri" w:eastAsia="Times New Roman" w:hAnsi="Calibri" w:cs="Times New Roman"/>
          <w:lang w:eastAsia="hr-HR"/>
        </w:rPr>
      </w:pPr>
    </w:p>
    <w:p w14:paraId="39C91DBA" w14:textId="77777777" w:rsidR="00D07378" w:rsidRDefault="00D07378" w:rsidP="00D07378">
      <w:pPr>
        <w:spacing w:line="276" w:lineRule="auto"/>
        <w:jc w:val="both"/>
        <w:rPr>
          <w:rFonts w:ascii="Calibri" w:eastAsia="Times New Roman" w:hAnsi="Calibri" w:cs="Times New Roman"/>
          <w:color w:val="000000"/>
          <w:lang w:eastAsia="hr-HR"/>
        </w:rPr>
      </w:pPr>
      <w:r w:rsidRPr="00B20178">
        <w:rPr>
          <w:rFonts w:ascii="Calibri" w:eastAsia="Times New Roman" w:hAnsi="Calibri" w:cs="Times New Roman"/>
          <w:lang w:eastAsia="hr-HR"/>
        </w:rPr>
        <w:t xml:space="preserve">Međunarodna mreža za granične proizvode uspostavljena je u okviru Europskog odbora za lijekove i farmaceutsku skrb (CD-P-PH) pri EDQM-u. Uloga ove mreže je jednostavno i pravovremeno dobivanje relevantnih informacija o nacionalnom statusu pojedinih graničnih proizvoda kao i neformalna razmjena najboljih praksi, novih dostignuća, dobrih iskustava u klasifikaciji graničnih proizvoda na nacionalnoj razini. U ovoj mreži Hrvatska ima dva stalna predstavnika HALMED-a i </w:t>
      </w:r>
      <w:r>
        <w:rPr>
          <w:rFonts w:ascii="Calibri" w:eastAsia="Times New Roman" w:hAnsi="Calibri" w:cs="Times New Roman"/>
          <w:lang w:eastAsia="hr-HR"/>
        </w:rPr>
        <w:t>dvije zamjene</w:t>
      </w:r>
      <w:r w:rsidRPr="00B20178">
        <w:rPr>
          <w:rFonts w:ascii="Calibri" w:eastAsia="Times New Roman" w:hAnsi="Calibri" w:cs="Times New Roman"/>
          <w:lang w:eastAsia="hr-HR"/>
        </w:rPr>
        <w:t>.</w:t>
      </w:r>
    </w:p>
    <w:p w14:paraId="73863C7D" w14:textId="77777777" w:rsidR="00D07378" w:rsidRDefault="00D07378" w:rsidP="00D07378">
      <w:pPr>
        <w:pStyle w:val="ListParagraph"/>
        <w:spacing w:before="0" w:after="0"/>
        <w:ind w:left="0"/>
        <w:jc w:val="both"/>
        <w:rPr>
          <w:sz w:val="22"/>
          <w:szCs w:val="22"/>
        </w:rPr>
      </w:pPr>
      <w:r w:rsidRPr="00C70A69">
        <w:rPr>
          <w:sz w:val="22"/>
          <w:szCs w:val="22"/>
        </w:rPr>
        <w:t xml:space="preserve">Izvršenje prihodovnih poslova pri </w:t>
      </w:r>
      <w:r>
        <w:rPr>
          <w:sz w:val="22"/>
          <w:szCs w:val="22"/>
        </w:rPr>
        <w:t>EDQM</w:t>
      </w:r>
      <w:r w:rsidRPr="00C70A69">
        <w:rPr>
          <w:sz w:val="22"/>
          <w:szCs w:val="22"/>
        </w:rPr>
        <w:t>-u prik</w:t>
      </w:r>
      <w:r>
        <w:rPr>
          <w:sz w:val="22"/>
          <w:szCs w:val="22"/>
        </w:rPr>
        <w:t>azano je u Tablici 1. (R.br. 1.6.</w:t>
      </w:r>
      <w:r w:rsidRPr="00C70A69">
        <w:rPr>
          <w:sz w:val="22"/>
          <w:szCs w:val="22"/>
        </w:rPr>
        <w:t>).</w:t>
      </w:r>
    </w:p>
    <w:p w14:paraId="7FCB7208" w14:textId="77777777" w:rsidR="00D07378" w:rsidRDefault="00D07378" w:rsidP="00D07378">
      <w:pPr>
        <w:pStyle w:val="ListParagraph"/>
        <w:spacing w:before="0" w:after="0"/>
        <w:ind w:left="0"/>
        <w:jc w:val="both"/>
        <w:rPr>
          <w:sz w:val="22"/>
          <w:szCs w:val="22"/>
        </w:rPr>
      </w:pPr>
    </w:p>
    <w:p w14:paraId="3AE28907" w14:textId="77777777" w:rsidR="00D07378" w:rsidRDefault="00D07378" w:rsidP="00D07378">
      <w:pPr>
        <w:spacing w:line="276" w:lineRule="auto"/>
        <w:jc w:val="both"/>
        <w:rPr>
          <w:rFonts w:eastAsia="Times New Roman" w:cstheme="minorHAnsi"/>
        </w:rPr>
      </w:pPr>
      <w:r>
        <w:rPr>
          <w:rFonts w:eastAsia="Times New Roman" w:cstheme="minorHAnsi"/>
        </w:rPr>
        <w:t xml:space="preserve">Podaci o sudjelovanju predstavnika HALMED-a na radnim sastancima </w:t>
      </w:r>
      <w:r>
        <w:rPr>
          <w:rFonts w:cs="Times New Roman"/>
        </w:rPr>
        <w:t xml:space="preserve">povjerenstava i radnih skupina EDQM-a </w:t>
      </w:r>
      <w:r>
        <w:rPr>
          <w:rFonts w:eastAsia="Times New Roman" w:cstheme="minorHAnsi"/>
        </w:rPr>
        <w:t xml:space="preserve">u </w:t>
      </w:r>
      <w:r>
        <w:rPr>
          <w:rFonts w:cstheme="minorHAnsi"/>
        </w:rPr>
        <w:t>izvještajnom razdoblju</w:t>
      </w:r>
      <w:r w:rsidRPr="0099568E">
        <w:rPr>
          <w:rFonts w:eastAsia="Times New Roman" w:cstheme="minorHAnsi"/>
        </w:rPr>
        <w:t xml:space="preserve"> </w:t>
      </w:r>
      <w:r>
        <w:rPr>
          <w:rFonts w:eastAsia="Times New Roman" w:cstheme="minorHAnsi"/>
        </w:rPr>
        <w:t>prikazani su u Tablici</w:t>
      </w:r>
      <w:r w:rsidRPr="0099568E">
        <w:rPr>
          <w:rFonts w:eastAsia="Times New Roman" w:cstheme="minorHAnsi"/>
        </w:rPr>
        <w:t xml:space="preserve"> </w:t>
      </w:r>
      <w:r>
        <w:rPr>
          <w:rFonts w:eastAsia="Times New Roman" w:cstheme="minorHAnsi"/>
        </w:rPr>
        <w:t>br. 5.</w:t>
      </w:r>
    </w:p>
    <w:p w14:paraId="1FAFAF95" w14:textId="77777777" w:rsidR="00D07378" w:rsidRDefault="00D07378" w:rsidP="00D07378">
      <w:pPr>
        <w:spacing w:line="276" w:lineRule="auto"/>
      </w:pPr>
    </w:p>
    <w:p w14:paraId="31EF9908" w14:textId="77777777" w:rsidR="00D07378" w:rsidRPr="00400CA1" w:rsidRDefault="00D07378" w:rsidP="00D07378">
      <w:pPr>
        <w:pStyle w:val="Heading4"/>
      </w:pPr>
      <w:r w:rsidRPr="00400CA1">
        <w:t>2.1.5.5. Izvješće o radu HALMED-a u povjerenstvima i radnim skupinama HMA-a i CMDh</w:t>
      </w:r>
    </w:p>
    <w:p w14:paraId="4FCEA0B2" w14:textId="77777777" w:rsidR="00D07378" w:rsidRDefault="00D07378" w:rsidP="00D07378">
      <w:pPr>
        <w:spacing w:line="276" w:lineRule="auto"/>
        <w:jc w:val="both"/>
        <w:rPr>
          <w:rFonts w:eastAsia="Times New Roman" w:cstheme="minorHAnsi"/>
        </w:rPr>
      </w:pPr>
      <w:r w:rsidRPr="00C74D70">
        <w:rPr>
          <w:rFonts w:eastAsia="Times New Roman" w:cstheme="minorHAnsi"/>
        </w:rPr>
        <w:t xml:space="preserve">HMA </w:t>
      </w:r>
      <w:r>
        <w:rPr>
          <w:rFonts w:eastAsia="Times New Roman" w:cstheme="minorHAnsi"/>
        </w:rPr>
        <w:t>(</w:t>
      </w:r>
      <w:r w:rsidRPr="00774D06">
        <w:rPr>
          <w:rFonts w:eastAsia="Times New Roman" w:cstheme="minorHAnsi"/>
          <w:i/>
        </w:rPr>
        <w:t>The Heads of Medicines Agencies</w:t>
      </w:r>
      <w:r>
        <w:rPr>
          <w:rFonts w:eastAsia="Times New Roman" w:cstheme="minorHAnsi"/>
        </w:rPr>
        <w:t xml:space="preserve">) </w:t>
      </w:r>
      <w:r w:rsidRPr="0099568E">
        <w:rPr>
          <w:rFonts w:eastAsia="Times New Roman" w:cstheme="minorHAnsi"/>
        </w:rPr>
        <w:t>održava sastanke na kojima sudjeluju ravnatelji nacionalnih regulatornih tijela</w:t>
      </w:r>
      <w:r>
        <w:rPr>
          <w:rFonts w:eastAsia="Times New Roman" w:cstheme="minorHAnsi"/>
        </w:rPr>
        <w:t xml:space="preserve"> za lijekove država članica EU.</w:t>
      </w:r>
    </w:p>
    <w:p w14:paraId="44F7AFDF" w14:textId="77777777" w:rsidR="00D07378" w:rsidRDefault="00D07378" w:rsidP="00D07378">
      <w:pPr>
        <w:spacing w:line="276" w:lineRule="auto"/>
        <w:jc w:val="both"/>
        <w:rPr>
          <w:rFonts w:eastAsia="Times New Roman" w:cstheme="minorHAnsi"/>
        </w:rPr>
      </w:pPr>
    </w:p>
    <w:p w14:paraId="6D22C45E" w14:textId="77777777" w:rsidR="00D07378" w:rsidRDefault="00D07378" w:rsidP="00D07378">
      <w:pPr>
        <w:tabs>
          <w:tab w:val="left" w:pos="709"/>
          <w:tab w:val="center" w:pos="858"/>
          <w:tab w:val="right" w:pos="8306"/>
        </w:tabs>
        <w:spacing w:line="276" w:lineRule="auto"/>
        <w:jc w:val="both"/>
        <w:rPr>
          <w:rFonts w:eastAsia="Calibri" w:cstheme="minorHAnsi"/>
        </w:rPr>
      </w:pPr>
      <w:r w:rsidRPr="0099568E">
        <w:rPr>
          <w:rFonts w:eastAsia="Times New Roman" w:cstheme="minorHAnsi"/>
        </w:rPr>
        <w:t>CMDh</w:t>
      </w:r>
      <w:r w:rsidRPr="0099568E">
        <w:t xml:space="preserve"> </w:t>
      </w:r>
      <w:r w:rsidRPr="0099568E">
        <w:rPr>
          <w:rFonts w:eastAsia="Times New Roman" w:cstheme="minorHAnsi"/>
        </w:rPr>
        <w:t>(</w:t>
      </w:r>
      <w:r w:rsidRPr="0099568E">
        <w:rPr>
          <w:rFonts w:cs="Calibri"/>
          <w:i/>
        </w:rPr>
        <w:t>Co-ordination Group for Mutual Recognition and Decentralised Procedures – Human</w:t>
      </w:r>
      <w:r>
        <w:rPr>
          <w:rFonts w:cs="Calibri"/>
          <w:i/>
        </w:rPr>
        <w:t>)</w:t>
      </w:r>
      <w:r w:rsidRPr="0099568E">
        <w:rPr>
          <w:rFonts w:cs="Calibri"/>
          <w:i/>
        </w:rPr>
        <w:t>,</w:t>
      </w:r>
      <w:r w:rsidRPr="0099568E">
        <w:rPr>
          <w:rFonts w:eastAsia="Times New Roman" w:cstheme="minorHAnsi"/>
        </w:rPr>
        <w:t xml:space="preserve"> </w:t>
      </w:r>
      <w:r>
        <w:t>k</w:t>
      </w:r>
      <w:r w:rsidRPr="0099568E">
        <w:t xml:space="preserve">oordinacijska grupa za postupak međusobnog priznavanja i decentralizirani postupak za humane lijekove </w:t>
      </w:r>
      <w:r>
        <w:rPr>
          <w:rFonts w:eastAsia="Calibri" w:cstheme="minorHAnsi"/>
        </w:rPr>
        <w:t>razmatra pitanja o lijekovima koji se odobravaju postupkom međusobnog priznavanja i decentraliziranim postupkom.</w:t>
      </w:r>
    </w:p>
    <w:p w14:paraId="69D4397D" w14:textId="77777777" w:rsidR="00D07378" w:rsidRPr="008B56B1" w:rsidRDefault="00D07378" w:rsidP="00D07378">
      <w:pPr>
        <w:tabs>
          <w:tab w:val="left" w:pos="709"/>
          <w:tab w:val="center" w:pos="858"/>
          <w:tab w:val="right" w:pos="8306"/>
        </w:tabs>
        <w:spacing w:line="276" w:lineRule="auto"/>
        <w:jc w:val="both"/>
        <w:rPr>
          <w:rFonts w:eastAsia="Times New Roman" w:cstheme="minorHAnsi"/>
        </w:rPr>
      </w:pPr>
    </w:p>
    <w:p w14:paraId="0DAE6D9E" w14:textId="77777777" w:rsidR="00D07378" w:rsidRPr="0099568E" w:rsidRDefault="00D07378" w:rsidP="00D07378">
      <w:pPr>
        <w:spacing w:line="276" w:lineRule="auto"/>
        <w:jc w:val="both"/>
        <w:rPr>
          <w:rFonts w:eastAsia="Times New Roman" w:cstheme="minorHAnsi"/>
        </w:rPr>
      </w:pPr>
      <w:r w:rsidRPr="0099568E">
        <w:rPr>
          <w:rFonts w:eastAsia="Times New Roman" w:cstheme="minorHAnsi"/>
        </w:rPr>
        <w:t xml:space="preserve">U </w:t>
      </w:r>
      <w:r>
        <w:rPr>
          <w:rFonts w:cstheme="minorHAnsi"/>
        </w:rPr>
        <w:t>izvještajnom razdoblju</w:t>
      </w:r>
      <w:r w:rsidRPr="0099568E">
        <w:rPr>
          <w:rFonts w:eastAsia="Times New Roman" w:cstheme="minorHAnsi"/>
        </w:rPr>
        <w:t xml:space="preserve"> </w:t>
      </w:r>
      <w:r>
        <w:rPr>
          <w:rFonts w:eastAsia="Times New Roman" w:cstheme="minorHAnsi"/>
        </w:rPr>
        <w:t>predstavnici</w:t>
      </w:r>
      <w:r w:rsidRPr="0099568E">
        <w:rPr>
          <w:rFonts w:eastAsia="Times New Roman" w:cstheme="minorHAnsi"/>
        </w:rPr>
        <w:t xml:space="preserve"> HALMED-a redovito su sudjelovali u radu sljedećih stručnih grupa HMA-a</w:t>
      </w:r>
      <w:r>
        <w:rPr>
          <w:rFonts w:eastAsia="Times New Roman" w:cstheme="minorHAnsi"/>
        </w:rPr>
        <w:t xml:space="preserve"> i CMDh</w:t>
      </w:r>
      <w:r w:rsidRPr="0099568E">
        <w:rPr>
          <w:rFonts w:eastAsia="Times New Roman" w:cstheme="minorHAnsi"/>
        </w:rPr>
        <w:t>:</w:t>
      </w:r>
    </w:p>
    <w:p w14:paraId="77B00DE1" w14:textId="77777777" w:rsidR="00D07378" w:rsidRPr="0099568E" w:rsidRDefault="00D07378" w:rsidP="00D07378">
      <w:pPr>
        <w:numPr>
          <w:ilvl w:val="0"/>
          <w:numId w:val="14"/>
        </w:numPr>
        <w:spacing w:line="276" w:lineRule="auto"/>
        <w:ind w:left="360"/>
        <w:contextualSpacing/>
        <w:jc w:val="both"/>
        <w:rPr>
          <w:rFonts w:eastAsia="Times New Roman" w:cstheme="minorHAnsi"/>
          <w:bCs/>
        </w:rPr>
      </w:pPr>
      <w:r w:rsidRPr="0099568E">
        <w:rPr>
          <w:rFonts w:eastAsia="Times New Roman" w:cstheme="minorHAnsi"/>
        </w:rPr>
        <w:t>Radna skupina za temeljnu dokumentaciju o djelatnoj tvari (</w:t>
      </w:r>
      <w:r w:rsidRPr="0099568E">
        <w:rPr>
          <w:rFonts w:eastAsia="Times New Roman" w:cstheme="minorHAnsi"/>
          <w:i/>
        </w:rPr>
        <w:t>Working Group on Active Substance Master File Procedures</w:t>
      </w:r>
      <w:r w:rsidRPr="0099568E">
        <w:rPr>
          <w:rFonts w:eastAsia="Times New Roman" w:cstheme="minorHAnsi"/>
        </w:rPr>
        <w:t>)</w:t>
      </w:r>
    </w:p>
    <w:p w14:paraId="38115585" w14:textId="77777777" w:rsidR="00D07378" w:rsidRPr="004B5F35" w:rsidRDefault="00D07378" w:rsidP="00D07378">
      <w:pPr>
        <w:numPr>
          <w:ilvl w:val="0"/>
          <w:numId w:val="14"/>
        </w:numPr>
        <w:spacing w:line="276" w:lineRule="auto"/>
        <w:ind w:left="360"/>
        <w:contextualSpacing/>
        <w:jc w:val="both"/>
        <w:rPr>
          <w:rFonts w:eastAsia="Times New Roman" w:cstheme="minorHAnsi"/>
          <w:bCs/>
        </w:rPr>
      </w:pPr>
      <w:r w:rsidRPr="0099568E">
        <w:rPr>
          <w:rFonts w:eastAsia="Times New Roman" w:cstheme="minorHAnsi"/>
        </w:rPr>
        <w:t>Radna skupina za regulaciju izmjena (</w:t>
      </w:r>
      <w:r w:rsidRPr="0099568E">
        <w:rPr>
          <w:rFonts w:eastAsia="Times New Roman" w:cstheme="minorHAnsi"/>
          <w:i/>
        </w:rPr>
        <w:t>Working Party on Variation Regulation</w:t>
      </w:r>
      <w:r w:rsidRPr="0099568E">
        <w:rPr>
          <w:rFonts w:eastAsia="Times New Roman" w:cstheme="minorHAnsi"/>
        </w:rPr>
        <w:t>)</w:t>
      </w:r>
    </w:p>
    <w:p w14:paraId="0C0A8EA2" w14:textId="77777777" w:rsidR="00D07378" w:rsidRPr="004B5F35" w:rsidRDefault="00D07378" w:rsidP="00D07378">
      <w:pPr>
        <w:numPr>
          <w:ilvl w:val="0"/>
          <w:numId w:val="14"/>
        </w:numPr>
        <w:spacing w:line="276" w:lineRule="auto"/>
        <w:ind w:left="360"/>
        <w:contextualSpacing/>
        <w:jc w:val="both"/>
        <w:rPr>
          <w:rFonts w:eastAsia="Times New Roman" w:cstheme="minorHAnsi"/>
          <w:bCs/>
        </w:rPr>
      </w:pPr>
      <w:r w:rsidRPr="0099568E">
        <w:rPr>
          <w:rFonts w:eastAsia="Times New Roman" w:cstheme="minorHAnsi"/>
        </w:rPr>
        <w:t>Radna skupina za bezreceptne lijekove (</w:t>
      </w:r>
      <w:r w:rsidRPr="0099568E">
        <w:rPr>
          <w:rFonts w:eastAsia="Times New Roman" w:cstheme="minorHAnsi"/>
          <w:i/>
        </w:rPr>
        <w:t>Non-prescription Medicinal Products TF</w:t>
      </w:r>
      <w:r w:rsidRPr="0099568E">
        <w:rPr>
          <w:rFonts w:eastAsia="Times New Roman" w:cstheme="minorHAnsi"/>
        </w:rPr>
        <w:t>)</w:t>
      </w:r>
    </w:p>
    <w:p w14:paraId="0C0EA2FD" w14:textId="77777777" w:rsidR="00D07378" w:rsidRPr="0099568E" w:rsidRDefault="00D07378" w:rsidP="00D07378">
      <w:pPr>
        <w:numPr>
          <w:ilvl w:val="0"/>
          <w:numId w:val="14"/>
        </w:numPr>
        <w:spacing w:line="276" w:lineRule="auto"/>
        <w:ind w:left="360"/>
        <w:contextualSpacing/>
        <w:jc w:val="both"/>
        <w:rPr>
          <w:rFonts w:eastAsia="Times New Roman" w:cstheme="minorHAnsi"/>
        </w:rPr>
      </w:pPr>
      <w:r w:rsidRPr="0099568E">
        <w:rPr>
          <w:rFonts w:eastAsia="Times New Roman" w:cstheme="minorHAnsi"/>
          <w:iCs/>
        </w:rPr>
        <w:t>Radna skupina za homeopatske lijekove (</w:t>
      </w:r>
      <w:r w:rsidRPr="0099568E">
        <w:rPr>
          <w:rFonts w:eastAsia="Times New Roman" w:cstheme="minorHAnsi"/>
          <w:i/>
          <w:iCs/>
        </w:rPr>
        <w:t>Homeopathic Medicinal Products Working Group</w:t>
      </w:r>
      <w:r w:rsidRPr="0099568E">
        <w:rPr>
          <w:rFonts w:eastAsia="Times New Roman" w:cstheme="minorHAnsi"/>
          <w:iCs/>
        </w:rPr>
        <w:t>, HMPWG)</w:t>
      </w:r>
    </w:p>
    <w:p w14:paraId="288F77FD" w14:textId="77777777" w:rsidR="00D07378" w:rsidRPr="0099568E" w:rsidRDefault="00D07378" w:rsidP="00D07378">
      <w:pPr>
        <w:numPr>
          <w:ilvl w:val="0"/>
          <w:numId w:val="14"/>
        </w:numPr>
        <w:spacing w:line="276" w:lineRule="auto"/>
        <w:ind w:left="360"/>
        <w:contextualSpacing/>
        <w:jc w:val="both"/>
        <w:rPr>
          <w:rFonts w:eastAsia="Times New Roman" w:cstheme="minorHAnsi"/>
        </w:rPr>
      </w:pPr>
      <w:r w:rsidRPr="0099568E">
        <w:rPr>
          <w:rFonts w:eastAsia="Times New Roman" w:cstheme="minorHAnsi"/>
          <w:iCs/>
        </w:rPr>
        <w:t>Radna skupina za CTS (</w:t>
      </w:r>
      <w:r w:rsidRPr="0099568E">
        <w:rPr>
          <w:rFonts w:eastAsia="Times New Roman" w:cstheme="minorHAnsi"/>
          <w:i/>
          <w:iCs/>
        </w:rPr>
        <w:t>Communication and Tracking System)</w:t>
      </w:r>
    </w:p>
    <w:p w14:paraId="22FAE19B" w14:textId="77777777" w:rsidR="00D07378" w:rsidRDefault="00D07378" w:rsidP="00D07378">
      <w:pPr>
        <w:numPr>
          <w:ilvl w:val="0"/>
          <w:numId w:val="14"/>
        </w:numPr>
        <w:spacing w:line="276" w:lineRule="auto"/>
        <w:ind w:left="360"/>
        <w:contextualSpacing/>
        <w:jc w:val="both"/>
        <w:rPr>
          <w:rFonts w:eastAsia="Times New Roman" w:cstheme="minorHAnsi"/>
        </w:rPr>
      </w:pPr>
      <w:r w:rsidRPr="0099568E">
        <w:rPr>
          <w:rFonts w:eastAsia="Times New Roman" w:cstheme="minorHAnsi"/>
        </w:rPr>
        <w:t>Radna skupina za pravna i zakonodavna pitanja (EMACOLEX)</w:t>
      </w:r>
    </w:p>
    <w:p w14:paraId="0DADAFBC" w14:textId="77777777" w:rsidR="00D07378" w:rsidRPr="00F94DA2" w:rsidRDefault="00D07378" w:rsidP="00D07378">
      <w:pPr>
        <w:numPr>
          <w:ilvl w:val="0"/>
          <w:numId w:val="14"/>
        </w:numPr>
        <w:spacing w:line="276" w:lineRule="auto"/>
        <w:ind w:left="360"/>
        <w:contextualSpacing/>
        <w:jc w:val="both"/>
        <w:rPr>
          <w:rFonts w:eastAsia="Times New Roman" w:cstheme="minorHAnsi"/>
          <w:iCs/>
        </w:rPr>
      </w:pPr>
      <w:r w:rsidRPr="00963096">
        <w:rPr>
          <w:rFonts w:eastAsia="Times New Roman" w:cstheme="minorHAnsi"/>
          <w:iCs/>
        </w:rPr>
        <w:t>Projekt harmonizacije plana upravljanja rizicima</w:t>
      </w:r>
      <w:r w:rsidRPr="00F94DA2">
        <w:rPr>
          <w:rFonts w:eastAsia="Times New Roman" w:cstheme="minorHAnsi"/>
          <w:iCs/>
        </w:rPr>
        <w:t xml:space="preserve"> (</w:t>
      </w:r>
      <w:r w:rsidRPr="00774D06">
        <w:rPr>
          <w:rFonts w:eastAsia="Times New Roman" w:cstheme="minorHAnsi"/>
          <w:i/>
          <w:iCs/>
        </w:rPr>
        <w:t>Harmonisation of Risk Management Plan Project</w:t>
      </w:r>
      <w:r w:rsidRPr="00F94DA2">
        <w:rPr>
          <w:rFonts w:eastAsia="Times New Roman" w:cstheme="minorHAnsi"/>
          <w:iCs/>
        </w:rPr>
        <w:t>, HaRP)</w:t>
      </w:r>
    </w:p>
    <w:p w14:paraId="5B3B6A28" w14:textId="77777777" w:rsidR="00D07378" w:rsidRDefault="00D07378" w:rsidP="00D07378">
      <w:pPr>
        <w:numPr>
          <w:ilvl w:val="0"/>
          <w:numId w:val="14"/>
        </w:numPr>
        <w:spacing w:line="276" w:lineRule="auto"/>
        <w:ind w:left="360"/>
        <w:contextualSpacing/>
        <w:jc w:val="both"/>
        <w:rPr>
          <w:rFonts w:eastAsia="Times New Roman" w:cstheme="minorHAnsi"/>
          <w:i/>
          <w:iCs/>
        </w:rPr>
      </w:pPr>
      <w:r w:rsidRPr="00A553D6">
        <w:rPr>
          <w:rFonts w:eastAsia="Times New Roman" w:cstheme="minorHAnsi"/>
          <w:iCs/>
        </w:rPr>
        <w:t xml:space="preserve">Radna skupina za zajedničke farmakovigilancijske postupke </w:t>
      </w:r>
      <w:r w:rsidRPr="00B037D6">
        <w:rPr>
          <w:rFonts w:eastAsia="Times New Roman" w:cstheme="minorHAnsi"/>
          <w:i/>
          <w:iCs/>
        </w:rPr>
        <w:t>(</w:t>
      </w:r>
      <w:r w:rsidRPr="00B037D6">
        <w:rPr>
          <w:rFonts w:eastAsia="Times New Roman" w:cstheme="minorHAnsi"/>
          <w:i/>
          <w:iCs/>
          <w:lang w:val="en-GB"/>
        </w:rPr>
        <w:t>Pharmacovigilance Work Sharing Procedures Working Party, PhV WSP WP</w:t>
      </w:r>
      <w:r w:rsidRPr="00B037D6">
        <w:rPr>
          <w:rFonts w:eastAsia="Times New Roman" w:cstheme="minorHAnsi"/>
          <w:i/>
          <w:iCs/>
        </w:rPr>
        <w:t>)</w:t>
      </w:r>
    </w:p>
    <w:p w14:paraId="1164567A" w14:textId="77777777" w:rsidR="00D07378" w:rsidRPr="005A28D2" w:rsidRDefault="00D07378" w:rsidP="00D07378">
      <w:pPr>
        <w:numPr>
          <w:ilvl w:val="0"/>
          <w:numId w:val="14"/>
        </w:numPr>
        <w:spacing w:line="276" w:lineRule="auto"/>
        <w:ind w:left="360"/>
        <w:contextualSpacing/>
        <w:jc w:val="both"/>
        <w:rPr>
          <w:rFonts w:eastAsia="Times New Roman" w:cstheme="minorHAnsi"/>
          <w:iCs/>
        </w:rPr>
      </w:pPr>
      <w:r>
        <w:rPr>
          <w:rFonts w:eastAsia="Times New Roman" w:cstheme="minorHAnsi"/>
          <w:iCs/>
          <w:lang w:val="en-GB"/>
        </w:rPr>
        <w:t>Regulatorna skupina za elektronički obrazac prijave (</w:t>
      </w:r>
      <w:r w:rsidRPr="007B4C06">
        <w:rPr>
          <w:rFonts w:eastAsia="Times New Roman" w:cstheme="minorHAnsi"/>
          <w:i/>
          <w:iCs/>
          <w:lang w:val="en-GB"/>
        </w:rPr>
        <w:t>eAF Regulatory Focus Group</w:t>
      </w:r>
      <w:r>
        <w:rPr>
          <w:rFonts w:eastAsia="Times New Roman" w:cstheme="minorHAnsi"/>
          <w:iCs/>
          <w:lang w:val="en-GB"/>
        </w:rPr>
        <w:t>)</w:t>
      </w:r>
      <w:r w:rsidRPr="007B4C06">
        <w:rPr>
          <w:rFonts w:eastAsia="Times New Roman" w:cstheme="minorHAnsi"/>
          <w:iCs/>
          <w:lang w:val="en-GB"/>
        </w:rPr>
        <w:t>.</w:t>
      </w:r>
    </w:p>
    <w:p w14:paraId="515646E8" w14:textId="77777777" w:rsidR="00D07378" w:rsidRDefault="00D07378" w:rsidP="00D07378">
      <w:pPr>
        <w:spacing w:line="276" w:lineRule="auto"/>
        <w:contextualSpacing/>
        <w:jc w:val="both"/>
        <w:rPr>
          <w:rFonts w:eastAsia="Times New Roman" w:cstheme="minorHAnsi"/>
        </w:rPr>
      </w:pPr>
    </w:p>
    <w:p w14:paraId="75EB2225" w14:textId="53F3DF89" w:rsidR="00D07378" w:rsidRDefault="00D07378" w:rsidP="00D07378">
      <w:pPr>
        <w:spacing w:line="276" w:lineRule="auto"/>
        <w:jc w:val="both"/>
        <w:rPr>
          <w:rFonts w:eastAsia="Times New Roman" w:cstheme="minorHAnsi"/>
        </w:rPr>
      </w:pPr>
      <w:r>
        <w:rPr>
          <w:rFonts w:eastAsia="Times New Roman" w:cstheme="minorHAnsi"/>
        </w:rPr>
        <w:t>Podaci o sudjelovanju predstavnika HALMED-a na radnim sastancima HMA</w:t>
      </w:r>
      <w:r w:rsidRPr="00516D45">
        <w:rPr>
          <w:rFonts w:eastAsia="Times New Roman" w:cstheme="minorHAnsi"/>
        </w:rPr>
        <w:t>-a</w:t>
      </w:r>
      <w:r>
        <w:rPr>
          <w:rFonts w:eastAsia="Times New Roman" w:cstheme="minorHAnsi"/>
        </w:rPr>
        <w:t>, CMDh</w:t>
      </w:r>
      <w:r w:rsidRPr="00516D45">
        <w:rPr>
          <w:rFonts w:eastAsia="Times New Roman" w:cstheme="minorHAnsi"/>
        </w:rPr>
        <w:t xml:space="preserve"> </w:t>
      </w:r>
      <w:r>
        <w:rPr>
          <w:rFonts w:eastAsia="Times New Roman" w:cstheme="minorHAnsi"/>
        </w:rPr>
        <w:t xml:space="preserve">i njihovih stručnih </w:t>
      </w:r>
      <w:r w:rsidR="00A22291">
        <w:rPr>
          <w:rFonts w:eastAsia="Times New Roman" w:cstheme="minorHAnsi"/>
        </w:rPr>
        <w:t xml:space="preserve">skupina </w:t>
      </w:r>
      <w:r>
        <w:rPr>
          <w:rFonts w:eastAsia="Times New Roman" w:cstheme="minorHAnsi"/>
        </w:rPr>
        <w:t xml:space="preserve">u </w:t>
      </w:r>
      <w:r>
        <w:rPr>
          <w:rFonts w:cstheme="minorHAnsi"/>
        </w:rPr>
        <w:t>izvještajnom razdoblju</w:t>
      </w:r>
      <w:r w:rsidRPr="0099568E">
        <w:rPr>
          <w:rFonts w:eastAsia="Times New Roman" w:cstheme="minorHAnsi"/>
        </w:rPr>
        <w:t xml:space="preserve"> </w:t>
      </w:r>
      <w:r>
        <w:rPr>
          <w:rFonts w:eastAsia="Times New Roman" w:cstheme="minorHAnsi"/>
        </w:rPr>
        <w:t>prikazani su u Tablici</w:t>
      </w:r>
      <w:r w:rsidRPr="0099568E">
        <w:rPr>
          <w:rFonts w:eastAsia="Times New Roman" w:cstheme="minorHAnsi"/>
        </w:rPr>
        <w:t xml:space="preserve"> </w:t>
      </w:r>
      <w:r>
        <w:rPr>
          <w:rFonts w:eastAsia="Times New Roman" w:cstheme="minorHAnsi"/>
        </w:rPr>
        <w:t>br. 5.</w:t>
      </w:r>
    </w:p>
    <w:p w14:paraId="5889ECE9" w14:textId="77777777" w:rsidR="00D07378" w:rsidRPr="00F13DF2" w:rsidRDefault="00D07378" w:rsidP="00D07378">
      <w:pPr>
        <w:pStyle w:val="Heading3"/>
      </w:pPr>
      <w:bookmarkStart w:id="74" w:name="_Toc165035444"/>
      <w:r w:rsidRPr="00F13DF2">
        <w:lastRenderedPageBreak/>
        <w:t>2.1.</w:t>
      </w:r>
      <w:r>
        <w:t>6</w:t>
      </w:r>
      <w:r w:rsidRPr="00F13DF2">
        <w:t>. Međunarodni poslovi</w:t>
      </w:r>
      <w:bookmarkEnd w:id="74"/>
    </w:p>
    <w:p w14:paraId="3E529012" w14:textId="77777777" w:rsidR="00D07378" w:rsidRPr="00400CA1" w:rsidRDefault="00D07378" w:rsidP="00D07378">
      <w:pPr>
        <w:pStyle w:val="Heading4"/>
      </w:pPr>
      <w:r w:rsidRPr="00400CA1">
        <w:t>2.1.6.1. Izvješće o suradnji s agencijama nadležnima za lijekove država članica EU</w:t>
      </w:r>
    </w:p>
    <w:p w14:paraId="006DCBD3" w14:textId="77777777" w:rsidR="00D07378" w:rsidRDefault="00D07378" w:rsidP="00D07378">
      <w:pPr>
        <w:tabs>
          <w:tab w:val="left" w:pos="709"/>
        </w:tabs>
        <w:spacing w:line="276" w:lineRule="auto"/>
        <w:jc w:val="both"/>
      </w:pPr>
      <w:r>
        <w:t>U izvještajnom razdoblju nastavljena je suradnja s državama članicama EU kroz sudjelovanje u multinacionalnim timovima za ocjenu dokumentacije o lijeku u centraliziranim postupcima i znanstvenim savjetima pri EMA-i.</w:t>
      </w:r>
    </w:p>
    <w:p w14:paraId="0F31037F" w14:textId="77777777" w:rsidR="00D07378" w:rsidRDefault="00D07378" w:rsidP="00D07378">
      <w:pPr>
        <w:tabs>
          <w:tab w:val="left" w:pos="709"/>
        </w:tabs>
        <w:spacing w:line="276" w:lineRule="auto"/>
        <w:jc w:val="both"/>
      </w:pPr>
    </w:p>
    <w:p w14:paraId="665FC832" w14:textId="77777777" w:rsidR="00D07378" w:rsidRDefault="00D07378" w:rsidP="00D07378">
      <w:pPr>
        <w:tabs>
          <w:tab w:val="left" w:pos="709"/>
        </w:tabs>
        <w:spacing w:line="276" w:lineRule="auto"/>
        <w:jc w:val="both"/>
      </w:pPr>
      <w:r>
        <w:t>U travnju 2023. HALMED je bio domaćin delegaciji Republike Malte. Tom prigodom delegacija Republike Malte i predstavnici HALMED-a razmijenili su znanja i iskustva uz područje regulative lijekova u nacionalnom i europskom okruženju. Sudionici su se dotakli tema koje se odnose na izgradnju kapaciteta i zapošljavanje stručnog kadra, financiranje, temelje provođenja zajedničkim ocjena dokumentacije o lijeku, razvijenosti IT infrastrukture, praćenje nestašica i osiguranje dostupnosti lijekova na tržištu, rasprave s Europskom komisijom o ponovnom e-označavanju lijekova, dostupnost lijekova odobrenih centraliziranim postupkom te reviziju farmaceutskog zakonodavstva u EU-u.</w:t>
      </w:r>
    </w:p>
    <w:p w14:paraId="03902030" w14:textId="77777777" w:rsidR="00D07378" w:rsidRDefault="00D07378" w:rsidP="00D07378">
      <w:pPr>
        <w:tabs>
          <w:tab w:val="left" w:pos="709"/>
        </w:tabs>
        <w:spacing w:line="276" w:lineRule="auto"/>
        <w:jc w:val="both"/>
      </w:pPr>
    </w:p>
    <w:p w14:paraId="4B2F9087" w14:textId="77777777" w:rsidR="00D07378" w:rsidRPr="00400CA1" w:rsidRDefault="00D07378" w:rsidP="00D07378">
      <w:pPr>
        <w:pStyle w:val="Heading4"/>
      </w:pPr>
      <w:r w:rsidRPr="00400CA1">
        <w:t>2.1.6.2. Izvješće o suradnji s agencijama nadležnima za lijekove zemalja izvan EU</w:t>
      </w:r>
    </w:p>
    <w:p w14:paraId="7AC862A2" w14:textId="77777777" w:rsidR="00D07378" w:rsidRPr="00B20178" w:rsidRDefault="00D07378" w:rsidP="00D07378">
      <w:pPr>
        <w:tabs>
          <w:tab w:val="left" w:pos="709"/>
        </w:tabs>
        <w:spacing w:line="276" w:lineRule="auto"/>
        <w:jc w:val="both"/>
      </w:pPr>
      <w:r w:rsidRPr="00B20178">
        <w:t>U veljači 2023. godine na poziv Agencije za lijekove i medicinska sredstva Bosne i Hercegovine (ALMBiH) djelatnici HALMED-a organizirali su radionicu na temu validacije zahtjeva, u svrhu razmjene znanja i iskust</w:t>
      </w:r>
      <w:r>
        <w:t>a</w:t>
      </w:r>
      <w:r w:rsidRPr="00B20178">
        <w:t>va između HALMED-a i ALMBiH-a. Radionica je bila izuzetno interaktivna, HALMED je pružio podršku u svrhu daljnjeg jačanja resursa ALMBiH-a. Sve navedeno je doprinijelo ugledu HALMED-a te je potvrdilo otvorenost ka međunarodnoj suradnji koja pridonosi budućem proširenju EU-a.</w:t>
      </w:r>
    </w:p>
    <w:p w14:paraId="747CC7A6" w14:textId="77777777" w:rsidR="00D07378" w:rsidRDefault="00D07378" w:rsidP="00D07378">
      <w:pPr>
        <w:tabs>
          <w:tab w:val="left" w:pos="709"/>
        </w:tabs>
        <w:spacing w:line="276" w:lineRule="auto"/>
        <w:jc w:val="both"/>
      </w:pPr>
      <w:r w:rsidRPr="00280C73">
        <w:t xml:space="preserve">U veljači </w:t>
      </w:r>
      <w:r>
        <w:t xml:space="preserve">i lipnju </w:t>
      </w:r>
      <w:r w:rsidRPr="00280C73">
        <w:t>2023. godine na zahtjev</w:t>
      </w:r>
      <w:r w:rsidRPr="00280C73">
        <w:rPr>
          <w:rFonts w:hint="eastAsia"/>
        </w:rPr>
        <w:t> </w:t>
      </w:r>
      <w:hyperlink r:id="rId28" w:tgtFrame="_blank" w:history="1">
        <w:r w:rsidRPr="00280C73">
          <w:t>Državnog stručnog centra Ministarstva zdravstva Ukrajine (SECMOH)</w:t>
        </w:r>
      </w:hyperlink>
      <w:r w:rsidRPr="00280C73">
        <w:t>, djelatnici HALMED-a odr</w:t>
      </w:r>
      <w:r w:rsidRPr="00280C73">
        <w:rPr>
          <w:rFonts w:hint="eastAsia"/>
        </w:rPr>
        <w:t>ž</w:t>
      </w:r>
      <w:r w:rsidRPr="00280C73">
        <w:t>ali su virtualni radni sastanak s predstavnicima SECMOH-a na temu uvo</w:t>
      </w:r>
      <w:r w:rsidRPr="00280C73">
        <w:rPr>
          <w:rFonts w:hint="eastAsia"/>
        </w:rPr>
        <w:t>đ</w:t>
      </w:r>
      <w:r w:rsidRPr="00280C73">
        <w:t>enja elektroni</w:t>
      </w:r>
      <w:r w:rsidRPr="00280C73">
        <w:rPr>
          <w:rFonts w:hint="eastAsia"/>
        </w:rPr>
        <w:t>č</w:t>
      </w:r>
      <w:r w:rsidRPr="00280C73">
        <w:t xml:space="preserve">ke dokumentacije u postupke odobravanja lijekova. Nastavno na dobiveni status kandidata za </w:t>
      </w:r>
      <w:r w:rsidRPr="00280C73">
        <w:rPr>
          <w:rFonts w:hint="eastAsia"/>
        </w:rPr>
        <w:t>č</w:t>
      </w:r>
      <w:r w:rsidRPr="00280C73">
        <w:t>lanstvo u Europskoj uniji,</w:t>
      </w:r>
      <w:r w:rsidRPr="00280C73">
        <w:rPr>
          <w:rFonts w:hint="eastAsia"/>
        </w:rPr>
        <w:t> </w:t>
      </w:r>
      <w:r w:rsidRPr="00280C73">
        <w:t>Ukrajina trenuta</w:t>
      </w:r>
      <w:r w:rsidRPr="00280C73">
        <w:rPr>
          <w:rFonts w:hint="eastAsia"/>
        </w:rPr>
        <w:t>č</w:t>
      </w:r>
      <w:r w:rsidRPr="00280C73">
        <w:t>no provodi proces pripreme preuzimanja obveza iz pravne ste</w:t>
      </w:r>
      <w:r w:rsidRPr="00280C73">
        <w:rPr>
          <w:rFonts w:hint="eastAsia"/>
        </w:rPr>
        <w:t>č</w:t>
      </w:r>
      <w:r w:rsidRPr="00280C73">
        <w:t>evine EU-a koje se odnose na uvo</w:t>
      </w:r>
      <w:r w:rsidRPr="00280C73">
        <w:rPr>
          <w:rFonts w:hint="eastAsia"/>
        </w:rPr>
        <w:t>đ</w:t>
      </w:r>
      <w:r w:rsidRPr="00280C73">
        <w:t>enje elektroni</w:t>
      </w:r>
      <w:r w:rsidRPr="00280C73">
        <w:rPr>
          <w:rFonts w:hint="eastAsia"/>
        </w:rPr>
        <w:t>č</w:t>
      </w:r>
      <w:r w:rsidRPr="00280C73">
        <w:t>kog podno</w:t>
      </w:r>
      <w:r w:rsidRPr="00280C73">
        <w:rPr>
          <w:rFonts w:hint="eastAsia"/>
        </w:rPr>
        <w:t>š</w:t>
      </w:r>
      <w:r w:rsidRPr="00280C73">
        <w:t>enja zahtjeva u regulatornim postupcima za lijekove, odnosno dokumentacije o lijeku u elektroni</w:t>
      </w:r>
      <w:r w:rsidRPr="00280C73">
        <w:rPr>
          <w:rFonts w:hint="eastAsia"/>
        </w:rPr>
        <w:t>č</w:t>
      </w:r>
      <w:r w:rsidRPr="00280C73">
        <w:t>kom obliku zajedni</w:t>
      </w:r>
      <w:r w:rsidRPr="00280C73">
        <w:rPr>
          <w:rFonts w:hint="eastAsia"/>
        </w:rPr>
        <w:t>č</w:t>
      </w:r>
      <w:r w:rsidRPr="00280C73">
        <w:t>kog tehni</w:t>
      </w:r>
      <w:r w:rsidRPr="00280C73">
        <w:rPr>
          <w:rFonts w:hint="eastAsia"/>
        </w:rPr>
        <w:t>č</w:t>
      </w:r>
      <w:r w:rsidRPr="00280C73">
        <w:t>kog dokumenta - eCTD (engl.</w:t>
      </w:r>
      <w:r w:rsidRPr="00280C73">
        <w:rPr>
          <w:rFonts w:hint="eastAsia"/>
        </w:rPr>
        <w:t> </w:t>
      </w:r>
      <w:r w:rsidRPr="00280C73">
        <w:t>Electronic</w:t>
      </w:r>
      <w:r w:rsidRPr="00280C73">
        <w:rPr>
          <w:rFonts w:hint="eastAsia"/>
        </w:rPr>
        <w:t> </w:t>
      </w:r>
      <w:r w:rsidRPr="00280C73">
        <w:t>Common Tehnical Document). Na odr</w:t>
      </w:r>
      <w:r w:rsidRPr="00280C73">
        <w:rPr>
          <w:rFonts w:hint="eastAsia"/>
        </w:rPr>
        <w:t>ž</w:t>
      </w:r>
      <w:r w:rsidRPr="00280C73">
        <w:t>anom sastanku</w:t>
      </w:r>
      <w:r w:rsidRPr="00280C73">
        <w:rPr>
          <w:rFonts w:hint="eastAsia"/>
        </w:rPr>
        <w:t> </w:t>
      </w:r>
      <w:r w:rsidRPr="00280C73">
        <w:t>HALMED-ovi stru</w:t>
      </w:r>
      <w:r w:rsidRPr="00280C73">
        <w:rPr>
          <w:rFonts w:hint="eastAsia"/>
        </w:rPr>
        <w:t>č</w:t>
      </w:r>
      <w:r w:rsidRPr="00280C73">
        <w:t>njaci predstavili su delegatima SECMOH-a iskustva Republike Hrvatske vezana uz implementaciju i vo</w:t>
      </w:r>
      <w:r w:rsidRPr="00280C73">
        <w:rPr>
          <w:rFonts w:hint="eastAsia"/>
        </w:rPr>
        <w:t>đ</w:t>
      </w:r>
      <w:r w:rsidRPr="00280C73">
        <w:t>enje eCTD oblika elektroni</w:t>
      </w:r>
      <w:r w:rsidRPr="00280C73">
        <w:rPr>
          <w:rFonts w:hint="eastAsia"/>
        </w:rPr>
        <w:t>č</w:t>
      </w:r>
      <w:r w:rsidRPr="00280C73">
        <w:t>ke dokumentacije o lijeku. Pritom su obra</w:t>
      </w:r>
      <w:r w:rsidRPr="00280C73">
        <w:rPr>
          <w:rFonts w:hint="eastAsia"/>
        </w:rPr>
        <w:t>đ</w:t>
      </w:r>
      <w:r w:rsidRPr="00280C73">
        <w:t>ene teme koje se odnose na pripremu i tehni</w:t>
      </w:r>
      <w:r w:rsidRPr="00280C73">
        <w:rPr>
          <w:rFonts w:hint="eastAsia"/>
        </w:rPr>
        <w:t>č</w:t>
      </w:r>
      <w:r w:rsidRPr="00280C73">
        <w:t>ke preduvjete uklju</w:t>
      </w:r>
      <w:r w:rsidRPr="00280C73">
        <w:rPr>
          <w:rFonts w:hint="eastAsia"/>
        </w:rPr>
        <w:t>č</w:t>
      </w:r>
      <w:r w:rsidRPr="00280C73">
        <w:t>ivanja u postupak elektroni</w:t>
      </w:r>
      <w:r w:rsidRPr="00280C73">
        <w:rPr>
          <w:rFonts w:hint="eastAsia"/>
        </w:rPr>
        <w:t>č</w:t>
      </w:r>
      <w:r w:rsidRPr="00280C73">
        <w:t>ke predaje dokumentacije, regulatorne promjene u procesima podno</w:t>
      </w:r>
      <w:r w:rsidRPr="00280C73">
        <w:rPr>
          <w:rFonts w:hint="eastAsia"/>
        </w:rPr>
        <w:t>š</w:t>
      </w:r>
      <w:r w:rsidRPr="00280C73">
        <w:t>enja dokumentacije i spremnost proizvo</w:t>
      </w:r>
      <w:r w:rsidRPr="00280C73">
        <w:rPr>
          <w:rFonts w:hint="eastAsia"/>
        </w:rPr>
        <w:t>đ</w:t>
      </w:r>
      <w:r w:rsidRPr="00280C73">
        <w:t>a</w:t>
      </w:r>
      <w:r w:rsidRPr="00280C73">
        <w:rPr>
          <w:rFonts w:hint="eastAsia"/>
        </w:rPr>
        <w:t>č</w:t>
      </w:r>
      <w:r w:rsidRPr="00280C73">
        <w:t>a lijekova na uvo</w:t>
      </w:r>
      <w:r w:rsidRPr="00280C73">
        <w:rPr>
          <w:rFonts w:hint="eastAsia"/>
        </w:rPr>
        <w:t>đ</w:t>
      </w:r>
      <w:r w:rsidRPr="00280C73">
        <w:t>enje eCTD oblika dokumentacije, model prelaska s papirnatog na eCTD oblik prilaganja dokumentacije, postavljanje zahtjeva za dostavom materijala i podno</w:t>
      </w:r>
      <w:r w:rsidRPr="00280C73">
        <w:rPr>
          <w:rFonts w:hint="eastAsia"/>
        </w:rPr>
        <w:t>š</w:t>
      </w:r>
      <w:r w:rsidRPr="00280C73">
        <w:t>enja elektroni</w:t>
      </w:r>
      <w:r w:rsidRPr="00280C73">
        <w:rPr>
          <w:rFonts w:hint="eastAsia"/>
        </w:rPr>
        <w:t>č</w:t>
      </w:r>
      <w:r w:rsidRPr="00280C73">
        <w:t>kih odgovora proizvo</w:t>
      </w:r>
      <w:r w:rsidRPr="00280C73">
        <w:rPr>
          <w:rFonts w:hint="eastAsia"/>
        </w:rPr>
        <w:t>đ</w:t>
      </w:r>
      <w:r w:rsidRPr="00280C73">
        <w:t>a</w:t>
      </w:r>
      <w:r w:rsidRPr="00280C73">
        <w:rPr>
          <w:rFonts w:hint="eastAsia"/>
        </w:rPr>
        <w:t>č</w:t>
      </w:r>
      <w:r w:rsidRPr="00280C73">
        <w:t>ima te provjeru punomo</w:t>
      </w:r>
      <w:r w:rsidRPr="00280C73">
        <w:rPr>
          <w:rFonts w:hint="eastAsia"/>
        </w:rPr>
        <w:t>ć</w:t>
      </w:r>
      <w:r w:rsidRPr="00280C73">
        <w:t>i odgovorne osobe proizvo</w:t>
      </w:r>
      <w:r w:rsidRPr="00280C73">
        <w:rPr>
          <w:rFonts w:hint="eastAsia"/>
        </w:rPr>
        <w:t>đ</w:t>
      </w:r>
      <w:r w:rsidRPr="00280C73">
        <w:t>a</w:t>
      </w:r>
      <w:r w:rsidRPr="00280C73">
        <w:rPr>
          <w:rFonts w:hint="eastAsia"/>
        </w:rPr>
        <w:t>č</w:t>
      </w:r>
      <w:r w:rsidRPr="00280C73">
        <w:t>a lijekova.</w:t>
      </w:r>
    </w:p>
    <w:p w14:paraId="72043399" w14:textId="77777777" w:rsidR="00D07378" w:rsidRPr="00B12729" w:rsidRDefault="00D07378" w:rsidP="00D07378">
      <w:pPr>
        <w:tabs>
          <w:tab w:val="left" w:pos="709"/>
        </w:tabs>
        <w:spacing w:line="276" w:lineRule="auto"/>
        <w:jc w:val="both"/>
      </w:pPr>
      <w:r w:rsidRPr="00B12729">
        <w:t>U travnju 2023. Agencija za lijekove i medicinske proizvode (HALMED) primila je delegaciju Agencije za lijekove i medicinske proizvode Kosova (AKM).</w:t>
      </w:r>
    </w:p>
    <w:p w14:paraId="263C5E02" w14:textId="77777777" w:rsidR="00D07378" w:rsidRDefault="00D07378" w:rsidP="00D07378">
      <w:pPr>
        <w:tabs>
          <w:tab w:val="left" w:pos="709"/>
        </w:tabs>
        <w:spacing w:line="276" w:lineRule="auto"/>
        <w:jc w:val="both"/>
      </w:pPr>
      <w:r w:rsidRPr="00B12729">
        <w:t>Tom prigodom gostujuća delegaciju upoznata je sa zakonodavnim rješenjima u postupcima davanja odobrenja za</w:t>
      </w:r>
      <w:r w:rsidRPr="005F3121">
        <w:t xml:space="preserve"> lijekove u Republici Hrvatskoj.</w:t>
      </w:r>
      <w:r w:rsidRPr="00B12729">
        <w:t xml:space="preserve"> Jednako tako, pružen je pregled važećeg hrvatskog zakonodavstva na području lijekova i medicinskih proizvoda, kao i zakonodavstva koje je bilo na snazi prije pristupanja RH Europskoj uniji. U sklopu posjeta delegacija Republike Kosovo posjetila je i HALMED-ov Službeni laboratorij za provjeru lijekova - OMCL.</w:t>
      </w:r>
      <w:r>
        <w:t xml:space="preserve">  P</w:t>
      </w:r>
      <w:r w:rsidRPr="00B12729">
        <w:t xml:space="preserve">osjet </w:t>
      </w:r>
      <w:r w:rsidRPr="00416C31">
        <w:t>je</w:t>
      </w:r>
      <w:r w:rsidRPr="00ED3B5E">
        <w:t xml:space="preserve"> </w:t>
      </w:r>
      <w:r w:rsidRPr="00B12729">
        <w:t xml:space="preserve">nastavak suradnje između dviju agencija </w:t>
      </w:r>
      <w:r w:rsidRPr="00B12729">
        <w:lastRenderedPageBreak/>
        <w:t>temeljem "Protokola o suradnji na području lijekova i medicinskih proizvoda" s ciljem jačanja suradnje dviju agencija kroz razmjenu informacija o zakonodavnom okviru EU-a, stavljanju u promet lijekova i medicinskih proizvoda, provjeri kakvoće lijekova, inspekcijskim aktivnostima, farmakovigilanciji lijekova i vigilanciji medicinskih proizvoda.</w:t>
      </w:r>
    </w:p>
    <w:p w14:paraId="18E0C4CD" w14:textId="79C0BC9A" w:rsidR="00D07378" w:rsidRDefault="00D07378" w:rsidP="00D07378">
      <w:pPr>
        <w:tabs>
          <w:tab w:val="left" w:pos="709"/>
        </w:tabs>
        <w:spacing w:line="276" w:lineRule="auto"/>
        <w:jc w:val="both"/>
      </w:pPr>
      <w:r>
        <w:t xml:space="preserve">U rujnu, 2023. na </w:t>
      </w:r>
      <w:r w:rsidRPr="00B20178">
        <w:t xml:space="preserve">poziv Agencije za lijekove i medicinska sredstva Bosne i Hercegovine (ALMBiH) djelatnici HALMED-a </w:t>
      </w:r>
      <w:r>
        <w:t>sudjelovali su na radionici iz regulative lijekova pod nazivom „Harmonizacija pravnog okvira za odobravanje lijekova u Bosni i Hercegovini sa evropskim pravnim okvirom“. Djel</w:t>
      </w:r>
      <w:r w:rsidR="00A22291">
        <w:t>a</w:t>
      </w:r>
      <w:r>
        <w:t>tnica HALMED-a održala je predavanje o iskustvima HALMED-a u realizaciji EU standarda prilikom ulaska u EU, s posebnim fokusom na</w:t>
      </w:r>
      <w:r w:rsidR="00A22291">
        <w:t xml:space="preserve"> </w:t>
      </w:r>
      <w:r>
        <w:t>centralizirani postupak. Održana je i panel diskusija u kojoj su sudjelovale predstavnice ALMBiH-a i predstavnice HALMED-a. Predstavnici industrije otvorili su brojna pitanja vezana uz tumačenje novog prijedloga Pravilnika, te je pokrenut otvoreni dijalog s predstavnicima ALMBiH-a. Predstavnici HALMED-a dali su doprinos u diskusiji primjerima iz vlastitog nacionalnog iskustva prilikom ulaska u EU i tako pomogli zainteresiranim stranama u BiH da jasnije sagledaju smjer kojim njihova regulativa za lijekove mora ići kako bi se uskladila sa standardima EU.</w:t>
      </w:r>
    </w:p>
    <w:p w14:paraId="01EAB7EE" w14:textId="77777777" w:rsidR="00D07378" w:rsidRPr="00280C73" w:rsidRDefault="00D07378" w:rsidP="00D07378">
      <w:pPr>
        <w:tabs>
          <w:tab w:val="left" w:pos="709"/>
        </w:tabs>
        <w:spacing w:line="276" w:lineRule="auto"/>
        <w:jc w:val="both"/>
      </w:pPr>
    </w:p>
    <w:p w14:paraId="249ED591" w14:textId="77777777" w:rsidR="00D07378" w:rsidRPr="004816A4" w:rsidRDefault="00D07378" w:rsidP="00D07378">
      <w:pPr>
        <w:tabs>
          <w:tab w:val="left" w:pos="2300"/>
        </w:tabs>
        <w:spacing w:line="276" w:lineRule="auto"/>
        <w:jc w:val="both"/>
      </w:pPr>
    </w:p>
    <w:p w14:paraId="7C73E6AE" w14:textId="77777777" w:rsidR="00D07378" w:rsidRPr="00B42F6F" w:rsidRDefault="00D07378" w:rsidP="00D07378">
      <w:pPr>
        <w:spacing w:after="200" w:line="276" w:lineRule="auto"/>
      </w:pPr>
      <w:r w:rsidRPr="00B42F6F">
        <w:br w:type="page"/>
      </w:r>
    </w:p>
    <w:p w14:paraId="05658B3D" w14:textId="77777777" w:rsidR="00D07378" w:rsidRPr="003607DE" w:rsidRDefault="00D07378" w:rsidP="00D07378">
      <w:pPr>
        <w:pStyle w:val="Heading3"/>
      </w:pPr>
      <w:bookmarkStart w:id="75" w:name="_Toc26534624"/>
      <w:bookmarkStart w:id="76" w:name="_Toc165035445"/>
      <w:r w:rsidRPr="003607DE">
        <w:lastRenderedPageBreak/>
        <w:t>2.1.</w:t>
      </w:r>
      <w:r>
        <w:t>7</w:t>
      </w:r>
      <w:r w:rsidRPr="003607DE">
        <w:t>. Izvršenje prihodovnih poslova</w:t>
      </w:r>
      <w:bookmarkEnd w:id="75"/>
      <w:bookmarkEnd w:id="76"/>
    </w:p>
    <w:p w14:paraId="239B5789" w14:textId="77777777" w:rsidR="00D07378" w:rsidRDefault="00D07378" w:rsidP="00D07378">
      <w:pPr>
        <w:tabs>
          <w:tab w:val="left" w:pos="2300"/>
        </w:tabs>
        <w:spacing w:after="120"/>
        <w:jc w:val="both"/>
        <w:rPr>
          <w:rFonts w:eastAsia="Times New Roman" w:cstheme="minorHAnsi"/>
          <w:b/>
          <w:bCs/>
          <w:lang w:eastAsia="hr-HR"/>
        </w:rPr>
      </w:pPr>
      <w:r>
        <w:rPr>
          <w:b/>
        </w:rPr>
        <w:t>Tablica 2. I</w:t>
      </w:r>
      <w:r>
        <w:rPr>
          <w:rFonts w:eastAsia="Times New Roman" w:cstheme="minorHAnsi"/>
          <w:b/>
          <w:bCs/>
          <w:lang w:eastAsia="hr-HR"/>
        </w:rPr>
        <w:t>zvršenje prihodovnih usluga davanja odobrenja za stavljanje lijeka u promet</w:t>
      </w:r>
    </w:p>
    <w:tbl>
      <w:tblPr>
        <w:tblW w:w="8900" w:type="dxa"/>
        <w:tblInd w:w="98" w:type="dxa"/>
        <w:tblLook w:val="04A0" w:firstRow="1" w:lastRow="0" w:firstColumn="1" w:lastColumn="0" w:noHBand="0" w:noVBand="1"/>
      </w:tblPr>
      <w:tblGrid>
        <w:gridCol w:w="4641"/>
        <w:gridCol w:w="1417"/>
        <w:gridCol w:w="1504"/>
        <w:gridCol w:w="1338"/>
      </w:tblGrid>
      <w:tr w:rsidR="00D07378" w:rsidRPr="002A4EE2" w14:paraId="26AC7099" w14:textId="77777777" w:rsidTr="00BA499D">
        <w:trPr>
          <w:trHeight w:val="1035"/>
          <w:tblHeader/>
        </w:trPr>
        <w:tc>
          <w:tcPr>
            <w:tcW w:w="4641" w:type="dxa"/>
            <w:tcBorders>
              <w:top w:val="single" w:sz="8" w:space="0" w:color="auto"/>
              <w:left w:val="single" w:sz="8" w:space="0" w:color="auto"/>
              <w:bottom w:val="single" w:sz="8" w:space="0" w:color="auto"/>
              <w:right w:val="single" w:sz="8" w:space="0" w:color="auto"/>
            </w:tcBorders>
            <w:shd w:val="clear" w:color="auto" w:fill="A3E7FF"/>
            <w:vAlign w:val="center"/>
            <w:hideMark/>
          </w:tcPr>
          <w:p w14:paraId="1979FB56" w14:textId="77777777" w:rsidR="00D07378" w:rsidRPr="002A4EE2" w:rsidRDefault="00D07378" w:rsidP="00BA499D">
            <w:pPr>
              <w:spacing w:line="276" w:lineRule="auto"/>
              <w:rPr>
                <w:rFonts w:eastAsia="Times New Roman" w:cstheme="minorHAnsi"/>
                <w:b/>
                <w:bCs/>
                <w:color w:val="000000"/>
                <w:sz w:val="18"/>
                <w:szCs w:val="18"/>
                <w:lang w:eastAsia="hr-HR"/>
              </w:rPr>
            </w:pPr>
            <w:r w:rsidRPr="002A4EE2">
              <w:rPr>
                <w:rFonts w:eastAsia="Times New Roman" w:cstheme="minorHAnsi"/>
                <w:b/>
                <w:bCs/>
                <w:color w:val="000000"/>
                <w:sz w:val="18"/>
                <w:szCs w:val="18"/>
                <w:lang w:eastAsia="hr-HR"/>
              </w:rPr>
              <w:t>Naziv usluge</w:t>
            </w:r>
          </w:p>
        </w:tc>
        <w:tc>
          <w:tcPr>
            <w:tcW w:w="1417" w:type="dxa"/>
            <w:tcBorders>
              <w:top w:val="single" w:sz="8" w:space="0" w:color="auto"/>
              <w:left w:val="nil"/>
              <w:bottom w:val="single" w:sz="8" w:space="0" w:color="auto"/>
              <w:right w:val="single" w:sz="8" w:space="0" w:color="auto"/>
            </w:tcBorders>
            <w:shd w:val="clear" w:color="auto" w:fill="A3E7FF"/>
            <w:noWrap/>
            <w:vAlign w:val="center"/>
            <w:hideMark/>
          </w:tcPr>
          <w:p w14:paraId="77ABE08A" w14:textId="77777777" w:rsidR="00D07378" w:rsidRPr="002A4EE2" w:rsidRDefault="00D07378" w:rsidP="00BA499D">
            <w:pPr>
              <w:spacing w:line="276" w:lineRule="auto"/>
              <w:jc w:val="center"/>
              <w:rPr>
                <w:rFonts w:eastAsia="Times New Roman" w:cstheme="minorHAnsi"/>
                <w:b/>
                <w:bCs/>
                <w:color w:val="000000"/>
                <w:sz w:val="18"/>
                <w:szCs w:val="18"/>
                <w:lang w:eastAsia="hr-HR"/>
              </w:rPr>
            </w:pPr>
            <w:r w:rsidRPr="002A4EE2">
              <w:rPr>
                <w:rFonts w:eastAsia="Times New Roman" w:cstheme="minorHAnsi"/>
                <w:b/>
                <w:bCs/>
                <w:color w:val="000000"/>
                <w:sz w:val="18"/>
                <w:szCs w:val="18"/>
                <w:lang w:eastAsia="hr-HR"/>
              </w:rPr>
              <w:t>Plan za</w:t>
            </w:r>
          </w:p>
          <w:p w14:paraId="17D20738" w14:textId="77777777" w:rsidR="00D07378" w:rsidRPr="002A4EE2" w:rsidRDefault="00D07378" w:rsidP="00BA499D">
            <w:pPr>
              <w:spacing w:line="276" w:lineRule="auto"/>
              <w:jc w:val="center"/>
              <w:rPr>
                <w:rFonts w:eastAsia="Times New Roman" w:cstheme="minorHAnsi"/>
                <w:b/>
                <w:bCs/>
                <w:color w:val="000000"/>
                <w:sz w:val="18"/>
                <w:szCs w:val="18"/>
                <w:lang w:eastAsia="hr-HR"/>
              </w:rPr>
            </w:pPr>
            <w:r w:rsidRPr="002A4EE2">
              <w:rPr>
                <w:rFonts w:eastAsia="Times New Roman" w:cstheme="minorHAnsi"/>
                <w:b/>
                <w:bCs/>
                <w:color w:val="000000"/>
                <w:sz w:val="18"/>
                <w:szCs w:val="18"/>
                <w:lang w:eastAsia="hr-HR"/>
              </w:rPr>
              <w:t>202</w:t>
            </w:r>
            <w:r>
              <w:rPr>
                <w:rFonts w:eastAsia="Times New Roman" w:cstheme="minorHAnsi"/>
                <w:b/>
                <w:bCs/>
                <w:color w:val="000000"/>
                <w:sz w:val="18"/>
                <w:szCs w:val="18"/>
                <w:lang w:eastAsia="hr-HR"/>
              </w:rPr>
              <w:t>3</w:t>
            </w:r>
            <w:r w:rsidRPr="002A4EE2">
              <w:rPr>
                <w:rFonts w:eastAsia="Times New Roman" w:cstheme="minorHAnsi"/>
                <w:b/>
                <w:bCs/>
                <w:color w:val="000000"/>
                <w:sz w:val="18"/>
                <w:szCs w:val="18"/>
                <w:lang w:eastAsia="hr-HR"/>
              </w:rPr>
              <w:t>.</w:t>
            </w:r>
          </w:p>
        </w:tc>
        <w:tc>
          <w:tcPr>
            <w:tcW w:w="1504" w:type="dxa"/>
            <w:tcBorders>
              <w:top w:val="single" w:sz="8" w:space="0" w:color="auto"/>
              <w:left w:val="nil"/>
              <w:bottom w:val="single" w:sz="8" w:space="0" w:color="auto"/>
              <w:right w:val="single" w:sz="8" w:space="0" w:color="auto"/>
            </w:tcBorders>
            <w:shd w:val="clear" w:color="auto" w:fill="A3E7FF"/>
            <w:vAlign w:val="center"/>
            <w:hideMark/>
          </w:tcPr>
          <w:p w14:paraId="6F6BB733" w14:textId="77777777" w:rsidR="00D07378" w:rsidRPr="002A4EE2" w:rsidRDefault="00D07378" w:rsidP="00BA499D">
            <w:pPr>
              <w:spacing w:line="276" w:lineRule="auto"/>
              <w:jc w:val="center"/>
              <w:rPr>
                <w:rFonts w:eastAsia="Times New Roman" w:cstheme="minorHAnsi"/>
                <w:b/>
                <w:bCs/>
                <w:color w:val="000000"/>
                <w:sz w:val="18"/>
                <w:szCs w:val="18"/>
                <w:lang w:eastAsia="hr-HR"/>
              </w:rPr>
            </w:pPr>
            <w:r w:rsidRPr="002A4EE2">
              <w:rPr>
                <w:rFonts w:eastAsia="Times New Roman" w:cstheme="minorHAnsi"/>
                <w:b/>
                <w:bCs/>
                <w:color w:val="000000"/>
                <w:sz w:val="18"/>
                <w:szCs w:val="18"/>
                <w:lang w:eastAsia="hr-HR"/>
              </w:rPr>
              <w:t>Izvršenje</w:t>
            </w:r>
          </w:p>
          <w:p w14:paraId="126000CA" w14:textId="77777777" w:rsidR="00D07378" w:rsidRPr="002A4EE2" w:rsidRDefault="00D07378" w:rsidP="00BA499D">
            <w:pPr>
              <w:spacing w:line="276" w:lineRule="auto"/>
              <w:jc w:val="center"/>
              <w:rPr>
                <w:rFonts w:eastAsia="Times New Roman" w:cstheme="minorHAnsi"/>
                <w:b/>
                <w:bCs/>
                <w:color w:val="000000"/>
                <w:sz w:val="18"/>
                <w:szCs w:val="18"/>
                <w:lang w:eastAsia="hr-HR"/>
              </w:rPr>
            </w:pPr>
            <w:r>
              <w:rPr>
                <w:rFonts w:eastAsia="Times New Roman" w:cstheme="minorHAnsi"/>
                <w:b/>
                <w:bCs/>
                <w:color w:val="000000"/>
                <w:sz w:val="18"/>
                <w:szCs w:val="18"/>
                <w:lang w:eastAsia="hr-HR"/>
              </w:rPr>
              <w:t>01.01.-31.12</w:t>
            </w:r>
            <w:r w:rsidRPr="002A4EE2">
              <w:rPr>
                <w:rFonts w:eastAsia="Times New Roman" w:cstheme="minorHAnsi"/>
                <w:b/>
                <w:bCs/>
                <w:color w:val="000000"/>
                <w:sz w:val="18"/>
                <w:szCs w:val="18"/>
                <w:lang w:eastAsia="hr-HR"/>
              </w:rPr>
              <w:t>.202</w:t>
            </w:r>
            <w:r>
              <w:rPr>
                <w:rFonts w:eastAsia="Times New Roman" w:cstheme="minorHAnsi"/>
                <w:b/>
                <w:bCs/>
                <w:color w:val="000000"/>
                <w:sz w:val="18"/>
                <w:szCs w:val="18"/>
                <w:lang w:eastAsia="hr-HR"/>
              </w:rPr>
              <w:t>3</w:t>
            </w:r>
            <w:r w:rsidRPr="002A4EE2">
              <w:rPr>
                <w:rFonts w:eastAsia="Times New Roman" w:cstheme="minorHAnsi"/>
                <w:b/>
                <w:bCs/>
                <w:color w:val="000000"/>
                <w:sz w:val="18"/>
                <w:szCs w:val="18"/>
                <w:lang w:eastAsia="hr-HR"/>
              </w:rPr>
              <w:t>.</w:t>
            </w:r>
          </w:p>
        </w:tc>
        <w:tc>
          <w:tcPr>
            <w:tcW w:w="1338" w:type="dxa"/>
            <w:tcBorders>
              <w:top w:val="single" w:sz="8" w:space="0" w:color="auto"/>
              <w:left w:val="nil"/>
              <w:bottom w:val="single" w:sz="8" w:space="0" w:color="auto"/>
              <w:right w:val="single" w:sz="8" w:space="0" w:color="auto"/>
            </w:tcBorders>
            <w:shd w:val="clear" w:color="auto" w:fill="A3E7FF"/>
            <w:vAlign w:val="center"/>
            <w:hideMark/>
          </w:tcPr>
          <w:p w14:paraId="080AF02C" w14:textId="77777777" w:rsidR="00D07378" w:rsidRPr="002A4EE2" w:rsidRDefault="00D07378" w:rsidP="00BA499D">
            <w:pPr>
              <w:spacing w:line="276" w:lineRule="auto"/>
              <w:jc w:val="center"/>
              <w:rPr>
                <w:rFonts w:eastAsia="Times New Roman" w:cstheme="minorHAnsi"/>
                <w:b/>
                <w:bCs/>
                <w:color w:val="000000"/>
                <w:sz w:val="18"/>
                <w:szCs w:val="18"/>
                <w:lang w:eastAsia="hr-HR"/>
              </w:rPr>
            </w:pPr>
            <w:r w:rsidRPr="002A4EE2">
              <w:rPr>
                <w:rFonts w:eastAsia="Times New Roman" w:cstheme="minorHAnsi"/>
                <w:b/>
                <w:bCs/>
                <w:color w:val="000000"/>
                <w:sz w:val="18"/>
                <w:szCs w:val="18"/>
                <w:lang w:eastAsia="hr-HR"/>
              </w:rPr>
              <w:t>% izvršenja</w:t>
            </w:r>
          </w:p>
        </w:tc>
      </w:tr>
      <w:tr w:rsidR="00D07378" w:rsidRPr="002A4EE2" w14:paraId="33FFE3AF" w14:textId="77777777" w:rsidTr="00BA499D">
        <w:trPr>
          <w:trHeight w:val="142"/>
        </w:trPr>
        <w:tc>
          <w:tcPr>
            <w:tcW w:w="4641" w:type="dxa"/>
            <w:tcBorders>
              <w:top w:val="nil"/>
              <w:left w:val="single" w:sz="8" w:space="0" w:color="auto"/>
              <w:bottom w:val="single" w:sz="8" w:space="0" w:color="auto"/>
              <w:right w:val="single" w:sz="8" w:space="0" w:color="auto"/>
            </w:tcBorders>
            <w:vAlign w:val="center"/>
            <w:hideMark/>
          </w:tcPr>
          <w:p w14:paraId="4068624B" w14:textId="77777777" w:rsidR="00D07378" w:rsidRPr="002A4EE2" w:rsidRDefault="00D07378" w:rsidP="00BA499D">
            <w:pPr>
              <w:spacing w:line="276" w:lineRule="auto"/>
              <w:rPr>
                <w:rFonts w:eastAsia="Times New Roman" w:cstheme="minorHAnsi"/>
                <w:color w:val="000000"/>
                <w:sz w:val="18"/>
                <w:szCs w:val="18"/>
                <w:lang w:eastAsia="hr-HR"/>
              </w:rPr>
            </w:pPr>
            <w:r w:rsidRPr="002A4EE2">
              <w:rPr>
                <w:rFonts w:eastAsia="Times New Roman" w:cstheme="minorHAnsi"/>
                <w:color w:val="000000"/>
                <w:sz w:val="18"/>
                <w:szCs w:val="18"/>
                <w:lang w:eastAsia="hr-HR"/>
              </w:rPr>
              <w:t xml:space="preserve">1.1. Davanje/uskraćivanje odobrenja za stavljanje u promet lijeka – </w:t>
            </w:r>
            <w:r w:rsidRPr="002A4EE2">
              <w:rPr>
                <w:rFonts w:eastAsia="Times New Roman" w:cstheme="minorHAnsi"/>
                <w:b/>
                <w:color w:val="000000"/>
                <w:sz w:val="18"/>
                <w:szCs w:val="18"/>
                <w:lang w:eastAsia="hr-HR"/>
              </w:rPr>
              <w:t>primjenjuje se za nacionalne postupke</w:t>
            </w:r>
          </w:p>
        </w:tc>
        <w:tc>
          <w:tcPr>
            <w:tcW w:w="1417" w:type="dxa"/>
            <w:tcBorders>
              <w:top w:val="nil"/>
              <w:left w:val="nil"/>
              <w:bottom w:val="single" w:sz="8" w:space="0" w:color="auto"/>
              <w:right w:val="single" w:sz="8" w:space="0" w:color="auto"/>
            </w:tcBorders>
            <w:vAlign w:val="center"/>
          </w:tcPr>
          <w:p w14:paraId="7F8FA05F" w14:textId="77777777" w:rsidR="00D07378" w:rsidRPr="0054502E" w:rsidRDefault="00D07378" w:rsidP="00BA499D">
            <w:pPr>
              <w:jc w:val="center"/>
              <w:rPr>
                <w:bCs/>
                <w:sz w:val="18"/>
                <w:szCs w:val="18"/>
              </w:rPr>
            </w:pPr>
            <w:r w:rsidRPr="00A12E28">
              <w:rPr>
                <w:bCs/>
                <w:sz w:val="20"/>
                <w:szCs w:val="20"/>
              </w:rPr>
              <w:t>27</w:t>
            </w:r>
          </w:p>
        </w:tc>
        <w:tc>
          <w:tcPr>
            <w:tcW w:w="1504" w:type="dxa"/>
            <w:tcBorders>
              <w:top w:val="nil"/>
              <w:left w:val="nil"/>
              <w:bottom w:val="single" w:sz="8" w:space="0" w:color="auto"/>
              <w:right w:val="single" w:sz="8" w:space="0" w:color="auto"/>
            </w:tcBorders>
            <w:vAlign w:val="center"/>
          </w:tcPr>
          <w:p w14:paraId="44086781" w14:textId="77777777" w:rsidR="00D07378" w:rsidRPr="00244EA9" w:rsidRDefault="00D07378" w:rsidP="00BA499D">
            <w:pPr>
              <w:jc w:val="center"/>
              <w:rPr>
                <w:bCs/>
                <w:sz w:val="18"/>
                <w:szCs w:val="18"/>
              </w:rPr>
            </w:pPr>
            <w:r w:rsidRPr="001D687C">
              <w:rPr>
                <w:bCs/>
                <w:sz w:val="20"/>
                <w:szCs w:val="20"/>
              </w:rPr>
              <w:t>20</w:t>
            </w:r>
          </w:p>
        </w:tc>
        <w:tc>
          <w:tcPr>
            <w:tcW w:w="1338" w:type="dxa"/>
            <w:tcBorders>
              <w:top w:val="nil"/>
              <w:left w:val="nil"/>
              <w:bottom w:val="single" w:sz="8" w:space="0" w:color="auto"/>
              <w:right w:val="single" w:sz="8" w:space="0" w:color="auto"/>
            </w:tcBorders>
            <w:vAlign w:val="center"/>
          </w:tcPr>
          <w:p w14:paraId="1177979C" w14:textId="77777777" w:rsidR="00D07378" w:rsidRPr="00244EA9" w:rsidRDefault="00D07378" w:rsidP="00BA499D">
            <w:pPr>
              <w:jc w:val="center"/>
              <w:rPr>
                <w:bCs/>
                <w:sz w:val="18"/>
                <w:szCs w:val="18"/>
              </w:rPr>
            </w:pPr>
            <w:r w:rsidRPr="001D687C">
              <w:rPr>
                <w:bCs/>
                <w:iCs/>
                <w:sz w:val="20"/>
                <w:szCs w:val="20"/>
              </w:rPr>
              <w:t>74%</w:t>
            </w:r>
          </w:p>
        </w:tc>
      </w:tr>
      <w:tr w:rsidR="00D07378" w:rsidRPr="002A4EE2" w14:paraId="609B1670" w14:textId="77777777" w:rsidTr="00BA499D">
        <w:trPr>
          <w:trHeight w:val="142"/>
        </w:trPr>
        <w:tc>
          <w:tcPr>
            <w:tcW w:w="8900" w:type="dxa"/>
            <w:gridSpan w:val="4"/>
            <w:tcBorders>
              <w:top w:val="single" w:sz="8" w:space="0" w:color="auto"/>
              <w:left w:val="single" w:sz="8" w:space="0" w:color="auto"/>
              <w:bottom w:val="single" w:sz="8" w:space="0" w:color="auto"/>
              <w:right w:val="single" w:sz="8" w:space="0" w:color="000000"/>
            </w:tcBorders>
            <w:vAlign w:val="center"/>
            <w:hideMark/>
          </w:tcPr>
          <w:p w14:paraId="7ACE8A43" w14:textId="77777777" w:rsidR="00D07378" w:rsidRPr="002A4EE2" w:rsidRDefault="00D07378" w:rsidP="00BA499D">
            <w:pPr>
              <w:spacing w:line="276" w:lineRule="auto"/>
              <w:rPr>
                <w:rFonts w:eastAsia="Times New Roman" w:cstheme="minorHAnsi"/>
                <w:color w:val="000000"/>
                <w:sz w:val="18"/>
                <w:szCs w:val="18"/>
                <w:lang w:eastAsia="hr-HR"/>
              </w:rPr>
            </w:pPr>
            <w:r w:rsidRPr="002A4EE2">
              <w:rPr>
                <w:rFonts w:eastAsia="Times New Roman" w:cstheme="minorHAnsi"/>
                <w:color w:val="000000"/>
                <w:sz w:val="18"/>
                <w:szCs w:val="18"/>
                <w:lang w:eastAsia="hr-HR"/>
              </w:rPr>
              <w:t xml:space="preserve">1.2. Davanje/uskraćivanje odobrenja za stavljanje u promet lijeka/homeopatskog lijeka i registracije – </w:t>
            </w:r>
            <w:r w:rsidRPr="002A4EE2">
              <w:rPr>
                <w:rFonts w:eastAsia="Times New Roman" w:cstheme="minorHAnsi"/>
                <w:b/>
                <w:color w:val="000000"/>
                <w:sz w:val="18"/>
                <w:szCs w:val="18"/>
                <w:lang w:eastAsia="hr-HR"/>
              </w:rPr>
              <w:t>primjenjuje se za MRP/DCP postupke</w:t>
            </w:r>
          </w:p>
        </w:tc>
      </w:tr>
      <w:tr w:rsidR="00D07378" w:rsidRPr="002A4EE2" w14:paraId="1F1E1F44" w14:textId="77777777" w:rsidTr="00BA499D">
        <w:trPr>
          <w:trHeight w:val="142"/>
        </w:trPr>
        <w:tc>
          <w:tcPr>
            <w:tcW w:w="8900" w:type="dxa"/>
            <w:gridSpan w:val="4"/>
            <w:tcBorders>
              <w:top w:val="single" w:sz="8" w:space="0" w:color="auto"/>
              <w:left w:val="single" w:sz="8" w:space="0" w:color="auto"/>
              <w:bottom w:val="single" w:sz="8" w:space="0" w:color="auto"/>
              <w:right w:val="single" w:sz="8" w:space="0" w:color="000000"/>
            </w:tcBorders>
            <w:vAlign w:val="center"/>
            <w:hideMark/>
          </w:tcPr>
          <w:p w14:paraId="38B8A852" w14:textId="77777777" w:rsidR="00D07378" w:rsidRPr="002A4EE2" w:rsidRDefault="00D07378" w:rsidP="00BA499D">
            <w:pPr>
              <w:spacing w:line="276" w:lineRule="auto"/>
              <w:rPr>
                <w:rFonts w:eastAsia="Times New Roman" w:cstheme="minorHAnsi"/>
                <w:color w:val="000000"/>
                <w:sz w:val="18"/>
                <w:szCs w:val="18"/>
                <w:lang w:eastAsia="hr-HR"/>
              </w:rPr>
            </w:pPr>
            <w:r w:rsidRPr="002A4EE2">
              <w:rPr>
                <w:rFonts w:eastAsia="Times New Roman" w:cstheme="minorHAnsi"/>
                <w:color w:val="000000"/>
                <w:sz w:val="18"/>
                <w:szCs w:val="18"/>
                <w:lang w:eastAsia="hr-HR"/>
              </w:rPr>
              <w:t>1.2.1. Davanje/uskraćivanje odobrenja za stavljanje u promet lijeka u decentraliziranom postupku (DCP)</w:t>
            </w:r>
          </w:p>
        </w:tc>
      </w:tr>
      <w:tr w:rsidR="00D07378" w:rsidRPr="002A4EE2" w14:paraId="32D9757E" w14:textId="77777777" w:rsidTr="00BA499D">
        <w:trPr>
          <w:trHeight w:val="142"/>
        </w:trPr>
        <w:tc>
          <w:tcPr>
            <w:tcW w:w="4641" w:type="dxa"/>
            <w:tcBorders>
              <w:top w:val="nil"/>
              <w:left w:val="single" w:sz="8" w:space="0" w:color="auto"/>
              <w:bottom w:val="single" w:sz="8" w:space="0" w:color="auto"/>
              <w:right w:val="single" w:sz="8" w:space="0" w:color="auto"/>
            </w:tcBorders>
            <w:vAlign w:val="center"/>
            <w:hideMark/>
          </w:tcPr>
          <w:p w14:paraId="61A2467F" w14:textId="77777777" w:rsidR="00D07378" w:rsidRPr="002A4EE2" w:rsidRDefault="00D07378" w:rsidP="00BA499D">
            <w:pPr>
              <w:spacing w:line="276" w:lineRule="auto"/>
              <w:rPr>
                <w:rFonts w:eastAsia="Times New Roman" w:cstheme="minorHAnsi"/>
                <w:color w:val="000000"/>
                <w:sz w:val="18"/>
                <w:szCs w:val="18"/>
                <w:lang w:eastAsia="hr-HR"/>
              </w:rPr>
            </w:pPr>
            <w:r w:rsidRPr="002A4EE2">
              <w:rPr>
                <w:rFonts w:eastAsia="Times New Roman" w:cstheme="minorHAnsi"/>
                <w:color w:val="000000"/>
                <w:sz w:val="18"/>
                <w:szCs w:val="18"/>
                <w:lang w:eastAsia="hr-HR"/>
              </w:rPr>
              <w:t>1.2.1.1. U slučaju kada je RH referentna zemlja članica (RMS)</w:t>
            </w:r>
          </w:p>
        </w:tc>
        <w:tc>
          <w:tcPr>
            <w:tcW w:w="1417" w:type="dxa"/>
            <w:tcBorders>
              <w:top w:val="nil"/>
              <w:left w:val="nil"/>
              <w:bottom w:val="single" w:sz="8" w:space="0" w:color="auto"/>
              <w:right w:val="single" w:sz="8" w:space="0" w:color="auto"/>
            </w:tcBorders>
            <w:vAlign w:val="center"/>
          </w:tcPr>
          <w:p w14:paraId="29776B54" w14:textId="77777777" w:rsidR="00D07378" w:rsidRPr="0054502E" w:rsidRDefault="00D07378" w:rsidP="00BA499D">
            <w:pPr>
              <w:jc w:val="center"/>
              <w:rPr>
                <w:bCs/>
                <w:sz w:val="18"/>
                <w:szCs w:val="18"/>
              </w:rPr>
            </w:pPr>
            <w:r w:rsidRPr="00A12E28">
              <w:rPr>
                <w:bCs/>
                <w:sz w:val="20"/>
                <w:szCs w:val="20"/>
              </w:rPr>
              <w:t>37</w:t>
            </w:r>
          </w:p>
        </w:tc>
        <w:tc>
          <w:tcPr>
            <w:tcW w:w="1504" w:type="dxa"/>
            <w:tcBorders>
              <w:top w:val="nil"/>
              <w:left w:val="nil"/>
              <w:bottom w:val="single" w:sz="8" w:space="0" w:color="auto"/>
              <w:right w:val="single" w:sz="8" w:space="0" w:color="auto"/>
            </w:tcBorders>
            <w:vAlign w:val="center"/>
          </w:tcPr>
          <w:p w14:paraId="655D2C49" w14:textId="77777777" w:rsidR="00D07378" w:rsidRPr="00244EA9" w:rsidRDefault="00D07378" w:rsidP="00BA499D">
            <w:pPr>
              <w:jc w:val="center"/>
              <w:rPr>
                <w:bCs/>
                <w:sz w:val="18"/>
                <w:szCs w:val="18"/>
              </w:rPr>
            </w:pPr>
            <w:r w:rsidRPr="001D687C">
              <w:rPr>
                <w:bCs/>
                <w:sz w:val="20"/>
                <w:szCs w:val="20"/>
              </w:rPr>
              <w:t>34</w:t>
            </w:r>
          </w:p>
        </w:tc>
        <w:tc>
          <w:tcPr>
            <w:tcW w:w="1338" w:type="dxa"/>
            <w:tcBorders>
              <w:top w:val="nil"/>
              <w:left w:val="nil"/>
              <w:bottom w:val="single" w:sz="8" w:space="0" w:color="auto"/>
              <w:right w:val="single" w:sz="8" w:space="0" w:color="auto"/>
            </w:tcBorders>
            <w:vAlign w:val="center"/>
          </w:tcPr>
          <w:p w14:paraId="4278E441" w14:textId="77777777" w:rsidR="00D07378" w:rsidRPr="00244EA9" w:rsidRDefault="00D07378" w:rsidP="00BA499D">
            <w:pPr>
              <w:jc w:val="center"/>
              <w:rPr>
                <w:sz w:val="18"/>
                <w:szCs w:val="18"/>
              </w:rPr>
            </w:pPr>
            <w:r w:rsidRPr="001D687C">
              <w:rPr>
                <w:iCs/>
                <w:sz w:val="20"/>
                <w:szCs w:val="20"/>
              </w:rPr>
              <w:t>92%</w:t>
            </w:r>
          </w:p>
        </w:tc>
      </w:tr>
      <w:tr w:rsidR="00D07378" w:rsidRPr="002A4EE2" w14:paraId="7DF264AC" w14:textId="77777777" w:rsidTr="00BA499D">
        <w:trPr>
          <w:trHeight w:val="142"/>
        </w:trPr>
        <w:tc>
          <w:tcPr>
            <w:tcW w:w="4641" w:type="dxa"/>
            <w:tcBorders>
              <w:top w:val="nil"/>
              <w:left w:val="single" w:sz="8" w:space="0" w:color="auto"/>
              <w:bottom w:val="single" w:sz="8" w:space="0" w:color="auto"/>
              <w:right w:val="single" w:sz="8" w:space="0" w:color="auto"/>
            </w:tcBorders>
            <w:vAlign w:val="center"/>
            <w:hideMark/>
          </w:tcPr>
          <w:p w14:paraId="5B7D417B" w14:textId="77777777" w:rsidR="00D07378" w:rsidRPr="002A4EE2" w:rsidRDefault="00D07378" w:rsidP="00BA499D">
            <w:pPr>
              <w:spacing w:line="276" w:lineRule="auto"/>
              <w:rPr>
                <w:rFonts w:eastAsia="Times New Roman" w:cstheme="minorHAnsi"/>
                <w:color w:val="000000"/>
                <w:sz w:val="18"/>
                <w:szCs w:val="18"/>
                <w:lang w:eastAsia="hr-HR"/>
              </w:rPr>
            </w:pPr>
            <w:r w:rsidRPr="002A4EE2">
              <w:rPr>
                <w:rFonts w:eastAsia="Times New Roman" w:cstheme="minorHAnsi"/>
                <w:color w:val="000000"/>
                <w:sz w:val="18"/>
                <w:szCs w:val="18"/>
                <w:lang w:eastAsia="hr-HR"/>
              </w:rPr>
              <w:t>1.2.1.2. U slučaju kada je RH zemlja članica sudionica u postupku (CMS)</w:t>
            </w:r>
          </w:p>
        </w:tc>
        <w:tc>
          <w:tcPr>
            <w:tcW w:w="1417" w:type="dxa"/>
            <w:tcBorders>
              <w:top w:val="nil"/>
              <w:left w:val="nil"/>
              <w:bottom w:val="single" w:sz="8" w:space="0" w:color="auto"/>
              <w:right w:val="single" w:sz="8" w:space="0" w:color="auto"/>
            </w:tcBorders>
            <w:vAlign w:val="center"/>
          </w:tcPr>
          <w:p w14:paraId="6F45FC4C" w14:textId="77777777" w:rsidR="00D07378" w:rsidRPr="0054502E" w:rsidRDefault="00D07378" w:rsidP="00BA499D">
            <w:pPr>
              <w:jc w:val="center"/>
              <w:rPr>
                <w:bCs/>
                <w:sz w:val="18"/>
                <w:szCs w:val="18"/>
              </w:rPr>
            </w:pPr>
            <w:r w:rsidRPr="00A12E28">
              <w:rPr>
                <w:bCs/>
                <w:sz w:val="20"/>
                <w:szCs w:val="20"/>
              </w:rPr>
              <w:t>259</w:t>
            </w:r>
          </w:p>
        </w:tc>
        <w:tc>
          <w:tcPr>
            <w:tcW w:w="1504" w:type="dxa"/>
            <w:tcBorders>
              <w:top w:val="nil"/>
              <w:left w:val="nil"/>
              <w:bottom w:val="single" w:sz="8" w:space="0" w:color="auto"/>
              <w:right w:val="single" w:sz="8" w:space="0" w:color="auto"/>
            </w:tcBorders>
            <w:vAlign w:val="center"/>
          </w:tcPr>
          <w:p w14:paraId="6AECF009" w14:textId="77777777" w:rsidR="00D07378" w:rsidRPr="00244EA9" w:rsidRDefault="00D07378" w:rsidP="00BA499D">
            <w:pPr>
              <w:jc w:val="center"/>
              <w:rPr>
                <w:bCs/>
                <w:sz w:val="18"/>
                <w:szCs w:val="18"/>
              </w:rPr>
            </w:pPr>
            <w:r w:rsidRPr="001D687C">
              <w:rPr>
                <w:bCs/>
                <w:sz w:val="20"/>
                <w:szCs w:val="20"/>
              </w:rPr>
              <w:t>171</w:t>
            </w:r>
          </w:p>
        </w:tc>
        <w:tc>
          <w:tcPr>
            <w:tcW w:w="1338" w:type="dxa"/>
            <w:tcBorders>
              <w:top w:val="nil"/>
              <w:left w:val="nil"/>
              <w:bottom w:val="single" w:sz="8" w:space="0" w:color="auto"/>
              <w:right w:val="single" w:sz="8" w:space="0" w:color="auto"/>
            </w:tcBorders>
            <w:vAlign w:val="center"/>
          </w:tcPr>
          <w:p w14:paraId="1EC17000" w14:textId="77777777" w:rsidR="00D07378" w:rsidRPr="000C0CF7" w:rsidRDefault="00D07378" w:rsidP="00BA499D">
            <w:pPr>
              <w:jc w:val="center"/>
              <w:rPr>
                <w:sz w:val="18"/>
                <w:szCs w:val="18"/>
              </w:rPr>
            </w:pPr>
            <w:r w:rsidRPr="000C0CF7">
              <w:rPr>
                <w:sz w:val="20"/>
                <w:szCs w:val="20"/>
              </w:rPr>
              <w:t>66%</w:t>
            </w:r>
          </w:p>
        </w:tc>
      </w:tr>
      <w:tr w:rsidR="00D07378" w:rsidRPr="002A4EE2" w14:paraId="2B025811" w14:textId="77777777" w:rsidTr="00BA499D">
        <w:trPr>
          <w:trHeight w:val="142"/>
        </w:trPr>
        <w:tc>
          <w:tcPr>
            <w:tcW w:w="8900" w:type="dxa"/>
            <w:gridSpan w:val="4"/>
            <w:tcBorders>
              <w:top w:val="single" w:sz="8" w:space="0" w:color="auto"/>
              <w:left w:val="single" w:sz="8" w:space="0" w:color="auto"/>
              <w:bottom w:val="single" w:sz="8" w:space="0" w:color="auto"/>
              <w:right w:val="single" w:sz="8" w:space="0" w:color="000000"/>
            </w:tcBorders>
            <w:vAlign w:val="center"/>
            <w:hideMark/>
          </w:tcPr>
          <w:p w14:paraId="570D0EEC" w14:textId="77777777" w:rsidR="00D07378" w:rsidRPr="002A4EE2" w:rsidRDefault="00D07378" w:rsidP="00BA499D">
            <w:pPr>
              <w:spacing w:line="276" w:lineRule="auto"/>
              <w:rPr>
                <w:rFonts w:eastAsia="Times New Roman" w:cstheme="minorHAnsi"/>
                <w:color w:val="000000"/>
                <w:sz w:val="18"/>
                <w:szCs w:val="18"/>
                <w:lang w:eastAsia="hr-HR"/>
              </w:rPr>
            </w:pPr>
            <w:r w:rsidRPr="002A4EE2">
              <w:rPr>
                <w:rFonts w:eastAsia="Times New Roman" w:cstheme="minorHAnsi"/>
                <w:color w:val="000000"/>
                <w:sz w:val="18"/>
                <w:szCs w:val="18"/>
                <w:lang w:eastAsia="hr-HR"/>
              </w:rPr>
              <w:t>1.2.2. Davanje/uskraćivanje odobrenja za stavljanje u promet lijeka/homeopatskog lijeka u postupku međusobnog priznavanja (MRP)</w:t>
            </w:r>
          </w:p>
        </w:tc>
      </w:tr>
      <w:tr w:rsidR="00D07378" w:rsidRPr="002A4EE2" w14:paraId="044C5100" w14:textId="77777777" w:rsidTr="00BA499D">
        <w:trPr>
          <w:trHeight w:val="96"/>
        </w:trPr>
        <w:tc>
          <w:tcPr>
            <w:tcW w:w="4641" w:type="dxa"/>
            <w:tcBorders>
              <w:top w:val="nil"/>
              <w:left w:val="single" w:sz="8" w:space="0" w:color="auto"/>
              <w:bottom w:val="single" w:sz="8" w:space="0" w:color="auto"/>
              <w:right w:val="single" w:sz="8" w:space="0" w:color="auto"/>
            </w:tcBorders>
            <w:vAlign w:val="center"/>
            <w:hideMark/>
          </w:tcPr>
          <w:p w14:paraId="13F93FF9" w14:textId="77777777" w:rsidR="00D07378" w:rsidRPr="002A4EE2" w:rsidRDefault="00D07378" w:rsidP="00BA499D">
            <w:pPr>
              <w:spacing w:line="276" w:lineRule="auto"/>
              <w:rPr>
                <w:rFonts w:eastAsia="Times New Roman" w:cstheme="minorHAnsi"/>
                <w:color w:val="000000"/>
                <w:sz w:val="18"/>
                <w:szCs w:val="18"/>
                <w:lang w:eastAsia="hr-HR"/>
              </w:rPr>
            </w:pPr>
            <w:r w:rsidRPr="002A4EE2">
              <w:rPr>
                <w:rFonts w:eastAsia="Times New Roman" w:cstheme="minorHAnsi"/>
                <w:color w:val="000000"/>
                <w:sz w:val="18"/>
                <w:szCs w:val="18"/>
                <w:lang w:eastAsia="hr-HR"/>
              </w:rPr>
              <w:t>1.2.2.1 U slučaju kada je RH referentna zemlja članica (RMS)</w:t>
            </w:r>
          </w:p>
        </w:tc>
        <w:tc>
          <w:tcPr>
            <w:tcW w:w="1417" w:type="dxa"/>
            <w:tcBorders>
              <w:top w:val="nil"/>
              <w:left w:val="nil"/>
              <w:bottom w:val="single" w:sz="8" w:space="0" w:color="auto"/>
              <w:right w:val="single" w:sz="8" w:space="0" w:color="auto"/>
            </w:tcBorders>
            <w:vAlign w:val="center"/>
          </w:tcPr>
          <w:p w14:paraId="5C17E4FC" w14:textId="77777777" w:rsidR="00D07378" w:rsidRPr="0054502E" w:rsidRDefault="00D07378" w:rsidP="00BA499D">
            <w:pPr>
              <w:jc w:val="center"/>
              <w:rPr>
                <w:bCs/>
                <w:sz w:val="18"/>
                <w:szCs w:val="18"/>
              </w:rPr>
            </w:pPr>
            <w:r w:rsidRPr="00A12E28">
              <w:rPr>
                <w:bCs/>
                <w:sz w:val="20"/>
                <w:szCs w:val="20"/>
              </w:rPr>
              <w:t>1</w:t>
            </w:r>
          </w:p>
        </w:tc>
        <w:tc>
          <w:tcPr>
            <w:tcW w:w="1504" w:type="dxa"/>
            <w:tcBorders>
              <w:top w:val="nil"/>
              <w:left w:val="nil"/>
              <w:bottom w:val="single" w:sz="8" w:space="0" w:color="auto"/>
              <w:right w:val="single" w:sz="8" w:space="0" w:color="auto"/>
            </w:tcBorders>
            <w:vAlign w:val="center"/>
          </w:tcPr>
          <w:p w14:paraId="1BB873DC" w14:textId="77777777" w:rsidR="00D07378" w:rsidRPr="00244EA9" w:rsidRDefault="00D07378" w:rsidP="00BA499D">
            <w:pPr>
              <w:jc w:val="center"/>
              <w:rPr>
                <w:bCs/>
                <w:sz w:val="18"/>
                <w:szCs w:val="18"/>
              </w:rPr>
            </w:pPr>
            <w:r w:rsidRPr="001D687C">
              <w:rPr>
                <w:bCs/>
                <w:sz w:val="20"/>
                <w:szCs w:val="20"/>
              </w:rPr>
              <w:t>1</w:t>
            </w:r>
          </w:p>
        </w:tc>
        <w:tc>
          <w:tcPr>
            <w:tcW w:w="1338" w:type="dxa"/>
            <w:tcBorders>
              <w:top w:val="nil"/>
              <w:left w:val="nil"/>
              <w:bottom w:val="single" w:sz="8" w:space="0" w:color="auto"/>
              <w:right w:val="single" w:sz="8" w:space="0" w:color="auto"/>
            </w:tcBorders>
            <w:vAlign w:val="center"/>
          </w:tcPr>
          <w:p w14:paraId="0E41905F" w14:textId="77777777" w:rsidR="00D07378" w:rsidRPr="000C0CF7" w:rsidRDefault="00D07378" w:rsidP="00BA499D">
            <w:pPr>
              <w:jc w:val="center"/>
              <w:rPr>
                <w:bCs/>
                <w:sz w:val="18"/>
                <w:szCs w:val="18"/>
              </w:rPr>
            </w:pPr>
            <w:r w:rsidRPr="000C0CF7">
              <w:rPr>
                <w:sz w:val="20"/>
                <w:szCs w:val="20"/>
              </w:rPr>
              <w:t>100%</w:t>
            </w:r>
          </w:p>
        </w:tc>
      </w:tr>
      <w:tr w:rsidR="00D07378" w:rsidRPr="002A4EE2" w14:paraId="449731DC" w14:textId="77777777" w:rsidTr="00BA499D">
        <w:trPr>
          <w:trHeight w:val="142"/>
        </w:trPr>
        <w:tc>
          <w:tcPr>
            <w:tcW w:w="4641" w:type="dxa"/>
            <w:tcBorders>
              <w:top w:val="nil"/>
              <w:left w:val="single" w:sz="8" w:space="0" w:color="auto"/>
              <w:bottom w:val="single" w:sz="8" w:space="0" w:color="auto"/>
              <w:right w:val="single" w:sz="8" w:space="0" w:color="auto"/>
            </w:tcBorders>
            <w:vAlign w:val="center"/>
            <w:hideMark/>
          </w:tcPr>
          <w:p w14:paraId="7ECC2139" w14:textId="77777777" w:rsidR="00D07378" w:rsidRPr="002A4EE2" w:rsidRDefault="00D07378" w:rsidP="00BA499D">
            <w:pPr>
              <w:spacing w:line="276" w:lineRule="auto"/>
              <w:rPr>
                <w:rFonts w:eastAsia="Times New Roman" w:cstheme="minorHAnsi"/>
                <w:color w:val="000000"/>
                <w:sz w:val="18"/>
                <w:szCs w:val="18"/>
                <w:lang w:eastAsia="hr-HR"/>
              </w:rPr>
            </w:pPr>
            <w:r w:rsidRPr="002A4EE2">
              <w:rPr>
                <w:rFonts w:eastAsia="Times New Roman" w:cstheme="minorHAnsi"/>
                <w:color w:val="000000"/>
                <w:sz w:val="18"/>
                <w:szCs w:val="18"/>
                <w:lang w:eastAsia="hr-HR"/>
              </w:rPr>
              <w:t>1.2.2.2 U slučaju kada je RH zemlja članica sudionica u postupku ( CMS)</w:t>
            </w:r>
          </w:p>
        </w:tc>
        <w:tc>
          <w:tcPr>
            <w:tcW w:w="1417" w:type="dxa"/>
            <w:tcBorders>
              <w:top w:val="nil"/>
              <w:left w:val="nil"/>
              <w:bottom w:val="single" w:sz="8" w:space="0" w:color="auto"/>
              <w:right w:val="single" w:sz="8" w:space="0" w:color="auto"/>
            </w:tcBorders>
            <w:vAlign w:val="center"/>
          </w:tcPr>
          <w:p w14:paraId="782378B2" w14:textId="77777777" w:rsidR="00D07378" w:rsidRPr="0054502E" w:rsidRDefault="00D07378" w:rsidP="00BA499D">
            <w:pPr>
              <w:jc w:val="center"/>
              <w:rPr>
                <w:bCs/>
                <w:sz w:val="18"/>
                <w:szCs w:val="18"/>
              </w:rPr>
            </w:pPr>
            <w:r w:rsidRPr="00A12E28">
              <w:rPr>
                <w:bCs/>
                <w:sz w:val="20"/>
                <w:szCs w:val="20"/>
              </w:rPr>
              <w:t>10</w:t>
            </w:r>
          </w:p>
        </w:tc>
        <w:tc>
          <w:tcPr>
            <w:tcW w:w="1504" w:type="dxa"/>
            <w:tcBorders>
              <w:top w:val="nil"/>
              <w:left w:val="nil"/>
              <w:bottom w:val="single" w:sz="8" w:space="0" w:color="auto"/>
              <w:right w:val="single" w:sz="8" w:space="0" w:color="auto"/>
            </w:tcBorders>
            <w:vAlign w:val="center"/>
          </w:tcPr>
          <w:p w14:paraId="03DA4193" w14:textId="77777777" w:rsidR="00D07378" w:rsidRPr="00244EA9" w:rsidRDefault="00D07378" w:rsidP="00BA499D">
            <w:pPr>
              <w:jc w:val="center"/>
              <w:rPr>
                <w:bCs/>
                <w:sz w:val="18"/>
                <w:szCs w:val="18"/>
              </w:rPr>
            </w:pPr>
            <w:r w:rsidRPr="001D687C">
              <w:rPr>
                <w:bCs/>
                <w:sz w:val="20"/>
                <w:szCs w:val="20"/>
              </w:rPr>
              <w:t>20</w:t>
            </w:r>
          </w:p>
        </w:tc>
        <w:tc>
          <w:tcPr>
            <w:tcW w:w="1338" w:type="dxa"/>
            <w:tcBorders>
              <w:top w:val="nil"/>
              <w:left w:val="nil"/>
              <w:bottom w:val="single" w:sz="8" w:space="0" w:color="auto"/>
              <w:right w:val="single" w:sz="8" w:space="0" w:color="auto"/>
            </w:tcBorders>
            <w:vAlign w:val="center"/>
          </w:tcPr>
          <w:p w14:paraId="67125015" w14:textId="77777777" w:rsidR="00D07378" w:rsidRPr="00273C83" w:rsidRDefault="00D07378" w:rsidP="00BA499D">
            <w:pPr>
              <w:jc w:val="center"/>
              <w:rPr>
                <w:sz w:val="18"/>
                <w:szCs w:val="18"/>
              </w:rPr>
            </w:pPr>
            <w:r w:rsidRPr="00273C83">
              <w:rPr>
                <w:sz w:val="20"/>
                <w:szCs w:val="20"/>
              </w:rPr>
              <w:t>200%</w:t>
            </w:r>
          </w:p>
        </w:tc>
      </w:tr>
      <w:tr w:rsidR="00D07378" w:rsidRPr="002A4EE2" w14:paraId="177B5D4F" w14:textId="77777777" w:rsidTr="00BA499D">
        <w:trPr>
          <w:trHeight w:val="142"/>
        </w:trPr>
        <w:tc>
          <w:tcPr>
            <w:tcW w:w="4641" w:type="dxa"/>
            <w:tcBorders>
              <w:top w:val="nil"/>
              <w:left w:val="single" w:sz="8" w:space="0" w:color="auto"/>
              <w:bottom w:val="single" w:sz="8" w:space="0" w:color="auto"/>
              <w:right w:val="single" w:sz="8" w:space="0" w:color="auto"/>
            </w:tcBorders>
            <w:vAlign w:val="center"/>
            <w:hideMark/>
          </w:tcPr>
          <w:p w14:paraId="7760A4E7" w14:textId="77777777" w:rsidR="00D07378" w:rsidRPr="002A4EE2" w:rsidRDefault="00D07378" w:rsidP="00BA499D">
            <w:pPr>
              <w:spacing w:line="276" w:lineRule="auto"/>
              <w:rPr>
                <w:rFonts w:eastAsia="Times New Roman" w:cstheme="minorHAnsi"/>
                <w:color w:val="000000"/>
                <w:sz w:val="18"/>
                <w:szCs w:val="18"/>
                <w:lang w:eastAsia="hr-HR"/>
              </w:rPr>
            </w:pPr>
            <w:r w:rsidRPr="002A4EE2">
              <w:rPr>
                <w:rFonts w:eastAsia="Times New Roman" w:cstheme="minorHAnsi"/>
                <w:color w:val="000000"/>
                <w:sz w:val="18"/>
                <w:szCs w:val="18"/>
                <w:lang w:eastAsia="hr-HR"/>
              </w:rPr>
              <w:t>1.2.3 Ponovljeni postupak (</w:t>
            </w:r>
            <w:r w:rsidRPr="002A4EE2">
              <w:rPr>
                <w:rFonts w:eastAsia="Times New Roman" w:cstheme="minorHAnsi"/>
                <w:i/>
                <w:iCs/>
                <w:color w:val="000000"/>
                <w:sz w:val="18"/>
                <w:szCs w:val="18"/>
                <w:lang w:eastAsia="hr-HR"/>
              </w:rPr>
              <w:t>Repeat use procedure</w:t>
            </w:r>
            <w:r w:rsidRPr="002A4EE2">
              <w:rPr>
                <w:rFonts w:eastAsia="Times New Roman" w:cstheme="minorHAnsi"/>
                <w:color w:val="000000"/>
                <w:sz w:val="18"/>
                <w:szCs w:val="18"/>
                <w:lang w:eastAsia="hr-HR"/>
              </w:rPr>
              <w:t>)</w:t>
            </w:r>
          </w:p>
        </w:tc>
        <w:tc>
          <w:tcPr>
            <w:tcW w:w="1417" w:type="dxa"/>
            <w:tcBorders>
              <w:top w:val="nil"/>
              <w:left w:val="nil"/>
              <w:bottom w:val="single" w:sz="8" w:space="0" w:color="auto"/>
              <w:right w:val="single" w:sz="8" w:space="0" w:color="auto"/>
            </w:tcBorders>
            <w:vAlign w:val="center"/>
          </w:tcPr>
          <w:p w14:paraId="51A325E8" w14:textId="77777777" w:rsidR="00D07378" w:rsidRPr="0054502E" w:rsidRDefault="00D07378" w:rsidP="00BA499D">
            <w:pPr>
              <w:jc w:val="center"/>
              <w:rPr>
                <w:bCs/>
                <w:sz w:val="18"/>
                <w:szCs w:val="18"/>
              </w:rPr>
            </w:pPr>
            <w:r w:rsidRPr="00A12E28">
              <w:rPr>
                <w:bCs/>
                <w:sz w:val="20"/>
                <w:szCs w:val="20"/>
              </w:rPr>
              <w:t>24</w:t>
            </w:r>
          </w:p>
        </w:tc>
        <w:tc>
          <w:tcPr>
            <w:tcW w:w="1504" w:type="dxa"/>
            <w:tcBorders>
              <w:top w:val="nil"/>
              <w:left w:val="nil"/>
              <w:bottom w:val="single" w:sz="8" w:space="0" w:color="auto"/>
              <w:right w:val="single" w:sz="8" w:space="0" w:color="auto"/>
            </w:tcBorders>
            <w:vAlign w:val="center"/>
          </w:tcPr>
          <w:p w14:paraId="7AF21603" w14:textId="77777777" w:rsidR="00D07378" w:rsidRPr="00244EA9" w:rsidRDefault="00D07378" w:rsidP="00BA499D">
            <w:pPr>
              <w:jc w:val="center"/>
              <w:rPr>
                <w:bCs/>
                <w:sz w:val="18"/>
                <w:szCs w:val="18"/>
              </w:rPr>
            </w:pPr>
            <w:r w:rsidRPr="001D687C">
              <w:rPr>
                <w:bCs/>
                <w:sz w:val="20"/>
                <w:szCs w:val="20"/>
              </w:rPr>
              <w:t>27</w:t>
            </w:r>
          </w:p>
        </w:tc>
        <w:tc>
          <w:tcPr>
            <w:tcW w:w="1338" w:type="dxa"/>
            <w:tcBorders>
              <w:top w:val="nil"/>
              <w:left w:val="nil"/>
              <w:bottom w:val="single" w:sz="8" w:space="0" w:color="auto"/>
              <w:right w:val="single" w:sz="8" w:space="0" w:color="auto"/>
            </w:tcBorders>
            <w:vAlign w:val="center"/>
          </w:tcPr>
          <w:p w14:paraId="34435E09" w14:textId="77777777" w:rsidR="00D07378" w:rsidRPr="00273C83" w:rsidRDefault="00D07378" w:rsidP="00BA499D">
            <w:pPr>
              <w:jc w:val="center"/>
              <w:rPr>
                <w:sz w:val="18"/>
                <w:szCs w:val="18"/>
              </w:rPr>
            </w:pPr>
            <w:r w:rsidRPr="00273C83">
              <w:rPr>
                <w:sz w:val="20"/>
                <w:szCs w:val="20"/>
              </w:rPr>
              <w:t>113%</w:t>
            </w:r>
          </w:p>
        </w:tc>
      </w:tr>
      <w:tr w:rsidR="00D07378" w:rsidRPr="002A4EE2" w14:paraId="7DC259BB" w14:textId="77777777" w:rsidTr="00BA499D">
        <w:trPr>
          <w:trHeight w:val="142"/>
        </w:trPr>
        <w:tc>
          <w:tcPr>
            <w:tcW w:w="8900" w:type="dxa"/>
            <w:gridSpan w:val="4"/>
            <w:tcBorders>
              <w:top w:val="single" w:sz="8" w:space="0" w:color="auto"/>
              <w:left w:val="single" w:sz="8" w:space="0" w:color="auto"/>
              <w:bottom w:val="single" w:sz="8" w:space="0" w:color="auto"/>
              <w:right w:val="single" w:sz="8" w:space="0" w:color="000000"/>
            </w:tcBorders>
            <w:vAlign w:val="center"/>
            <w:hideMark/>
          </w:tcPr>
          <w:p w14:paraId="72B75199" w14:textId="77777777" w:rsidR="00D07378" w:rsidRPr="00BB6460" w:rsidRDefault="00D07378" w:rsidP="00BA499D">
            <w:pPr>
              <w:spacing w:line="276" w:lineRule="auto"/>
              <w:rPr>
                <w:rFonts w:eastAsia="Times New Roman" w:cstheme="minorHAnsi"/>
                <w:color w:val="000000"/>
                <w:sz w:val="18"/>
                <w:szCs w:val="18"/>
                <w:lang w:eastAsia="hr-HR"/>
              </w:rPr>
            </w:pPr>
            <w:r w:rsidRPr="00BB6460">
              <w:rPr>
                <w:rFonts w:eastAsia="Times New Roman" w:cstheme="minorHAnsi"/>
                <w:color w:val="000000"/>
                <w:sz w:val="18"/>
                <w:szCs w:val="18"/>
                <w:lang w:eastAsia="hr-HR"/>
              </w:rPr>
              <w:t>1.2.5. Davanje/uskraćivanje odobrenja za stavljanje u promet alergena</w:t>
            </w:r>
          </w:p>
        </w:tc>
      </w:tr>
      <w:tr w:rsidR="00D07378" w:rsidRPr="002A4EE2" w14:paraId="56E91BF8" w14:textId="77777777" w:rsidTr="00BA499D">
        <w:trPr>
          <w:trHeight w:val="142"/>
        </w:trPr>
        <w:tc>
          <w:tcPr>
            <w:tcW w:w="4641" w:type="dxa"/>
            <w:tcBorders>
              <w:top w:val="nil"/>
              <w:left w:val="single" w:sz="8" w:space="0" w:color="auto"/>
              <w:bottom w:val="single" w:sz="8" w:space="0" w:color="auto"/>
              <w:right w:val="single" w:sz="8" w:space="0" w:color="auto"/>
            </w:tcBorders>
            <w:vAlign w:val="center"/>
            <w:hideMark/>
          </w:tcPr>
          <w:p w14:paraId="23F96494" w14:textId="77777777" w:rsidR="00D07378" w:rsidRPr="002A4EE2" w:rsidRDefault="00D07378" w:rsidP="00BA499D">
            <w:pPr>
              <w:spacing w:line="276" w:lineRule="auto"/>
              <w:rPr>
                <w:rFonts w:eastAsia="Times New Roman" w:cstheme="minorHAnsi"/>
                <w:color w:val="000000"/>
                <w:sz w:val="18"/>
                <w:szCs w:val="18"/>
                <w:lang w:eastAsia="hr-HR"/>
              </w:rPr>
            </w:pPr>
            <w:r w:rsidRPr="002A4EE2">
              <w:rPr>
                <w:rFonts w:eastAsia="Times New Roman" w:cstheme="minorHAnsi"/>
                <w:color w:val="000000"/>
                <w:sz w:val="18"/>
                <w:szCs w:val="18"/>
                <w:lang w:eastAsia="hr-HR"/>
              </w:rPr>
              <w:t>1.2.5.1 U postupku međusobnog priznavanja/decentraliziranom postupku u slučaju kada je RH referentna zemlja članica</w:t>
            </w:r>
          </w:p>
        </w:tc>
        <w:tc>
          <w:tcPr>
            <w:tcW w:w="1417" w:type="dxa"/>
            <w:tcBorders>
              <w:top w:val="nil"/>
              <w:left w:val="nil"/>
              <w:bottom w:val="single" w:sz="8" w:space="0" w:color="auto"/>
              <w:right w:val="single" w:sz="8" w:space="0" w:color="auto"/>
            </w:tcBorders>
            <w:vAlign w:val="center"/>
          </w:tcPr>
          <w:p w14:paraId="31944F2B" w14:textId="77777777" w:rsidR="00D07378" w:rsidRPr="0054502E" w:rsidRDefault="00D07378" w:rsidP="00BA499D">
            <w:pPr>
              <w:jc w:val="center"/>
              <w:rPr>
                <w:bCs/>
                <w:sz w:val="18"/>
                <w:szCs w:val="18"/>
              </w:rPr>
            </w:pPr>
            <w:r w:rsidRPr="00A12E28">
              <w:rPr>
                <w:bCs/>
                <w:sz w:val="20"/>
                <w:szCs w:val="20"/>
              </w:rPr>
              <w:t>0</w:t>
            </w:r>
          </w:p>
        </w:tc>
        <w:tc>
          <w:tcPr>
            <w:tcW w:w="1504" w:type="dxa"/>
            <w:tcBorders>
              <w:top w:val="nil"/>
              <w:left w:val="nil"/>
              <w:bottom w:val="single" w:sz="8" w:space="0" w:color="auto"/>
              <w:right w:val="single" w:sz="8" w:space="0" w:color="auto"/>
            </w:tcBorders>
            <w:vAlign w:val="center"/>
          </w:tcPr>
          <w:p w14:paraId="21ADF073" w14:textId="77777777" w:rsidR="00D07378" w:rsidRPr="0054502E" w:rsidRDefault="00D07378" w:rsidP="00BA499D">
            <w:pPr>
              <w:jc w:val="center"/>
              <w:rPr>
                <w:bCs/>
                <w:sz w:val="18"/>
                <w:szCs w:val="18"/>
              </w:rPr>
            </w:pPr>
            <w:r>
              <w:rPr>
                <w:bCs/>
                <w:sz w:val="20"/>
                <w:szCs w:val="20"/>
              </w:rPr>
              <w:t>0</w:t>
            </w:r>
          </w:p>
        </w:tc>
        <w:tc>
          <w:tcPr>
            <w:tcW w:w="1338" w:type="dxa"/>
            <w:tcBorders>
              <w:top w:val="nil"/>
              <w:left w:val="nil"/>
              <w:bottom w:val="single" w:sz="8" w:space="0" w:color="auto"/>
              <w:right w:val="single" w:sz="8" w:space="0" w:color="auto"/>
            </w:tcBorders>
            <w:vAlign w:val="center"/>
          </w:tcPr>
          <w:p w14:paraId="28EE3EBA" w14:textId="77777777" w:rsidR="00D07378" w:rsidRPr="0054502E" w:rsidRDefault="00D07378" w:rsidP="00BA499D">
            <w:pPr>
              <w:jc w:val="center"/>
              <w:rPr>
                <w:bCs/>
                <w:sz w:val="18"/>
                <w:szCs w:val="18"/>
              </w:rPr>
            </w:pPr>
            <w:r>
              <w:rPr>
                <w:sz w:val="20"/>
                <w:szCs w:val="20"/>
              </w:rPr>
              <w:t>-</w:t>
            </w:r>
          </w:p>
        </w:tc>
      </w:tr>
      <w:tr w:rsidR="00D07378" w:rsidRPr="002A4EE2" w14:paraId="1B492678" w14:textId="77777777" w:rsidTr="00BA499D">
        <w:trPr>
          <w:trHeight w:val="142"/>
        </w:trPr>
        <w:tc>
          <w:tcPr>
            <w:tcW w:w="4641" w:type="dxa"/>
            <w:tcBorders>
              <w:top w:val="nil"/>
              <w:left w:val="single" w:sz="8" w:space="0" w:color="auto"/>
              <w:bottom w:val="single" w:sz="8" w:space="0" w:color="auto"/>
              <w:right w:val="single" w:sz="8" w:space="0" w:color="auto"/>
            </w:tcBorders>
            <w:vAlign w:val="center"/>
            <w:hideMark/>
          </w:tcPr>
          <w:p w14:paraId="47E2CDFD" w14:textId="77777777" w:rsidR="00D07378" w:rsidRPr="002A4EE2" w:rsidRDefault="00D07378" w:rsidP="00BA499D">
            <w:pPr>
              <w:spacing w:line="276" w:lineRule="auto"/>
              <w:rPr>
                <w:rFonts w:eastAsia="Times New Roman" w:cstheme="minorHAnsi"/>
                <w:color w:val="000000"/>
                <w:sz w:val="18"/>
                <w:szCs w:val="18"/>
                <w:lang w:eastAsia="hr-HR"/>
              </w:rPr>
            </w:pPr>
            <w:r w:rsidRPr="002A4EE2">
              <w:rPr>
                <w:rFonts w:eastAsia="Times New Roman" w:cstheme="minorHAnsi"/>
                <w:color w:val="000000"/>
                <w:sz w:val="18"/>
                <w:szCs w:val="18"/>
                <w:lang w:eastAsia="hr-HR"/>
              </w:rPr>
              <w:t>1.2.5.2 U postupku međusobnog priznavanja/decentraliziranom postupku u slučaju kada je RH zemlja članica sudionica u postupku i u nacionalnom postupku</w:t>
            </w:r>
          </w:p>
        </w:tc>
        <w:tc>
          <w:tcPr>
            <w:tcW w:w="1417" w:type="dxa"/>
            <w:tcBorders>
              <w:top w:val="nil"/>
              <w:left w:val="nil"/>
              <w:bottom w:val="single" w:sz="8" w:space="0" w:color="auto"/>
              <w:right w:val="single" w:sz="8" w:space="0" w:color="auto"/>
            </w:tcBorders>
            <w:vAlign w:val="center"/>
          </w:tcPr>
          <w:p w14:paraId="63053508" w14:textId="77777777" w:rsidR="00D07378" w:rsidRPr="0054502E" w:rsidRDefault="00D07378" w:rsidP="00BA499D">
            <w:pPr>
              <w:jc w:val="center"/>
              <w:rPr>
                <w:bCs/>
                <w:sz w:val="18"/>
                <w:szCs w:val="18"/>
              </w:rPr>
            </w:pPr>
            <w:r w:rsidRPr="00A12E28">
              <w:rPr>
                <w:bCs/>
                <w:sz w:val="20"/>
                <w:szCs w:val="20"/>
              </w:rPr>
              <w:t>0</w:t>
            </w:r>
          </w:p>
        </w:tc>
        <w:tc>
          <w:tcPr>
            <w:tcW w:w="1504" w:type="dxa"/>
            <w:tcBorders>
              <w:top w:val="nil"/>
              <w:left w:val="nil"/>
              <w:bottom w:val="single" w:sz="8" w:space="0" w:color="auto"/>
              <w:right w:val="single" w:sz="8" w:space="0" w:color="auto"/>
            </w:tcBorders>
            <w:vAlign w:val="center"/>
          </w:tcPr>
          <w:p w14:paraId="59D050BE" w14:textId="77777777" w:rsidR="00D07378" w:rsidRPr="0053471F" w:rsidRDefault="00D07378" w:rsidP="00BA499D">
            <w:pPr>
              <w:jc w:val="center"/>
              <w:rPr>
                <w:bCs/>
                <w:sz w:val="18"/>
                <w:szCs w:val="18"/>
              </w:rPr>
            </w:pPr>
            <w:r>
              <w:rPr>
                <w:bCs/>
                <w:sz w:val="20"/>
                <w:szCs w:val="20"/>
              </w:rPr>
              <w:t>2</w:t>
            </w:r>
          </w:p>
        </w:tc>
        <w:tc>
          <w:tcPr>
            <w:tcW w:w="1338" w:type="dxa"/>
            <w:tcBorders>
              <w:top w:val="nil"/>
              <w:left w:val="nil"/>
              <w:bottom w:val="single" w:sz="8" w:space="0" w:color="auto"/>
              <w:right w:val="single" w:sz="8" w:space="0" w:color="auto"/>
            </w:tcBorders>
            <w:vAlign w:val="center"/>
          </w:tcPr>
          <w:p w14:paraId="27B664E3" w14:textId="77777777" w:rsidR="00D07378" w:rsidRPr="0054502E" w:rsidRDefault="00D07378" w:rsidP="00BA499D">
            <w:pPr>
              <w:jc w:val="center"/>
              <w:rPr>
                <w:bCs/>
                <w:sz w:val="18"/>
                <w:szCs w:val="18"/>
              </w:rPr>
            </w:pPr>
            <w:r>
              <w:rPr>
                <w:sz w:val="20"/>
                <w:szCs w:val="20"/>
              </w:rPr>
              <w:t>-</w:t>
            </w:r>
          </w:p>
        </w:tc>
      </w:tr>
      <w:tr w:rsidR="00D07378" w:rsidRPr="002A4EE2" w14:paraId="4B2D4764" w14:textId="77777777" w:rsidTr="00BA499D">
        <w:trPr>
          <w:trHeight w:val="142"/>
        </w:trPr>
        <w:tc>
          <w:tcPr>
            <w:tcW w:w="8900" w:type="dxa"/>
            <w:gridSpan w:val="4"/>
            <w:tcBorders>
              <w:top w:val="single" w:sz="8" w:space="0" w:color="auto"/>
              <w:left w:val="single" w:sz="8" w:space="0" w:color="auto"/>
              <w:bottom w:val="single" w:sz="8" w:space="0" w:color="auto"/>
              <w:right w:val="single" w:sz="8" w:space="0" w:color="000000"/>
            </w:tcBorders>
            <w:vAlign w:val="center"/>
            <w:hideMark/>
          </w:tcPr>
          <w:p w14:paraId="60558071" w14:textId="77777777" w:rsidR="00D07378" w:rsidRPr="00BB6460" w:rsidRDefault="00D07378" w:rsidP="00BA499D">
            <w:pPr>
              <w:spacing w:line="276" w:lineRule="auto"/>
              <w:rPr>
                <w:rFonts w:eastAsia="Times New Roman" w:cstheme="minorHAnsi"/>
                <w:color w:val="000000"/>
                <w:sz w:val="18"/>
                <w:szCs w:val="18"/>
                <w:lang w:eastAsia="hr-HR"/>
              </w:rPr>
            </w:pPr>
            <w:r w:rsidRPr="00BB6460">
              <w:rPr>
                <w:rFonts w:eastAsia="Times New Roman" w:cstheme="minorHAnsi"/>
                <w:color w:val="000000"/>
                <w:sz w:val="18"/>
                <w:szCs w:val="18"/>
                <w:lang w:eastAsia="hr-HR"/>
              </w:rPr>
              <w:t>1.2.6. Registracija tradicionalnog biljnog lijeka</w:t>
            </w:r>
          </w:p>
        </w:tc>
      </w:tr>
      <w:tr w:rsidR="00D07378" w:rsidRPr="002A4EE2" w14:paraId="7ECAA5F3" w14:textId="77777777" w:rsidTr="00BA499D">
        <w:trPr>
          <w:trHeight w:val="142"/>
        </w:trPr>
        <w:tc>
          <w:tcPr>
            <w:tcW w:w="4641" w:type="dxa"/>
            <w:tcBorders>
              <w:top w:val="nil"/>
              <w:left w:val="single" w:sz="8" w:space="0" w:color="auto"/>
              <w:bottom w:val="single" w:sz="8" w:space="0" w:color="auto"/>
              <w:right w:val="single" w:sz="8" w:space="0" w:color="auto"/>
            </w:tcBorders>
            <w:vAlign w:val="center"/>
            <w:hideMark/>
          </w:tcPr>
          <w:p w14:paraId="2318A717" w14:textId="77777777" w:rsidR="00D07378" w:rsidRPr="002A4EE2" w:rsidRDefault="00D07378" w:rsidP="00BA499D">
            <w:pPr>
              <w:spacing w:line="276" w:lineRule="auto"/>
              <w:rPr>
                <w:rFonts w:eastAsia="Times New Roman" w:cstheme="minorHAnsi"/>
                <w:color w:val="000000"/>
                <w:sz w:val="18"/>
                <w:szCs w:val="18"/>
                <w:lang w:eastAsia="hr-HR"/>
              </w:rPr>
            </w:pPr>
            <w:r w:rsidRPr="002A4EE2">
              <w:rPr>
                <w:rFonts w:eastAsia="Times New Roman" w:cstheme="minorHAnsi"/>
                <w:color w:val="000000"/>
                <w:sz w:val="18"/>
                <w:szCs w:val="18"/>
                <w:lang w:eastAsia="hr-HR"/>
              </w:rPr>
              <w:t xml:space="preserve">1.2.6.1 </w:t>
            </w:r>
            <w:r w:rsidRPr="002A4EE2">
              <w:rPr>
                <w:rFonts w:eastAsia="Times New Roman" w:cstheme="minorHAnsi"/>
                <w:b/>
                <w:color w:val="000000"/>
                <w:sz w:val="18"/>
                <w:szCs w:val="18"/>
                <w:lang w:eastAsia="hr-HR"/>
              </w:rPr>
              <w:t>U nacionalnom postupku</w:t>
            </w:r>
          </w:p>
        </w:tc>
        <w:tc>
          <w:tcPr>
            <w:tcW w:w="1417" w:type="dxa"/>
            <w:tcBorders>
              <w:top w:val="nil"/>
              <w:left w:val="nil"/>
              <w:bottom w:val="single" w:sz="8" w:space="0" w:color="auto"/>
              <w:right w:val="single" w:sz="8" w:space="0" w:color="auto"/>
            </w:tcBorders>
            <w:vAlign w:val="center"/>
          </w:tcPr>
          <w:p w14:paraId="03CED615" w14:textId="77777777" w:rsidR="00D07378" w:rsidRPr="0054502E" w:rsidRDefault="00D07378" w:rsidP="00BA499D">
            <w:pPr>
              <w:jc w:val="center"/>
              <w:rPr>
                <w:bCs/>
                <w:sz w:val="18"/>
                <w:szCs w:val="18"/>
              </w:rPr>
            </w:pPr>
            <w:r w:rsidRPr="00A12E28">
              <w:rPr>
                <w:bCs/>
                <w:sz w:val="20"/>
                <w:szCs w:val="20"/>
              </w:rPr>
              <w:t>0</w:t>
            </w:r>
          </w:p>
        </w:tc>
        <w:tc>
          <w:tcPr>
            <w:tcW w:w="1504" w:type="dxa"/>
            <w:tcBorders>
              <w:top w:val="nil"/>
              <w:left w:val="nil"/>
              <w:bottom w:val="single" w:sz="8" w:space="0" w:color="auto"/>
              <w:right w:val="single" w:sz="8" w:space="0" w:color="auto"/>
            </w:tcBorders>
            <w:vAlign w:val="center"/>
          </w:tcPr>
          <w:p w14:paraId="30F78400" w14:textId="77777777" w:rsidR="00D07378" w:rsidRPr="0054502E" w:rsidRDefault="00D07378" w:rsidP="00BA499D">
            <w:pPr>
              <w:jc w:val="center"/>
              <w:rPr>
                <w:bCs/>
                <w:sz w:val="18"/>
                <w:szCs w:val="18"/>
              </w:rPr>
            </w:pPr>
            <w:r>
              <w:rPr>
                <w:bCs/>
                <w:sz w:val="20"/>
                <w:szCs w:val="20"/>
              </w:rPr>
              <w:t>0</w:t>
            </w:r>
          </w:p>
        </w:tc>
        <w:tc>
          <w:tcPr>
            <w:tcW w:w="1338" w:type="dxa"/>
            <w:tcBorders>
              <w:top w:val="nil"/>
              <w:left w:val="nil"/>
              <w:bottom w:val="single" w:sz="8" w:space="0" w:color="auto"/>
              <w:right w:val="single" w:sz="8" w:space="0" w:color="auto"/>
            </w:tcBorders>
            <w:vAlign w:val="center"/>
          </w:tcPr>
          <w:p w14:paraId="228FB976" w14:textId="77777777" w:rsidR="00D07378" w:rsidRPr="0054502E" w:rsidRDefault="00D07378" w:rsidP="00BA499D">
            <w:pPr>
              <w:jc w:val="center"/>
              <w:rPr>
                <w:sz w:val="18"/>
                <w:szCs w:val="18"/>
              </w:rPr>
            </w:pPr>
            <w:r>
              <w:rPr>
                <w:sz w:val="20"/>
                <w:szCs w:val="20"/>
              </w:rPr>
              <w:t>-</w:t>
            </w:r>
          </w:p>
        </w:tc>
      </w:tr>
      <w:tr w:rsidR="00D07378" w:rsidRPr="002A4EE2" w14:paraId="650FF881" w14:textId="77777777" w:rsidTr="00BA499D">
        <w:trPr>
          <w:trHeight w:val="142"/>
        </w:trPr>
        <w:tc>
          <w:tcPr>
            <w:tcW w:w="4641" w:type="dxa"/>
            <w:tcBorders>
              <w:top w:val="nil"/>
              <w:left w:val="single" w:sz="8" w:space="0" w:color="auto"/>
              <w:bottom w:val="single" w:sz="8" w:space="0" w:color="auto"/>
              <w:right w:val="single" w:sz="8" w:space="0" w:color="auto"/>
            </w:tcBorders>
            <w:vAlign w:val="center"/>
            <w:hideMark/>
          </w:tcPr>
          <w:p w14:paraId="3F4D636C" w14:textId="77777777" w:rsidR="00D07378" w:rsidRPr="002A4EE2" w:rsidRDefault="00D07378" w:rsidP="00BA499D">
            <w:pPr>
              <w:spacing w:line="276" w:lineRule="auto"/>
              <w:rPr>
                <w:rFonts w:eastAsia="Times New Roman" w:cstheme="minorHAnsi"/>
                <w:color w:val="000000"/>
                <w:sz w:val="18"/>
                <w:szCs w:val="18"/>
                <w:lang w:eastAsia="hr-HR"/>
              </w:rPr>
            </w:pPr>
            <w:r w:rsidRPr="002A4EE2">
              <w:rPr>
                <w:rFonts w:eastAsia="Times New Roman" w:cstheme="minorHAnsi"/>
                <w:color w:val="000000"/>
                <w:sz w:val="18"/>
                <w:szCs w:val="18"/>
                <w:lang w:eastAsia="hr-HR"/>
              </w:rPr>
              <w:t xml:space="preserve">1.2.6.2 </w:t>
            </w:r>
            <w:r w:rsidRPr="002A4EE2">
              <w:rPr>
                <w:rFonts w:eastAsia="Times New Roman" w:cstheme="minorHAnsi"/>
                <w:b/>
                <w:color w:val="000000"/>
                <w:sz w:val="18"/>
                <w:szCs w:val="18"/>
                <w:lang w:eastAsia="hr-HR"/>
              </w:rPr>
              <w:t>U postupku međusobnog priznavanja/decentraliziranom postupku</w:t>
            </w:r>
            <w:r w:rsidRPr="002A4EE2">
              <w:rPr>
                <w:rFonts w:eastAsia="Times New Roman" w:cstheme="minorHAnsi"/>
                <w:color w:val="000000"/>
                <w:sz w:val="18"/>
                <w:szCs w:val="18"/>
                <w:lang w:eastAsia="hr-HR"/>
              </w:rPr>
              <w:t xml:space="preserve"> u slučaju kada je RH referentna zemlja članica</w:t>
            </w:r>
          </w:p>
        </w:tc>
        <w:tc>
          <w:tcPr>
            <w:tcW w:w="1417" w:type="dxa"/>
            <w:tcBorders>
              <w:top w:val="nil"/>
              <w:left w:val="nil"/>
              <w:bottom w:val="single" w:sz="8" w:space="0" w:color="auto"/>
              <w:right w:val="single" w:sz="8" w:space="0" w:color="auto"/>
            </w:tcBorders>
            <w:vAlign w:val="center"/>
          </w:tcPr>
          <w:p w14:paraId="16EC01BA" w14:textId="77777777" w:rsidR="00D07378" w:rsidRPr="0054502E" w:rsidRDefault="00D07378" w:rsidP="00BA499D">
            <w:pPr>
              <w:jc w:val="center"/>
              <w:rPr>
                <w:bCs/>
                <w:sz w:val="18"/>
                <w:szCs w:val="18"/>
              </w:rPr>
            </w:pPr>
            <w:r w:rsidRPr="00A12E28">
              <w:rPr>
                <w:bCs/>
                <w:sz w:val="20"/>
                <w:szCs w:val="20"/>
              </w:rPr>
              <w:t>0</w:t>
            </w:r>
          </w:p>
        </w:tc>
        <w:tc>
          <w:tcPr>
            <w:tcW w:w="1504" w:type="dxa"/>
            <w:tcBorders>
              <w:top w:val="nil"/>
              <w:left w:val="nil"/>
              <w:bottom w:val="single" w:sz="8" w:space="0" w:color="auto"/>
              <w:right w:val="single" w:sz="8" w:space="0" w:color="auto"/>
            </w:tcBorders>
            <w:vAlign w:val="center"/>
          </w:tcPr>
          <w:p w14:paraId="770AE7BA" w14:textId="77777777" w:rsidR="00D07378" w:rsidRPr="0054502E" w:rsidRDefault="00D07378" w:rsidP="00BA499D">
            <w:pPr>
              <w:jc w:val="center"/>
              <w:rPr>
                <w:bCs/>
                <w:sz w:val="18"/>
                <w:szCs w:val="18"/>
              </w:rPr>
            </w:pPr>
            <w:r>
              <w:rPr>
                <w:bCs/>
                <w:sz w:val="20"/>
                <w:szCs w:val="20"/>
              </w:rPr>
              <w:t>0</w:t>
            </w:r>
          </w:p>
        </w:tc>
        <w:tc>
          <w:tcPr>
            <w:tcW w:w="1338" w:type="dxa"/>
            <w:tcBorders>
              <w:top w:val="nil"/>
              <w:left w:val="nil"/>
              <w:bottom w:val="single" w:sz="8" w:space="0" w:color="auto"/>
              <w:right w:val="single" w:sz="8" w:space="0" w:color="auto"/>
            </w:tcBorders>
            <w:vAlign w:val="center"/>
          </w:tcPr>
          <w:p w14:paraId="7868BC62" w14:textId="77777777" w:rsidR="00D07378" w:rsidRPr="000C25D6" w:rsidRDefault="00D07378" w:rsidP="00BA499D">
            <w:pPr>
              <w:jc w:val="center"/>
              <w:rPr>
                <w:bCs/>
                <w:sz w:val="18"/>
                <w:szCs w:val="18"/>
              </w:rPr>
            </w:pPr>
            <w:r>
              <w:rPr>
                <w:sz w:val="20"/>
                <w:szCs w:val="20"/>
              </w:rPr>
              <w:t>-</w:t>
            </w:r>
          </w:p>
        </w:tc>
      </w:tr>
      <w:tr w:rsidR="00D07378" w:rsidRPr="002A4EE2" w14:paraId="33279213" w14:textId="77777777" w:rsidTr="00BA499D">
        <w:trPr>
          <w:trHeight w:val="142"/>
        </w:trPr>
        <w:tc>
          <w:tcPr>
            <w:tcW w:w="4641" w:type="dxa"/>
            <w:tcBorders>
              <w:top w:val="nil"/>
              <w:left w:val="single" w:sz="8" w:space="0" w:color="auto"/>
              <w:bottom w:val="single" w:sz="8" w:space="0" w:color="auto"/>
              <w:right w:val="single" w:sz="8" w:space="0" w:color="auto"/>
            </w:tcBorders>
            <w:vAlign w:val="center"/>
            <w:hideMark/>
          </w:tcPr>
          <w:p w14:paraId="30BD6546" w14:textId="77777777" w:rsidR="00D07378" w:rsidRPr="002A4EE2" w:rsidRDefault="00D07378" w:rsidP="00BA499D">
            <w:pPr>
              <w:spacing w:line="276" w:lineRule="auto"/>
              <w:rPr>
                <w:rFonts w:eastAsia="Times New Roman" w:cstheme="minorHAnsi"/>
                <w:color w:val="000000"/>
                <w:sz w:val="18"/>
                <w:szCs w:val="18"/>
                <w:lang w:eastAsia="hr-HR"/>
              </w:rPr>
            </w:pPr>
            <w:r w:rsidRPr="002A4EE2">
              <w:rPr>
                <w:rFonts w:eastAsia="Times New Roman" w:cstheme="minorHAnsi"/>
                <w:color w:val="000000"/>
                <w:sz w:val="18"/>
                <w:szCs w:val="18"/>
                <w:lang w:eastAsia="hr-HR"/>
              </w:rPr>
              <w:t>1.2.6.3 U postupku međusobnog priznavanja/decentraliziranom postupku u slučaju kada je RH zemlja članica sudionica u postupku</w:t>
            </w:r>
          </w:p>
        </w:tc>
        <w:tc>
          <w:tcPr>
            <w:tcW w:w="1417" w:type="dxa"/>
            <w:tcBorders>
              <w:top w:val="nil"/>
              <w:left w:val="nil"/>
              <w:bottom w:val="single" w:sz="8" w:space="0" w:color="auto"/>
              <w:right w:val="single" w:sz="8" w:space="0" w:color="auto"/>
            </w:tcBorders>
            <w:vAlign w:val="center"/>
          </w:tcPr>
          <w:p w14:paraId="6CE3044C" w14:textId="77777777" w:rsidR="00D07378" w:rsidRPr="0054502E" w:rsidRDefault="00D07378" w:rsidP="00BA499D">
            <w:pPr>
              <w:jc w:val="center"/>
              <w:rPr>
                <w:bCs/>
                <w:sz w:val="18"/>
                <w:szCs w:val="18"/>
              </w:rPr>
            </w:pPr>
            <w:r w:rsidRPr="00A12E28">
              <w:rPr>
                <w:bCs/>
                <w:sz w:val="20"/>
                <w:szCs w:val="20"/>
              </w:rPr>
              <w:t>0</w:t>
            </w:r>
          </w:p>
        </w:tc>
        <w:tc>
          <w:tcPr>
            <w:tcW w:w="1504" w:type="dxa"/>
            <w:tcBorders>
              <w:top w:val="nil"/>
              <w:left w:val="nil"/>
              <w:bottom w:val="single" w:sz="8" w:space="0" w:color="auto"/>
              <w:right w:val="single" w:sz="8" w:space="0" w:color="auto"/>
            </w:tcBorders>
            <w:vAlign w:val="center"/>
          </w:tcPr>
          <w:p w14:paraId="5C28B797" w14:textId="77777777" w:rsidR="00D07378" w:rsidRPr="0054502E" w:rsidRDefault="00D07378" w:rsidP="00BA499D">
            <w:pPr>
              <w:jc w:val="center"/>
              <w:rPr>
                <w:bCs/>
                <w:sz w:val="18"/>
                <w:szCs w:val="18"/>
              </w:rPr>
            </w:pPr>
            <w:r>
              <w:rPr>
                <w:bCs/>
                <w:sz w:val="20"/>
                <w:szCs w:val="20"/>
              </w:rPr>
              <w:t>1</w:t>
            </w:r>
          </w:p>
        </w:tc>
        <w:tc>
          <w:tcPr>
            <w:tcW w:w="1338" w:type="dxa"/>
            <w:tcBorders>
              <w:top w:val="nil"/>
              <w:left w:val="nil"/>
              <w:bottom w:val="single" w:sz="8" w:space="0" w:color="auto"/>
              <w:right w:val="single" w:sz="8" w:space="0" w:color="auto"/>
            </w:tcBorders>
            <w:vAlign w:val="center"/>
          </w:tcPr>
          <w:p w14:paraId="21180FEC" w14:textId="77777777" w:rsidR="00D07378" w:rsidRPr="0054502E" w:rsidRDefault="00D07378" w:rsidP="00BA499D">
            <w:pPr>
              <w:jc w:val="center"/>
              <w:rPr>
                <w:bCs/>
                <w:sz w:val="18"/>
                <w:szCs w:val="18"/>
              </w:rPr>
            </w:pPr>
            <w:r>
              <w:rPr>
                <w:sz w:val="20"/>
                <w:szCs w:val="20"/>
              </w:rPr>
              <w:t>-</w:t>
            </w:r>
          </w:p>
        </w:tc>
      </w:tr>
      <w:tr w:rsidR="00D07378" w:rsidRPr="002A4EE2" w14:paraId="0FA3BF0C" w14:textId="77777777" w:rsidTr="00BA499D">
        <w:trPr>
          <w:trHeight w:val="142"/>
        </w:trPr>
        <w:tc>
          <w:tcPr>
            <w:tcW w:w="8900" w:type="dxa"/>
            <w:gridSpan w:val="4"/>
            <w:tcBorders>
              <w:top w:val="single" w:sz="8" w:space="0" w:color="auto"/>
              <w:left w:val="single" w:sz="8" w:space="0" w:color="auto"/>
              <w:bottom w:val="single" w:sz="8" w:space="0" w:color="auto"/>
              <w:right w:val="single" w:sz="8" w:space="0" w:color="000000"/>
            </w:tcBorders>
            <w:vAlign w:val="center"/>
            <w:hideMark/>
          </w:tcPr>
          <w:p w14:paraId="101BA55E" w14:textId="77777777" w:rsidR="00D07378" w:rsidRPr="00FB7DF9" w:rsidRDefault="00D07378" w:rsidP="00BA499D">
            <w:pPr>
              <w:spacing w:line="276" w:lineRule="auto"/>
              <w:rPr>
                <w:rFonts w:eastAsia="Times New Roman" w:cstheme="minorHAnsi"/>
                <w:color w:val="000000"/>
                <w:sz w:val="18"/>
                <w:szCs w:val="18"/>
                <w:lang w:eastAsia="hr-HR"/>
              </w:rPr>
            </w:pPr>
            <w:r w:rsidRPr="00FB7DF9">
              <w:rPr>
                <w:rFonts w:eastAsia="Times New Roman" w:cstheme="minorHAnsi"/>
                <w:color w:val="000000"/>
                <w:sz w:val="18"/>
                <w:szCs w:val="18"/>
                <w:lang w:eastAsia="hr-HR"/>
              </w:rPr>
              <w:t>1.2.7 Registracija/uskraćivanje registracije homeopatskog lijeka</w:t>
            </w:r>
          </w:p>
        </w:tc>
      </w:tr>
      <w:tr w:rsidR="00D07378" w:rsidRPr="002A4EE2" w14:paraId="3D4EA69C" w14:textId="77777777" w:rsidTr="00BA499D">
        <w:trPr>
          <w:trHeight w:val="142"/>
        </w:trPr>
        <w:tc>
          <w:tcPr>
            <w:tcW w:w="4641" w:type="dxa"/>
            <w:tcBorders>
              <w:top w:val="nil"/>
              <w:left w:val="single" w:sz="8" w:space="0" w:color="auto"/>
              <w:bottom w:val="single" w:sz="8" w:space="0" w:color="auto"/>
              <w:right w:val="single" w:sz="8" w:space="0" w:color="auto"/>
            </w:tcBorders>
            <w:vAlign w:val="center"/>
            <w:hideMark/>
          </w:tcPr>
          <w:p w14:paraId="17E4F62B" w14:textId="77777777" w:rsidR="00D07378" w:rsidRPr="002A4EE2" w:rsidRDefault="00D07378" w:rsidP="00BA499D">
            <w:pPr>
              <w:spacing w:line="276" w:lineRule="auto"/>
              <w:rPr>
                <w:rFonts w:eastAsia="Times New Roman" w:cstheme="minorHAnsi"/>
                <w:color w:val="000000"/>
                <w:sz w:val="18"/>
                <w:szCs w:val="18"/>
                <w:lang w:eastAsia="hr-HR"/>
              </w:rPr>
            </w:pPr>
            <w:r w:rsidRPr="002A4EE2">
              <w:rPr>
                <w:rFonts w:eastAsia="Times New Roman" w:cstheme="minorHAnsi"/>
                <w:color w:val="000000"/>
                <w:sz w:val="18"/>
                <w:szCs w:val="18"/>
                <w:lang w:eastAsia="hr-HR"/>
              </w:rPr>
              <w:t>1.2.7.1 U postupku međusobnog priznavanja/decentraliziranom postupku u slučaju kada je RH referentna zemlja članica</w:t>
            </w:r>
          </w:p>
        </w:tc>
        <w:tc>
          <w:tcPr>
            <w:tcW w:w="1417" w:type="dxa"/>
            <w:tcBorders>
              <w:top w:val="nil"/>
              <w:left w:val="nil"/>
              <w:bottom w:val="single" w:sz="8" w:space="0" w:color="auto"/>
              <w:right w:val="single" w:sz="8" w:space="0" w:color="auto"/>
            </w:tcBorders>
            <w:vAlign w:val="center"/>
          </w:tcPr>
          <w:p w14:paraId="45C49C0C" w14:textId="77777777" w:rsidR="00D07378" w:rsidRPr="0054502E" w:rsidRDefault="00D07378" w:rsidP="00BA499D">
            <w:pPr>
              <w:jc w:val="center"/>
              <w:rPr>
                <w:sz w:val="18"/>
                <w:szCs w:val="18"/>
              </w:rPr>
            </w:pPr>
            <w:r w:rsidRPr="00A12E28">
              <w:rPr>
                <w:bCs/>
                <w:sz w:val="20"/>
                <w:szCs w:val="20"/>
              </w:rPr>
              <w:t>0</w:t>
            </w:r>
          </w:p>
        </w:tc>
        <w:tc>
          <w:tcPr>
            <w:tcW w:w="1504" w:type="dxa"/>
            <w:tcBorders>
              <w:top w:val="nil"/>
              <w:left w:val="nil"/>
              <w:bottom w:val="single" w:sz="8" w:space="0" w:color="auto"/>
              <w:right w:val="single" w:sz="8" w:space="0" w:color="auto"/>
            </w:tcBorders>
            <w:vAlign w:val="center"/>
          </w:tcPr>
          <w:p w14:paraId="22A35CB1" w14:textId="77777777" w:rsidR="00D07378" w:rsidRPr="0054502E" w:rsidRDefault="00D07378" w:rsidP="00BA499D">
            <w:pPr>
              <w:jc w:val="center"/>
              <w:rPr>
                <w:bCs/>
                <w:sz w:val="18"/>
                <w:szCs w:val="18"/>
              </w:rPr>
            </w:pPr>
            <w:r>
              <w:rPr>
                <w:bCs/>
                <w:sz w:val="20"/>
                <w:szCs w:val="20"/>
              </w:rPr>
              <w:t>0</w:t>
            </w:r>
          </w:p>
        </w:tc>
        <w:tc>
          <w:tcPr>
            <w:tcW w:w="1338" w:type="dxa"/>
            <w:tcBorders>
              <w:top w:val="nil"/>
              <w:left w:val="nil"/>
              <w:bottom w:val="single" w:sz="8" w:space="0" w:color="auto"/>
              <w:right w:val="single" w:sz="8" w:space="0" w:color="auto"/>
            </w:tcBorders>
            <w:vAlign w:val="center"/>
          </w:tcPr>
          <w:p w14:paraId="7027AE17" w14:textId="77777777" w:rsidR="00D07378" w:rsidRPr="0054502E" w:rsidRDefault="00D07378" w:rsidP="00BA499D">
            <w:pPr>
              <w:jc w:val="center"/>
              <w:rPr>
                <w:bCs/>
                <w:sz w:val="18"/>
                <w:szCs w:val="18"/>
              </w:rPr>
            </w:pPr>
            <w:r>
              <w:rPr>
                <w:sz w:val="20"/>
                <w:szCs w:val="20"/>
              </w:rPr>
              <w:t>-</w:t>
            </w:r>
          </w:p>
        </w:tc>
      </w:tr>
      <w:tr w:rsidR="00D07378" w:rsidRPr="002A4EE2" w14:paraId="6F671131" w14:textId="77777777" w:rsidTr="00BA499D">
        <w:trPr>
          <w:trHeight w:val="142"/>
        </w:trPr>
        <w:tc>
          <w:tcPr>
            <w:tcW w:w="4641" w:type="dxa"/>
            <w:tcBorders>
              <w:top w:val="nil"/>
              <w:left w:val="single" w:sz="8" w:space="0" w:color="auto"/>
              <w:bottom w:val="single" w:sz="8" w:space="0" w:color="auto"/>
              <w:right w:val="single" w:sz="8" w:space="0" w:color="auto"/>
            </w:tcBorders>
            <w:vAlign w:val="center"/>
            <w:hideMark/>
          </w:tcPr>
          <w:p w14:paraId="0D5A8B10" w14:textId="77777777" w:rsidR="00D07378" w:rsidRPr="002A4EE2" w:rsidRDefault="00D07378" w:rsidP="00BA499D">
            <w:pPr>
              <w:spacing w:line="276" w:lineRule="auto"/>
              <w:rPr>
                <w:rFonts w:eastAsia="Times New Roman" w:cstheme="minorHAnsi"/>
                <w:color w:val="000000"/>
                <w:sz w:val="18"/>
                <w:szCs w:val="18"/>
                <w:lang w:eastAsia="hr-HR"/>
              </w:rPr>
            </w:pPr>
            <w:r w:rsidRPr="002A4EE2">
              <w:rPr>
                <w:rFonts w:eastAsia="Times New Roman" w:cstheme="minorHAnsi"/>
                <w:color w:val="000000"/>
                <w:sz w:val="18"/>
                <w:szCs w:val="18"/>
                <w:lang w:eastAsia="hr-HR"/>
              </w:rPr>
              <w:t>1.2.7.2 U postupku međusobnog priznavanja/decentraliziranom postupku u slučaju kada je RH zemlja članica sudionica u postupku i u nacionalnom postupku</w:t>
            </w:r>
          </w:p>
        </w:tc>
        <w:tc>
          <w:tcPr>
            <w:tcW w:w="1417" w:type="dxa"/>
            <w:tcBorders>
              <w:top w:val="nil"/>
              <w:left w:val="nil"/>
              <w:bottom w:val="single" w:sz="8" w:space="0" w:color="auto"/>
              <w:right w:val="single" w:sz="8" w:space="0" w:color="auto"/>
            </w:tcBorders>
            <w:vAlign w:val="center"/>
          </w:tcPr>
          <w:p w14:paraId="659596DD" w14:textId="77777777" w:rsidR="00D07378" w:rsidRPr="0054502E" w:rsidRDefault="00D07378" w:rsidP="00BA499D">
            <w:pPr>
              <w:jc w:val="center"/>
              <w:rPr>
                <w:bCs/>
                <w:sz w:val="18"/>
                <w:szCs w:val="18"/>
              </w:rPr>
            </w:pPr>
            <w:r w:rsidRPr="00A12E28">
              <w:rPr>
                <w:bCs/>
                <w:sz w:val="20"/>
                <w:szCs w:val="20"/>
              </w:rPr>
              <w:t>0</w:t>
            </w:r>
          </w:p>
        </w:tc>
        <w:tc>
          <w:tcPr>
            <w:tcW w:w="1504" w:type="dxa"/>
            <w:tcBorders>
              <w:top w:val="nil"/>
              <w:left w:val="nil"/>
              <w:bottom w:val="single" w:sz="8" w:space="0" w:color="auto"/>
              <w:right w:val="single" w:sz="8" w:space="0" w:color="auto"/>
            </w:tcBorders>
            <w:vAlign w:val="center"/>
          </w:tcPr>
          <w:p w14:paraId="36C98303" w14:textId="77777777" w:rsidR="00D07378" w:rsidRPr="0054502E" w:rsidRDefault="00D07378" w:rsidP="00BA499D">
            <w:pPr>
              <w:jc w:val="center"/>
              <w:rPr>
                <w:bCs/>
                <w:sz w:val="18"/>
                <w:szCs w:val="18"/>
              </w:rPr>
            </w:pPr>
            <w:r>
              <w:rPr>
                <w:bCs/>
                <w:sz w:val="20"/>
                <w:szCs w:val="20"/>
              </w:rPr>
              <w:t>0</w:t>
            </w:r>
          </w:p>
        </w:tc>
        <w:tc>
          <w:tcPr>
            <w:tcW w:w="1338" w:type="dxa"/>
            <w:tcBorders>
              <w:top w:val="nil"/>
              <w:left w:val="nil"/>
              <w:bottom w:val="single" w:sz="8" w:space="0" w:color="auto"/>
              <w:right w:val="single" w:sz="8" w:space="0" w:color="auto"/>
            </w:tcBorders>
            <w:vAlign w:val="center"/>
          </w:tcPr>
          <w:p w14:paraId="6BB3E50D" w14:textId="77777777" w:rsidR="00D07378" w:rsidRPr="0054502E" w:rsidRDefault="00D07378" w:rsidP="00BA499D">
            <w:pPr>
              <w:jc w:val="center"/>
              <w:rPr>
                <w:bCs/>
                <w:sz w:val="18"/>
                <w:szCs w:val="18"/>
              </w:rPr>
            </w:pPr>
            <w:r>
              <w:rPr>
                <w:sz w:val="20"/>
                <w:szCs w:val="20"/>
              </w:rPr>
              <w:t>-</w:t>
            </w:r>
          </w:p>
        </w:tc>
      </w:tr>
      <w:tr w:rsidR="00D07378" w:rsidRPr="002A4EE2" w14:paraId="2C601461" w14:textId="77777777" w:rsidTr="00BA499D">
        <w:trPr>
          <w:trHeight w:val="315"/>
        </w:trPr>
        <w:tc>
          <w:tcPr>
            <w:tcW w:w="4641" w:type="dxa"/>
            <w:tcBorders>
              <w:top w:val="nil"/>
              <w:left w:val="single" w:sz="8" w:space="0" w:color="auto"/>
              <w:bottom w:val="single" w:sz="8" w:space="0" w:color="auto"/>
              <w:right w:val="single" w:sz="8" w:space="0" w:color="auto"/>
            </w:tcBorders>
            <w:shd w:val="clear" w:color="auto" w:fill="BFBFBF"/>
            <w:vAlign w:val="center"/>
            <w:hideMark/>
          </w:tcPr>
          <w:p w14:paraId="600B6D2D" w14:textId="77777777" w:rsidR="00D07378" w:rsidRPr="00255C07" w:rsidRDefault="00D07378" w:rsidP="00BA499D">
            <w:pPr>
              <w:spacing w:line="276" w:lineRule="auto"/>
              <w:rPr>
                <w:rFonts w:eastAsia="Times New Roman" w:cstheme="minorHAnsi"/>
                <w:b/>
                <w:bCs/>
                <w:color w:val="000000"/>
                <w:sz w:val="20"/>
                <w:szCs w:val="20"/>
                <w:lang w:eastAsia="hr-HR"/>
              </w:rPr>
            </w:pPr>
            <w:r w:rsidRPr="00255C07">
              <w:rPr>
                <w:rFonts w:eastAsia="Times New Roman" w:cstheme="minorHAnsi"/>
                <w:b/>
                <w:bCs/>
                <w:color w:val="000000"/>
                <w:sz w:val="20"/>
                <w:szCs w:val="20"/>
                <w:lang w:eastAsia="hr-HR"/>
              </w:rPr>
              <w:t>UKUPNO:</w:t>
            </w:r>
          </w:p>
        </w:tc>
        <w:tc>
          <w:tcPr>
            <w:tcW w:w="1417" w:type="dxa"/>
            <w:tcBorders>
              <w:top w:val="nil"/>
              <w:left w:val="nil"/>
              <w:bottom w:val="single" w:sz="8" w:space="0" w:color="auto"/>
              <w:right w:val="single" w:sz="8" w:space="0" w:color="auto"/>
            </w:tcBorders>
            <w:shd w:val="clear" w:color="auto" w:fill="BFBFBF"/>
            <w:vAlign w:val="center"/>
          </w:tcPr>
          <w:p w14:paraId="3168323D" w14:textId="77777777" w:rsidR="00D07378" w:rsidRPr="0054502E" w:rsidRDefault="00D07378" w:rsidP="00BA499D">
            <w:pPr>
              <w:jc w:val="center"/>
              <w:rPr>
                <w:b/>
                <w:bCs/>
                <w:sz w:val="20"/>
                <w:szCs w:val="20"/>
              </w:rPr>
            </w:pPr>
            <w:r w:rsidRPr="0054502E">
              <w:rPr>
                <w:b/>
                <w:bCs/>
                <w:sz w:val="20"/>
                <w:szCs w:val="20"/>
              </w:rPr>
              <w:t>358</w:t>
            </w:r>
          </w:p>
        </w:tc>
        <w:tc>
          <w:tcPr>
            <w:tcW w:w="1504" w:type="dxa"/>
            <w:tcBorders>
              <w:top w:val="nil"/>
              <w:left w:val="nil"/>
              <w:bottom w:val="single" w:sz="8" w:space="0" w:color="auto"/>
              <w:right w:val="single" w:sz="8" w:space="0" w:color="auto"/>
            </w:tcBorders>
            <w:shd w:val="clear" w:color="auto" w:fill="BFBFBF"/>
            <w:vAlign w:val="center"/>
          </w:tcPr>
          <w:p w14:paraId="055C0E4D" w14:textId="77777777" w:rsidR="00D07378" w:rsidRPr="00DF3858" w:rsidRDefault="00D07378" w:rsidP="00BA499D">
            <w:pPr>
              <w:jc w:val="center"/>
              <w:rPr>
                <w:b/>
                <w:bCs/>
                <w:sz w:val="20"/>
                <w:szCs w:val="20"/>
              </w:rPr>
            </w:pPr>
            <w:r>
              <w:rPr>
                <w:b/>
                <w:bCs/>
                <w:sz w:val="20"/>
                <w:szCs w:val="20"/>
              </w:rPr>
              <w:t>276</w:t>
            </w:r>
          </w:p>
        </w:tc>
        <w:tc>
          <w:tcPr>
            <w:tcW w:w="1338" w:type="dxa"/>
            <w:tcBorders>
              <w:top w:val="nil"/>
              <w:left w:val="nil"/>
              <w:bottom w:val="single" w:sz="8" w:space="0" w:color="auto"/>
              <w:right w:val="single" w:sz="8" w:space="0" w:color="auto"/>
            </w:tcBorders>
            <w:shd w:val="clear" w:color="auto" w:fill="BFBFBF"/>
            <w:vAlign w:val="center"/>
          </w:tcPr>
          <w:p w14:paraId="379D6608" w14:textId="77777777" w:rsidR="00D07378" w:rsidRPr="0054502E" w:rsidRDefault="00D07378" w:rsidP="00BA499D">
            <w:pPr>
              <w:jc w:val="center"/>
              <w:rPr>
                <w:b/>
                <w:bCs/>
                <w:sz w:val="20"/>
                <w:szCs w:val="20"/>
              </w:rPr>
            </w:pPr>
            <w:r>
              <w:rPr>
                <w:b/>
                <w:sz w:val="20"/>
                <w:szCs w:val="20"/>
              </w:rPr>
              <w:t>77%</w:t>
            </w:r>
          </w:p>
        </w:tc>
      </w:tr>
    </w:tbl>
    <w:p w14:paraId="7CFA8E0C" w14:textId="77777777" w:rsidR="00D07378" w:rsidRDefault="00D07378" w:rsidP="00D07378">
      <w:pPr>
        <w:tabs>
          <w:tab w:val="left" w:pos="2300"/>
        </w:tabs>
        <w:spacing w:before="240" w:after="120"/>
        <w:jc w:val="both"/>
        <w:rPr>
          <w:b/>
        </w:rPr>
      </w:pPr>
    </w:p>
    <w:p w14:paraId="33286722" w14:textId="77777777" w:rsidR="00D07378" w:rsidRDefault="00D07378" w:rsidP="00D07378">
      <w:pPr>
        <w:tabs>
          <w:tab w:val="left" w:pos="2300"/>
        </w:tabs>
        <w:spacing w:before="240" w:after="120"/>
        <w:jc w:val="both"/>
        <w:rPr>
          <w:b/>
        </w:rPr>
      </w:pPr>
    </w:p>
    <w:p w14:paraId="30095819" w14:textId="77777777" w:rsidR="00D07378" w:rsidRDefault="00D07378" w:rsidP="00D07378">
      <w:pPr>
        <w:tabs>
          <w:tab w:val="left" w:pos="2300"/>
        </w:tabs>
        <w:spacing w:before="240" w:after="120"/>
        <w:jc w:val="both"/>
        <w:rPr>
          <w:b/>
        </w:rPr>
      </w:pPr>
    </w:p>
    <w:p w14:paraId="71857B44" w14:textId="77777777" w:rsidR="00D07378" w:rsidRDefault="00D07378" w:rsidP="00D07378">
      <w:pPr>
        <w:tabs>
          <w:tab w:val="left" w:pos="2300"/>
        </w:tabs>
        <w:spacing w:before="240" w:after="120"/>
        <w:jc w:val="both"/>
        <w:rPr>
          <w:b/>
        </w:rPr>
      </w:pPr>
      <w:r>
        <w:rPr>
          <w:b/>
        </w:rPr>
        <w:t>Tablica 3. I</w:t>
      </w:r>
      <w:r>
        <w:rPr>
          <w:rFonts w:eastAsia="Times New Roman" w:cstheme="minorHAnsi"/>
          <w:b/>
          <w:bCs/>
          <w:lang w:eastAsia="hr-HR"/>
        </w:rPr>
        <w:t xml:space="preserve">zvršenje prihodovnih usluga </w:t>
      </w:r>
      <w:r>
        <w:rPr>
          <w:b/>
        </w:rPr>
        <w:t>obnova odobrenja za stavljanje lijeka u promet</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037"/>
        <w:gridCol w:w="1482"/>
        <w:gridCol w:w="1486"/>
        <w:gridCol w:w="1473"/>
      </w:tblGrid>
      <w:tr w:rsidR="00D07378" w14:paraId="2F51F0E5" w14:textId="77777777" w:rsidTr="00BA499D">
        <w:trPr>
          <w:trHeight w:val="1035"/>
          <w:tblHeader/>
        </w:trPr>
        <w:tc>
          <w:tcPr>
            <w:tcW w:w="2657" w:type="pct"/>
            <w:shd w:val="clear" w:color="auto" w:fill="A3E7FF"/>
            <w:noWrap/>
            <w:vAlign w:val="center"/>
            <w:hideMark/>
          </w:tcPr>
          <w:p w14:paraId="28D6C4C8" w14:textId="77777777" w:rsidR="00D07378" w:rsidRDefault="00D07378" w:rsidP="00BA499D">
            <w:pPr>
              <w:spacing w:line="276" w:lineRule="auto"/>
              <w:rPr>
                <w:rFonts w:eastAsia="Times New Roman" w:cstheme="minorHAnsi"/>
                <w:b/>
                <w:bCs/>
                <w:color w:val="000000"/>
                <w:sz w:val="18"/>
                <w:szCs w:val="18"/>
                <w:lang w:eastAsia="hr-HR"/>
              </w:rPr>
            </w:pPr>
            <w:r>
              <w:rPr>
                <w:rFonts w:eastAsia="Times New Roman" w:cstheme="minorHAnsi"/>
                <w:b/>
                <w:bCs/>
                <w:sz w:val="18"/>
                <w:szCs w:val="18"/>
                <w:lang w:eastAsia="hr-HR"/>
              </w:rPr>
              <w:t>Naziv usluge</w:t>
            </w:r>
          </w:p>
        </w:tc>
        <w:tc>
          <w:tcPr>
            <w:tcW w:w="782" w:type="pct"/>
            <w:shd w:val="clear" w:color="auto" w:fill="A3E7FF"/>
            <w:vAlign w:val="center"/>
            <w:hideMark/>
          </w:tcPr>
          <w:p w14:paraId="524807D8" w14:textId="77777777" w:rsidR="00D07378" w:rsidRDefault="00D07378" w:rsidP="00BA499D">
            <w:pPr>
              <w:spacing w:line="276" w:lineRule="auto"/>
              <w:jc w:val="center"/>
              <w:rPr>
                <w:rFonts w:eastAsia="Times New Roman" w:cstheme="minorHAnsi"/>
                <w:b/>
                <w:bCs/>
                <w:sz w:val="18"/>
                <w:szCs w:val="18"/>
                <w:lang w:eastAsia="hr-HR"/>
              </w:rPr>
            </w:pPr>
            <w:r>
              <w:rPr>
                <w:rFonts w:eastAsia="Times New Roman" w:cstheme="minorHAnsi"/>
                <w:b/>
                <w:bCs/>
                <w:sz w:val="18"/>
                <w:szCs w:val="18"/>
                <w:lang w:eastAsia="hr-HR"/>
              </w:rPr>
              <w:t xml:space="preserve">Plan za </w:t>
            </w:r>
          </w:p>
          <w:p w14:paraId="3061C57B" w14:textId="77777777" w:rsidR="00D07378" w:rsidRDefault="00D07378" w:rsidP="00BA499D">
            <w:pPr>
              <w:spacing w:line="276" w:lineRule="auto"/>
              <w:jc w:val="center"/>
              <w:rPr>
                <w:rFonts w:eastAsia="Times New Roman" w:cstheme="minorHAnsi"/>
                <w:b/>
                <w:bCs/>
                <w:sz w:val="18"/>
                <w:szCs w:val="18"/>
                <w:lang w:eastAsia="hr-HR"/>
              </w:rPr>
            </w:pPr>
            <w:r>
              <w:rPr>
                <w:rFonts w:eastAsia="Times New Roman" w:cstheme="minorHAnsi"/>
                <w:b/>
                <w:bCs/>
                <w:sz w:val="18"/>
                <w:szCs w:val="18"/>
                <w:lang w:eastAsia="hr-HR"/>
              </w:rPr>
              <w:t>2023.</w:t>
            </w:r>
          </w:p>
        </w:tc>
        <w:tc>
          <w:tcPr>
            <w:tcW w:w="784" w:type="pct"/>
            <w:shd w:val="clear" w:color="auto" w:fill="A3E7FF"/>
            <w:vAlign w:val="center"/>
            <w:hideMark/>
          </w:tcPr>
          <w:p w14:paraId="31E1DB9F" w14:textId="77777777" w:rsidR="00D07378" w:rsidRDefault="00D07378" w:rsidP="00BA499D">
            <w:pPr>
              <w:spacing w:line="276" w:lineRule="auto"/>
              <w:jc w:val="center"/>
              <w:rPr>
                <w:rFonts w:eastAsia="Times New Roman" w:cstheme="minorHAnsi"/>
                <w:b/>
                <w:bCs/>
                <w:sz w:val="18"/>
                <w:szCs w:val="18"/>
                <w:lang w:eastAsia="hr-HR"/>
              </w:rPr>
            </w:pPr>
            <w:r>
              <w:rPr>
                <w:rFonts w:eastAsia="Times New Roman" w:cstheme="minorHAnsi"/>
                <w:b/>
                <w:bCs/>
                <w:sz w:val="18"/>
                <w:szCs w:val="18"/>
                <w:lang w:eastAsia="hr-HR"/>
              </w:rPr>
              <w:t xml:space="preserve">Izvršenje </w:t>
            </w:r>
          </w:p>
          <w:p w14:paraId="40B337BB" w14:textId="77777777" w:rsidR="00D07378" w:rsidRDefault="00D07378" w:rsidP="00BA499D">
            <w:pPr>
              <w:spacing w:line="276" w:lineRule="auto"/>
              <w:jc w:val="center"/>
              <w:rPr>
                <w:rFonts w:eastAsia="Times New Roman" w:cstheme="minorHAnsi"/>
                <w:b/>
                <w:bCs/>
                <w:sz w:val="18"/>
                <w:szCs w:val="18"/>
                <w:lang w:eastAsia="hr-HR"/>
              </w:rPr>
            </w:pPr>
            <w:r>
              <w:rPr>
                <w:rFonts w:eastAsia="Times New Roman" w:cstheme="minorHAnsi"/>
                <w:b/>
                <w:bCs/>
                <w:sz w:val="18"/>
                <w:szCs w:val="18"/>
                <w:lang w:eastAsia="hr-HR"/>
              </w:rPr>
              <w:t xml:space="preserve">01.01.-31.12.2023. </w:t>
            </w:r>
          </w:p>
        </w:tc>
        <w:tc>
          <w:tcPr>
            <w:tcW w:w="777" w:type="pct"/>
            <w:shd w:val="clear" w:color="auto" w:fill="A3E7FF"/>
            <w:vAlign w:val="center"/>
            <w:hideMark/>
          </w:tcPr>
          <w:p w14:paraId="366DDA06" w14:textId="77777777" w:rsidR="00D07378" w:rsidRDefault="00D07378" w:rsidP="00BA499D">
            <w:pPr>
              <w:spacing w:line="276" w:lineRule="auto"/>
              <w:jc w:val="center"/>
              <w:rPr>
                <w:rFonts w:eastAsia="Times New Roman" w:cstheme="minorHAnsi"/>
                <w:b/>
                <w:bCs/>
                <w:sz w:val="18"/>
                <w:szCs w:val="18"/>
                <w:lang w:eastAsia="hr-HR"/>
              </w:rPr>
            </w:pPr>
            <w:r>
              <w:rPr>
                <w:rFonts w:eastAsia="Times New Roman" w:cstheme="minorHAnsi"/>
                <w:b/>
                <w:bCs/>
                <w:sz w:val="18"/>
                <w:szCs w:val="18"/>
                <w:lang w:eastAsia="hr-HR"/>
              </w:rPr>
              <w:t>% izvršenja</w:t>
            </w:r>
          </w:p>
        </w:tc>
      </w:tr>
      <w:tr w:rsidR="00D07378" w14:paraId="3CE997D2" w14:textId="77777777" w:rsidTr="00BA499D">
        <w:trPr>
          <w:trHeight w:val="142"/>
        </w:trPr>
        <w:tc>
          <w:tcPr>
            <w:tcW w:w="2657" w:type="pct"/>
            <w:noWrap/>
            <w:vAlign w:val="center"/>
            <w:hideMark/>
          </w:tcPr>
          <w:p w14:paraId="75935D6D" w14:textId="77777777" w:rsidR="00D07378" w:rsidRDefault="00D07378" w:rsidP="00BA499D">
            <w:pPr>
              <w:spacing w:line="276" w:lineRule="auto"/>
              <w:rPr>
                <w:rFonts w:eastAsia="Times New Roman" w:cstheme="minorHAnsi"/>
                <w:color w:val="000000"/>
                <w:sz w:val="18"/>
                <w:szCs w:val="18"/>
                <w:lang w:eastAsia="hr-HR"/>
              </w:rPr>
            </w:pPr>
            <w:r>
              <w:rPr>
                <w:rFonts w:eastAsia="Times New Roman" w:cstheme="minorHAnsi"/>
                <w:color w:val="000000"/>
                <w:sz w:val="18"/>
                <w:szCs w:val="18"/>
                <w:lang w:eastAsia="hr-HR"/>
              </w:rPr>
              <w:t xml:space="preserve">2.1 Obnova odobrenja/uskraćivanje obnove odobrenja za stavljanje u promet lijeka (bez izmjena) – </w:t>
            </w:r>
            <w:r>
              <w:rPr>
                <w:rFonts w:eastAsia="Times New Roman" w:cstheme="minorHAnsi"/>
                <w:b/>
                <w:color w:val="000000"/>
                <w:sz w:val="18"/>
                <w:szCs w:val="18"/>
                <w:lang w:eastAsia="hr-HR"/>
              </w:rPr>
              <w:t>primjenjuje se za nacionalne postupke</w:t>
            </w:r>
          </w:p>
        </w:tc>
        <w:tc>
          <w:tcPr>
            <w:tcW w:w="782" w:type="pct"/>
            <w:vAlign w:val="center"/>
          </w:tcPr>
          <w:p w14:paraId="31740F71" w14:textId="77777777" w:rsidR="00D07378" w:rsidRPr="00BE0BD5" w:rsidRDefault="00D07378" w:rsidP="00BA499D">
            <w:pPr>
              <w:jc w:val="center"/>
              <w:rPr>
                <w:bCs/>
                <w:sz w:val="18"/>
                <w:szCs w:val="18"/>
              </w:rPr>
            </w:pPr>
            <w:r w:rsidRPr="00A12E28">
              <w:rPr>
                <w:bCs/>
                <w:sz w:val="20"/>
                <w:szCs w:val="20"/>
              </w:rPr>
              <w:t>34</w:t>
            </w:r>
          </w:p>
        </w:tc>
        <w:tc>
          <w:tcPr>
            <w:tcW w:w="784" w:type="pct"/>
            <w:vAlign w:val="center"/>
          </w:tcPr>
          <w:p w14:paraId="4C812ACE" w14:textId="77777777" w:rsidR="00D07378" w:rsidRPr="00244EA9" w:rsidRDefault="00D07378" w:rsidP="00BA499D">
            <w:pPr>
              <w:jc w:val="center"/>
              <w:rPr>
                <w:bCs/>
                <w:sz w:val="18"/>
                <w:szCs w:val="18"/>
              </w:rPr>
            </w:pPr>
            <w:r w:rsidRPr="001D687C">
              <w:rPr>
                <w:bCs/>
                <w:sz w:val="20"/>
                <w:szCs w:val="20"/>
              </w:rPr>
              <w:t>32</w:t>
            </w:r>
          </w:p>
        </w:tc>
        <w:tc>
          <w:tcPr>
            <w:tcW w:w="777" w:type="pct"/>
            <w:vAlign w:val="center"/>
          </w:tcPr>
          <w:p w14:paraId="125408FD" w14:textId="77777777" w:rsidR="00D07378" w:rsidRPr="00D036C1" w:rsidRDefault="00D07378" w:rsidP="00BA499D">
            <w:pPr>
              <w:jc w:val="center"/>
              <w:rPr>
                <w:bCs/>
                <w:sz w:val="18"/>
                <w:szCs w:val="18"/>
              </w:rPr>
            </w:pPr>
            <w:r w:rsidRPr="00D036C1">
              <w:rPr>
                <w:sz w:val="20"/>
                <w:szCs w:val="20"/>
              </w:rPr>
              <w:t>94%</w:t>
            </w:r>
          </w:p>
        </w:tc>
      </w:tr>
      <w:tr w:rsidR="00D07378" w14:paraId="7C2F1FB4" w14:textId="77777777" w:rsidTr="00BA499D">
        <w:trPr>
          <w:trHeight w:val="142"/>
        </w:trPr>
        <w:tc>
          <w:tcPr>
            <w:tcW w:w="5000" w:type="pct"/>
            <w:gridSpan w:val="4"/>
            <w:noWrap/>
            <w:vAlign w:val="center"/>
            <w:hideMark/>
          </w:tcPr>
          <w:p w14:paraId="687218D2" w14:textId="77777777" w:rsidR="00D07378" w:rsidRPr="002A4EE2" w:rsidRDefault="00D07378" w:rsidP="00BA499D">
            <w:pPr>
              <w:spacing w:line="276" w:lineRule="auto"/>
              <w:rPr>
                <w:rFonts w:eastAsia="Times New Roman" w:cstheme="minorHAnsi"/>
                <w:color w:val="000000"/>
                <w:sz w:val="18"/>
                <w:szCs w:val="18"/>
                <w:lang w:eastAsia="hr-HR"/>
              </w:rPr>
            </w:pPr>
            <w:r w:rsidRPr="002A4EE2">
              <w:rPr>
                <w:rFonts w:eastAsia="Times New Roman" w:cstheme="minorHAnsi"/>
                <w:color w:val="000000"/>
                <w:sz w:val="18"/>
                <w:szCs w:val="18"/>
                <w:lang w:eastAsia="hr-HR"/>
              </w:rPr>
              <w:t xml:space="preserve">2.2. Obnova odobrenja za stavljanje u promet lijeka/homeopatskog lijeka – </w:t>
            </w:r>
            <w:r w:rsidRPr="002A4EE2">
              <w:rPr>
                <w:rFonts w:eastAsia="Times New Roman" w:cstheme="minorHAnsi"/>
                <w:b/>
                <w:color w:val="000000"/>
                <w:sz w:val="18"/>
                <w:szCs w:val="18"/>
                <w:lang w:eastAsia="hr-HR"/>
              </w:rPr>
              <w:t>primjenjuje se za MRP/DCP postupke</w:t>
            </w:r>
          </w:p>
        </w:tc>
      </w:tr>
      <w:tr w:rsidR="00D07378" w14:paraId="5413FE72" w14:textId="77777777" w:rsidTr="00BA499D">
        <w:trPr>
          <w:trHeight w:val="142"/>
        </w:trPr>
        <w:tc>
          <w:tcPr>
            <w:tcW w:w="5000" w:type="pct"/>
            <w:gridSpan w:val="4"/>
            <w:noWrap/>
            <w:vAlign w:val="center"/>
            <w:hideMark/>
          </w:tcPr>
          <w:p w14:paraId="36E0406A" w14:textId="77777777" w:rsidR="00D07378" w:rsidRPr="002A4EE2" w:rsidRDefault="00D07378" w:rsidP="00BA499D">
            <w:pPr>
              <w:spacing w:line="276" w:lineRule="auto"/>
              <w:rPr>
                <w:rFonts w:eastAsia="Times New Roman" w:cstheme="minorHAnsi"/>
                <w:color w:val="000000"/>
                <w:sz w:val="18"/>
                <w:szCs w:val="18"/>
                <w:lang w:eastAsia="hr-HR"/>
              </w:rPr>
            </w:pPr>
            <w:r w:rsidRPr="002A4EE2">
              <w:rPr>
                <w:rFonts w:eastAsia="Times New Roman" w:cstheme="minorHAnsi"/>
                <w:color w:val="000000"/>
                <w:sz w:val="18"/>
                <w:szCs w:val="18"/>
                <w:lang w:eastAsia="hr-HR"/>
              </w:rPr>
              <w:t>2.2.1 Obnova odobrenja/uskraćivanje obnove odobrenja za stavljanje u promet lijeka (bez izmjena)</w:t>
            </w:r>
          </w:p>
        </w:tc>
      </w:tr>
      <w:tr w:rsidR="00D07378" w14:paraId="69DB40C7" w14:textId="77777777" w:rsidTr="00BA499D">
        <w:trPr>
          <w:trHeight w:val="142"/>
        </w:trPr>
        <w:tc>
          <w:tcPr>
            <w:tcW w:w="2657" w:type="pct"/>
            <w:noWrap/>
            <w:vAlign w:val="center"/>
            <w:hideMark/>
          </w:tcPr>
          <w:p w14:paraId="1E153063" w14:textId="77777777" w:rsidR="00D07378" w:rsidRDefault="00D07378" w:rsidP="00BA499D">
            <w:pPr>
              <w:spacing w:line="276" w:lineRule="auto"/>
              <w:rPr>
                <w:rFonts w:eastAsia="Times New Roman" w:cstheme="minorHAnsi"/>
                <w:color w:val="000000"/>
                <w:sz w:val="18"/>
                <w:szCs w:val="18"/>
                <w:lang w:eastAsia="hr-HR"/>
              </w:rPr>
            </w:pPr>
            <w:r>
              <w:rPr>
                <w:rFonts w:eastAsia="Times New Roman" w:cstheme="minorHAnsi"/>
                <w:color w:val="000000"/>
                <w:sz w:val="18"/>
                <w:szCs w:val="18"/>
                <w:lang w:eastAsia="hr-HR"/>
              </w:rPr>
              <w:t>2.2.1.1 U postupku međusobnog priznavanja/decentraliziranom postupku u slučaju kada je RH referentna zemlja članica</w:t>
            </w:r>
          </w:p>
        </w:tc>
        <w:tc>
          <w:tcPr>
            <w:tcW w:w="782" w:type="pct"/>
            <w:vAlign w:val="center"/>
          </w:tcPr>
          <w:p w14:paraId="2DEDF8B1" w14:textId="77777777" w:rsidR="00D07378" w:rsidRPr="00BE0BD5" w:rsidRDefault="00D07378" w:rsidP="00BA499D">
            <w:pPr>
              <w:jc w:val="center"/>
              <w:rPr>
                <w:bCs/>
                <w:sz w:val="18"/>
                <w:szCs w:val="18"/>
              </w:rPr>
            </w:pPr>
            <w:r w:rsidRPr="00A12E28">
              <w:rPr>
                <w:bCs/>
                <w:sz w:val="20"/>
                <w:szCs w:val="20"/>
              </w:rPr>
              <w:t>28</w:t>
            </w:r>
          </w:p>
        </w:tc>
        <w:tc>
          <w:tcPr>
            <w:tcW w:w="784" w:type="pct"/>
            <w:vAlign w:val="center"/>
          </w:tcPr>
          <w:p w14:paraId="1D6A7705" w14:textId="77777777" w:rsidR="00D07378" w:rsidRPr="00244EA9" w:rsidRDefault="00D07378" w:rsidP="00BA499D">
            <w:pPr>
              <w:jc w:val="center"/>
              <w:rPr>
                <w:bCs/>
                <w:sz w:val="18"/>
                <w:szCs w:val="18"/>
              </w:rPr>
            </w:pPr>
            <w:r w:rsidRPr="001D687C">
              <w:rPr>
                <w:bCs/>
                <w:sz w:val="20"/>
                <w:szCs w:val="20"/>
              </w:rPr>
              <w:t>34</w:t>
            </w:r>
          </w:p>
        </w:tc>
        <w:tc>
          <w:tcPr>
            <w:tcW w:w="777" w:type="pct"/>
            <w:vAlign w:val="center"/>
          </w:tcPr>
          <w:p w14:paraId="1864B0B1" w14:textId="77777777" w:rsidR="00D07378" w:rsidRPr="00D036C1" w:rsidRDefault="00D07378" w:rsidP="00BA499D">
            <w:pPr>
              <w:jc w:val="center"/>
              <w:rPr>
                <w:sz w:val="18"/>
                <w:szCs w:val="18"/>
              </w:rPr>
            </w:pPr>
            <w:r w:rsidRPr="00D036C1">
              <w:rPr>
                <w:sz w:val="20"/>
                <w:szCs w:val="20"/>
              </w:rPr>
              <w:t>121%</w:t>
            </w:r>
          </w:p>
        </w:tc>
      </w:tr>
      <w:tr w:rsidR="00D07378" w14:paraId="0ED40284" w14:textId="77777777" w:rsidTr="00BA499D">
        <w:trPr>
          <w:trHeight w:val="142"/>
        </w:trPr>
        <w:tc>
          <w:tcPr>
            <w:tcW w:w="2657" w:type="pct"/>
            <w:noWrap/>
            <w:vAlign w:val="center"/>
            <w:hideMark/>
          </w:tcPr>
          <w:p w14:paraId="1B510144" w14:textId="77777777" w:rsidR="00D07378" w:rsidRDefault="00D07378" w:rsidP="00BA499D">
            <w:pPr>
              <w:spacing w:line="276" w:lineRule="auto"/>
              <w:rPr>
                <w:rFonts w:eastAsia="Times New Roman" w:cstheme="minorHAnsi"/>
                <w:color w:val="000000"/>
                <w:sz w:val="18"/>
                <w:szCs w:val="18"/>
                <w:lang w:eastAsia="hr-HR"/>
              </w:rPr>
            </w:pPr>
            <w:r>
              <w:rPr>
                <w:rFonts w:eastAsia="Times New Roman" w:cstheme="minorHAnsi"/>
                <w:color w:val="000000"/>
                <w:sz w:val="18"/>
                <w:szCs w:val="18"/>
                <w:lang w:eastAsia="hr-HR"/>
              </w:rPr>
              <w:t>2.2.1.2 U postupku međusobnog priznavanja/decentraliziranom postupku u slučaju kada je RH zemlja članica sudionica u postupku</w:t>
            </w:r>
          </w:p>
        </w:tc>
        <w:tc>
          <w:tcPr>
            <w:tcW w:w="782" w:type="pct"/>
            <w:vAlign w:val="center"/>
          </w:tcPr>
          <w:p w14:paraId="0DAA418F" w14:textId="77777777" w:rsidR="00D07378" w:rsidRPr="00BE0BD5" w:rsidRDefault="00D07378" w:rsidP="00BA499D">
            <w:pPr>
              <w:jc w:val="center"/>
              <w:rPr>
                <w:bCs/>
                <w:sz w:val="18"/>
                <w:szCs w:val="18"/>
              </w:rPr>
            </w:pPr>
            <w:r w:rsidRPr="00A12E28">
              <w:rPr>
                <w:bCs/>
                <w:sz w:val="20"/>
                <w:szCs w:val="20"/>
              </w:rPr>
              <w:t>144</w:t>
            </w:r>
          </w:p>
        </w:tc>
        <w:tc>
          <w:tcPr>
            <w:tcW w:w="784" w:type="pct"/>
            <w:vAlign w:val="center"/>
          </w:tcPr>
          <w:p w14:paraId="57A1B2BC" w14:textId="77777777" w:rsidR="00D07378" w:rsidRPr="00244EA9" w:rsidRDefault="00D07378" w:rsidP="00BA499D">
            <w:pPr>
              <w:jc w:val="center"/>
              <w:rPr>
                <w:bCs/>
                <w:sz w:val="18"/>
                <w:szCs w:val="18"/>
              </w:rPr>
            </w:pPr>
            <w:r w:rsidRPr="001D687C">
              <w:rPr>
                <w:bCs/>
                <w:sz w:val="20"/>
                <w:szCs w:val="20"/>
              </w:rPr>
              <w:t>178</w:t>
            </w:r>
          </w:p>
        </w:tc>
        <w:tc>
          <w:tcPr>
            <w:tcW w:w="777" w:type="pct"/>
            <w:vAlign w:val="center"/>
          </w:tcPr>
          <w:p w14:paraId="7152C171" w14:textId="77777777" w:rsidR="00D07378" w:rsidRPr="00D036C1" w:rsidRDefault="00D07378" w:rsidP="00BA499D">
            <w:pPr>
              <w:jc w:val="center"/>
              <w:rPr>
                <w:sz w:val="18"/>
                <w:szCs w:val="18"/>
              </w:rPr>
            </w:pPr>
            <w:r w:rsidRPr="00D036C1">
              <w:rPr>
                <w:sz w:val="20"/>
                <w:szCs w:val="20"/>
              </w:rPr>
              <w:t>124%</w:t>
            </w:r>
          </w:p>
        </w:tc>
      </w:tr>
      <w:tr w:rsidR="00D07378" w14:paraId="711E42FE" w14:textId="77777777" w:rsidTr="00BA499D">
        <w:trPr>
          <w:trHeight w:val="142"/>
        </w:trPr>
        <w:tc>
          <w:tcPr>
            <w:tcW w:w="5000" w:type="pct"/>
            <w:gridSpan w:val="4"/>
            <w:noWrap/>
            <w:vAlign w:val="center"/>
            <w:hideMark/>
          </w:tcPr>
          <w:p w14:paraId="76713C2B" w14:textId="77777777" w:rsidR="00D07378" w:rsidRPr="002A4EE2" w:rsidRDefault="00D07378" w:rsidP="00BA499D">
            <w:pPr>
              <w:spacing w:line="276" w:lineRule="auto"/>
              <w:rPr>
                <w:rFonts w:eastAsia="Times New Roman" w:cstheme="minorHAnsi"/>
                <w:color w:val="000000"/>
                <w:sz w:val="18"/>
                <w:szCs w:val="18"/>
                <w:lang w:eastAsia="hr-HR"/>
              </w:rPr>
            </w:pPr>
            <w:r w:rsidRPr="002A4EE2">
              <w:rPr>
                <w:rFonts w:eastAsia="Times New Roman" w:cstheme="minorHAnsi"/>
                <w:color w:val="000000"/>
                <w:sz w:val="18"/>
                <w:szCs w:val="18"/>
                <w:lang w:eastAsia="hr-HR"/>
              </w:rPr>
              <w:t>2.2.2 Obnova odobrenja/uskraćivanje obnove odobrenja za stavljanje u promet alergena (bez izmjena)</w:t>
            </w:r>
          </w:p>
        </w:tc>
      </w:tr>
      <w:tr w:rsidR="00D07378" w14:paraId="6B0E3DD5" w14:textId="77777777" w:rsidTr="00BA499D">
        <w:trPr>
          <w:trHeight w:val="142"/>
        </w:trPr>
        <w:tc>
          <w:tcPr>
            <w:tcW w:w="2657" w:type="pct"/>
            <w:noWrap/>
            <w:vAlign w:val="center"/>
            <w:hideMark/>
          </w:tcPr>
          <w:p w14:paraId="30FCF067" w14:textId="77777777" w:rsidR="00D07378" w:rsidRDefault="00D07378" w:rsidP="00BA499D">
            <w:pPr>
              <w:spacing w:line="276" w:lineRule="auto"/>
              <w:rPr>
                <w:rFonts w:eastAsia="Times New Roman" w:cstheme="minorHAnsi"/>
                <w:color w:val="000000"/>
                <w:sz w:val="18"/>
                <w:szCs w:val="18"/>
                <w:lang w:eastAsia="hr-HR"/>
              </w:rPr>
            </w:pPr>
            <w:r>
              <w:rPr>
                <w:rFonts w:eastAsia="Times New Roman" w:cstheme="minorHAnsi"/>
                <w:color w:val="000000"/>
                <w:sz w:val="18"/>
                <w:szCs w:val="18"/>
                <w:lang w:eastAsia="hr-HR"/>
              </w:rPr>
              <w:t>2.2.2.1 U postupku međusobnog priznavanja/decentraliziranom postupku u slučaju kada je RH referentna zemlja članica</w:t>
            </w:r>
          </w:p>
        </w:tc>
        <w:tc>
          <w:tcPr>
            <w:tcW w:w="782" w:type="pct"/>
            <w:vAlign w:val="center"/>
          </w:tcPr>
          <w:p w14:paraId="729F6912" w14:textId="77777777" w:rsidR="00D07378" w:rsidRPr="001F2FBC" w:rsidRDefault="00D07378" w:rsidP="00BA499D">
            <w:pPr>
              <w:jc w:val="center"/>
              <w:rPr>
                <w:bCs/>
                <w:sz w:val="18"/>
                <w:szCs w:val="18"/>
              </w:rPr>
            </w:pPr>
            <w:r>
              <w:rPr>
                <w:bCs/>
                <w:sz w:val="20"/>
                <w:szCs w:val="20"/>
              </w:rPr>
              <w:t>0</w:t>
            </w:r>
          </w:p>
        </w:tc>
        <w:tc>
          <w:tcPr>
            <w:tcW w:w="784" w:type="pct"/>
            <w:vAlign w:val="center"/>
          </w:tcPr>
          <w:p w14:paraId="688EC695" w14:textId="77777777" w:rsidR="00D07378" w:rsidRPr="001F2FBC" w:rsidRDefault="00D07378" w:rsidP="00BA499D">
            <w:pPr>
              <w:jc w:val="center"/>
              <w:rPr>
                <w:bCs/>
                <w:sz w:val="18"/>
                <w:szCs w:val="18"/>
              </w:rPr>
            </w:pPr>
            <w:r>
              <w:rPr>
                <w:bCs/>
                <w:sz w:val="20"/>
                <w:szCs w:val="20"/>
              </w:rPr>
              <w:t>0</w:t>
            </w:r>
          </w:p>
        </w:tc>
        <w:tc>
          <w:tcPr>
            <w:tcW w:w="777" w:type="pct"/>
            <w:vAlign w:val="center"/>
          </w:tcPr>
          <w:p w14:paraId="48652376" w14:textId="77777777" w:rsidR="00D07378" w:rsidRPr="001F2FBC" w:rsidRDefault="00D07378" w:rsidP="00BA499D">
            <w:pPr>
              <w:jc w:val="center"/>
              <w:rPr>
                <w:bCs/>
                <w:sz w:val="20"/>
                <w:szCs w:val="20"/>
              </w:rPr>
            </w:pPr>
            <w:r>
              <w:rPr>
                <w:sz w:val="20"/>
                <w:szCs w:val="20"/>
              </w:rPr>
              <w:t>-</w:t>
            </w:r>
          </w:p>
        </w:tc>
      </w:tr>
      <w:tr w:rsidR="00D07378" w14:paraId="23ABA31D" w14:textId="77777777" w:rsidTr="00BA499D">
        <w:trPr>
          <w:trHeight w:val="142"/>
        </w:trPr>
        <w:tc>
          <w:tcPr>
            <w:tcW w:w="2657" w:type="pct"/>
            <w:noWrap/>
            <w:vAlign w:val="center"/>
            <w:hideMark/>
          </w:tcPr>
          <w:p w14:paraId="1C66F7A9" w14:textId="77777777" w:rsidR="00D07378" w:rsidRDefault="00D07378" w:rsidP="00BA499D">
            <w:pPr>
              <w:spacing w:line="276" w:lineRule="auto"/>
              <w:rPr>
                <w:rFonts w:eastAsia="Times New Roman" w:cstheme="minorHAnsi"/>
                <w:color w:val="000000"/>
                <w:sz w:val="18"/>
                <w:szCs w:val="18"/>
                <w:lang w:eastAsia="hr-HR"/>
              </w:rPr>
            </w:pPr>
            <w:r>
              <w:rPr>
                <w:rFonts w:eastAsia="Times New Roman" w:cstheme="minorHAnsi"/>
                <w:color w:val="000000"/>
                <w:sz w:val="18"/>
                <w:szCs w:val="18"/>
                <w:lang w:eastAsia="hr-HR"/>
              </w:rPr>
              <w:t>2.2.2.2 U postupku međusobnog priznavanja/decentraliziranom postupku u slučaju kada je RH zemlja članica sudionica u postupku i u nacionalnom postupku</w:t>
            </w:r>
          </w:p>
        </w:tc>
        <w:tc>
          <w:tcPr>
            <w:tcW w:w="782" w:type="pct"/>
            <w:vAlign w:val="center"/>
          </w:tcPr>
          <w:p w14:paraId="3537DBCC" w14:textId="77777777" w:rsidR="00D07378" w:rsidRPr="001F2FBC" w:rsidRDefault="00D07378" w:rsidP="00BA499D">
            <w:pPr>
              <w:jc w:val="center"/>
              <w:rPr>
                <w:bCs/>
                <w:sz w:val="18"/>
                <w:szCs w:val="18"/>
              </w:rPr>
            </w:pPr>
            <w:r>
              <w:rPr>
                <w:bCs/>
                <w:sz w:val="20"/>
                <w:szCs w:val="20"/>
              </w:rPr>
              <w:t>0</w:t>
            </w:r>
          </w:p>
        </w:tc>
        <w:tc>
          <w:tcPr>
            <w:tcW w:w="784" w:type="pct"/>
            <w:vAlign w:val="center"/>
          </w:tcPr>
          <w:p w14:paraId="3AF7ECF0" w14:textId="77777777" w:rsidR="00D07378" w:rsidRPr="001F2FBC" w:rsidRDefault="00D07378" w:rsidP="00BA499D">
            <w:pPr>
              <w:jc w:val="center"/>
              <w:rPr>
                <w:bCs/>
                <w:sz w:val="18"/>
                <w:szCs w:val="18"/>
              </w:rPr>
            </w:pPr>
            <w:r>
              <w:rPr>
                <w:bCs/>
                <w:sz w:val="20"/>
                <w:szCs w:val="20"/>
              </w:rPr>
              <w:t>0</w:t>
            </w:r>
          </w:p>
        </w:tc>
        <w:tc>
          <w:tcPr>
            <w:tcW w:w="777" w:type="pct"/>
            <w:vAlign w:val="center"/>
          </w:tcPr>
          <w:p w14:paraId="54498622" w14:textId="77777777" w:rsidR="00D07378" w:rsidRPr="001F2FBC" w:rsidRDefault="00D07378" w:rsidP="00BA499D">
            <w:pPr>
              <w:jc w:val="center"/>
              <w:rPr>
                <w:bCs/>
                <w:sz w:val="20"/>
                <w:szCs w:val="20"/>
              </w:rPr>
            </w:pPr>
            <w:r>
              <w:rPr>
                <w:sz w:val="20"/>
                <w:szCs w:val="20"/>
              </w:rPr>
              <w:t>-</w:t>
            </w:r>
          </w:p>
        </w:tc>
      </w:tr>
      <w:tr w:rsidR="00D07378" w14:paraId="5322A215" w14:textId="77777777" w:rsidTr="00BA499D">
        <w:trPr>
          <w:trHeight w:val="142"/>
        </w:trPr>
        <w:tc>
          <w:tcPr>
            <w:tcW w:w="5000" w:type="pct"/>
            <w:gridSpan w:val="4"/>
            <w:noWrap/>
            <w:vAlign w:val="center"/>
            <w:hideMark/>
          </w:tcPr>
          <w:p w14:paraId="0A9D646F" w14:textId="77777777" w:rsidR="00D07378" w:rsidRPr="002A4EE2" w:rsidRDefault="00D07378" w:rsidP="00BA499D">
            <w:pPr>
              <w:spacing w:line="276" w:lineRule="auto"/>
              <w:rPr>
                <w:rFonts w:eastAsia="Times New Roman" w:cstheme="minorHAnsi"/>
                <w:color w:val="000000"/>
                <w:sz w:val="18"/>
                <w:szCs w:val="18"/>
                <w:lang w:eastAsia="hr-HR"/>
              </w:rPr>
            </w:pPr>
            <w:r w:rsidRPr="002A4EE2">
              <w:rPr>
                <w:rFonts w:eastAsia="Times New Roman" w:cstheme="minorHAnsi"/>
                <w:color w:val="000000"/>
                <w:sz w:val="18"/>
                <w:szCs w:val="18"/>
                <w:lang w:eastAsia="hr-HR"/>
              </w:rPr>
              <w:t>2.2.3 Obnova registracije/uskraćivanje obnove registracije tradicionalnog biljnog lijeka</w:t>
            </w:r>
          </w:p>
        </w:tc>
      </w:tr>
      <w:tr w:rsidR="00D07378" w14:paraId="7AE39C34" w14:textId="77777777" w:rsidTr="00BA499D">
        <w:trPr>
          <w:trHeight w:val="142"/>
        </w:trPr>
        <w:tc>
          <w:tcPr>
            <w:tcW w:w="2657" w:type="pct"/>
            <w:noWrap/>
            <w:vAlign w:val="center"/>
            <w:hideMark/>
          </w:tcPr>
          <w:p w14:paraId="72B0DC76" w14:textId="77777777" w:rsidR="00D07378" w:rsidRDefault="00D07378" w:rsidP="00BA499D">
            <w:pPr>
              <w:spacing w:line="276" w:lineRule="auto"/>
              <w:rPr>
                <w:rFonts w:eastAsia="Times New Roman" w:cstheme="minorHAnsi"/>
                <w:color w:val="000000"/>
                <w:sz w:val="18"/>
                <w:szCs w:val="18"/>
                <w:lang w:eastAsia="hr-HR"/>
              </w:rPr>
            </w:pPr>
            <w:r>
              <w:rPr>
                <w:rFonts w:eastAsia="Times New Roman" w:cstheme="minorHAnsi"/>
                <w:color w:val="000000"/>
                <w:sz w:val="18"/>
                <w:szCs w:val="18"/>
                <w:lang w:eastAsia="hr-HR"/>
              </w:rPr>
              <w:t xml:space="preserve">2.2.3.1 </w:t>
            </w:r>
            <w:r>
              <w:rPr>
                <w:rFonts w:eastAsia="Times New Roman" w:cstheme="minorHAnsi"/>
                <w:b/>
                <w:color w:val="000000"/>
                <w:sz w:val="18"/>
                <w:szCs w:val="18"/>
                <w:lang w:eastAsia="hr-HR"/>
              </w:rPr>
              <w:t>U postupku međusobnog priznavanja/decentraliziranom postupku</w:t>
            </w:r>
            <w:r>
              <w:rPr>
                <w:rFonts w:eastAsia="Times New Roman" w:cstheme="minorHAnsi"/>
                <w:color w:val="000000"/>
                <w:sz w:val="18"/>
                <w:szCs w:val="18"/>
                <w:lang w:eastAsia="hr-HR"/>
              </w:rPr>
              <w:t xml:space="preserve"> u slučaju kada je RH referentna zemlja</w:t>
            </w:r>
          </w:p>
        </w:tc>
        <w:tc>
          <w:tcPr>
            <w:tcW w:w="782" w:type="pct"/>
            <w:vAlign w:val="center"/>
          </w:tcPr>
          <w:p w14:paraId="06069D19" w14:textId="77777777" w:rsidR="00D07378" w:rsidRPr="005A1767" w:rsidRDefault="00D07378" w:rsidP="00BA499D">
            <w:pPr>
              <w:jc w:val="center"/>
              <w:rPr>
                <w:bCs/>
                <w:sz w:val="18"/>
                <w:szCs w:val="18"/>
              </w:rPr>
            </w:pPr>
            <w:r>
              <w:rPr>
                <w:bCs/>
                <w:sz w:val="20"/>
                <w:szCs w:val="20"/>
              </w:rPr>
              <w:t>0</w:t>
            </w:r>
          </w:p>
        </w:tc>
        <w:tc>
          <w:tcPr>
            <w:tcW w:w="784" w:type="pct"/>
            <w:vAlign w:val="center"/>
          </w:tcPr>
          <w:p w14:paraId="46C56FDE" w14:textId="77777777" w:rsidR="00D07378" w:rsidRPr="00E62F52" w:rsidRDefault="00D07378" w:rsidP="00BA499D">
            <w:pPr>
              <w:jc w:val="center"/>
              <w:rPr>
                <w:bCs/>
                <w:sz w:val="18"/>
                <w:szCs w:val="18"/>
              </w:rPr>
            </w:pPr>
            <w:r>
              <w:rPr>
                <w:bCs/>
                <w:sz w:val="20"/>
                <w:szCs w:val="20"/>
              </w:rPr>
              <w:t>0</w:t>
            </w:r>
          </w:p>
        </w:tc>
        <w:tc>
          <w:tcPr>
            <w:tcW w:w="777" w:type="pct"/>
            <w:vAlign w:val="center"/>
          </w:tcPr>
          <w:p w14:paraId="1F6182CC" w14:textId="77777777" w:rsidR="00D07378" w:rsidRPr="00C1671F" w:rsidRDefault="00D07378" w:rsidP="00BA499D">
            <w:pPr>
              <w:jc w:val="center"/>
              <w:rPr>
                <w:bCs/>
                <w:sz w:val="20"/>
                <w:szCs w:val="20"/>
              </w:rPr>
            </w:pPr>
            <w:r>
              <w:rPr>
                <w:sz w:val="20"/>
                <w:szCs w:val="20"/>
              </w:rPr>
              <w:t>-</w:t>
            </w:r>
          </w:p>
        </w:tc>
      </w:tr>
      <w:tr w:rsidR="00D07378" w14:paraId="0A3CD0E1" w14:textId="77777777" w:rsidTr="00BA499D">
        <w:trPr>
          <w:trHeight w:val="142"/>
        </w:trPr>
        <w:tc>
          <w:tcPr>
            <w:tcW w:w="2657" w:type="pct"/>
            <w:noWrap/>
            <w:vAlign w:val="center"/>
            <w:hideMark/>
          </w:tcPr>
          <w:p w14:paraId="08EC7DC4" w14:textId="77777777" w:rsidR="00D07378" w:rsidRDefault="00D07378" w:rsidP="00BA499D">
            <w:pPr>
              <w:spacing w:line="276" w:lineRule="auto"/>
              <w:rPr>
                <w:rFonts w:eastAsia="Times New Roman" w:cstheme="minorHAnsi"/>
                <w:color w:val="000000"/>
                <w:sz w:val="18"/>
                <w:szCs w:val="18"/>
                <w:lang w:eastAsia="hr-HR"/>
              </w:rPr>
            </w:pPr>
            <w:r>
              <w:rPr>
                <w:rFonts w:eastAsia="Times New Roman" w:cstheme="minorHAnsi"/>
                <w:color w:val="000000"/>
                <w:sz w:val="18"/>
                <w:szCs w:val="18"/>
                <w:lang w:eastAsia="hr-HR"/>
              </w:rPr>
              <w:t>2.2.3.2 U postupku međusobnog priznavanja/decentraliziranom postupku u slučaju kada je RH zemlja članica sudionica u postupku i u nacionalnom postupku</w:t>
            </w:r>
          </w:p>
        </w:tc>
        <w:tc>
          <w:tcPr>
            <w:tcW w:w="782" w:type="pct"/>
            <w:vAlign w:val="center"/>
          </w:tcPr>
          <w:p w14:paraId="73A179E1" w14:textId="77777777" w:rsidR="00D07378" w:rsidRPr="00BE0BD5" w:rsidRDefault="00D07378" w:rsidP="00BA499D">
            <w:pPr>
              <w:jc w:val="center"/>
              <w:rPr>
                <w:bCs/>
                <w:sz w:val="18"/>
                <w:szCs w:val="18"/>
              </w:rPr>
            </w:pPr>
            <w:r w:rsidRPr="00A12E28">
              <w:rPr>
                <w:bCs/>
                <w:sz w:val="20"/>
                <w:szCs w:val="20"/>
              </w:rPr>
              <w:t>0</w:t>
            </w:r>
          </w:p>
        </w:tc>
        <w:tc>
          <w:tcPr>
            <w:tcW w:w="784" w:type="pct"/>
            <w:vAlign w:val="center"/>
          </w:tcPr>
          <w:p w14:paraId="14CD96FD" w14:textId="77777777" w:rsidR="00D07378" w:rsidRPr="00BE0BD5" w:rsidRDefault="00D07378" w:rsidP="00BA499D">
            <w:pPr>
              <w:jc w:val="center"/>
              <w:rPr>
                <w:bCs/>
                <w:sz w:val="18"/>
                <w:szCs w:val="18"/>
              </w:rPr>
            </w:pPr>
            <w:r>
              <w:rPr>
                <w:bCs/>
                <w:sz w:val="20"/>
                <w:szCs w:val="20"/>
              </w:rPr>
              <w:t>2</w:t>
            </w:r>
          </w:p>
        </w:tc>
        <w:tc>
          <w:tcPr>
            <w:tcW w:w="777" w:type="pct"/>
            <w:vAlign w:val="center"/>
          </w:tcPr>
          <w:p w14:paraId="2E263144" w14:textId="77777777" w:rsidR="00D07378" w:rsidRPr="00BE0BD5" w:rsidRDefault="00D07378" w:rsidP="00BA499D">
            <w:pPr>
              <w:jc w:val="center"/>
              <w:rPr>
                <w:bCs/>
                <w:sz w:val="20"/>
                <w:szCs w:val="20"/>
              </w:rPr>
            </w:pPr>
            <w:r>
              <w:rPr>
                <w:sz w:val="20"/>
                <w:szCs w:val="20"/>
              </w:rPr>
              <w:t>-</w:t>
            </w:r>
          </w:p>
        </w:tc>
      </w:tr>
      <w:tr w:rsidR="00D07378" w14:paraId="7BF597BD" w14:textId="77777777" w:rsidTr="00BA499D">
        <w:trPr>
          <w:trHeight w:val="142"/>
        </w:trPr>
        <w:tc>
          <w:tcPr>
            <w:tcW w:w="5000" w:type="pct"/>
            <w:gridSpan w:val="4"/>
            <w:noWrap/>
            <w:vAlign w:val="center"/>
            <w:hideMark/>
          </w:tcPr>
          <w:p w14:paraId="5A25ECAD" w14:textId="77777777" w:rsidR="00D07378" w:rsidRPr="002A4EE2" w:rsidRDefault="00D07378" w:rsidP="00BA499D">
            <w:pPr>
              <w:spacing w:line="276" w:lineRule="auto"/>
              <w:rPr>
                <w:rFonts w:eastAsia="Times New Roman" w:cstheme="minorHAnsi"/>
                <w:color w:val="000000"/>
                <w:sz w:val="18"/>
                <w:szCs w:val="18"/>
                <w:lang w:eastAsia="hr-HR"/>
              </w:rPr>
            </w:pPr>
            <w:r w:rsidRPr="002A4EE2">
              <w:rPr>
                <w:rFonts w:eastAsia="Times New Roman" w:cstheme="minorHAnsi"/>
                <w:color w:val="000000"/>
                <w:sz w:val="18"/>
                <w:szCs w:val="18"/>
                <w:lang w:eastAsia="hr-HR"/>
              </w:rPr>
              <w:t>2.2.4 Obnova registracije/uskraćivanje obnove registracije homeopatskog lijeka</w:t>
            </w:r>
          </w:p>
        </w:tc>
      </w:tr>
      <w:tr w:rsidR="00D07378" w14:paraId="6ACAF2DA" w14:textId="77777777" w:rsidTr="00BA499D">
        <w:trPr>
          <w:trHeight w:val="142"/>
        </w:trPr>
        <w:tc>
          <w:tcPr>
            <w:tcW w:w="2657" w:type="pct"/>
            <w:noWrap/>
            <w:vAlign w:val="center"/>
            <w:hideMark/>
          </w:tcPr>
          <w:p w14:paraId="17CB2746" w14:textId="77777777" w:rsidR="00D07378" w:rsidRDefault="00D07378" w:rsidP="00BA499D">
            <w:pPr>
              <w:spacing w:line="276" w:lineRule="auto"/>
              <w:rPr>
                <w:rFonts w:eastAsia="Times New Roman" w:cstheme="minorHAnsi"/>
                <w:color w:val="000000"/>
                <w:sz w:val="18"/>
                <w:szCs w:val="18"/>
                <w:lang w:eastAsia="hr-HR"/>
              </w:rPr>
            </w:pPr>
            <w:r>
              <w:rPr>
                <w:rFonts w:eastAsia="Times New Roman" w:cstheme="minorHAnsi"/>
                <w:color w:val="000000"/>
                <w:sz w:val="18"/>
                <w:szCs w:val="18"/>
                <w:lang w:eastAsia="hr-HR"/>
              </w:rPr>
              <w:t>2.2.4.1 U postupku međusobnog priznavanja/decentraliziranom postupku u slučaju kada je RH referentna zemlja članica</w:t>
            </w:r>
          </w:p>
        </w:tc>
        <w:tc>
          <w:tcPr>
            <w:tcW w:w="782" w:type="pct"/>
            <w:vAlign w:val="center"/>
          </w:tcPr>
          <w:p w14:paraId="67AE5469" w14:textId="77777777" w:rsidR="00D07378" w:rsidRPr="005A1767" w:rsidRDefault="00D07378" w:rsidP="00BA499D">
            <w:pPr>
              <w:jc w:val="center"/>
              <w:rPr>
                <w:bCs/>
                <w:sz w:val="18"/>
                <w:szCs w:val="18"/>
              </w:rPr>
            </w:pPr>
            <w:r>
              <w:rPr>
                <w:bCs/>
                <w:sz w:val="20"/>
                <w:szCs w:val="20"/>
              </w:rPr>
              <w:t>0</w:t>
            </w:r>
          </w:p>
        </w:tc>
        <w:tc>
          <w:tcPr>
            <w:tcW w:w="784" w:type="pct"/>
            <w:vAlign w:val="center"/>
          </w:tcPr>
          <w:p w14:paraId="25E931E3" w14:textId="77777777" w:rsidR="00D07378" w:rsidRPr="00E62F52" w:rsidRDefault="00D07378" w:rsidP="00BA499D">
            <w:pPr>
              <w:jc w:val="center"/>
              <w:rPr>
                <w:bCs/>
                <w:sz w:val="18"/>
                <w:szCs w:val="18"/>
              </w:rPr>
            </w:pPr>
            <w:r>
              <w:rPr>
                <w:bCs/>
                <w:sz w:val="20"/>
                <w:szCs w:val="20"/>
              </w:rPr>
              <w:t>0</w:t>
            </w:r>
          </w:p>
        </w:tc>
        <w:tc>
          <w:tcPr>
            <w:tcW w:w="777" w:type="pct"/>
            <w:vAlign w:val="center"/>
          </w:tcPr>
          <w:p w14:paraId="7E2BA0F6" w14:textId="77777777" w:rsidR="00D07378" w:rsidRPr="00C1671F" w:rsidRDefault="00D07378" w:rsidP="00BA499D">
            <w:pPr>
              <w:jc w:val="center"/>
              <w:rPr>
                <w:bCs/>
                <w:sz w:val="20"/>
                <w:szCs w:val="20"/>
              </w:rPr>
            </w:pPr>
            <w:r>
              <w:rPr>
                <w:sz w:val="20"/>
                <w:szCs w:val="20"/>
              </w:rPr>
              <w:t>-</w:t>
            </w:r>
          </w:p>
        </w:tc>
      </w:tr>
      <w:tr w:rsidR="00D07378" w14:paraId="4AEE9D7E" w14:textId="77777777" w:rsidTr="00BA499D">
        <w:trPr>
          <w:trHeight w:val="142"/>
        </w:trPr>
        <w:tc>
          <w:tcPr>
            <w:tcW w:w="2657" w:type="pct"/>
            <w:noWrap/>
            <w:vAlign w:val="center"/>
            <w:hideMark/>
          </w:tcPr>
          <w:p w14:paraId="06D38E35" w14:textId="77777777" w:rsidR="00D07378" w:rsidRDefault="00D07378" w:rsidP="00BA499D">
            <w:pPr>
              <w:spacing w:line="276" w:lineRule="auto"/>
              <w:rPr>
                <w:rFonts w:eastAsia="Times New Roman" w:cstheme="minorHAnsi"/>
                <w:color w:val="000000"/>
                <w:sz w:val="18"/>
                <w:szCs w:val="18"/>
                <w:lang w:eastAsia="hr-HR"/>
              </w:rPr>
            </w:pPr>
            <w:r>
              <w:rPr>
                <w:rFonts w:eastAsia="Times New Roman" w:cstheme="minorHAnsi"/>
                <w:color w:val="000000"/>
                <w:sz w:val="18"/>
                <w:szCs w:val="18"/>
                <w:lang w:eastAsia="hr-HR"/>
              </w:rPr>
              <w:t>2.2.4.2 U postupku međusobnog priznavanja/decentraliziranom postupku u slučaju kada je RH zemlja članica sudionica u postupku i u nacionalnom postupku</w:t>
            </w:r>
          </w:p>
        </w:tc>
        <w:tc>
          <w:tcPr>
            <w:tcW w:w="782" w:type="pct"/>
            <w:vAlign w:val="center"/>
          </w:tcPr>
          <w:p w14:paraId="7D034837" w14:textId="77777777" w:rsidR="00D07378" w:rsidRPr="005A1767" w:rsidRDefault="00D07378" w:rsidP="00BA499D">
            <w:pPr>
              <w:jc w:val="center"/>
              <w:rPr>
                <w:bCs/>
                <w:sz w:val="18"/>
                <w:szCs w:val="18"/>
              </w:rPr>
            </w:pPr>
            <w:r>
              <w:rPr>
                <w:bCs/>
                <w:sz w:val="20"/>
                <w:szCs w:val="20"/>
              </w:rPr>
              <w:t>0</w:t>
            </w:r>
          </w:p>
        </w:tc>
        <w:tc>
          <w:tcPr>
            <w:tcW w:w="784" w:type="pct"/>
            <w:vAlign w:val="center"/>
          </w:tcPr>
          <w:p w14:paraId="01F65255" w14:textId="77777777" w:rsidR="00D07378" w:rsidRPr="00E62F52" w:rsidRDefault="00D07378" w:rsidP="00BA499D">
            <w:pPr>
              <w:jc w:val="center"/>
              <w:rPr>
                <w:bCs/>
                <w:sz w:val="18"/>
                <w:szCs w:val="18"/>
              </w:rPr>
            </w:pPr>
            <w:r>
              <w:rPr>
                <w:bCs/>
                <w:sz w:val="20"/>
                <w:szCs w:val="20"/>
              </w:rPr>
              <w:t>0</w:t>
            </w:r>
          </w:p>
        </w:tc>
        <w:tc>
          <w:tcPr>
            <w:tcW w:w="777" w:type="pct"/>
            <w:vAlign w:val="center"/>
          </w:tcPr>
          <w:p w14:paraId="61C12D2A" w14:textId="77777777" w:rsidR="00D07378" w:rsidRPr="00C1671F" w:rsidRDefault="00D07378" w:rsidP="00BA499D">
            <w:pPr>
              <w:jc w:val="center"/>
              <w:rPr>
                <w:bCs/>
                <w:sz w:val="20"/>
                <w:szCs w:val="20"/>
              </w:rPr>
            </w:pPr>
            <w:r>
              <w:rPr>
                <w:sz w:val="20"/>
                <w:szCs w:val="20"/>
              </w:rPr>
              <w:t>-</w:t>
            </w:r>
          </w:p>
        </w:tc>
      </w:tr>
      <w:tr w:rsidR="00D07378" w14:paraId="6100D63A" w14:textId="77777777" w:rsidTr="00BA499D">
        <w:trPr>
          <w:trHeight w:val="315"/>
        </w:trPr>
        <w:tc>
          <w:tcPr>
            <w:tcW w:w="2657" w:type="pct"/>
            <w:shd w:val="clear" w:color="auto" w:fill="BFBFBF"/>
            <w:noWrap/>
            <w:vAlign w:val="center"/>
            <w:hideMark/>
          </w:tcPr>
          <w:p w14:paraId="3F1CD792" w14:textId="77777777" w:rsidR="00D07378" w:rsidRPr="003A4928" w:rsidRDefault="00D07378" w:rsidP="00BA499D">
            <w:pPr>
              <w:spacing w:line="276" w:lineRule="auto"/>
              <w:rPr>
                <w:rFonts w:eastAsia="Times New Roman" w:cstheme="minorHAnsi"/>
                <w:b/>
                <w:bCs/>
                <w:color w:val="000000"/>
                <w:sz w:val="20"/>
                <w:szCs w:val="20"/>
                <w:lang w:eastAsia="hr-HR"/>
              </w:rPr>
            </w:pPr>
            <w:r w:rsidRPr="003A4928">
              <w:rPr>
                <w:rFonts w:eastAsia="Times New Roman" w:cstheme="minorHAnsi"/>
                <w:b/>
                <w:bCs/>
                <w:color w:val="000000"/>
                <w:sz w:val="20"/>
                <w:szCs w:val="20"/>
                <w:lang w:eastAsia="hr-HR"/>
              </w:rPr>
              <w:t>UKUPNO:</w:t>
            </w:r>
          </w:p>
        </w:tc>
        <w:tc>
          <w:tcPr>
            <w:tcW w:w="782" w:type="pct"/>
            <w:shd w:val="clear" w:color="auto" w:fill="BFBFBF"/>
            <w:vAlign w:val="center"/>
          </w:tcPr>
          <w:p w14:paraId="5086CBFD" w14:textId="77777777" w:rsidR="00D07378" w:rsidRPr="00BE0BD5" w:rsidRDefault="00D07378" w:rsidP="00BA499D">
            <w:pPr>
              <w:jc w:val="center"/>
              <w:rPr>
                <w:b/>
                <w:bCs/>
                <w:sz w:val="20"/>
                <w:szCs w:val="20"/>
              </w:rPr>
            </w:pPr>
            <w:r w:rsidRPr="00BE0BD5">
              <w:rPr>
                <w:b/>
                <w:bCs/>
                <w:sz w:val="20"/>
                <w:szCs w:val="20"/>
              </w:rPr>
              <w:t>206</w:t>
            </w:r>
          </w:p>
        </w:tc>
        <w:tc>
          <w:tcPr>
            <w:tcW w:w="784" w:type="pct"/>
            <w:shd w:val="clear" w:color="auto" w:fill="BFBFBF"/>
            <w:vAlign w:val="center"/>
          </w:tcPr>
          <w:p w14:paraId="5E4C7B7B" w14:textId="77777777" w:rsidR="00D07378" w:rsidRPr="00BE0BD5" w:rsidRDefault="00D07378" w:rsidP="00BA499D">
            <w:pPr>
              <w:jc w:val="center"/>
              <w:rPr>
                <w:b/>
                <w:bCs/>
                <w:sz w:val="20"/>
                <w:szCs w:val="20"/>
              </w:rPr>
            </w:pPr>
            <w:r>
              <w:rPr>
                <w:b/>
                <w:bCs/>
                <w:sz w:val="20"/>
                <w:szCs w:val="20"/>
              </w:rPr>
              <w:t>246</w:t>
            </w:r>
          </w:p>
        </w:tc>
        <w:tc>
          <w:tcPr>
            <w:tcW w:w="777" w:type="pct"/>
            <w:shd w:val="clear" w:color="auto" w:fill="BFBFBF"/>
            <w:vAlign w:val="center"/>
          </w:tcPr>
          <w:p w14:paraId="3729FDF8" w14:textId="77777777" w:rsidR="00D07378" w:rsidRPr="00BE0BD5" w:rsidRDefault="00D07378" w:rsidP="00BA499D">
            <w:pPr>
              <w:jc w:val="center"/>
              <w:rPr>
                <w:b/>
                <w:sz w:val="20"/>
                <w:szCs w:val="20"/>
              </w:rPr>
            </w:pPr>
            <w:r>
              <w:rPr>
                <w:b/>
                <w:sz w:val="20"/>
                <w:szCs w:val="20"/>
              </w:rPr>
              <w:t>119%</w:t>
            </w:r>
          </w:p>
        </w:tc>
      </w:tr>
    </w:tbl>
    <w:p w14:paraId="782765AE" w14:textId="77777777" w:rsidR="00D07378" w:rsidRDefault="00D07378" w:rsidP="00D07378">
      <w:pPr>
        <w:spacing w:after="200" w:line="276" w:lineRule="auto"/>
        <w:rPr>
          <w:b/>
        </w:rPr>
      </w:pPr>
      <w:r>
        <w:rPr>
          <w:b/>
        </w:rPr>
        <w:br w:type="page"/>
      </w:r>
    </w:p>
    <w:p w14:paraId="1A74B2A8" w14:textId="77777777" w:rsidR="00D07378" w:rsidRDefault="00D07378" w:rsidP="00D07378">
      <w:pPr>
        <w:tabs>
          <w:tab w:val="left" w:pos="2300"/>
        </w:tabs>
        <w:spacing w:before="240" w:after="120"/>
        <w:jc w:val="both"/>
        <w:rPr>
          <w:b/>
        </w:rPr>
      </w:pPr>
      <w:r>
        <w:rPr>
          <w:b/>
        </w:rPr>
        <w:lastRenderedPageBreak/>
        <w:t>Tablica 4. I</w:t>
      </w:r>
      <w:r>
        <w:rPr>
          <w:rFonts w:eastAsia="Times New Roman" w:cstheme="minorHAnsi"/>
          <w:b/>
          <w:bCs/>
          <w:lang w:eastAsia="hr-HR"/>
        </w:rPr>
        <w:t xml:space="preserve">zvršenje prihodovnih usluga </w:t>
      </w:r>
      <w:r>
        <w:rPr>
          <w:b/>
        </w:rPr>
        <w:t>izmjena odobrenja</w:t>
      </w:r>
    </w:p>
    <w:tbl>
      <w:tblPr>
        <w:tblW w:w="5006" w:type="pct"/>
        <w:tblInd w:w="-10" w:type="dxa"/>
        <w:tblLayout w:type="fixed"/>
        <w:tblLook w:val="04A0" w:firstRow="1" w:lastRow="0" w:firstColumn="1" w:lastColumn="0" w:noHBand="0" w:noVBand="1"/>
      </w:tblPr>
      <w:tblGrid>
        <w:gridCol w:w="5048"/>
        <w:gridCol w:w="1484"/>
        <w:gridCol w:w="1484"/>
        <w:gridCol w:w="1473"/>
      </w:tblGrid>
      <w:tr w:rsidR="00D07378" w14:paraId="35C769A3" w14:textId="77777777" w:rsidTr="00BA499D">
        <w:trPr>
          <w:trHeight w:val="1035"/>
          <w:tblHeader/>
        </w:trPr>
        <w:tc>
          <w:tcPr>
            <w:tcW w:w="2660" w:type="pct"/>
            <w:tcBorders>
              <w:top w:val="single" w:sz="8" w:space="0" w:color="auto"/>
              <w:left w:val="single" w:sz="8" w:space="0" w:color="auto"/>
              <w:bottom w:val="single" w:sz="8" w:space="0" w:color="auto"/>
              <w:right w:val="single" w:sz="8" w:space="0" w:color="000000"/>
            </w:tcBorders>
            <w:shd w:val="clear" w:color="auto" w:fill="A3E7FF"/>
            <w:noWrap/>
            <w:vAlign w:val="center"/>
            <w:hideMark/>
          </w:tcPr>
          <w:p w14:paraId="09F6A6FC" w14:textId="77777777" w:rsidR="00D07378" w:rsidRDefault="00D07378" w:rsidP="00BA499D">
            <w:pPr>
              <w:spacing w:line="276" w:lineRule="auto"/>
              <w:rPr>
                <w:rFonts w:ascii="Calibri" w:eastAsia="Times New Roman" w:hAnsi="Calibri" w:cs="Calibri"/>
                <w:b/>
                <w:bCs/>
                <w:color w:val="000000"/>
                <w:sz w:val="18"/>
                <w:szCs w:val="18"/>
                <w:lang w:eastAsia="hr-HR"/>
              </w:rPr>
            </w:pPr>
            <w:r>
              <w:rPr>
                <w:rFonts w:eastAsia="Times New Roman" w:cstheme="minorHAnsi"/>
                <w:b/>
                <w:bCs/>
                <w:sz w:val="18"/>
                <w:szCs w:val="18"/>
                <w:lang w:eastAsia="hr-HR"/>
              </w:rPr>
              <w:t>Naziv usluge</w:t>
            </w:r>
          </w:p>
        </w:tc>
        <w:tc>
          <w:tcPr>
            <w:tcW w:w="782" w:type="pct"/>
            <w:tcBorders>
              <w:top w:val="single" w:sz="8" w:space="0" w:color="auto"/>
              <w:left w:val="nil"/>
              <w:bottom w:val="single" w:sz="8" w:space="0" w:color="auto"/>
              <w:right w:val="single" w:sz="8" w:space="0" w:color="auto"/>
            </w:tcBorders>
            <w:shd w:val="clear" w:color="auto" w:fill="A3E7FF"/>
            <w:vAlign w:val="center"/>
            <w:hideMark/>
          </w:tcPr>
          <w:p w14:paraId="5670BDC1" w14:textId="77777777" w:rsidR="00D07378" w:rsidRDefault="00D07378" w:rsidP="00BA499D">
            <w:pPr>
              <w:spacing w:line="276" w:lineRule="auto"/>
              <w:jc w:val="center"/>
              <w:rPr>
                <w:rFonts w:eastAsia="Times New Roman" w:cstheme="minorHAnsi"/>
                <w:b/>
                <w:bCs/>
                <w:sz w:val="18"/>
                <w:szCs w:val="18"/>
                <w:lang w:eastAsia="hr-HR"/>
              </w:rPr>
            </w:pPr>
            <w:r>
              <w:rPr>
                <w:rFonts w:eastAsia="Times New Roman" w:cstheme="minorHAnsi"/>
                <w:b/>
                <w:bCs/>
                <w:sz w:val="18"/>
                <w:szCs w:val="18"/>
                <w:lang w:eastAsia="hr-HR"/>
              </w:rPr>
              <w:t xml:space="preserve">Plan za </w:t>
            </w:r>
          </w:p>
          <w:p w14:paraId="3E2C7566" w14:textId="77777777" w:rsidR="00D07378" w:rsidRDefault="00D07378" w:rsidP="00BA499D">
            <w:pPr>
              <w:spacing w:line="276" w:lineRule="auto"/>
              <w:jc w:val="center"/>
              <w:rPr>
                <w:rFonts w:eastAsia="Times New Roman" w:cstheme="minorHAnsi"/>
                <w:b/>
                <w:bCs/>
                <w:sz w:val="18"/>
                <w:szCs w:val="18"/>
                <w:lang w:eastAsia="hr-HR"/>
              </w:rPr>
            </w:pPr>
            <w:r>
              <w:rPr>
                <w:rFonts w:eastAsia="Times New Roman" w:cstheme="minorHAnsi"/>
                <w:b/>
                <w:bCs/>
                <w:sz w:val="18"/>
                <w:szCs w:val="18"/>
                <w:lang w:eastAsia="hr-HR"/>
              </w:rPr>
              <w:t xml:space="preserve">2023. </w:t>
            </w:r>
          </w:p>
        </w:tc>
        <w:tc>
          <w:tcPr>
            <w:tcW w:w="782" w:type="pct"/>
            <w:tcBorders>
              <w:top w:val="single" w:sz="8" w:space="0" w:color="auto"/>
              <w:left w:val="nil"/>
              <w:bottom w:val="single" w:sz="8" w:space="0" w:color="auto"/>
              <w:right w:val="single" w:sz="8" w:space="0" w:color="auto"/>
            </w:tcBorders>
            <w:shd w:val="clear" w:color="auto" w:fill="A3E7FF"/>
            <w:vAlign w:val="center"/>
            <w:hideMark/>
          </w:tcPr>
          <w:p w14:paraId="4AA08D31" w14:textId="77777777" w:rsidR="00D07378" w:rsidRDefault="00D07378" w:rsidP="00BA499D">
            <w:pPr>
              <w:spacing w:line="276" w:lineRule="auto"/>
              <w:jc w:val="center"/>
              <w:rPr>
                <w:rFonts w:eastAsia="Times New Roman" w:cstheme="minorHAnsi"/>
                <w:b/>
                <w:bCs/>
                <w:sz w:val="18"/>
                <w:szCs w:val="18"/>
                <w:lang w:eastAsia="hr-HR"/>
              </w:rPr>
            </w:pPr>
            <w:r>
              <w:rPr>
                <w:rFonts w:eastAsia="Times New Roman" w:cstheme="minorHAnsi"/>
                <w:b/>
                <w:bCs/>
                <w:sz w:val="18"/>
                <w:szCs w:val="18"/>
                <w:lang w:eastAsia="hr-HR"/>
              </w:rPr>
              <w:t>Izvršenje</w:t>
            </w:r>
          </w:p>
          <w:p w14:paraId="0C55610D" w14:textId="77777777" w:rsidR="00D07378" w:rsidRDefault="00D07378" w:rsidP="00BA499D">
            <w:pPr>
              <w:spacing w:line="276" w:lineRule="auto"/>
              <w:jc w:val="center"/>
              <w:rPr>
                <w:rFonts w:eastAsia="Times New Roman" w:cstheme="minorHAnsi"/>
                <w:b/>
                <w:bCs/>
                <w:sz w:val="18"/>
                <w:szCs w:val="18"/>
                <w:lang w:eastAsia="hr-HR"/>
              </w:rPr>
            </w:pPr>
            <w:r>
              <w:rPr>
                <w:rFonts w:eastAsia="Times New Roman" w:cstheme="minorHAnsi"/>
                <w:b/>
                <w:bCs/>
                <w:sz w:val="18"/>
                <w:szCs w:val="18"/>
                <w:lang w:eastAsia="hr-HR"/>
              </w:rPr>
              <w:t xml:space="preserve"> 01.01.-31.12.2023. </w:t>
            </w:r>
          </w:p>
        </w:tc>
        <w:tc>
          <w:tcPr>
            <w:tcW w:w="776" w:type="pct"/>
            <w:tcBorders>
              <w:top w:val="single" w:sz="8" w:space="0" w:color="auto"/>
              <w:left w:val="nil"/>
              <w:bottom w:val="single" w:sz="8" w:space="0" w:color="auto"/>
              <w:right w:val="single" w:sz="8" w:space="0" w:color="auto"/>
            </w:tcBorders>
            <w:shd w:val="clear" w:color="auto" w:fill="A3E7FF"/>
            <w:vAlign w:val="center"/>
            <w:hideMark/>
          </w:tcPr>
          <w:p w14:paraId="4278F7CE" w14:textId="77777777" w:rsidR="00D07378" w:rsidRDefault="00D07378" w:rsidP="00BA499D">
            <w:pPr>
              <w:spacing w:line="276" w:lineRule="auto"/>
              <w:jc w:val="center"/>
              <w:rPr>
                <w:rFonts w:eastAsia="Times New Roman" w:cstheme="minorHAnsi"/>
                <w:b/>
                <w:bCs/>
                <w:sz w:val="18"/>
                <w:szCs w:val="18"/>
                <w:lang w:eastAsia="hr-HR"/>
              </w:rPr>
            </w:pPr>
            <w:r>
              <w:rPr>
                <w:rFonts w:eastAsia="Times New Roman" w:cstheme="minorHAnsi"/>
                <w:b/>
                <w:bCs/>
                <w:sz w:val="18"/>
                <w:szCs w:val="18"/>
                <w:lang w:eastAsia="hr-HR"/>
              </w:rPr>
              <w:t>% izvršenja</w:t>
            </w:r>
          </w:p>
        </w:tc>
      </w:tr>
      <w:tr w:rsidR="00D07378" w14:paraId="460CAB5B" w14:textId="77777777" w:rsidTr="00BA499D">
        <w:trPr>
          <w:trHeight w:val="142"/>
        </w:trPr>
        <w:tc>
          <w:tcPr>
            <w:tcW w:w="5000" w:type="pct"/>
            <w:gridSpan w:val="4"/>
            <w:tcBorders>
              <w:top w:val="single" w:sz="8" w:space="0" w:color="auto"/>
              <w:left w:val="single" w:sz="8" w:space="0" w:color="auto"/>
              <w:bottom w:val="single" w:sz="8" w:space="0" w:color="auto"/>
              <w:right w:val="single" w:sz="8" w:space="0" w:color="000000"/>
            </w:tcBorders>
            <w:noWrap/>
            <w:vAlign w:val="center"/>
            <w:hideMark/>
          </w:tcPr>
          <w:p w14:paraId="3E2C56D9" w14:textId="77777777" w:rsidR="00D07378" w:rsidRPr="00876025" w:rsidRDefault="00D07378" w:rsidP="00BA499D">
            <w:pPr>
              <w:spacing w:line="276" w:lineRule="auto"/>
              <w:rPr>
                <w:rFonts w:ascii="Calibri" w:eastAsia="Times New Roman" w:hAnsi="Calibri" w:cs="Calibri"/>
                <w:color w:val="000000"/>
                <w:sz w:val="18"/>
                <w:szCs w:val="18"/>
                <w:lang w:eastAsia="hr-HR"/>
              </w:rPr>
            </w:pPr>
            <w:r w:rsidRPr="00876025">
              <w:rPr>
                <w:rFonts w:ascii="Calibri" w:eastAsia="Times New Roman" w:hAnsi="Calibri" w:cs="Calibri"/>
                <w:color w:val="000000"/>
                <w:sz w:val="18"/>
                <w:szCs w:val="18"/>
                <w:lang w:eastAsia="hr-HR"/>
              </w:rPr>
              <w:t>Primjenjuje se za nacionalne postupke</w:t>
            </w:r>
          </w:p>
        </w:tc>
      </w:tr>
      <w:tr w:rsidR="00D07378" w14:paraId="53A39E7D" w14:textId="77777777" w:rsidTr="00BA499D">
        <w:trPr>
          <w:trHeight w:val="142"/>
        </w:trPr>
        <w:tc>
          <w:tcPr>
            <w:tcW w:w="5000" w:type="pct"/>
            <w:gridSpan w:val="4"/>
            <w:tcBorders>
              <w:top w:val="single" w:sz="8" w:space="0" w:color="auto"/>
              <w:left w:val="single" w:sz="8" w:space="0" w:color="auto"/>
              <w:bottom w:val="single" w:sz="8" w:space="0" w:color="auto"/>
              <w:right w:val="single" w:sz="8" w:space="0" w:color="000000"/>
            </w:tcBorders>
            <w:noWrap/>
            <w:vAlign w:val="center"/>
            <w:hideMark/>
          </w:tcPr>
          <w:p w14:paraId="6F16AACE" w14:textId="77777777" w:rsidR="00D07378" w:rsidRPr="00876025" w:rsidRDefault="00D07378" w:rsidP="00BA499D">
            <w:pPr>
              <w:spacing w:line="276" w:lineRule="auto"/>
              <w:rPr>
                <w:rFonts w:ascii="Calibri" w:eastAsia="Times New Roman" w:hAnsi="Calibri" w:cs="Calibri"/>
                <w:color w:val="000000"/>
                <w:sz w:val="18"/>
                <w:szCs w:val="18"/>
                <w:lang w:eastAsia="hr-HR"/>
              </w:rPr>
            </w:pPr>
            <w:r w:rsidRPr="00876025">
              <w:rPr>
                <w:rFonts w:ascii="Calibri" w:eastAsia="Times New Roman" w:hAnsi="Calibri" w:cs="Calibri"/>
                <w:color w:val="000000"/>
                <w:sz w:val="18"/>
                <w:szCs w:val="18"/>
                <w:lang w:eastAsia="hr-HR"/>
              </w:rPr>
              <w:t>3.1.Izmjena odobrenja za stavljanje lijeka u promet</w:t>
            </w:r>
          </w:p>
        </w:tc>
      </w:tr>
      <w:tr w:rsidR="00D07378" w14:paraId="5DF36EE4" w14:textId="77777777" w:rsidTr="00BA499D">
        <w:trPr>
          <w:trHeight w:val="142"/>
        </w:trPr>
        <w:tc>
          <w:tcPr>
            <w:tcW w:w="2660" w:type="pct"/>
            <w:tcBorders>
              <w:top w:val="single" w:sz="8" w:space="0" w:color="auto"/>
              <w:left w:val="single" w:sz="8" w:space="0" w:color="auto"/>
              <w:bottom w:val="single" w:sz="8" w:space="0" w:color="auto"/>
              <w:right w:val="single" w:sz="8" w:space="0" w:color="000000"/>
            </w:tcBorders>
            <w:noWrap/>
            <w:vAlign w:val="center"/>
            <w:hideMark/>
          </w:tcPr>
          <w:p w14:paraId="470412C7" w14:textId="77777777" w:rsidR="00D07378" w:rsidRPr="00876025" w:rsidRDefault="00D07378" w:rsidP="00BA499D">
            <w:pPr>
              <w:spacing w:line="276" w:lineRule="auto"/>
              <w:rPr>
                <w:rFonts w:ascii="Calibri" w:eastAsia="Times New Roman" w:hAnsi="Calibri" w:cs="Calibri"/>
                <w:color w:val="000000"/>
                <w:sz w:val="18"/>
                <w:szCs w:val="18"/>
                <w:lang w:eastAsia="hr-HR"/>
              </w:rPr>
            </w:pPr>
            <w:r w:rsidRPr="00876025">
              <w:rPr>
                <w:rFonts w:ascii="Calibri" w:eastAsia="Times New Roman" w:hAnsi="Calibri" w:cs="Calibri"/>
                <w:color w:val="000000"/>
                <w:sz w:val="18"/>
                <w:szCs w:val="18"/>
                <w:lang w:eastAsia="hr-HR"/>
              </w:rPr>
              <w:t>Manja izmjena (IA i IB)</w:t>
            </w:r>
          </w:p>
        </w:tc>
        <w:tc>
          <w:tcPr>
            <w:tcW w:w="782" w:type="pct"/>
            <w:tcBorders>
              <w:top w:val="nil"/>
              <w:left w:val="nil"/>
              <w:bottom w:val="single" w:sz="8" w:space="0" w:color="auto"/>
              <w:right w:val="single" w:sz="8" w:space="0" w:color="auto"/>
            </w:tcBorders>
            <w:vAlign w:val="center"/>
          </w:tcPr>
          <w:p w14:paraId="02512F51" w14:textId="77777777" w:rsidR="00D07378" w:rsidRPr="00236238" w:rsidRDefault="00D07378" w:rsidP="00BA499D">
            <w:pPr>
              <w:jc w:val="center"/>
              <w:rPr>
                <w:bCs/>
                <w:sz w:val="18"/>
                <w:szCs w:val="18"/>
              </w:rPr>
            </w:pPr>
            <w:r w:rsidRPr="00A12E28">
              <w:rPr>
                <w:bCs/>
                <w:sz w:val="20"/>
                <w:szCs w:val="20"/>
              </w:rPr>
              <w:t>3.770</w:t>
            </w:r>
          </w:p>
        </w:tc>
        <w:tc>
          <w:tcPr>
            <w:tcW w:w="782" w:type="pct"/>
            <w:tcBorders>
              <w:top w:val="nil"/>
              <w:left w:val="nil"/>
              <w:bottom w:val="single" w:sz="8" w:space="0" w:color="auto"/>
              <w:right w:val="single" w:sz="8" w:space="0" w:color="auto"/>
            </w:tcBorders>
            <w:vAlign w:val="center"/>
          </w:tcPr>
          <w:p w14:paraId="7F90F3CA" w14:textId="77777777" w:rsidR="00D07378" w:rsidRPr="00244EA9" w:rsidRDefault="00D07378" w:rsidP="00BA499D">
            <w:pPr>
              <w:jc w:val="center"/>
              <w:rPr>
                <w:bCs/>
                <w:sz w:val="18"/>
                <w:szCs w:val="18"/>
              </w:rPr>
            </w:pPr>
            <w:r w:rsidRPr="001D687C">
              <w:rPr>
                <w:bCs/>
                <w:sz w:val="20"/>
                <w:szCs w:val="20"/>
              </w:rPr>
              <w:t>3.497</w:t>
            </w:r>
          </w:p>
        </w:tc>
        <w:tc>
          <w:tcPr>
            <w:tcW w:w="776" w:type="pct"/>
            <w:tcBorders>
              <w:top w:val="nil"/>
              <w:left w:val="nil"/>
              <w:bottom w:val="single" w:sz="8" w:space="0" w:color="auto"/>
              <w:right w:val="single" w:sz="8" w:space="0" w:color="auto"/>
            </w:tcBorders>
            <w:vAlign w:val="center"/>
          </w:tcPr>
          <w:p w14:paraId="76E58385" w14:textId="77777777" w:rsidR="00D07378" w:rsidRPr="001E5BF3" w:rsidRDefault="00D07378" w:rsidP="00BA499D">
            <w:pPr>
              <w:jc w:val="center"/>
              <w:rPr>
                <w:sz w:val="18"/>
                <w:szCs w:val="18"/>
              </w:rPr>
            </w:pPr>
            <w:r w:rsidRPr="001E5BF3">
              <w:rPr>
                <w:sz w:val="20"/>
                <w:szCs w:val="20"/>
              </w:rPr>
              <w:t>93%</w:t>
            </w:r>
          </w:p>
        </w:tc>
      </w:tr>
      <w:tr w:rsidR="00D07378" w14:paraId="514026C2" w14:textId="77777777" w:rsidTr="00BA499D">
        <w:trPr>
          <w:trHeight w:val="142"/>
        </w:trPr>
        <w:tc>
          <w:tcPr>
            <w:tcW w:w="2660" w:type="pct"/>
            <w:tcBorders>
              <w:top w:val="single" w:sz="8" w:space="0" w:color="auto"/>
              <w:left w:val="single" w:sz="8" w:space="0" w:color="auto"/>
              <w:bottom w:val="single" w:sz="8" w:space="0" w:color="auto"/>
              <w:right w:val="single" w:sz="8" w:space="0" w:color="000000"/>
            </w:tcBorders>
            <w:noWrap/>
            <w:vAlign w:val="center"/>
            <w:hideMark/>
          </w:tcPr>
          <w:p w14:paraId="5EF1F81E" w14:textId="77777777" w:rsidR="00D07378" w:rsidRPr="00876025" w:rsidRDefault="00D07378" w:rsidP="00BA499D">
            <w:pPr>
              <w:spacing w:line="276" w:lineRule="auto"/>
              <w:rPr>
                <w:rFonts w:ascii="Calibri" w:eastAsia="Times New Roman" w:hAnsi="Calibri" w:cs="Calibri"/>
                <w:color w:val="000000"/>
                <w:sz w:val="18"/>
                <w:szCs w:val="18"/>
                <w:lang w:eastAsia="hr-HR"/>
              </w:rPr>
            </w:pPr>
            <w:r w:rsidRPr="00876025">
              <w:rPr>
                <w:rFonts w:ascii="Calibri" w:eastAsia="Times New Roman" w:hAnsi="Calibri" w:cs="Calibri"/>
                <w:color w:val="000000"/>
                <w:sz w:val="18"/>
                <w:szCs w:val="18"/>
                <w:lang w:eastAsia="hr-HR"/>
              </w:rPr>
              <w:t>Veća izmjena (II)</w:t>
            </w:r>
          </w:p>
        </w:tc>
        <w:tc>
          <w:tcPr>
            <w:tcW w:w="782" w:type="pct"/>
            <w:tcBorders>
              <w:top w:val="nil"/>
              <w:left w:val="nil"/>
              <w:bottom w:val="single" w:sz="8" w:space="0" w:color="auto"/>
              <w:right w:val="single" w:sz="8" w:space="0" w:color="auto"/>
            </w:tcBorders>
            <w:vAlign w:val="center"/>
          </w:tcPr>
          <w:p w14:paraId="03C88832" w14:textId="77777777" w:rsidR="00D07378" w:rsidRPr="00AF4743" w:rsidRDefault="00D07378" w:rsidP="00BA499D">
            <w:pPr>
              <w:jc w:val="center"/>
              <w:rPr>
                <w:sz w:val="18"/>
                <w:szCs w:val="18"/>
              </w:rPr>
            </w:pPr>
            <w:r>
              <w:rPr>
                <w:sz w:val="20"/>
                <w:szCs w:val="20"/>
              </w:rPr>
              <w:t>3.152</w:t>
            </w:r>
          </w:p>
        </w:tc>
        <w:tc>
          <w:tcPr>
            <w:tcW w:w="782" w:type="pct"/>
            <w:tcBorders>
              <w:top w:val="nil"/>
              <w:left w:val="nil"/>
              <w:bottom w:val="single" w:sz="8" w:space="0" w:color="auto"/>
              <w:right w:val="single" w:sz="8" w:space="0" w:color="auto"/>
            </w:tcBorders>
            <w:vAlign w:val="center"/>
          </w:tcPr>
          <w:p w14:paraId="3F1D8BDA" w14:textId="77777777" w:rsidR="00D07378" w:rsidRPr="00D17625" w:rsidRDefault="00D07378" w:rsidP="00BA499D">
            <w:pPr>
              <w:jc w:val="center"/>
              <w:rPr>
                <w:sz w:val="18"/>
                <w:szCs w:val="18"/>
              </w:rPr>
            </w:pPr>
            <w:r>
              <w:rPr>
                <w:sz w:val="20"/>
                <w:szCs w:val="20"/>
              </w:rPr>
              <w:t>3.115</w:t>
            </w:r>
          </w:p>
        </w:tc>
        <w:tc>
          <w:tcPr>
            <w:tcW w:w="776" w:type="pct"/>
            <w:tcBorders>
              <w:top w:val="nil"/>
              <w:left w:val="nil"/>
              <w:bottom w:val="single" w:sz="8" w:space="0" w:color="auto"/>
              <w:right w:val="single" w:sz="8" w:space="0" w:color="auto"/>
            </w:tcBorders>
            <w:vAlign w:val="center"/>
          </w:tcPr>
          <w:p w14:paraId="6B8B120B" w14:textId="77777777" w:rsidR="00D07378" w:rsidRPr="00D17625" w:rsidRDefault="00D07378" w:rsidP="00BA499D">
            <w:pPr>
              <w:jc w:val="center"/>
              <w:rPr>
                <w:sz w:val="18"/>
                <w:szCs w:val="18"/>
              </w:rPr>
            </w:pPr>
            <w:r>
              <w:rPr>
                <w:sz w:val="20"/>
                <w:szCs w:val="20"/>
              </w:rPr>
              <w:t>99%</w:t>
            </w:r>
          </w:p>
        </w:tc>
      </w:tr>
      <w:tr w:rsidR="00D07378" w14:paraId="5323F187" w14:textId="77777777" w:rsidTr="00BA499D">
        <w:trPr>
          <w:trHeight w:val="142"/>
        </w:trPr>
        <w:tc>
          <w:tcPr>
            <w:tcW w:w="2660" w:type="pct"/>
            <w:tcBorders>
              <w:top w:val="single" w:sz="8" w:space="0" w:color="auto"/>
              <w:left w:val="single" w:sz="8" w:space="0" w:color="auto"/>
              <w:bottom w:val="single" w:sz="8" w:space="0" w:color="auto"/>
              <w:right w:val="single" w:sz="8" w:space="0" w:color="000000"/>
            </w:tcBorders>
            <w:noWrap/>
            <w:vAlign w:val="center"/>
            <w:hideMark/>
          </w:tcPr>
          <w:p w14:paraId="251BB692" w14:textId="77777777" w:rsidR="00D07378" w:rsidRPr="00876025" w:rsidRDefault="00D07378" w:rsidP="00BA499D">
            <w:pPr>
              <w:spacing w:line="276" w:lineRule="auto"/>
              <w:rPr>
                <w:rFonts w:ascii="Calibri" w:eastAsia="Times New Roman" w:hAnsi="Calibri" w:cs="Calibri"/>
                <w:color w:val="000000"/>
                <w:sz w:val="18"/>
                <w:szCs w:val="18"/>
                <w:lang w:eastAsia="hr-HR"/>
              </w:rPr>
            </w:pPr>
            <w:r w:rsidRPr="00876025">
              <w:rPr>
                <w:rFonts w:ascii="Calibri" w:eastAsia="Times New Roman" w:hAnsi="Calibri" w:cs="Calibri"/>
                <w:color w:val="000000"/>
                <w:sz w:val="18"/>
                <w:szCs w:val="18"/>
                <w:lang w:eastAsia="hr-HR"/>
              </w:rPr>
              <w:t>3.2. Ostale izmjene</w:t>
            </w:r>
          </w:p>
        </w:tc>
        <w:tc>
          <w:tcPr>
            <w:tcW w:w="782" w:type="pct"/>
            <w:tcBorders>
              <w:top w:val="nil"/>
              <w:left w:val="nil"/>
              <w:bottom w:val="single" w:sz="8" w:space="0" w:color="auto"/>
              <w:right w:val="single" w:sz="8" w:space="0" w:color="auto"/>
            </w:tcBorders>
            <w:vAlign w:val="center"/>
          </w:tcPr>
          <w:p w14:paraId="3337CD91" w14:textId="77777777" w:rsidR="00D07378" w:rsidRPr="00AF4743" w:rsidRDefault="00D07378" w:rsidP="00BA499D">
            <w:pPr>
              <w:jc w:val="center"/>
              <w:rPr>
                <w:sz w:val="18"/>
                <w:szCs w:val="18"/>
              </w:rPr>
            </w:pPr>
            <w:r>
              <w:rPr>
                <w:sz w:val="20"/>
                <w:szCs w:val="20"/>
              </w:rPr>
              <w:t>177</w:t>
            </w:r>
          </w:p>
        </w:tc>
        <w:tc>
          <w:tcPr>
            <w:tcW w:w="782" w:type="pct"/>
            <w:tcBorders>
              <w:top w:val="nil"/>
              <w:left w:val="nil"/>
              <w:bottom w:val="single" w:sz="8" w:space="0" w:color="auto"/>
              <w:right w:val="single" w:sz="8" w:space="0" w:color="auto"/>
            </w:tcBorders>
            <w:vAlign w:val="center"/>
          </w:tcPr>
          <w:p w14:paraId="7ED5F4EF" w14:textId="77777777" w:rsidR="00D07378" w:rsidRPr="00D17625" w:rsidRDefault="00D07378" w:rsidP="00BA499D">
            <w:pPr>
              <w:jc w:val="center"/>
              <w:rPr>
                <w:sz w:val="18"/>
                <w:szCs w:val="18"/>
              </w:rPr>
            </w:pPr>
            <w:r>
              <w:rPr>
                <w:sz w:val="20"/>
                <w:szCs w:val="20"/>
              </w:rPr>
              <w:t>148</w:t>
            </w:r>
          </w:p>
        </w:tc>
        <w:tc>
          <w:tcPr>
            <w:tcW w:w="776" w:type="pct"/>
            <w:tcBorders>
              <w:top w:val="nil"/>
              <w:left w:val="nil"/>
              <w:bottom w:val="single" w:sz="8" w:space="0" w:color="auto"/>
              <w:right w:val="single" w:sz="8" w:space="0" w:color="auto"/>
            </w:tcBorders>
            <w:vAlign w:val="center"/>
          </w:tcPr>
          <w:p w14:paraId="71227D0B" w14:textId="77777777" w:rsidR="00D07378" w:rsidRPr="00D17625" w:rsidRDefault="00D07378" w:rsidP="00BA499D">
            <w:pPr>
              <w:jc w:val="center"/>
              <w:rPr>
                <w:sz w:val="18"/>
                <w:szCs w:val="18"/>
              </w:rPr>
            </w:pPr>
            <w:r>
              <w:rPr>
                <w:sz w:val="20"/>
                <w:szCs w:val="20"/>
              </w:rPr>
              <w:t>84%</w:t>
            </w:r>
          </w:p>
        </w:tc>
      </w:tr>
      <w:tr w:rsidR="00D07378" w14:paraId="2105B383" w14:textId="77777777" w:rsidTr="00BA499D">
        <w:trPr>
          <w:trHeight w:val="142"/>
        </w:trPr>
        <w:tc>
          <w:tcPr>
            <w:tcW w:w="2660" w:type="pct"/>
            <w:tcBorders>
              <w:top w:val="single" w:sz="8" w:space="0" w:color="auto"/>
              <w:left w:val="single" w:sz="8" w:space="0" w:color="auto"/>
              <w:bottom w:val="single" w:sz="8" w:space="0" w:color="auto"/>
              <w:right w:val="single" w:sz="8" w:space="0" w:color="000000"/>
            </w:tcBorders>
            <w:noWrap/>
            <w:vAlign w:val="center"/>
            <w:hideMark/>
          </w:tcPr>
          <w:p w14:paraId="24F59C7D" w14:textId="77777777" w:rsidR="00D07378" w:rsidRPr="00876025" w:rsidRDefault="00D07378" w:rsidP="00BA499D">
            <w:pPr>
              <w:spacing w:line="276" w:lineRule="auto"/>
              <w:rPr>
                <w:rFonts w:ascii="Calibri" w:eastAsia="Times New Roman" w:hAnsi="Calibri" w:cs="Calibri"/>
                <w:color w:val="000000"/>
                <w:sz w:val="18"/>
                <w:szCs w:val="18"/>
                <w:lang w:eastAsia="hr-HR"/>
              </w:rPr>
            </w:pPr>
            <w:r w:rsidRPr="00876025">
              <w:rPr>
                <w:rFonts w:ascii="Calibri" w:eastAsia="Times New Roman" w:hAnsi="Calibri" w:cs="Calibri"/>
                <w:color w:val="000000"/>
                <w:sz w:val="18"/>
                <w:szCs w:val="18"/>
                <w:lang w:eastAsia="hr-HR"/>
              </w:rPr>
              <w:t>3.3. Ukidanje odobrenja za stavljanje lijeka u promet</w:t>
            </w:r>
          </w:p>
        </w:tc>
        <w:tc>
          <w:tcPr>
            <w:tcW w:w="782" w:type="pct"/>
            <w:tcBorders>
              <w:top w:val="nil"/>
              <w:left w:val="nil"/>
              <w:bottom w:val="single" w:sz="8" w:space="0" w:color="auto"/>
              <w:right w:val="single" w:sz="8" w:space="0" w:color="auto"/>
            </w:tcBorders>
            <w:vAlign w:val="center"/>
          </w:tcPr>
          <w:p w14:paraId="7D813615" w14:textId="77777777" w:rsidR="00D07378" w:rsidRPr="00236238" w:rsidRDefault="00D07378" w:rsidP="00BA499D">
            <w:pPr>
              <w:jc w:val="center"/>
              <w:rPr>
                <w:bCs/>
                <w:sz w:val="18"/>
                <w:szCs w:val="18"/>
              </w:rPr>
            </w:pPr>
            <w:r w:rsidRPr="00A12E28">
              <w:rPr>
                <w:bCs/>
                <w:sz w:val="20"/>
                <w:szCs w:val="20"/>
              </w:rPr>
              <w:t>105</w:t>
            </w:r>
          </w:p>
        </w:tc>
        <w:tc>
          <w:tcPr>
            <w:tcW w:w="782" w:type="pct"/>
            <w:tcBorders>
              <w:top w:val="nil"/>
              <w:left w:val="nil"/>
              <w:bottom w:val="single" w:sz="8" w:space="0" w:color="auto"/>
              <w:right w:val="single" w:sz="8" w:space="0" w:color="auto"/>
            </w:tcBorders>
            <w:vAlign w:val="center"/>
          </w:tcPr>
          <w:p w14:paraId="6104B931" w14:textId="77777777" w:rsidR="00D07378" w:rsidRPr="00244EA9" w:rsidRDefault="00D07378" w:rsidP="00BA499D">
            <w:pPr>
              <w:jc w:val="center"/>
              <w:rPr>
                <w:bCs/>
                <w:sz w:val="18"/>
                <w:szCs w:val="18"/>
              </w:rPr>
            </w:pPr>
            <w:r w:rsidRPr="001D687C">
              <w:rPr>
                <w:bCs/>
                <w:sz w:val="20"/>
                <w:szCs w:val="20"/>
              </w:rPr>
              <w:t>73</w:t>
            </w:r>
          </w:p>
        </w:tc>
        <w:tc>
          <w:tcPr>
            <w:tcW w:w="776" w:type="pct"/>
            <w:tcBorders>
              <w:top w:val="nil"/>
              <w:left w:val="nil"/>
              <w:bottom w:val="single" w:sz="8" w:space="0" w:color="auto"/>
              <w:right w:val="single" w:sz="8" w:space="0" w:color="auto"/>
            </w:tcBorders>
            <w:vAlign w:val="center"/>
          </w:tcPr>
          <w:p w14:paraId="0D41667E" w14:textId="77777777" w:rsidR="00D07378" w:rsidRPr="001E5BF3" w:rsidRDefault="00D07378" w:rsidP="00BA499D">
            <w:pPr>
              <w:jc w:val="center"/>
              <w:rPr>
                <w:sz w:val="18"/>
                <w:szCs w:val="18"/>
              </w:rPr>
            </w:pPr>
            <w:r w:rsidRPr="001E5BF3">
              <w:rPr>
                <w:sz w:val="20"/>
                <w:szCs w:val="20"/>
              </w:rPr>
              <w:t>70%</w:t>
            </w:r>
          </w:p>
        </w:tc>
      </w:tr>
      <w:tr w:rsidR="00D07378" w14:paraId="0435819C" w14:textId="77777777" w:rsidTr="00BA499D">
        <w:trPr>
          <w:trHeight w:val="142"/>
        </w:trPr>
        <w:tc>
          <w:tcPr>
            <w:tcW w:w="2660" w:type="pct"/>
            <w:tcBorders>
              <w:top w:val="single" w:sz="8" w:space="0" w:color="auto"/>
              <w:left w:val="single" w:sz="8" w:space="0" w:color="auto"/>
              <w:bottom w:val="single" w:sz="8" w:space="0" w:color="auto"/>
              <w:right w:val="single" w:sz="8" w:space="0" w:color="000000"/>
            </w:tcBorders>
            <w:noWrap/>
            <w:vAlign w:val="center"/>
            <w:hideMark/>
          </w:tcPr>
          <w:p w14:paraId="72C463DB" w14:textId="77777777" w:rsidR="00D07378" w:rsidRPr="00876025" w:rsidRDefault="00D07378" w:rsidP="00BA499D">
            <w:pPr>
              <w:spacing w:line="276" w:lineRule="auto"/>
              <w:rPr>
                <w:rFonts w:ascii="Calibri" w:eastAsia="Times New Roman" w:hAnsi="Calibri" w:cs="Calibri"/>
                <w:color w:val="000000"/>
                <w:sz w:val="18"/>
                <w:szCs w:val="18"/>
                <w:lang w:eastAsia="hr-HR"/>
              </w:rPr>
            </w:pPr>
            <w:r w:rsidRPr="00876025">
              <w:rPr>
                <w:rFonts w:ascii="Calibri" w:eastAsia="Times New Roman" w:hAnsi="Calibri" w:cs="Calibri"/>
                <w:color w:val="000000"/>
                <w:sz w:val="18"/>
                <w:szCs w:val="18"/>
                <w:lang w:eastAsia="hr-HR"/>
              </w:rPr>
              <w:t>3.4. Davanje Izvješća o dokumentaciji o lijeku izvan postupka davanja odobrenja za stavljanje u promet lijeka</w:t>
            </w:r>
          </w:p>
        </w:tc>
        <w:tc>
          <w:tcPr>
            <w:tcW w:w="782" w:type="pct"/>
            <w:tcBorders>
              <w:top w:val="nil"/>
              <w:left w:val="nil"/>
              <w:bottom w:val="single" w:sz="8" w:space="0" w:color="auto"/>
              <w:right w:val="single" w:sz="8" w:space="0" w:color="auto"/>
            </w:tcBorders>
            <w:vAlign w:val="center"/>
          </w:tcPr>
          <w:p w14:paraId="7337BC65" w14:textId="77777777" w:rsidR="00D07378" w:rsidRPr="00236238" w:rsidRDefault="00D07378" w:rsidP="00BA499D">
            <w:pPr>
              <w:jc w:val="center"/>
              <w:rPr>
                <w:bCs/>
                <w:sz w:val="18"/>
                <w:szCs w:val="18"/>
              </w:rPr>
            </w:pPr>
            <w:r w:rsidRPr="00A12E28">
              <w:rPr>
                <w:bCs/>
                <w:sz w:val="20"/>
                <w:szCs w:val="20"/>
              </w:rPr>
              <w:t>0</w:t>
            </w:r>
          </w:p>
        </w:tc>
        <w:tc>
          <w:tcPr>
            <w:tcW w:w="782" w:type="pct"/>
            <w:tcBorders>
              <w:top w:val="nil"/>
              <w:left w:val="nil"/>
              <w:bottom w:val="single" w:sz="8" w:space="0" w:color="auto"/>
              <w:right w:val="single" w:sz="8" w:space="0" w:color="auto"/>
            </w:tcBorders>
            <w:vAlign w:val="center"/>
          </w:tcPr>
          <w:p w14:paraId="3C436800" w14:textId="77777777" w:rsidR="00D07378" w:rsidRPr="00236238" w:rsidRDefault="00D07378" w:rsidP="00BA499D">
            <w:pPr>
              <w:jc w:val="center"/>
              <w:rPr>
                <w:bCs/>
                <w:sz w:val="18"/>
                <w:szCs w:val="18"/>
              </w:rPr>
            </w:pPr>
            <w:r>
              <w:rPr>
                <w:bCs/>
                <w:sz w:val="20"/>
                <w:szCs w:val="20"/>
              </w:rPr>
              <w:t>0</w:t>
            </w:r>
          </w:p>
        </w:tc>
        <w:tc>
          <w:tcPr>
            <w:tcW w:w="776" w:type="pct"/>
            <w:tcBorders>
              <w:top w:val="nil"/>
              <w:left w:val="nil"/>
              <w:bottom w:val="single" w:sz="8" w:space="0" w:color="auto"/>
              <w:right w:val="single" w:sz="8" w:space="0" w:color="auto"/>
            </w:tcBorders>
            <w:vAlign w:val="center"/>
          </w:tcPr>
          <w:p w14:paraId="00F9A4D7" w14:textId="77777777" w:rsidR="00D07378" w:rsidRPr="00236238" w:rsidRDefault="00D07378" w:rsidP="00BA499D">
            <w:pPr>
              <w:jc w:val="center"/>
              <w:rPr>
                <w:bCs/>
                <w:sz w:val="18"/>
                <w:szCs w:val="18"/>
              </w:rPr>
            </w:pPr>
            <w:r>
              <w:rPr>
                <w:sz w:val="20"/>
                <w:szCs w:val="20"/>
              </w:rPr>
              <w:t>-</w:t>
            </w:r>
          </w:p>
        </w:tc>
      </w:tr>
      <w:tr w:rsidR="00D07378" w14:paraId="1495FD1F" w14:textId="77777777" w:rsidTr="00BA499D">
        <w:trPr>
          <w:trHeight w:val="315"/>
        </w:trPr>
        <w:tc>
          <w:tcPr>
            <w:tcW w:w="2660" w:type="pct"/>
            <w:tcBorders>
              <w:top w:val="single" w:sz="8" w:space="0" w:color="auto"/>
              <w:left w:val="single" w:sz="8" w:space="0" w:color="auto"/>
              <w:bottom w:val="single" w:sz="8" w:space="0" w:color="auto"/>
              <w:right w:val="single" w:sz="8" w:space="0" w:color="000000"/>
            </w:tcBorders>
            <w:shd w:val="clear" w:color="auto" w:fill="BFBFBF"/>
            <w:noWrap/>
            <w:vAlign w:val="center"/>
            <w:hideMark/>
          </w:tcPr>
          <w:p w14:paraId="13B9E550" w14:textId="77777777" w:rsidR="00D07378" w:rsidRPr="003A4928" w:rsidRDefault="00D07378" w:rsidP="00BA499D">
            <w:pPr>
              <w:spacing w:line="276" w:lineRule="auto"/>
              <w:rPr>
                <w:rFonts w:ascii="Calibri" w:eastAsia="Times New Roman" w:hAnsi="Calibri" w:cs="Calibri"/>
                <w:b/>
                <w:bCs/>
                <w:color w:val="000000"/>
                <w:sz w:val="20"/>
                <w:szCs w:val="20"/>
                <w:lang w:eastAsia="hr-HR"/>
              </w:rPr>
            </w:pPr>
            <w:r w:rsidRPr="003A4928">
              <w:rPr>
                <w:rFonts w:ascii="Calibri" w:eastAsia="Times New Roman" w:hAnsi="Calibri" w:cs="Calibri"/>
                <w:b/>
                <w:bCs/>
                <w:color w:val="000000"/>
                <w:sz w:val="20"/>
                <w:szCs w:val="20"/>
                <w:lang w:eastAsia="hr-HR"/>
              </w:rPr>
              <w:t>UKUPNO ZA NACIONALNE POSTUPKE:</w:t>
            </w:r>
          </w:p>
        </w:tc>
        <w:tc>
          <w:tcPr>
            <w:tcW w:w="782" w:type="pct"/>
            <w:tcBorders>
              <w:top w:val="nil"/>
              <w:left w:val="nil"/>
              <w:bottom w:val="single" w:sz="8" w:space="0" w:color="auto"/>
              <w:right w:val="single" w:sz="8" w:space="0" w:color="auto"/>
            </w:tcBorders>
            <w:shd w:val="clear" w:color="auto" w:fill="BFBFBF"/>
            <w:vAlign w:val="center"/>
          </w:tcPr>
          <w:p w14:paraId="5D9EF068" w14:textId="77777777" w:rsidR="00D07378" w:rsidRDefault="00D07378" w:rsidP="00BA499D">
            <w:pPr>
              <w:jc w:val="center"/>
              <w:rPr>
                <w:b/>
                <w:bCs/>
                <w:sz w:val="20"/>
                <w:szCs w:val="20"/>
              </w:rPr>
            </w:pPr>
            <w:r>
              <w:rPr>
                <w:b/>
                <w:bCs/>
                <w:sz w:val="20"/>
                <w:szCs w:val="20"/>
              </w:rPr>
              <w:t>7.204</w:t>
            </w:r>
          </w:p>
        </w:tc>
        <w:tc>
          <w:tcPr>
            <w:tcW w:w="782" w:type="pct"/>
            <w:tcBorders>
              <w:top w:val="nil"/>
              <w:left w:val="nil"/>
              <w:bottom w:val="single" w:sz="8" w:space="0" w:color="auto"/>
              <w:right w:val="single" w:sz="8" w:space="0" w:color="auto"/>
            </w:tcBorders>
            <w:shd w:val="clear" w:color="auto" w:fill="BFBFBF"/>
            <w:vAlign w:val="center"/>
          </w:tcPr>
          <w:p w14:paraId="3579A526" w14:textId="77777777" w:rsidR="00D07378" w:rsidRPr="00EE78E6" w:rsidRDefault="00D07378" w:rsidP="00BA499D">
            <w:pPr>
              <w:jc w:val="center"/>
              <w:rPr>
                <w:b/>
                <w:bCs/>
                <w:sz w:val="20"/>
                <w:szCs w:val="20"/>
              </w:rPr>
            </w:pPr>
            <w:r>
              <w:rPr>
                <w:b/>
                <w:bCs/>
                <w:sz w:val="20"/>
                <w:szCs w:val="20"/>
              </w:rPr>
              <w:t>6.833</w:t>
            </w:r>
          </w:p>
        </w:tc>
        <w:tc>
          <w:tcPr>
            <w:tcW w:w="776" w:type="pct"/>
            <w:tcBorders>
              <w:top w:val="nil"/>
              <w:left w:val="nil"/>
              <w:bottom w:val="single" w:sz="8" w:space="0" w:color="auto"/>
              <w:right w:val="single" w:sz="8" w:space="0" w:color="auto"/>
            </w:tcBorders>
            <w:shd w:val="clear" w:color="auto" w:fill="BFBFBF"/>
            <w:vAlign w:val="center"/>
          </w:tcPr>
          <w:p w14:paraId="16C166EB" w14:textId="77777777" w:rsidR="00D07378" w:rsidRPr="00EE78E6" w:rsidRDefault="00D07378" w:rsidP="00BA499D">
            <w:pPr>
              <w:jc w:val="center"/>
              <w:rPr>
                <w:b/>
                <w:bCs/>
                <w:sz w:val="20"/>
                <w:szCs w:val="20"/>
              </w:rPr>
            </w:pPr>
            <w:r>
              <w:rPr>
                <w:b/>
                <w:sz w:val="20"/>
                <w:szCs w:val="20"/>
              </w:rPr>
              <w:t>95%</w:t>
            </w:r>
          </w:p>
        </w:tc>
      </w:tr>
    </w:tbl>
    <w:p w14:paraId="591C4722" w14:textId="77777777" w:rsidR="00D07378" w:rsidRDefault="00D07378" w:rsidP="00D07378">
      <w:pPr>
        <w:rPr>
          <w:rFonts w:ascii="Calibri" w:eastAsia="Times New Roman" w:hAnsi="Calibri" w:cs="Times New Roman"/>
          <w:bCs/>
          <w:color w:val="000000"/>
          <w:lang w:eastAsia="hr-HR"/>
        </w:rPr>
      </w:pPr>
    </w:p>
    <w:tbl>
      <w:tblPr>
        <w:tblW w:w="5000" w:type="pct"/>
        <w:tblLayout w:type="fixed"/>
        <w:tblLook w:val="04A0" w:firstRow="1" w:lastRow="0" w:firstColumn="1" w:lastColumn="0" w:noHBand="0" w:noVBand="1"/>
      </w:tblPr>
      <w:tblGrid>
        <w:gridCol w:w="5037"/>
        <w:gridCol w:w="1482"/>
        <w:gridCol w:w="1486"/>
        <w:gridCol w:w="1473"/>
      </w:tblGrid>
      <w:tr w:rsidR="00D07378" w14:paraId="6A5D7B65" w14:textId="77777777" w:rsidTr="00BA499D">
        <w:trPr>
          <w:trHeight w:val="142"/>
        </w:trPr>
        <w:tc>
          <w:tcPr>
            <w:tcW w:w="5000" w:type="pct"/>
            <w:gridSpan w:val="4"/>
            <w:tcBorders>
              <w:top w:val="single" w:sz="8" w:space="0" w:color="auto"/>
              <w:left w:val="single" w:sz="8" w:space="0" w:color="auto"/>
              <w:bottom w:val="single" w:sz="8" w:space="0" w:color="auto"/>
              <w:right w:val="single" w:sz="8" w:space="0" w:color="000000"/>
            </w:tcBorders>
            <w:noWrap/>
            <w:vAlign w:val="center"/>
            <w:hideMark/>
          </w:tcPr>
          <w:p w14:paraId="2CE1B806" w14:textId="77777777" w:rsidR="00D07378" w:rsidRDefault="00D07378" w:rsidP="00BA499D">
            <w:pPr>
              <w:spacing w:line="276" w:lineRule="auto"/>
              <w:rPr>
                <w:rFonts w:ascii="Calibri" w:eastAsia="Times New Roman" w:hAnsi="Calibri" w:cs="Calibri"/>
                <w:color w:val="000000"/>
                <w:sz w:val="18"/>
                <w:szCs w:val="18"/>
                <w:lang w:eastAsia="hr-HR"/>
              </w:rPr>
            </w:pPr>
            <w:r>
              <w:rPr>
                <w:rFonts w:ascii="Calibri" w:eastAsia="Times New Roman" w:hAnsi="Calibri" w:cs="Calibri"/>
                <w:color w:val="000000"/>
                <w:sz w:val="18"/>
                <w:szCs w:val="18"/>
                <w:lang w:eastAsia="hr-HR"/>
              </w:rPr>
              <w:t>Primjenjuje se za MRP/DCP postupke</w:t>
            </w:r>
          </w:p>
        </w:tc>
      </w:tr>
      <w:tr w:rsidR="00D07378" w14:paraId="6A359790" w14:textId="77777777" w:rsidTr="00BA499D">
        <w:trPr>
          <w:trHeight w:val="142"/>
        </w:trPr>
        <w:tc>
          <w:tcPr>
            <w:tcW w:w="5000" w:type="pct"/>
            <w:gridSpan w:val="4"/>
            <w:tcBorders>
              <w:top w:val="single" w:sz="8" w:space="0" w:color="auto"/>
              <w:left w:val="single" w:sz="8" w:space="0" w:color="auto"/>
              <w:bottom w:val="single" w:sz="8" w:space="0" w:color="auto"/>
              <w:right w:val="single" w:sz="8" w:space="0" w:color="000000"/>
            </w:tcBorders>
            <w:vAlign w:val="center"/>
            <w:hideMark/>
          </w:tcPr>
          <w:p w14:paraId="1F53BAE5" w14:textId="77777777" w:rsidR="00D07378" w:rsidRDefault="00D07378" w:rsidP="00BA499D">
            <w:pPr>
              <w:spacing w:line="276" w:lineRule="auto"/>
              <w:rPr>
                <w:rFonts w:ascii="Calibri" w:eastAsia="Times New Roman" w:hAnsi="Calibri" w:cs="Calibri"/>
                <w:color w:val="000000"/>
                <w:sz w:val="18"/>
                <w:szCs w:val="18"/>
                <w:lang w:eastAsia="hr-HR"/>
              </w:rPr>
            </w:pPr>
            <w:r>
              <w:rPr>
                <w:rFonts w:ascii="Calibri" w:eastAsia="Times New Roman" w:hAnsi="Calibri" w:cs="Calibri"/>
                <w:color w:val="000000"/>
                <w:sz w:val="18"/>
                <w:szCs w:val="18"/>
                <w:lang w:eastAsia="hr-HR"/>
              </w:rPr>
              <w:t>3.5. Izmjene odobrenja za stavljanje lijeka (uključujući alergene) i homeopatskog lijeka u promet</w:t>
            </w:r>
          </w:p>
        </w:tc>
      </w:tr>
      <w:tr w:rsidR="00D07378" w14:paraId="43A32831" w14:textId="77777777" w:rsidTr="00BA499D">
        <w:trPr>
          <w:trHeight w:val="142"/>
        </w:trPr>
        <w:tc>
          <w:tcPr>
            <w:tcW w:w="2657" w:type="pct"/>
            <w:tcBorders>
              <w:top w:val="single" w:sz="8" w:space="0" w:color="auto"/>
              <w:left w:val="single" w:sz="8" w:space="0" w:color="auto"/>
              <w:bottom w:val="single" w:sz="8" w:space="0" w:color="auto"/>
              <w:right w:val="single" w:sz="8" w:space="0" w:color="000000"/>
            </w:tcBorders>
            <w:noWrap/>
            <w:vAlign w:val="center"/>
            <w:hideMark/>
          </w:tcPr>
          <w:p w14:paraId="25046E3E" w14:textId="77777777" w:rsidR="00D07378" w:rsidRPr="00876025" w:rsidRDefault="00D07378" w:rsidP="00BA499D">
            <w:pPr>
              <w:spacing w:line="276" w:lineRule="auto"/>
              <w:rPr>
                <w:rFonts w:ascii="Calibri" w:eastAsia="Times New Roman" w:hAnsi="Calibri" w:cs="Calibri"/>
                <w:color w:val="000000"/>
                <w:sz w:val="18"/>
                <w:szCs w:val="18"/>
                <w:lang w:eastAsia="hr-HR"/>
              </w:rPr>
            </w:pPr>
            <w:r w:rsidRPr="00876025">
              <w:rPr>
                <w:rFonts w:ascii="Calibri" w:eastAsia="Times New Roman" w:hAnsi="Calibri" w:cs="Calibri"/>
                <w:color w:val="000000"/>
                <w:sz w:val="18"/>
                <w:szCs w:val="18"/>
                <w:lang w:eastAsia="hr-HR"/>
              </w:rPr>
              <w:t>3.5.1 Manja izmjena (IA i IB) u postupku međusobnog priznavanja/decentraliziranom postupku u slučaju kada je RH referentna zemlja članica</w:t>
            </w:r>
          </w:p>
        </w:tc>
        <w:tc>
          <w:tcPr>
            <w:tcW w:w="782" w:type="pct"/>
            <w:tcBorders>
              <w:top w:val="nil"/>
              <w:left w:val="nil"/>
              <w:bottom w:val="single" w:sz="8" w:space="0" w:color="auto"/>
              <w:right w:val="single" w:sz="8" w:space="0" w:color="auto"/>
            </w:tcBorders>
            <w:vAlign w:val="center"/>
          </w:tcPr>
          <w:p w14:paraId="36060ED3" w14:textId="77777777" w:rsidR="00D07378" w:rsidRPr="00236238" w:rsidRDefault="00D07378" w:rsidP="00BA499D">
            <w:pPr>
              <w:jc w:val="center"/>
              <w:rPr>
                <w:bCs/>
                <w:sz w:val="18"/>
                <w:szCs w:val="18"/>
              </w:rPr>
            </w:pPr>
            <w:r w:rsidRPr="00A12E28">
              <w:rPr>
                <w:bCs/>
                <w:sz w:val="20"/>
                <w:szCs w:val="20"/>
              </w:rPr>
              <w:t>456</w:t>
            </w:r>
          </w:p>
        </w:tc>
        <w:tc>
          <w:tcPr>
            <w:tcW w:w="784" w:type="pct"/>
            <w:tcBorders>
              <w:top w:val="nil"/>
              <w:left w:val="nil"/>
              <w:bottom w:val="single" w:sz="8" w:space="0" w:color="auto"/>
              <w:right w:val="single" w:sz="8" w:space="0" w:color="auto"/>
            </w:tcBorders>
            <w:vAlign w:val="center"/>
          </w:tcPr>
          <w:p w14:paraId="21738760" w14:textId="77777777" w:rsidR="00D07378" w:rsidRPr="00244EA9" w:rsidRDefault="00D07378" w:rsidP="00BA499D">
            <w:pPr>
              <w:jc w:val="center"/>
              <w:rPr>
                <w:bCs/>
                <w:sz w:val="18"/>
                <w:szCs w:val="18"/>
              </w:rPr>
            </w:pPr>
            <w:r w:rsidRPr="001D687C">
              <w:rPr>
                <w:bCs/>
                <w:sz w:val="20"/>
                <w:szCs w:val="20"/>
              </w:rPr>
              <w:t>357</w:t>
            </w:r>
          </w:p>
        </w:tc>
        <w:tc>
          <w:tcPr>
            <w:tcW w:w="777" w:type="pct"/>
            <w:tcBorders>
              <w:top w:val="nil"/>
              <w:left w:val="nil"/>
              <w:bottom w:val="single" w:sz="8" w:space="0" w:color="auto"/>
              <w:right w:val="single" w:sz="8" w:space="0" w:color="auto"/>
            </w:tcBorders>
            <w:vAlign w:val="center"/>
          </w:tcPr>
          <w:p w14:paraId="681D35BB" w14:textId="77777777" w:rsidR="00D07378" w:rsidRPr="00FF7858" w:rsidRDefault="00D07378" w:rsidP="00BA499D">
            <w:pPr>
              <w:jc w:val="center"/>
              <w:rPr>
                <w:sz w:val="18"/>
                <w:szCs w:val="18"/>
              </w:rPr>
            </w:pPr>
            <w:r w:rsidRPr="00FF7858">
              <w:rPr>
                <w:sz w:val="20"/>
                <w:szCs w:val="20"/>
              </w:rPr>
              <w:t>78%</w:t>
            </w:r>
          </w:p>
        </w:tc>
      </w:tr>
      <w:tr w:rsidR="00D07378" w14:paraId="5392940C" w14:textId="77777777" w:rsidTr="00BA499D">
        <w:trPr>
          <w:trHeight w:val="142"/>
        </w:trPr>
        <w:tc>
          <w:tcPr>
            <w:tcW w:w="2657" w:type="pct"/>
            <w:tcBorders>
              <w:top w:val="single" w:sz="8" w:space="0" w:color="auto"/>
              <w:left w:val="single" w:sz="8" w:space="0" w:color="auto"/>
              <w:bottom w:val="single" w:sz="8" w:space="0" w:color="auto"/>
              <w:right w:val="single" w:sz="8" w:space="0" w:color="000000"/>
            </w:tcBorders>
            <w:noWrap/>
            <w:vAlign w:val="center"/>
            <w:hideMark/>
          </w:tcPr>
          <w:p w14:paraId="6549B0CC" w14:textId="77777777" w:rsidR="00D07378" w:rsidRPr="00876025" w:rsidRDefault="00D07378" w:rsidP="00BA499D">
            <w:pPr>
              <w:spacing w:line="276" w:lineRule="auto"/>
              <w:rPr>
                <w:rFonts w:ascii="Calibri" w:eastAsia="Times New Roman" w:hAnsi="Calibri" w:cs="Calibri"/>
                <w:color w:val="000000"/>
                <w:sz w:val="18"/>
                <w:szCs w:val="18"/>
                <w:lang w:eastAsia="hr-HR"/>
              </w:rPr>
            </w:pPr>
            <w:r w:rsidRPr="00876025">
              <w:rPr>
                <w:rFonts w:ascii="Calibri" w:eastAsia="Times New Roman" w:hAnsi="Calibri" w:cs="Calibri"/>
                <w:color w:val="000000"/>
                <w:sz w:val="18"/>
                <w:szCs w:val="18"/>
                <w:lang w:eastAsia="hr-HR"/>
              </w:rPr>
              <w:t>3.5.2 Veća izmjena (II) u postupku međusobnog priznavanja/decentraliziranom postupku u slučaju kada je RH referentna zemlja članica</w:t>
            </w:r>
          </w:p>
        </w:tc>
        <w:tc>
          <w:tcPr>
            <w:tcW w:w="782" w:type="pct"/>
            <w:tcBorders>
              <w:top w:val="nil"/>
              <w:left w:val="nil"/>
              <w:bottom w:val="single" w:sz="8" w:space="0" w:color="auto"/>
              <w:right w:val="single" w:sz="8" w:space="0" w:color="auto"/>
            </w:tcBorders>
            <w:vAlign w:val="center"/>
          </w:tcPr>
          <w:p w14:paraId="57106982" w14:textId="77777777" w:rsidR="00D07378" w:rsidRPr="00236238" w:rsidRDefault="00D07378" w:rsidP="00BA499D">
            <w:pPr>
              <w:jc w:val="center"/>
              <w:rPr>
                <w:bCs/>
                <w:sz w:val="18"/>
                <w:szCs w:val="18"/>
              </w:rPr>
            </w:pPr>
            <w:r w:rsidRPr="00A12E28">
              <w:rPr>
                <w:bCs/>
                <w:sz w:val="20"/>
                <w:szCs w:val="20"/>
              </w:rPr>
              <w:t>24</w:t>
            </w:r>
          </w:p>
        </w:tc>
        <w:tc>
          <w:tcPr>
            <w:tcW w:w="784" w:type="pct"/>
            <w:tcBorders>
              <w:top w:val="nil"/>
              <w:left w:val="nil"/>
              <w:bottom w:val="single" w:sz="8" w:space="0" w:color="auto"/>
              <w:right w:val="single" w:sz="8" w:space="0" w:color="auto"/>
            </w:tcBorders>
            <w:vAlign w:val="center"/>
          </w:tcPr>
          <w:p w14:paraId="2BAC938B" w14:textId="77777777" w:rsidR="00D07378" w:rsidRPr="00244EA9" w:rsidRDefault="00D07378" w:rsidP="00BA499D">
            <w:pPr>
              <w:jc w:val="center"/>
              <w:rPr>
                <w:bCs/>
                <w:sz w:val="18"/>
                <w:szCs w:val="18"/>
              </w:rPr>
            </w:pPr>
            <w:r w:rsidRPr="001D687C">
              <w:rPr>
                <w:bCs/>
                <w:sz w:val="20"/>
                <w:szCs w:val="20"/>
              </w:rPr>
              <w:t>43</w:t>
            </w:r>
          </w:p>
        </w:tc>
        <w:tc>
          <w:tcPr>
            <w:tcW w:w="777" w:type="pct"/>
            <w:tcBorders>
              <w:top w:val="nil"/>
              <w:left w:val="nil"/>
              <w:bottom w:val="single" w:sz="8" w:space="0" w:color="auto"/>
              <w:right w:val="single" w:sz="8" w:space="0" w:color="auto"/>
            </w:tcBorders>
            <w:vAlign w:val="center"/>
          </w:tcPr>
          <w:p w14:paraId="16A503E1" w14:textId="77777777" w:rsidR="00D07378" w:rsidRPr="00FF7858" w:rsidRDefault="00D07378" w:rsidP="00BA499D">
            <w:pPr>
              <w:jc w:val="center"/>
              <w:rPr>
                <w:sz w:val="18"/>
                <w:szCs w:val="18"/>
              </w:rPr>
            </w:pPr>
            <w:r w:rsidRPr="00FF7858">
              <w:rPr>
                <w:sz w:val="20"/>
                <w:szCs w:val="20"/>
              </w:rPr>
              <w:t>179%</w:t>
            </w:r>
          </w:p>
        </w:tc>
      </w:tr>
      <w:tr w:rsidR="00D07378" w14:paraId="1B1319A8" w14:textId="77777777" w:rsidTr="00BA499D">
        <w:trPr>
          <w:trHeight w:val="142"/>
        </w:trPr>
        <w:tc>
          <w:tcPr>
            <w:tcW w:w="2657" w:type="pct"/>
            <w:tcBorders>
              <w:top w:val="single" w:sz="8" w:space="0" w:color="auto"/>
              <w:left w:val="single" w:sz="8" w:space="0" w:color="auto"/>
              <w:bottom w:val="single" w:sz="8" w:space="0" w:color="auto"/>
              <w:right w:val="single" w:sz="8" w:space="0" w:color="000000"/>
            </w:tcBorders>
            <w:noWrap/>
            <w:vAlign w:val="center"/>
            <w:hideMark/>
          </w:tcPr>
          <w:p w14:paraId="39466AE0" w14:textId="77777777" w:rsidR="00D07378" w:rsidRPr="00876025" w:rsidRDefault="00D07378" w:rsidP="00BA499D">
            <w:pPr>
              <w:spacing w:line="276" w:lineRule="auto"/>
              <w:rPr>
                <w:rFonts w:ascii="Calibri" w:eastAsia="Times New Roman" w:hAnsi="Calibri" w:cs="Calibri"/>
                <w:color w:val="000000"/>
                <w:sz w:val="18"/>
                <w:szCs w:val="18"/>
                <w:lang w:eastAsia="hr-HR"/>
              </w:rPr>
            </w:pPr>
            <w:r w:rsidRPr="00876025">
              <w:rPr>
                <w:rFonts w:ascii="Calibri" w:eastAsia="Times New Roman" w:hAnsi="Calibri" w:cs="Calibri"/>
                <w:color w:val="000000"/>
                <w:sz w:val="18"/>
                <w:szCs w:val="18"/>
                <w:lang w:eastAsia="hr-HR"/>
              </w:rPr>
              <w:t>3.5.3 Manja izmjena (IA i IB) u postupku međusobnog priznavanja/decentraliziranom postupku u slučaju kada je RH zemlja članica sudionica u postupku</w:t>
            </w:r>
          </w:p>
        </w:tc>
        <w:tc>
          <w:tcPr>
            <w:tcW w:w="782" w:type="pct"/>
            <w:tcBorders>
              <w:top w:val="nil"/>
              <w:left w:val="nil"/>
              <w:bottom w:val="single" w:sz="8" w:space="0" w:color="auto"/>
              <w:right w:val="single" w:sz="8" w:space="0" w:color="auto"/>
            </w:tcBorders>
            <w:vAlign w:val="center"/>
          </w:tcPr>
          <w:p w14:paraId="5D7ED709" w14:textId="77777777" w:rsidR="00D07378" w:rsidRPr="00236238" w:rsidRDefault="00D07378" w:rsidP="00BA499D">
            <w:pPr>
              <w:jc w:val="center"/>
              <w:rPr>
                <w:bCs/>
                <w:sz w:val="18"/>
                <w:szCs w:val="18"/>
              </w:rPr>
            </w:pPr>
            <w:r w:rsidRPr="00A12E28">
              <w:rPr>
                <w:bCs/>
                <w:sz w:val="20"/>
                <w:szCs w:val="20"/>
              </w:rPr>
              <w:t>5.550</w:t>
            </w:r>
          </w:p>
        </w:tc>
        <w:tc>
          <w:tcPr>
            <w:tcW w:w="784" w:type="pct"/>
            <w:tcBorders>
              <w:top w:val="nil"/>
              <w:left w:val="nil"/>
              <w:bottom w:val="single" w:sz="8" w:space="0" w:color="auto"/>
              <w:right w:val="single" w:sz="8" w:space="0" w:color="auto"/>
            </w:tcBorders>
            <w:vAlign w:val="center"/>
          </w:tcPr>
          <w:p w14:paraId="660C4EEE" w14:textId="77777777" w:rsidR="00D07378" w:rsidRPr="00244EA9" w:rsidRDefault="00D07378" w:rsidP="00BA499D">
            <w:pPr>
              <w:jc w:val="center"/>
              <w:rPr>
                <w:bCs/>
                <w:sz w:val="18"/>
                <w:szCs w:val="18"/>
              </w:rPr>
            </w:pPr>
            <w:r w:rsidRPr="001D687C">
              <w:rPr>
                <w:bCs/>
                <w:sz w:val="20"/>
                <w:szCs w:val="20"/>
              </w:rPr>
              <w:t>6.180</w:t>
            </w:r>
          </w:p>
        </w:tc>
        <w:tc>
          <w:tcPr>
            <w:tcW w:w="777" w:type="pct"/>
            <w:tcBorders>
              <w:top w:val="nil"/>
              <w:left w:val="nil"/>
              <w:bottom w:val="single" w:sz="8" w:space="0" w:color="auto"/>
              <w:right w:val="single" w:sz="8" w:space="0" w:color="auto"/>
            </w:tcBorders>
            <w:vAlign w:val="center"/>
          </w:tcPr>
          <w:p w14:paraId="013CF86D" w14:textId="77777777" w:rsidR="00D07378" w:rsidRPr="00FF7858" w:rsidRDefault="00D07378" w:rsidP="00BA499D">
            <w:pPr>
              <w:jc w:val="center"/>
              <w:rPr>
                <w:sz w:val="18"/>
                <w:szCs w:val="18"/>
              </w:rPr>
            </w:pPr>
            <w:r w:rsidRPr="00FF7858">
              <w:rPr>
                <w:sz w:val="20"/>
                <w:szCs w:val="20"/>
              </w:rPr>
              <w:t>111%</w:t>
            </w:r>
          </w:p>
        </w:tc>
      </w:tr>
      <w:tr w:rsidR="00D07378" w14:paraId="4BD88A09" w14:textId="77777777" w:rsidTr="00BA499D">
        <w:trPr>
          <w:trHeight w:val="142"/>
        </w:trPr>
        <w:tc>
          <w:tcPr>
            <w:tcW w:w="2657" w:type="pct"/>
            <w:tcBorders>
              <w:top w:val="single" w:sz="8" w:space="0" w:color="auto"/>
              <w:left w:val="single" w:sz="8" w:space="0" w:color="auto"/>
              <w:bottom w:val="single" w:sz="8" w:space="0" w:color="auto"/>
              <w:right w:val="single" w:sz="8" w:space="0" w:color="000000"/>
            </w:tcBorders>
            <w:noWrap/>
            <w:vAlign w:val="center"/>
            <w:hideMark/>
          </w:tcPr>
          <w:p w14:paraId="46CC1461" w14:textId="77777777" w:rsidR="00D07378" w:rsidRPr="00876025" w:rsidRDefault="00D07378" w:rsidP="00BA499D">
            <w:pPr>
              <w:spacing w:line="276" w:lineRule="auto"/>
              <w:rPr>
                <w:rFonts w:ascii="Calibri" w:eastAsia="Times New Roman" w:hAnsi="Calibri" w:cs="Calibri"/>
                <w:color w:val="000000"/>
                <w:sz w:val="18"/>
                <w:szCs w:val="18"/>
                <w:lang w:eastAsia="hr-HR"/>
              </w:rPr>
            </w:pPr>
            <w:r w:rsidRPr="00876025">
              <w:rPr>
                <w:rFonts w:ascii="Calibri" w:eastAsia="Times New Roman" w:hAnsi="Calibri" w:cs="Calibri"/>
                <w:color w:val="000000"/>
                <w:sz w:val="18"/>
                <w:szCs w:val="18"/>
                <w:lang w:eastAsia="hr-HR"/>
              </w:rPr>
              <w:t>3.5.4 Veća izmjena (II) u postupku međusobnog priznavanja/decentraliziranom postupku u slučaju kada je RH zemlja članica sudionica u postupku</w:t>
            </w:r>
          </w:p>
        </w:tc>
        <w:tc>
          <w:tcPr>
            <w:tcW w:w="782" w:type="pct"/>
            <w:tcBorders>
              <w:top w:val="nil"/>
              <w:left w:val="nil"/>
              <w:bottom w:val="single" w:sz="8" w:space="0" w:color="auto"/>
              <w:right w:val="single" w:sz="8" w:space="0" w:color="auto"/>
            </w:tcBorders>
            <w:vAlign w:val="center"/>
          </w:tcPr>
          <w:p w14:paraId="1E36A41F" w14:textId="77777777" w:rsidR="00D07378" w:rsidRPr="00236238" w:rsidRDefault="00D07378" w:rsidP="00BA499D">
            <w:pPr>
              <w:jc w:val="center"/>
              <w:rPr>
                <w:bCs/>
                <w:sz w:val="18"/>
                <w:szCs w:val="18"/>
              </w:rPr>
            </w:pPr>
            <w:r w:rsidRPr="00A12E28">
              <w:rPr>
                <w:bCs/>
                <w:sz w:val="20"/>
                <w:szCs w:val="20"/>
              </w:rPr>
              <w:t>372</w:t>
            </w:r>
          </w:p>
        </w:tc>
        <w:tc>
          <w:tcPr>
            <w:tcW w:w="784" w:type="pct"/>
            <w:tcBorders>
              <w:top w:val="nil"/>
              <w:left w:val="nil"/>
              <w:bottom w:val="single" w:sz="8" w:space="0" w:color="auto"/>
              <w:right w:val="single" w:sz="8" w:space="0" w:color="auto"/>
            </w:tcBorders>
            <w:vAlign w:val="center"/>
          </w:tcPr>
          <w:p w14:paraId="3142F102" w14:textId="77777777" w:rsidR="00D07378" w:rsidRPr="00244EA9" w:rsidRDefault="00D07378" w:rsidP="00BA499D">
            <w:pPr>
              <w:jc w:val="center"/>
              <w:rPr>
                <w:bCs/>
                <w:sz w:val="18"/>
                <w:szCs w:val="18"/>
              </w:rPr>
            </w:pPr>
            <w:r w:rsidRPr="001D687C">
              <w:rPr>
                <w:bCs/>
                <w:sz w:val="20"/>
                <w:szCs w:val="20"/>
              </w:rPr>
              <w:t>489</w:t>
            </w:r>
          </w:p>
        </w:tc>
        <w:tc>
          <w:tcPr>
            <w:tcW w:w="777" w:type="pct"/>
            <w:tcBorders>
              <w:top w:val="nil"/>
              <w:left w:val="nil"/>
              <w:bottom w:val="single" w:sz="8" w:space="0" w:color="auto"/>
              <w:right w:val="single" w:sz="8" w:space="0" w:color="auto"/>
            </w:tcBorders>
            <w:vAlign w:val="center"/>
          </w:tcPr>
          <w:p w14:paraId="7024B8F5" w14:textId="77777777" w:rsidR="00D07378" w:rsidRPr="00FF7858" w:rsidRDefault="00D07378" w:rsidP="00BA499D">
            <w:pPr>
              <w:jc w:val="center"/>
              <w:rPr>
                <w:sz w:val="18"/>
                <w:szCs w:val="18"/>
              </w:rPr>
            </w:pPr>
            <w:r w:rsidRPr="00FF7858">
              <w:rPr>
                <w:sz w:val="20"/>
                <w:szCs w:val="20"/>
              </w:rPr>
              <w:t>131%</w:t>
            </w:r>
          </w:p>
        </w:tc>
      </w:tr>
      <w:tr w:rsidR="00D07378" w14:paraId="72BDFB35" w14:textId="77777777" w:rsidTr="00BA499D">
        <w:trPr>
          <w:trHeight w:val="142"/>
        </w:trPr>
        <w:tc>
          <w:tcPr>
            <w:tcW w:w="2657" w:type="pct"/>
            <w:tcBorders>
              <w:top w:val="single" w:sz="8" w:space="0" w:color="auto"/>
              <w:left w:val="single" w:sz="8" w:space="0" w:color="auto"/>
              <w:bottom w:val="single" w:sz="8" w:space="0" w:color="auto"/>
              <w:right w:val="single" w:sz="8" w:space="0" w:color="000000"/>
            </w:tcBorders>
            <w:noWrap/>
            <w:vAlign w:val="center"/>
            <w:hideMark/>
          </w:tcPr>
          <w:p w14:paraId="4D345F00" w14:textId="77777777" w:rsidR="00D07378" w:rsidRPr="00876025" w:rsidRDefault="00D07378" w:rsidP="00BA499D">
            <w:pPr>
              <w:spacing w:line="276" w:lineRule="auto"/>
              <w:rPr>
                <w:rFonts w:ascii="Calibri" w:eastAsia="Times New Roman" w:hAnsi="Calibri" w:cs="Calibri"/>
                <w:color w:val="000000"/>
                <w:sz w:val="18"/>
                <w:szCs w:val="18"/>
                <w:lang w:eastAsia="hr-HR"/>
              </w:rPr>
            </w:pPr>
            <w:r w:rsidRPr="00876025">
              <w:rPr>
                <w:rFonts w:ascii="Calibri" w:eastAsia="Times New Roman" w:hAnsi="Calibri" w:cs="Calibri"/>
                <w:color w:val="000000"/>
                <w:sz w:val="18"/>
                <w:szCs w:val="18"/>
                <w:lang w:eastAsia="hr-HR"/>
              </w:rPr>
              <w:t>3.5.5 Ostale izmjene u postupku međusobnog priznavanja/decentraliziranom postupku u slučaju kada je RH referentna zemlja članica odnosno u slučaju kada je RH zemlja članica sudionica u postupku</w:t>
            </w:r>
          </w:p>
        </w:tc>
        <w:tc>
          <w:tcPr>
            <w:tcW w:w="782" w:type="pct"/>
            <w:tcBorders>
              <w:top w:val="nil"/>
              <w:left w:val="nil"/>
              <w:bottom w:val="single" w:sz="8" w:space="0" w:color="auto"/>
              <w:right w:val="single" w:sz="8" w:space="0" w:color="auto"/>
            </w:tcBorders>
            <w:vAlign w:val="center"/>
          </w:tcPr>
          <w:p w14:paraId="6D2D53C5" w14:textId="77777777" w:rsidR="00D07378" w:rsidRPr="00236238" w:rsidRDefault="00D07378" w:rsidP="00BA499D">
            <w:pPr>
              <w:jc w:val="center"/>
              <w:rPr>
                <w:bCs/>
                <w:sz w:val="18"/>
                <w:szCs w:val="18"/>
              </w:rPr>
            </w:pPr>
            <w:r w:rsidRPr="00A12E28">
              <w:rPr>
                <w:bCs/>
                <w:sz w:val="20"/>
                <w:szCs w:val="20"/>
              </w:rPr>
              <w:t>204</w:t>
            </w:r>
          </w:p>
        </w:tc>
        <w:tc>
          <w:tcPr>
            <w:tcW w:w="784" w:type="pct"/>
            <w:tcBorders>
              <w:top w:val="nil"/>
              <w:left w:val="nil"/>
              <w:bottom w:val="single" w:sz="8" w:space="0" w:color="auto"/>
              <w:right w:val="single" w:sz="8" w:space="0" w:color="auto"/>
            </w:tcBorders>
            <w:vAlign w:val="center"/>
          </w:tcPr>
          <w:p w14:paraId="7EF3A56C" w14:textId="77777777" w:rsidR="00D07378" w:rsidRPr="00244EA9" w:rsidRDefault="00D07378" w:rsidP="00BA499D">
            <w:pPr>
              <w:jc w:val="center"/>
              <w:rPr>
                <w:bCs/>
                <w:sz w:val="18"/>
                <w:szCs w:val="18"/>
              </w:rPr>
            </w:pPr>
            <w:r w:rsidRPr="001D687C">
              <w:rPr>
                <w:bCs/>
                <w:sz w:val="20"/>
                <w:szCs w:val="20"/>
              </w:rPr>
              <w:t>221</w:t>
            </w:r>
          </w:p>
        </w:tc>
        <w:tc>
          <w:tcPr>
            <w:tcW w:w="777" w:type="pct"/>
            <w:tcBorders>
              <w:top w:val="nil"/>
              <w:left w:val="nil"/>
              <w:bottom w:val="single" w:sz="8" w:space="0" w:color="auto"/>
              <w:right w:val="single" w:sz="8" w:space="0" w:color="auto"/>
            </w:tcBorders>
            <w:vAlign w:val="center"/>
          </w:tcPr>
          <w:p w14:paraId="641E1FFC" w14:textId="77777777" w:rsidR="00D07378" w:rsidRPr="00FF7858" w:rsidRDefault="00D07378" w:rsidP="00BA499D">
            <w:pPr>
              <w:jc w:val="center"/>
              <w:rPr>
                <w:sz w:val="18"/>
                <w:szCs w:val="18"/>
              </w:rPr>
            </w:pPr>
            <w:r w:rsidRPr="00FF7858">
              <w:rPr>
                <w:sz w:val="20"/>
                <w:szCs w:val="20"/>
              </w:rPr>
              <w:t>108%</w:t>
            </w:r>
          </w:p>
        </w:tc>
      </w:tr>
      <w:tr w:rsidR="00D07378" w14:paraId="5B7F5F0D" w14:textId="77777777" w:rsidTr="00BA499D">
        <w:trPr>
          <w:trHeight w:val="142"/>
        </w:trPr>
        <w:tc>
          <w:tcPr>
            <w:tcW w:w="2657" w:type="pct"/>
            <w:tcBorders>
              <w:top w:val="single" w:sz="8" w:space="0" w:color="auto"/>
              <w:left w:val="single" w:sz="8" w:space="0" w:color="auto"/>
              <w:bottom w:val="single" w:sz="8" w:space="0" w:color="auto"/>
              <w:right w:val="single" w:sz="8" w:space="0" w:color="000000"/>
            </w:tcBorders>
            <w:noWrap/>
            <w:vAlign w:val="center"/>
            <w:hideMark/>
          </w:tcPr>
          <w:p w14:paraId="7D5B1956" w14:textId="77777777" w:rsidR="00D07378" w:rsidRPr="00876025" w:rsidRDefault="00D07378" w:rsidP="00BA499D">
            <w:pPr>
              <w:spacing w:line="276" w:lineRule="auto"/>
              <w:rPr>
                <w:rFonts w:ascii="Calibri" w:eastAsia="Times New Roman" w:hAnsi="Calibri" w:cs="Calibri"/>
                <w:color w:val="000000"/>
                <w:sz w:val="18"/>
                <w:szCs w:val="18"/>
                <w:lang w:eastAsia="hr-HR"/>
              </w:rPr>
            </w:pPr>
            <w:r w:rsidRPr="00876025">
              <w:rPr>
                <w:rFonts w:ascii="Calibri" w:eastAsia="Times New Roman" w:hAnsi="Calibri" w:cs="Calibri"/>
                <w:color w:val="000000"/>
                <w:sz w:val="18"/>
                <w:szCs w:val="18"/>
                <w:lang w:eastAsia="hr-HR"/>
              </w:rPr>
              <w:t>3.5.6 Ukidanje odobrenja za stavljanje u promet lijeka u postupku međusobnog priznavanja/decentraliziranom postupku u slučaju kada je RH referentna zemlja članica odnosno u slučaju kada je RH zemlja članica sudionica u postupku</w:t>
            </w:r>
          </w:p>
        </w:tc>
        <w:tc>
          <w:tcPr>
            <w:tcW w:w="782" w:type="pct"/>
            <w:tcBorders>
              <w:top w:val="nil"/>
              <w:left w:val="nil"/>
              <w:bottom w:val="single" w:sz="8" w:space="0" w:color="auto"/>
              <w:right w:val="single" w:sz="8" w:space="0" w:color="auto"/>
            </w:tcBorders>
            <w:vAlign w:val="center"/>
          </w:tcPr>
          <w:p w14:paraId="2AE7E677" w14:textId="77777777" w:rsidR="00D07378" w:rsidRPr="00236238" w:rsidRDefault="00D07378" w:rsidP="00BA499D">
            <w:pPr>
              <w:jc w:val="center"/>
              <w:rPr>
                <w:sz w:val="18"/>
                <w:szCs w:val="18"/>
              </w:rPr>
            </w:pPr>
            <w:r w:rsidRPr="00A12E28">
              <w:rPr>
                <w:bCs/>
                <w:sz w:val="20"/>
                <w:szCs w:val="20"/>
              </w:rPr>
              <w:t>0</w:t>
            </w:r>
          </w:p>
        </w:tc>
        <w:tc>
          <w:tcPr>
            <w:tcW w:w="784" w:type="pct"/>
            <w:tcBorders>
              <w:top w:val="nil"/>
              <w:left w:val="nil"/>
              <w:bottom w:val="single" w:sz="8" w:space="0" w:color="auto"/>
              <w:right w:val="single" w:sz="8" w:space="0" w:color="auto"/>
            </w:tcBorders>
            <w:vAlign w:val="center"/>
          </w:tcPr>
          <w:p w14:paraId="1D811E34" w14:textId="77777777" w:rsidR="00D07378" w:rsidRPr="00236238" w:rsidRDefault="00D07378" w:rsidP="00BA499D">
            <w:pPr>
              <w:jc w:val="center"/>
              <w:rPr>
                <w:bCs/>
                <w:sz w:val="18"/>
                <w:szCs w:val="18"/>
              </w:rPr>
            </w:pPr>
            <w:r>
              <w:rPr>
                <w:bCs/>
                <w:sz w:val="20"/>
                <w:szCs w:val="20"/>
              </w:rPr>
              <w:t>80</w:t>
            </w:r>
          </w:p>
        </w:tc>
        <w:tc>
          <w:tcPr>
            <w:tcW w:w="777" w:type="pct"/>
            <w:tcBorders>
              <w:top w:val="nil"/>
              <w:left w:val="nil"/>
              <w:bottom w:val="single" w:sz="8" w:space="0" w:color="auto"/>
              <w:right w:val="single" w:sz="8" w:space="0" w:color="auto"/>
            </w:tcBorders>
            <w:vAlign w:val="center"/>
          </w:tcPr>
          <w:p w14:paraId="7D70627D" w14:textId="77777777" w:rsidR="00D07378" w:rsidRPr="00236238" w:rsidRDefault="00D07378" w:rsidP="00BA499D">
            <w:pPr>
              <w:jc w:val="center"/>
              <w:rPr>
                <w:bCs/>
                <w:sz w:val="18"/>
                <w:szCs w:val="18"/>
              </w:rPr>
            </w:pPr>
            <w:r>
              <w:rPr>
                <w:sz w:val="20"/>
                <w:szCs w:val="20"/>
              </w:rPr>
              <w:t>-</w:t>
            </w:r>
          </w:p>
        </w:tc>
      </w:tr>
      <w:tr w:rsidR="00D07378" w14:paraId="4BC948EF" w14:textId="77777777" w:rsidTr="00BA499D">
        <w:trPr>
          <w:trHeight w:val="142"/>
        </w:trPr>
        <w:tc>
          <w:tcPr>
            <w:tcW w:w="2657" w:type="pct"/>
            <w:tcBorders>
              <w:top w:val="single" w:sz="8" w:space="0" w:color="auto"/>
              <w:left w:val="single" w:sz="8" w:space="0" w:color="auto"/>
              <w:bottom w:val="single" w:sz="8" w:space="0" w:color="auto"/>
              <w:right w:val="single" w:sz="8" w:space="0" w:color="000000"/>
            </w:tcBorders>
            <w:shd w:val="clear" w:color="auto" w:fill="BFBFBF"/>
            <w:vAlign w:val="center"/>
            <w:hideMark/>
          </w:tcPr>
          <w:p w14:paraId="406E697D" w14:textId="77777777" w:rsidR="00D07378" w:rsidRPr="003A4928" w:rsidRDefault="00D07378" w:rsidP="00BA499D">
            <w:pPr>
              <w:spacing w:line="276" w:lineRule="auto"/>
              <w:rPr>
                <w:rFonts w:ascii="Calibri" w:eastAsia="Times New Roman" w:hAnsi="Calibri" w:cs="Calibri"/>
                <w:b/>
                <w:bCs/>
                <w:color w:val="1A1A1A"/>
                <w:sz w:val="20"/>
                <w:szCs w:val="20"/>
                <w:lang w:eastAsia="hr-HR"/>
              </w:rPr>
            </w:pPr>
            <w:r w:rsidRPr="003A4928">
              <w:rPr>
                <w:rFonts w:ascii="Calibri" w:eastAsia="Times New Roman" w:hAnsi="Calibri" w:cs="Calibri"/>
                <w:b/>
                <w:bCs/>
                <w:color w:val="1A1A1A"/>
                <w:sz w:val="20"/>
                <w:szCs w:val="20"/>
                <w:lang w:eastAsia="hr-HR"/>
              </w:rPr>
              <w:t>UKUPNO ZA MRP/DCP POSTUPKE:</w:t>
            </w:r>
          </w:p>
        </w:tc>
        <w:tc>
          <w:tcPr>
            <w:tcW w:w="782" w:type="pct"/>
            <w:tcBorders>
              <w:top w:val="nil"/>
              <w:left w:val="nil"/>
              <w:bottom w:val="single" w:sz="8" w:space="0" w:color="auto"/>
              <w:right w:val="single" w:sz="8" w:space="0" w:color="auto"/>
            </w:tcBorders>
            <w:shd w:val="clear" w:color="auto" w:fill="BFBFBF"/>
            <w:noWrap/>
            <w:vAlign w:val="center"/>
          </w:tcPr>
          <w:p w14:paraId="66D1AC3C" w14:textId="77777777" w:rsidR="00D07378" w:rsidRDefault="00D07378" w:rsidP="00BA499D">
            <w:pPr>
              <w:jc w:val="center"/>
              <w:rPr>
                <w:b/>
                <w:bCs/>
                <w:sz w:val="20"/>
                <w:szCs w:val="20"/>
              </w:rPr>
            </w:pPr>
            <w:r>
              <w:rPr>
                <w:b/>
                <w:bCs/>
                <w:sz w:val="20"/>
                <w:szCs w:val="20"/>
              </w:rPr>
              <w:t>6.606</w:t>
            </w:r>
          </w:p>
        </w:tc>
        <w:tc>
          <w:tcPr>
            <w:tcW w:w="784" w:type="pct"/>
            <w:tcBorders>
              <w:top w:val="nil"/>
              <w:left w:val="nil"/>
              <w:bottom w:val="single" w:sz="8" w:space="0" w:color="auto"/>
              <w:right w:val="single" w:sz="8" w:space="0" w:color="auto"/>
            </w:tcBorders>
            <w:shd w:val="clear" w:color="auto" w:fill="BFBFBF"/>
            <w:vAlign w:val="center"/>
          </w:tcPr>
          <w:p w14:paraId="14C9731C" w14:textId="77777777" w:rsidR="00D07378" w:rsidRDefault="00D07378" w:rsidP="00BA499D">
            <w:pPr>
              <w:jc w:val="center"/>
              <w:rPr>
                <w:b/>
                <w:bCs/>
                <w:sz w:val="20"/>
                <w:szCs w:val="20"/>
              </w:rPr>
            </w:pPr>
            <w:r>
              <w:rPr>
                <w:b/>
                <w:bCs/>
                <w:sz w:val="20"/>
                <w:szCs w:val="20"/>
              </w:rPr>
              <w:t>7.370</w:t>
            </w:r>
          </w:p>
        </w:tc>
        <w:tc>
          <w:tcPr>
            <w:tcW w:w="777" w:type="pct"/>
            <w:tcBorders>
              <w:top w:val="nil"/>
              <w:left w:val="nil"/>
              <w:bottom w:val="single" w:sz="8" w:space="0" w:color="auto"/>
              <w:right w:val="single" w:sz="8" w:space="0" w:color="auto"/>
            </w:tcBorders>
            <w:shd w:val="clear" w:color="auto" w:fill="BFBFBF"/>
            <w:vAlign w:val="center"/>
          </w:tcPr>
          <w:p w14:paraId="0F51AF93" w14:textId="77777777" w:rsidR="00D07378" w:rsidRDefault="00D07378" w:rsidP="00BA499D">
            <w:pPr>
              <w:jc w:val="center"/>
              <w:rPr>
                <w:b/>
                <w:bCs/>
                <w:sz w:val="20"/>
                <w:szCs w:val="20"/>
              </w:rPr>
            </w:pPr>
            <w:r>
              <w:rPr>
                <w:b/>
                <w:bCs/>
                <w:sz w:val="20"/>
                <w:szCs w:val="20"/>
              </w:rPr>
              <w:t>112%</w:t>
            </w:r>
          </w:p>
        </w:tc>
      </w:tr>
    </w:tbl>
    <w:p w14:paraId="03FFCAF3" w14:textId="77777777" w:rsidR="00D07378" w:rsidRDefault="00D07378" w:rsidP="00D07378">
      <w:pPr>
        <w:rPr>
          <w:rFonts w:ascii="Calibri" w:eastAsia="Times New Roman" w:hAnsi="Calibri" w:cs="Times New Roman"/>
          <w:bCs/>
          <w:color w:val="000000"/>
          <w:lang w:eastAsia="hr-HR"/>
        </w:rPr>
      </w:pPr>
    </w:p>
    <w:p w14:paraId="071982C1" w14:textId="77777777" w:rsidR="00D07378" w:rsidRDefault="00D07378" w:rsidP="00D07378">
      <w:pPr>
        <w:spacing w:after="200" w:line="276" w:lineRule="auto"/>
        <w:rPr>
          <w:rFonts w:ascii="Calibri" w:eastAsia="Times New Roman" w:hAnsi="Calibri" w:cs="Times New Roman"/>
          <w:bCs/>
          <w:color w:val="000000"/>
          <w:lang w:eastAsia="hr-HR"/>
        </w:rPr>
      </w:pPr>
      <w:r>
        <w:rPr>
          <w:rFonts w:ascii="Calibri" w:eastAsia="Times New Roman" w:hAnsi="Calibri" w:cs="Times New Roman"/>
          <w:bCs/>
          <w:color w:val="000000"/>
          <w:lang w:eastAsia="hr-HR"/>
        </w:rPr>
        <w:br w:type="page"/>
      </w:r>
    </w:p>
    <w:p w14:paraId="78B9DB9C" w14:textId="77777777" w:rsidR="00D07378" w:rsidRPr="003607DE" w:rsidRDefault="00D07378" w:rsidP="00D07378">
      <w:pPr>
        <w:pStyle w:val="Heading3"/>
      </w:pPr>
      <w:bookmarkStart w:id="77" w:name="_Toc165035446"/>
      <w:r w:rsidRPr="003607DE">
        <w:lastRenderedPageBreak/>
        <w:t>2.1.</w:t>
      </w:r>
      <w:r>
        <w:t>8</w:t>
      </w:r>
      <w:r w:rsidRPr="003607DE">
        <w:t xml:space="preserve">. Izvršenje </w:t>
      </w:r>
      <w:r>
        <w:t>ne</w:t>
      </w:r>
      <w:r w:rsidRPr="003607DE">
        <w:t>prihodovnih poslova</w:t>
      </w:r>
      <w:bookmarkEnd w:id="77"/>
    </w:p>
    <w:p w14:paraId="0D2AE40A" w14:textId="77777777" w:rsidR="00D07378" w:rsidRDefault="00D07378" w:rsidP="00D07378">
      <w:pPr>
        <w:tabs>
          <w:tab w:val="center" w:pos="858"/>
          <w:tab w:val="center" w:pos="4320"/>
          <w:tab w:val="right" w:pos="8306"/>
          <w:tab w:val="right" w:pos="8640"/>
        </w:tabs>
        <w:spacing w:after="120"/>
        <w:jc w:val="both"/>
        <w:rPr>
          <w:rFonts w:eastAsia="Times New Roman" w:cstheme="minorHAnsi"/>
          <w:b/>
          <w:bCs/>
          <w:color w:val="1D1B11"/>
          <w:lang w:eastAsia="hr-HR"/>
        </w:rPr>
      </w:pPr>
      <w:r w:rsidRPr="001A4720">
        <w:rPr>
          <w:rFonts w:eastAsia="Times New Roman" w:cstheme="minorHAnsi"/>
          <w:b/>
          <w:bCs/>
          <w:lang w:eastAsia="hr-HR"/>
        </w:rPr>
        <w:t xml:space="preserve">Tablica 5. Sudjelovanja na radnim sastancima u europskim poslovima stavljanja lijeka u </w:t>
      </w:r>
      <w:r w:rsidRPr="00166D18">
        <w:rPr>
          <w:rFonts w:eastAsia="Times New Roman" w:cstheme="minorHAnsi"/>
          <w:b/>
          <w:bCs/>
          <w:color w:val="1D1B11"/>
          <w:lang w:eastAsia="hr-HR"/>
        </w:rPr>
        <w:t>promet</w:t>
      </w:r>
    </w:p>
    <w:tbl>
      <w:tblPr>
        <w:tblW w:w="5200" w:type="pct"/>
        <w:tblInd w:w="108" w:type="dxa"/>
        <w:tblLook w:val="04A0" w:firstRow="1" w:lastRow="0" w:firstColumn="1" w:lastColumn="0" w:noHBand="0" w:noVBand="1"/>
      </w:tblPr>
      <w:tblGrid>
        <w:gridCol w:w="757"/>
        <w:gridCol w:w="5933"/>
        <w:gridCol w:w="1285"/>
        <w:gridCol w:w="1429"/>
        <w:gridCol w:w="233"/>
        <w:gridCol w:w="231"/>
      </w:tblGrid>
      <w:tr w:rsidR="00D07378" w14:paraId="48E21FB3" w14:textId="77777777" w:rsidTr="00BA499D">
        <w:trPr>
          <w:gridAfter w:val="2"/>
          <w:wAfter w:w="235" w:type="pct"/>
          <w:trHeight w:val="113"/>
          <w:tblHeader/>
        </w:trPr>
        <w:tc>
          <w:tcPr>
            <w:tcW w:w="384" w:type="pct"/>
            <w:tcBorders>
              <w:top w:val="single" w:sz="4" w:space="0" w:color="auto"/>
              <w:left w:val="single" w:sz="4" w:space="0" w:color="auto"/>
              <w:bottom w:val="single" w:sz="4" w:space="0" w:color="auto"/>
              <w:right w:val="single" w:sz="4" w:space="0" w:color="auto"/>
            </w:tcBorders>
            <w:shd w:val="clear" w:color="auto" w:fill="A3E7FF"/>
            <w:noWrap/>
            <w:vAlign w:val="center"/>
            <w:hideMark/>
          </w:tcPr>
          <w:p w14:paraId="417B0A8E" w14:textId="77777777" w:rsidR="00D07378" w:rsidRDefault="00D07378" w:rsidP="00BA499D">
            <w:pPr>
              <w:spacing w:after="120" w:line="276" w:lineRule="auto"/>
              <w:rPr>
                <w:rFonts w:eastAsia="Times New Roman" w:cs="Times New Roman"/>
                <w:b/>
                <w:bCs/>
                <w:color w:val="1A1A1A"/>
                <w:sz w:val="18"/>
                <w:szCs w:val="18"/>
                <w:lang w:eastAsia="hr-HR"/>
              </w:rPr>
            </w:pPr>
            <w:r>
              <w:rPr>
                <w:rFonts w:eastAsia="Times New Roman" w:cs="Times New Roman"/>
                <w:b/>
                <w:bCs/>
                <w:color w:val="1A1A1A"/>
                <w:sz w:val="18"/>
                <w:szCs w:val="18"/>
                <w:lang w:eastAsia="hr-HR"/>
              </w:rPr>
              <w:t>Rb.</w:t>
            </w:r>
          </w:p>
        </w:tc>
        <w:tc>
          <w:tcPr>
            <w:tcW w:w="3006" w:type="pct"/>
            <w:tcBorders>
              <w:top w:val="single" w:sz="4" w:space="0" w:color="auto"/>
              <w:left w:val="nil"/>
              <w:bottom w:val="single" w:sz="4" w:space="0" w:color="auto"/>
              <w:right w:val="single" w:sz="4" w:space="0" w:color="auto"/>
            </w:tcBorders>
            <w:shd w:val="clear" w:color="auto" w:fill="A3E7FF"/>
            <w:vAlign w:val="center"/>
          </w:tcPr>
          <w:p w14:paraId="2850C8E6" w14:textId="77777777" w:rsidR="00D07378" w:rsidRPr="00F96089" w:rsidRDefault="00D07378" w:rsidP="00BA499D">
            <w:pPr>
              <w:spacing w:line="276" w:lineRule="auto"/>
              <w:rPr>
                <w:rFonts w:eastAsia="Times New Roman" w:cs="Times New Roman"/>
                <w:b/>
                <w:bCs/>
                <w:color w:val="1A1A1A"/>
                <w:sz w:val="18"/>
                <w:szCs w:val="18"/>
                <w:lang w:eastAsia="hr-HR"/>
              </w:rPr>
            </w:pPr>
            <w:r>
              <w:rPr>
                <w:rFonts w:eastAsia="Times New Roman" w:cs="Times New Roman"/>
                <w:b/>
                <w:bCs/>
                <w:color w:val="1A1A1A"/>
                <w:sz w:val="18"/>
                <w:szCs w:val="18"/>
                <w:lang w:eastAsia="hr-HR"/>
              </w:rPr>
              <w:t xml:space="preserve">Naziv povjerenstva/radne skupine/ odbora </w:t>
            </w:r>
          </w:p>
        </w:tc>
        <w:tc>
          <w:tcPr>
            <w:tcW w:w="651" w:type="pct"/>
            <w:tcBorders>
              <w:top w:val="single" w:sz="4" w:space="0" w:color="auto"/>
              <w:left w:val="nil"/>
              <w:bottom w:val="single" w:sz="4" w:space="0" w:color="auto"/>
              <w:right w:val="single" w:sz="4" w:space="0" w:color="auto"/>
            </w:tcBorders>
            <w:shd w:val="clear" w:color="auto" w:fill="A3E7FF"/>
            <w:hideMark/>
          </w:tcPr>
          <w:p w14:paraId="3E37D4D4" w14:textId="77777777" w:rsidR="00D07378" w:rsidRDefault="00D07378" w:rsidP="00BA499D">
            <w:pPr>
              <w:spacing w:line="276" w:lineRule="auto"/>
              <w:jc w:val="center"/>
              <w:rPr>
                <w:rFonts w:eastAsia="Times New Roman" w:cs="Times New Roman"/>
                <w:b/>
                <w:color w:val="000000"/>
                <w:sz w:val="18"/>
                <w:szCs w:val="18"/>
                <w:lang w:eastAsia="hr-HR"/>
              </w:rPr>
            </w:pPr>
            <w:r>
              <w:rPr>
                <w:rFonts w:eastAsia="Times New Roman" w:cs="Times New Roman"/>
                <w:b/>
                <w:color w:val="000000"/>
                <w:sz w:val="18"/>
                <w:szCs w:val="18"/>
                <w:lang w:eastAsia="hr-HR"/>
              </w:rPr>
              <w:t xml:space="preserve"> </w:t>
            </w:r>
          </w:p>
          <w:p w14:paraId="7EECA879" w14:textId="77777777" w:rsidR="00D07378" w:rsidRDefault="00D07378" w:rsidP="00BA499D">
            <w:pPr>
              <w:spacing w:line="276" w:lineRule="auto"/>
              <w:jc w:val="center"/>
              <w:rPr>
                <w:rFonts w:eastAsia="Times New Roman" w:cs="Times New Roman"/>
                <w:color w:val="000000"/>
                <w:sz w:val="18"/>
                <w:szCs w:val="18"/>
                <w:lang w:eastAsia="hr-HR"/>
              </w:rPr>
            </w:pPr>
            <w:r>
              <w:rPr>
                <w:rFonts w:eastAsia="Times New Roman" w:cs="Times New Roman"/>
                <w:b/>
                <w:color w:val="000000"/>
                <w:sz w:val="18"/>
                <w:szCs w:val="18"/>
                <w:lang w:eastAsia="hr-HR"/>
              </w:rPr>
              <w:t>Plan za 2023.</w:t>
            </w:r>
          </w:p>
        </w:tc>
        <w:tc>
          <w:tcPr>
            <w:tcW w:w="724" w:type="pct"/>
            <w:tcBorders>
              <w:top w:val="single" w:sz="4" w:space="0" w:color="auto"/>
              <w:left w:val="nil"/>
              <w:bottom w:val="single" w:sz="4" w:space="0" w:color="auto"/>
              <w:right w:val="single" w:sz="4" w:space="0" w:color="auto"/>
            </w:tcBorders>
            <w:shd w:val="clear" w:color="auto" w:fill="A3E7FF"/>
            <w:vAlign w:val="center"/>
          </w:tcPr>
          <w:p w14:paraId="58081388" w14:textId="77777777" w:rsidR="00D07378" w:rsidRDefault="00D07378" w:rsidP="00BA499D">
            <w:pPr>
              <w:spacing w:line="276" w:lineRule="auto"/>
              <w:jc w:val="center"/>
              <w:rPr>
                <w:rFonts w:eastAsia="Times New Roman" w:cs="Times New Roman"/>
                <w:b/>
                <w:color w:val="000000"/>
                <w:sz w:val="18"/>
                <w:szCs w:val="18"/>
                <w:lang w:eastAsia="hr-HR"/>
              </w:rPr>
            </w:pPr>
            <w:r>
              <w:rPr>
                <w:rFonts w:eastAsia="Times New Roman" w:cs="Times New Roman"/>
                <w:b/>
                <w:color w:val="000000"/>
                <w:sz w:val="18"/>
                <w:szCs w:val="18"/>
                <w:lang w:eastAsia="hr-HR"/>
              </w:rPr>
              <w:t>Izvršenje 01.01.-31.12.2023.</w:t>
            </w:r>
          </w:p>
        </w:tc>
      </w:tr>
      <w:tr w:rsidR="00D07378" w14:paraId="2550E30F" w14:textId="77777777" w:rsidTr="00BA499D">
        <w:trPr>
          <w:gridAfter w:val="2"/>
          <w:wAfter w:w="235" w:type="pct"/>
          <w:trHeight w:val="113"/>
        </w:trPr>
        <w:tc>
          <w:tcPr>
            <w:tcW w:w="4765" w:type="pct"/>
            <w:gridSpan w:val="4"/>
            <w:tcBorders>
              <w:top w:val="single" w:sz="4" w:space="0" w:color="auto"/>
              <w:left w:val="single" w:sz="4" w:space="0" w:color="auto"/>
              <w:bottom w:val="single" w:sz="4" w:space="0" w:color="auto"/>
              <w:right w:val="single" w:sz="4" w:space="0" w:color="auto"/>
            </w:tcBorders>
            <w:noWrap/>
            <w:vAlign w:val="center"/>
            <w:hideMark/>
          </w:tcPr>
          <w:p w14:paraId="25E6E0F5" w14:textId="77777777" w:rsidR="00D07378" w:rsidRDefault="00D07378" w:rsidP="00BA499D">
            <w:pPr>
              <w:spacing w:after="120" w:line="276" w:lineRule="auto"/>
              <w:rPr>
                <w:rFonts w:cs="Times New Roman"/>
                <w:b/>
                <w:bCs/>
                <w:sz w:val="18"/>
                <w:szCs w:val="18"/>
              </w:rPr>
            </w:pPr>
            <w:r>
              <w:rPr>
                <w:rFonts w:cs="Times New Roman"/>
                <w:b/>
                <w:bCs/>
                <w:sz w:val="18"/>
                <w:szCs w:val="18"/>
              </w:rPr>
              <w:t>Radne skupine EK-a</w:t>
            </w:r>
          </w:p>
        </w:tc>
      </w:tr>
      <w:tr w:rsidR="00D07378" w:rsidRPr="002C0CAC" w14:paraId="5B797630" w14:textId="77777777" w:rsidTr="00BA499D">
        <w:trPr>
          <w:gridAfter w:val="2"/>
          <w:wAfter w:w="235" w:type="pct"/>
          <w:trHeight w:val="113"/>
        </w:trPr>
        <w:tc>
          <w:tcPr>
            <w:tcW w:w="384" w:type="pct"/>
            <w:tcBorders>
              <w:top w:val="nil"/>
              <w:left w:val="single" w:sz="4" w:space="0" w:color="auto"/>
              <w:bottom w:val="single" w:sz="4" w:space="0" w:color="auto"/>
              <w:right w:val="single" w:sz="4" w:space="0" w:color="auto"/>
            </w:tcBorders>
            <w:noWrap/>
            <w:vAlign w:val="center"/>
            <w:hideMark/>
          </w:tcPr>
          <w:p w14:paraId="2B2377F0" w14:textId="77777777" w:rsidR="00D07378" w:rsidRPr="00B464D7" w:rsidRDefault="00D07378" w:rsidP="00BA499D">
            <w:pPr>
              <w:spacing w:after="120" w:line="276" w:lineRule="auto"/>
              <w:jc w:val="center"/>
              <w:rPr>
                <w:rFonts w:eastAsia="Times New Roman" w:cs="Times New Roman"/>
                <w:bCs/>
                <w:color w:val="1A1A1A"/>
                <w:sz w:val="18"/>
                <w:szCs w:val="18"/>
              </w:rPr>
            </w:pPr>
            <w:r w:rsidRPr="00B464D7">
              <w:rPr>
                <w:rFonts w:eastAsia="Times New Roman" w:cs="Times New Roman"/>
                <w:bCs/>
                <w:color w:val="1A1A1A"/>
                <w:sz w:val="18"/>
                <w:szCs w:val="18"/>
              </w:rPr>
              <w:t>1.</w:t>
            </w:r>
          </w:p>
        </w:tc>
        <w:tc>
          <w:tcPr>
            <w:tcW w:w="3006" w:type="pct"/>
            <w:tcBorders>
              <w:top w:val="nil"/>
              <w:left w:val="nil"/>
              <w:bottom w:val="single" w:sz="4" w:space="0" w:color="auto"/>
              <w:right w:val="single" w:sz="4" w:space="0" w:color="auto"/>
            </w:tcBorders>
            <w:vAlign w:val="center"/>
            <w:hideMark/>
          </w:tcPr>
          <w:p w14:paraId="0ABD0297" w14:textId="77777777" w:rsidR="00D07378" w:rsidRPr="00506C4E" w:rsidRDefault="00D07378" w:rsidP="00BA499D">
            <w:pPr>
              <w:pStyle w:val="NoSpacing"/>
              <w:spacing w:line="276" w:lineRule="auto"/>
              <w:rPr>
                <w:rFonts w:eastAsia="Times New Roman" w:cs="Times New Roman"/>
                <w:sz w:val="18"/>
                <w:szCs w:val="18"/>
              </w:rPr>
            </w:pPr>
            <w:r w:rsidRPr="00506C4E">
              <w:rPr>
                <w:rFonts w:eastAsia="Times New Roman" w:cstheme="minorHAnsi"/>
                <w:sz w:val="18"/>
                <w:szCs w:val="18"/>
              </w:rPr>
              <w:t>Radna skupina za upute podnositeljima zahtjeva (NtA)</w:t>
            </w:r>
          </w:p>
        </w:tc>
        <w:tc>
          <w:tcPr>
            <w:tcW w:w="651" w:type="pct"/>
            <w:tcBorders>
              <w:top w:val="nil"/>
              <w:left w:val="nil"/>
              <w:bottom w:val="single" w:sz="4" w:space="0" w:color="auto"/>
              <w:right w:val="single" w:sz="4" w:space="0" w:color="auto"/>
            </w:tcBorders>
            <w:vAlign w:val="center"/>
          </w:tcPr>
          <w:p w14:paraId="10190A83" w14:textId="77777777" w:rsidR="00D07378" w:rsidRPr="00506C4E" w:rsidRDefault="00D07378" w:rsidP="00BA499D">
            <w:pPr>
              <w:spacing w:line="276" w:lineRule="auto"/>
              <w:jc w:val="center"/>
              <w:rPr>
                <w:rFonts w:cs="Times New Roman"/>
                <w:bCs/>
                <w:sz w:val="18"/>
                <w:szCs w:val="18"/>
              </w:rPr>
            </w:pPr>
            <w:r w:rsidRPr="00506C4E">
              <w:rPr>
                <w:rFonts w:cs="Times New Roman"/>
                <w:bCs/>
                <w:sz w:val="18"/>
                <w:szCs w:val="18"/>
              </w:rPr>
              <w:t>2</w:t>
            </w:r>
          </w:p>
        </w:tc>
        <w:tc>
          <w:tcPr>
            <w:tcW w:w="724" w:type="pct"/>
            <w:tcBorders>
              <w:top w:val="nil"/>
              <w:left w:val="nil"/>
              <w:bottom w:val="single" w:sz="4" w:space="0" w:color="auto"/>
              <w:right w:val="single" w:sz="4" w:space="0" w:color="auto"/>
            </w:tcBorders>
            <w:vAlign w:val="center"/>
          </w:tcPr>
          <w:p w14:paraId="2BB50B26" w14:textId="77777777" w:rsidR="00D07378" w:rsidRPr="00506C4E" w:rsidRDefault="00D07378" w:rsidP="00BA499D">
            <w:pPr>
              <w:spacing w:line="276" w:lineRule="auto"/>
              <w:jc w:val="center"/>
              <w:rPr>
                <w:rFonts w:cs="Times New Roman"/>
                <w:bCs/>
                <w:sz w:val="18"/>
                <w:szCs w:val="18"/>
              </w:rPr>
            </w:pPr>
            <w:r w:rsidRPr="00506C4E">
              <w:rPr>
                <w:rFonts w:cs="Times New Roman"/>
                <w:bCs/>
                <w:sz w:val="18"/>
                <w:szCs w:val="18"/>
              </w:rPr>
              <w:t>0</w:t>
            </w:r>
          </w:p>
        </w:tc>
      </w:tr>
      <w:tr w:rsidR="00D07378" w:rsidRPr="002C0CAC" w14:paraId="3ACE022C" w14:textId="77777777" w:rsidTr="00BA499D">
        <w:trPr>
          <w:gridAfter w:val="2"/>
          <w:wAfter w:w="235" w:type="pct"/>
          <w:trHeight w:val="113"/>
        </w:trPr>
        <w:tc>
          <w:tcPr>
            <w:tcW w:w="384" w:type="pct"/>
            <w:tcBorders>
              <w:top w:val="nil"/>
              <w:left w:val="single" w:sz="4" w:space="0" w:color="auto"/>
              <w:bottom w:val="single" w:sz="4" w:space="0" w:color="auto"/>
              <w:right w:val="single" w:sz="4" w:space="0" w:color="auto"/>
            </w:tcBorders>
            <w:noWrap/>
            <w:vAlign w:val="center"/>
            <w:hideMark/>
          </w:tcPr>
          <w:p w14:paraId="5DB7F0EB" w14:textId="77777777" w:rsidR="00D07378" w:rsidRPr="00B464D7" w:rsidRDefault="00D07378" w:rsidP="00BA499D">
            <w:pPr>
              <w:spacing w:after="120" w:line="276" w:lineRule="auto"/>
              <w:jc w:val="center"/>
              <w:rPr>
                <w:rFonts w:eastAsia="Times New Roman" w:cs="Times New Roman"/>
                <w:bCs/>
                <w:color w:val="1A1A1A"/>
                <w:sz w:val="18"/>
                <w:szCs w:val="18"/>
              </w:rPr>
            </w:pPr>
            <w:r w:rsidRPr="00B464D7">
              <w:rPr>
                <w:rFonts w:eastAsia="Times New Roman" w:cs="Times New Roman"/>
                <w:bCs/>
                <w:color w:val="1A1A1A"/>
                <w:sz w:val="18"/>
                <w:szCs w:val="18"/>
              </w:rPr>
              <w:t>2.</w:t>
            </w:r>
          </w:p>
        </w:tc>
        <w:tc>
          <w:tcPr>
            <w:tcW w:w="3006" w:type="pct"/>
            <w:tcBorders>
              <w:top w:val="nil"/>
              <w:left w:val="nil"/>
              <w:bottom w:val="single" w:sz="4" w:space="0" w:color="auto"/>
              <w:right w:val="single" w:sz="4" w:space="0" w:color="auto"/>
            </w:tcBorders>
            <w:vAlign w:val="center"/>
            <w:hideMark/>
          </w:tcPr>
          <w:p w14:paraId="74A24D45" w14:textId="77777777" w:rsidR="00D07378" w:rsidRPr="00506C4E" w:rsidRDefault="00D07378" w:rsidP="00BA499D">
            <w:pPr>
              <w:spacing w:line="276" w:lineRule="auto"/>
              <w:rPr>
                <w:rFonts w:eastAsia="Times New Roman" w:cstheme="minorHAnsi"/>
                <w:sz w:val="18"/>
                <w:szCs w:val="18"/>
              </w:rPr>
            </w:pPr>
            <w:r w:rsidRPr="00506C4E">
              <w:rPr>
                <w:bCs/>
                <w:sz w:val="18"/>
                <w:szCs w:val="18"/>
              </w:rPr>
              <w:t>Odbor Europske komisije za lijekove za humanu primjenu</w:t>
            </w:r>
            <w:r w:rsidRPr="00506C4E">
              <w:rPr>
                <w:rFonts w:eastAsia="Times New Roman" w:cstheme="minorHAnsi"/>
                <w:sz w:val="18"/>
                <w:szCs w:val="18"/>
              </w:rPr>
              <w:t xml:space="preserve"> (</w:t>
            </w:r>
            <w:r w:rsidRPr="00506C4E">
              <w:rPr>
                <w:rFonts w:eastAsia="Times New Roman" w:cstheme="minorHAnsi"/>
                <w:i/>
                <w:sz w:val="18"/>
                <w:szCs w:val="18"/>
              </w:rPr>
              <w:t>Pharmaceutical Committee</w:t>
            </w:r>
            <w:r w:rsidRPr="00506C4E">
              <w:rPr>
                <w:rFonts w:eastAsia="Times New Roman" w:cstheme="minorHAnsi"/>
                <w:sz w:val="18"/>
                <w:szCs w:val="18"/>
              </w:rPr>
              <w:t>)</w:t>
            </w:r>
          </w:p>
        </w:tc>
        <w:tc>
          <w:tcPr>
            <w:tcW w:w="651" w:type="pct"/>
            <w:tcBorders>
              <w:top w:val="nil"/>
              <w:left w:val="nil"/>
              <w:bottom w:val="single" w:sz="4" w:space="0" w:color="auto"/>
              <w:right w:val="single" w:sz="4" w:space="0" w:color="auto"/>
            </w:tcBorders>
            <w:vAlign w:val="center"/>
          </w:tcPr>
          <w:p w14:paraId="117B5179" w14:textId="77777777" w:rsidR="00D07378" w:rsidRPr="00506C4E" w:rsidRDefault="00D07378" w:rsidP="00BA499D">
            <w:pPr>
              <w:spacing w:line="276" w:lineRule="auto"/>
              <w:jc w:val="center"/>
              <w:rPr>
                <w:rFonts w:cs="Times New Roman"/>
                <w:bCs/>
                <w:sz w:val="18"/>
                <w:szCs w:val="18"/>
              </w:rPr>
            </w:pPr>
            <w:r w:rsidRPr="00506C4E">
              <w:rPr>
                <w:rFonts w:cs="Times New Roman"/>
                <w:bCs/>
                <w:sz w:val="18"/>
                <w:szCs w:val="18"/>
              </w:rPr>
              <w:t>4</w:t>
            </w:r>
          </w:p>
        </w:tc>
        <w:tc>
          <w:tcPr>
            <w:tcW w:w="724" w:type="pct"/>
            <w:tcBorders>
              <w:top w:val="nil"/>
              <w:left w:val="nil"/>
              <w:bottom w:val="single" w:sz="4" w:space="0" w:color="auto"/>
              <w:right w:val="single" w:sz="4" w:space="0" w:color="auto"/>
            </w:tcBorders>
            <w:vAlign w:val="center"/>
          </w:tcPr>
          <w:p w14:paraId="42F136BE" w14:textId="77777777" w:rsidR="00D07378" w:rsidRPr="00506C4E" w:rsidRDefault="00D07378" w:rsidP="00BA499D">
            <w:pPr>
              <w:spacing w:line="276" w:lineRule="auto"/>
              <w:jc w:val="center"/>
              <w:rPr>
                <w:rFonts w:cs="Times New Roman"/>
                <w:bCs/>
                <w:sz w:val="18"/>
                <w:szCs w:val="18"/>
              </w:rPr>
            </w:pPr>
            <w:r>
              <w:rPr>
                <w:rFonts w:cs="Times New Roman"/>
                <w:bCs/>
                <w:sz w:val="18"/>
                <w:szCs w:val="18"/>
              </w:rPr>
              <w:t>5</w:t>
            </w:r>
          </w:p>
        </w:tc>
      </w:tr>
      <w:tr w:rsidR="00D07378" w:rsidRPr="002C0CAC" w14:paraId="32629CFE" w14:textId="77777777" w:rsidTr="00BA499D">
        <w:trPr>
          <w:gridAfter w:val="2"/>
          <w:wAfter w:w="235" w:type="pct"/>
          <w:trHeight w:val="113"/>
        </w:trPr>
        <w:tc>
          <w:tcPr>
            <w:tcW w:w="384" w:type="pct"/>
            <w:tcBorders>
              <w:top w:val="nil"/>
              <w:left w:val="single" w:sz="4" w:space="0" w:color="auto"/>
              <w:bottom w:val="single" w:sz="4" w:space="0" w:color="auto"/>
              <w:right w:val="single" w:sz="4" w:space="0" w:color="auto"/>
            </w:tcBorders>
            <w:noWrap/>
            <w:vAlign w:val="center"/>
            <w:hideMark/>
          </w:tcPr>
          <w:p w14:paraId="0C362216" w14:textId="77777777" w:rsidR="00D07378" w:rsidRPr="00B464D7" w:rsidRDefault="00D07378" w:rsidP="00BA499D">
            <w:pPr>
              <w:spacing w:after="120" w:line="276" w:lineRule="auto"/>
              <w:jc w:val="center"/>
              <w:rPr>
                <w:rFonts w:eastAsia="Times New Roman" w:cs="Times New Roman"/>
                <w:bCs/>
                <w:color w:val="1A1A1A"/>
                <w:sz w:val="18"/>
                <w:szCs w:val="18"/>
              </w:rPr>
            </w:pPr>
            <w:r w:rsidRPr="00B464D7">
              <w:rPr>
                <w:rFonts w:eastAsia="Times New Roman" w:cs="Times New Roman"/>
                <w:bCs/>
                <w:color w:val="1A1A1A"/>
                <w:sz w:val="18"/>
                <w:szCs w:val="18"/>
              </w:rPr>
              <w:t>3.</w:t>
            </w:r>
          </w:p>
        </w:tc>
        <w:tc>
          <w:tcPr>
            <w:tcW w:w="3006" w:type="pct"/>
            <w:tcBorders>
              <w:top w:val="nil"/>
              <w:left w:val="nil"/>
              <w:bottom w:val="single" w:sz="4" w:space="0" w:color="auto"/>
              <w:right w:val="single" w:sz="4" w:space="0" w:color="auto"/>
            </w:tcBorders>
            <w:vAlign w:val="center"/>
            <w:hideMark/>
          </w:tcPr>
          <w:p w14:paraId="13C66024" w14:textId="77777777" w:rsidR="00D07378" w:rsidRPr="00506C4E" w:rsidRDefault="00D07378" w:rsidP="00BA499D">
            <w:pPr>
              <w:spacing w:line="276" w:lineRule="auto"/>
              <w:rPr>
                <w:bCs/>
                <w:sz w:val="18"/>
                <w:szCs w:val="18"/>
              </w:rPr>
            </w:pPr>
            <w:r w:rsidRPr="00506C4E">
              <w:rPr>
                <w:bCs/>
                <w:sz w:val="18"/>
                <w:szCs w:val="18"/>
              </w:rPr>
              <w:t>Stalni odbor za lijekove za humanu primjenu Europske komisije (</w:t>
            </w:r>
            <w:r w:rsidRPr="00506C4E">
              <w:rPr>
                <w:bCs/>
                <w:i/>
                <w:sz w:val="18"/>
                <w:szCs w:val="18"/>
              </w:rPr>
              <w:t>Standing Committee</w:t>
            </w:r>
            <w:r w:rsidRPr="00506C4E">
              <w:rPr>
                <w:bCs/>
                <w:sz w:val="18"/>
                <w:szCs w:val="18"/>
              </w:rPr>
              <w:t>)</w:t>
            </w:r>
          </w:p>
        </w:tc>
        <w:tc>
          <w:tcPr>
            <w:tcW w:w="651" w:type="pct"/>
            <w:tcBorders>
              <w:top w:val="nil"/>
              <w:left w:val="nil"/>
              <w:bottom w:val="single" w:sz="4" w:space="0" w:color="auto"/>
              <w:right w:val="single" w:sz="4" w:space="0" w:color="auto"/>
            </w:tcBorders>
            <w:vAlign w:val="center"/>
          </w:tcPr>
          <w:p w14:paraId="3C62F6C2" w14:textId="77777777" w:rsidR="00D07378" w:rsidRPr="00506C4E" w:rsidRDefault="00D07378" w:rsidP="00BA499D">
            <w:pPr>
              <w:spacing w:line="276" w:lineRule="auto"/>
              <w:jc w:val="center"/>
              <w:rPr>
                <w:rFonts w:cs="Times New Roman"/>
                <w:bCs/>
                <w:sz w:val="18"/>
                <w:szCs w:val="18"/>
              </w:rPr>
            </w:pPr>
            <w:r w:rsidRPr="00506C4E">
              <w:rPr>
                <w:rFonts w:cs="Times New Roman"/>
                <w:bCs/>
                <w:sz w:val="18"/>
                <w:szCs w:val="18"/>
              </w:rPr>
              <w:t>1</w:t>
            </w:r>
          </w:p>
        </w:tc>
        <w:tc>
          <w:tcPr>
            <w:tcW w:w="724" w:type="pct"/>
            <w:tcBorders>
              <w:top w:val="nil"/>
              <w:left w:val="nil"/>
              <w:bottom w:val="single" w:sz="4" w:space="0" w:color="auto"/>
              <w:right w:val="single" w:sz="4" w:space="0" w:color="auto"/>
            </w:tcBorders>
            <w:vAlign w:val="center"/>
          </w:tcPr>
          <w:p w14:paraId="3BA1345D" w14:textId="77777777" w:rsidR="00D07378" w:rsidRPr="00506C4E" w:rsidRDefault="00D07378" w:rsidP="00BA499D">
            <w:pPr>
              <w:spacing w:line="276" w:lineRule="auto"/>
              <w:jc w:val="center"/>
              <w:rPr>
                <w:rFonts w:cs="Times New Roman"/>
                <w:bCs/>
                <w:sz w:val="18"/>
                <w:szCs w:val="18"/>
              </w:rPr>
            </w:pPr>
            <w:r>
              <w:rPr>
                <w:rFonts w:cs="Times New Roman"/>
                <w:bCs/>
                <w:sz w:val="18"/>
                <w:szCs w:val="18"/>
              </w:rPr>
              <w:t>7</w:t>
            </w:r>
          </w:p>
        </w:tc>
      </w:tr>
      <w:tr w:rsidR="00D07378" w:rsidRPr="002C0CAC" w14:paraId="544A2CE6" w14:textId="77777777" w:rsidTr="00BA499D">
        <w:trPr>
          <w:gridAfter w:val="2"/>
          <w:wAfter w:w="235" w:type="pct"/>
          <w:trHeight w:val="113"/>
        </w:trPr>
        <w:tc>
          <w:tcPr>
            <w:tcW w:w="384" w:type="pct"/>
            <w:tcBorders>
              <w:top w:val="nil"/>
              <w:left w:val="single" w:sz="4" w:space="0" w:color="auto"/>
              <w:bottom w:val="single" w:sz="4" w:space="0" w:color="auto"/>
              <w:right w:val="single" w:sz="4" w:space="0" w:color="auto"/>
            </w:tcBorders>
            <w:noWrap/>
            <w:vAlign w:val="center"/>
          </w:tcPr>
          <w:p w14:paraId="0C2D8183" w14:textId="77777777" w:rsidR="00D07378" w:rsidRPr="00B464D7" w:rsidRDefault="00D07378" w:rsidP="00BA499D">
            <w:pPr>
              <w:spacing w:after="120" w:line="276" w:lineRule="auto"/>
              <w:jc w:val="center"/>
              <w:rPr>
                <w:rFonts w:eastAsia="Times New Roman" w:cs="Times New Roman"/>
                <w:bCs/>
                <w:color w:val="1A1A1A"/>
                <w:sz w:val="18"/>
                <w:szCs w:val="18"/>
              </w:rPr>
            </w:pPr>
            <w:r>
              <w:rPr>
                <w:rFonts w:eastAsia="Times New Roman" w:cs="Times New Roman"/>
                <w:bCs/>
                <w:color w:val="1A1A1A"/>
                <w:sz w:val="18"/>
                <w:szCs w:val="18"/>
              </w:rPr>
              <w:t>4.</w:t>
            </w:r>
          </w:p>
        </w:tc>
        <w:tc>
          <w:tcPr>
            <w:tcW w:w="3006" w:type="pct"/>
            <w:tcBorders>
              <w:top w:val="nil"/>
              <w:left w:val="nil"/>
              <w:bottom w:val="single" w:sz="4" w:space="0" w:color="auto"/>
              <w:right w:val="single" w:sz="4" w:space="0" w:color="auto"/>
            </w:tcBorders>
            <w:vAlign w:val="center"/>
          </w:tcPr>
          <w:p w14:paraId="48CE2BC5" w14:textId="77777777" w:rsidR="00D07378" w:rsidRPr="00506C4E" w:rsidRDefault="00D07378" w:rsidP="00BA499D">
            <w:pPr>
              <w:spacing w:line="276" w:lineRule="auto"/>
              <w:rPr>
                <w:bCs/>
                <w:sz w:val="18"/>
                <w:szCs w:val="18"/>
              </w:rPr>
            </w:pPr>
            <w:r w:rsidRPr="00506C4E">
              <w:rPr>
                <w:bCs/>
                <w:sz w:val="18"/>
                <w:szCs w:val="18"/>
              </w:rPr>
              <w:t xml:space="preserve">Ekspertna </w:t>
            </w:r>
            <w:r w:rsidRPr="00506C4E">
              <w:rPr>
                <w:sz w:val="18"/>
                <w:szCs w:val="18"/>
              </w:rPr>
              <w:t>skupina Europske komisije za siguran i pravovremen pristup lijekova bolesnicima (STAMP)</w:t>
            </w:r>
          </w:p>
        </w:tc>
        <w:tc>
          <w:tcPr>
            <w:tcW w:w="651" w:type="pct"/>
            <w:tcBorders>
              <w:top w:val="nil"/>
              <w:left w:val="nil"/>
              <w:bottom w:val="single" w:sz="4" w:space="0" w:color="auto"/>
              <w:right w:val="single" w:sz="4" w:space="0" w:color="auto"/>
            </w:tcBorders>
            <w:vAlign w:val="center"/>
          </w:tcPr>
          <w:p w14:paraId="287212B6" w14:textId="77777777" w:rsidR="00D07378" w:rsidRPr="00506C4E" w:rsidRDefault="00D07378" w:rsidP="00BA499D">
            <w:pPr>
              <w:spacing w:line="276" w:lineRule="auto"/>
              <w:jc w:val="center"/>
              <w:rPr>
                <w:bCs/>
                <w:sz w:val="18"/>
                <w:szCs w:val="18"/>
              </w:rPr>
            </w:pPr>
            <w:r w:rsidRPr="00506C4E">
              <w:rPr>
                <w:rFonts w:cs="Times New Roman"/>
                <w:bCs/>
                <w:sz w:val="18"/>
                <w:szCs w:val="18"/>
              </w:rPr>
              <w:t>2</w:t>
            </w:r>
          </w:p>
        </w:tc>
        <w:tc>
          <w:tcPr>
            <w:tcW w:w="724" w:type="pct"/>
            <w:tcBorders>
              <w:top w:val="nil"/>
              <w:left w:val="nil"/>
              <w:bottom w:val="single" w:sz="4" w:space="0" w:color="auto"/>
              <w:right w:val="single" w:sz="4" w:space="0" w:color="auto"/>
            </w:tcBorders>
            <w:vAlign w:val="center"/>
          </w:tcPr>
          <w:p w14:paraId="3B44AA68" w14:textId="77777777" w:rsidR="00D07378" w:rsidRPr="00506C4E" w:rsidRDefault="00D07378" w:rsidP="00BA499D">
            <w:pPr>
              <w:spacing w:line="276" w:lineRule="auto"/>
              <w:jc w:val="center"/>
              <w:rPr>
                <w:rFonts w:cs="Times New Roman"/>
                <w:bCs/>
                <w:sz w:val="18"/>
                <w:szCs w:val="18"/>
              </w:rPr>
            </w:pPr>
            <w:r w:rsidRPr="00506C4E">
              <w:rPr>
                <w:rFonts w:cs="Times New Roman"/>
                <w:bCs/>
                <w:sz w:val="18"/>
                <w:szCs w:val="18"/>
              </w:rPr>
              <w:t>0</w:t>
            </w:r>
          </w:p>
        </w:tc>
      </w:tr>
      <w:tr w:rsidR="00D07378" w:rsidRPr="002C0CAC" w14:paraId="60E2C70A" w14:textId="77777777" w:rsidTr="00BA499D">
        <w:trPr>
          <w:gridAfter w:val="2"/>
          <w:wAfter w:w="235" w:type="pct"/>
          <w:trHeight w:val="113"/>
        </w:trPr>
        <w:tc>
          <w:tcPr>
            <w:tcW w:w="384" w:type="pct"/>
            <w:tcBorders>
              <w:top w:val="nil"/>
              <w:left w:val="single" w:sz="4" w:space="0" w:color="auto"/>
              <w:bottom w:val="single" w:sz="4" w:space="0" w:color="auto"/>
              <w:right w:val="single" w:sz="4" w:space="0" w:color="auto"/>
            </w:tcBorders>
            <w:noWrap/>
            <w:vAlign w:val="center"/>
          </w:tcPr>
          <w:p w14:paraId="3CA95A95" w14:textId="77777777" w:rsidR="00D07378" w:rsidRDefault="00D07378" w:rsidP="00BA499D">
            <w:pPr>
              <w:spacing w:after="120" w:line="276" w:lineRule="auto"/>
              <w:jc w:val="center"/>
              <w:rPr>
                <w:rFonts w:eastAsia="Times New Roman" w:cs="Times New Roman"/>
                <w:bCs/>
                <w:color w:val="1A1A1A"/>
                <w:sz w:val="18"/>
                <w:szCs w:val="18"/>
              </w:rPr>
            </w:pPr>
            <w:r>
              <w:rPr>
                <w:rFonts w:eastAsia="Times New Roman" w:cs="Times New Roman"/>
                <w:bCs/>
                <w:color w:val="1A1A1A"/>
                <w:sz w:val="18"/>
                <w:szCs w:val="18"/>
              </w:rPr>
              <w:t xml:space="preserve">5. </w:t>
            </w:r>
          </w:p>
        </w:tc>
        <w:tc>
          <w:tcPr>
            <w:tcW w:w="3006" w:type="pct"/>
            <w:tcBorders>
              <w:top w:val="nil"/>
              <w:left w:val="nil"/>
              <w:bottom w:val="single" w:sz="4" w:space="0" w:color="auto"/>
              <w:right w:val="single" w:sz="4" w:space="0" w:color="auto"/>
            </w:tcBorders>
            <w:vAlign w:val="center"/>
          </w:tcPr>
          <w:p w14:paraId="4804D69A" w14:textId="77777777" w:rsidR="00D07378" w:rsidRDefault="00D07378" w:rsidP="00BA499D">
            <w:pPr>
              <w:spacing w:line="276" w:lineRule="auto"/>
              <w:rPr>
                <w:sz w:val="18"/>
                <w:szCs w:val="18"/>
              </w:rPr>
            </w:pPr>
            <w:r w:rsidRPr="00BE06BD">
              <w:rPr>
                <w:sz w:val="18"/>
                <w:szCs w:val="18"/>
              </w:rPr>
              <w:t>Koordinacijska skupina za procjenu zdravstvenih tehnologija</w:t>
            </w:r>
          </w:p>
          <w:p w14:paraId="7CA9AEEE" w14:textId="77777777" w:rsidR="00D07378" w:rsidRPr="00FF0384" w:rsidRDefault="00D07378" w:rsidP="00BA499D">
            <w:pPr>
              <w:spacing w:line="276" w:lineRule="auto"/>
              <w:rPr>
                <w:bCs/>
                <w:i/>
                <w:sz w:val="18"/>
                <w:szCs w:val="18"/>
              </w:rPr>
            </w:pPr>
            <w:r>
              <w:rPr>
                <w:i/>
                <w:sz w:val="18"/>
                <w:szCs w:val="18"/>
              </w:rPr>
              <w:t>(</w:t>
            </w:r>
            <w:r w:rsidRPr="00FF0384">
              <w:rPr>
                <w:i/>
                <w:sz w:val="18"/>
                <w:szCs w:val="18"/>
              </w:rPr>
              <w:t>Coordination Group on Health Technology Assessment (HTA) under the Regulation (EU) 2021/2282 (HTACG)</w:t>
            </w:r>
            <w:r>
              <w:rPr>
                <w:i/>
                <w:sz w:val="18"/>
                <w:szCs w:val="18"/>
              </w:rPr>
              <w:t>)</w:t>
            </w:r>
          </w:p>
        </w:tc>
        <w:tc>
          <w:tcPr>
            <w:tcW w:w="651" w:type="pct"/>
            <w:tcBorders>
              <w:top w:val="nil"/>
              <w:left w:val="nil"/>
              <w:bottom w:val="single" w:sz="4" w:space="0" w:color="auto"/>
              <w:right w:val="single" w:sz="4" w:space="0" w:color="auto"/>
            </w:tcBorders>
            <w:vAlign w:val="center"/>
          </w:tcPr>
          <w:p w14:paraId="14A8CA43" w14:textId="77777777" w:rsidR="00D07378" w:rsidRPr="00506C4E" w:rsidRDefault="00D07378" w:rsidP="00BA499D">
            <w:pPr>
              <w:spacing w:line="276" w:lineRule="auto"/>
              <w:jc w:val="center"/>
              <w:rPr>
                <w:rFonts w:cs="Times New Roman"/>
                <w:bCs/>
                <w:sz w:val="18"/>
                <w:szCs w:val="18"/>
              </w:rPr>
            </w:pPr>
            <w:r w:rsidRPr="00506C4E">
              <w:rPr>
                <w:rFonts w:cs="Times New Roman"/>
                <w:bCs/>
                <w:sz w:val="18"/>
                <w:szCs w:val="18"/>
              </w:rPr>
              <w:t>n/p</w:t>
            </w:r>
          </w:p>
        </w:tc>
        <w:tc>
          <w:tcPr>
            <w:tcW w:w="724" w:type="pct"/>
            <w:tcBorders>
              <w:top w:val="nil"/>
              <w:left w:val="nil"/>
              <w:bottom w:val="single" w:sz="4" w:space="0" w:color="auto"/>
              <w:right w:val="single" w:sz="4" w:space="0" w:color="auto"/>
            </w:tcBorders>
            <w:vAlign w:val="center"/>
          </w:tcPr>
          <w:p w14:paraId="2A64321A" w14:textId="77777777" w:rsidR="00D07378" w:rsidRPr="00506C4E" w:rsidRDefault="00D07378" w:rsidP="00BA499D">
            <w:pPr>
              <w:spacing w:line="276" w:lineRule="auto"/>
              <w:jc w:val="center"/>
              <w:rPr>
                <w:rFonts w:cs="Times New Roman"/>
                <w:bCs/>
                <w:sz w:val="18"/>
                <w:szCs w:val="18"/>
              </w:rPr>
            </w:pPr>
            <w:r>
              <w:rPr>
                <w:rFonts w:cs="Times New Roman"/>
                <w:bCs/>
                <w:sz w:val="18"/>
                <w:szCs w:val="18"/>
              </w:rPr>
              <w:t>48</w:t>
            </w:r>
          </w:p>
        </w:tc>
      </w:tr>
      <w:tr w:rsidR="00D07378" w:rsidRPr="002C0CAC" w14:paraId="0CD01959" w14:textId="77777777" w:rsidTr="00BA499D">
        <w:trPr>
          <w:gridAfter w:val="2"/>
          <w:wAfter w:w="235" w:type="pct"/>
          <w:trHeight w:val="113"/>
        </w:trPr>
        <w:tc>
          <w:tcPr>
            <w:tcW w:w="384" w:type="pct"/>
            <w:tcBorders>
              <w:top w:val="nil"/>
              <w:left w:val="single" w:sz="4" w:space="0" w:color="auto"/>
              <w:bottom w:val="single" w:sz="4" w:space="0" w:color="auto"/>
              <w:right w:val="single" w:sz="4" w:space="0" w:color="auto"/>
            </w:tcBorders>
            <w:noWrap/>
            <w:vAlign w:val="center"/>
          </w:tcPr>
          <w:p w14:paraId="76FAC24A" w14:textId="77777777" w:rsidR="00D07378" w:rsidRDefault="00D07378" w:rsidP="00BA499D">
            <w:pPr>
              <w:spacing w:after="120" w:line="276" w:lineRule="auto"/>
              <w:jc w:val="center"/>
              <w:rPr>
                <w:rFonts w:eastAsia="Times New Roman" w:cs="Times New Roman"/>
                <w:bCs/>
                <w:color w:val="1A1A1A"/>
                <w:sz w:val="18"/>
                <w:szCs w:val="18"/>
              </w:rPr>
            </w:pPr>
            <w:r>
              <w:rPr>
                <w:rFonts w:eastAsia="Times New Roman" w:cs="Times New Roman"/>
                <w:bCs/>
                <w:color w:val="1A1A1A"/>
                <w:sz w:val="18"/>
                <w:szCs w:val="18"/>
              </w:rPr>
              <w:t xml:space="preserve">6. </w:t>
            </w:r>
          </w:p>
        </w:tc>
        <w:tc>
          <w:tcPr>
            <w:tcW w:w="3006" w:type="pct"/>
            <w:tcBorders>
              <w:top w:val="nil"/>
              <w:left w:val="nil"/>
              <w:bottom w:val="single" w:sz="4" w:space="0" w:color="auto"/>
              <w:right w:val="single" w:sz="4" w:space="0" w:color="auto"/>
            </w:tcBorders>
            <w:vAlign w:val="center"/>
          </w:tcPr>
          <w:p w14:paraId="0CFC9429" w14:textId="77777777" w:rsidR="00D07378" w:rsidRPr="00506C4E" w:rsidRDefault="00D07378" w:rsidP="00BA499D">
            <w:pPr>
              <w:spacing w:line="276" w:lineRule="auto"/>
              <w:rPr>
                <w:sz w:val="18"/>
                <w:szCs w:val="18"/>
              </w:rPr>
            </w:pPr>
            <w:r w:rsidRPr="00BE06BD">
              <w:rPr>
                <w:sz w:val="18"/>
                <w:szCs w:val="18"/>
              </w:rPr>
              <w:t xml:space="preserve">Stručna radna skupina za medicinske protumjere </w:t>
            </w:r>
            <w:r>
              <w:rPr>
                <w:sz w:val="18"/>
                <w:szCs w:val="18"/>
              </w:rPr>
              <w:t>(</w:t>
            </w:r>
            <w:r w:rsidRPr="00FF0384">
              <w:rPr>
                <w:i/>
                <w:sz w:val="18"/>
                <w:szCs w:val="18"/>
              </w:rPr>
              <w:t>Health Emergency Preparedness and Response Authority (HERA MCM)</w:t>
            </w:r>
            <w:r>
              <w:rPr>
                <w:i/>
                <w:sz w:val="18"/>
                <w:szCs w:val="18"/>
              </w:rPr>
              <w:t>)</w:t>
            </w:r>
          </w:p>
        </w:tc>
        <w:tc>
          <w:tcPr>
            <w:tcW w:w="651" w:type="pct"/>
            <w:tcBorders>
              <w:top w:val="nil"/>
              <w:left w:val="nil"/>
              <w:bottom w:val="single" w:sz="4" w:space="0" w:color="auto"/>
              <w:right w:val="single" w:sz="4" w:space="0" w:color="auto"/>
            </w:tcBorders>
            <w:vAlign w:val="center"/>
          </w:tcPr>
          <w:p w14:paraId="50CCA55C" w14:textId="77777777" w:rsidR="00D07378" w:rsidRPr="00506C4E" w:rsidRDefault="00D07378" w:rsidP="00BA499D">
            <w:pPr>
              <w:spacing w:line="276" w:lineRule="auto"/>
              <w:jc w:val="center"/>
              <w:rPr>
                <w:rFonts w:cs="Times New Roman"/>
                <w:bCs/>
                <w:sz w:val="18"/>
                <w:szCs w:val="18"/>
              </w:rPr>
            </w:pPr>
            <w:r w:rsidRPr="00506C4E">
              <w:rPr>
                <w:rFonts w:cs="Times New Roman"/>
                <w:bCs/>
                <w:sz w:val="18"/>
                <w:szCs w:val="18"/>
              </w:rPr>
              <w:t>n/p</w:t>
            </w:r>
          </w:p>
        </w:tc>
        <w:tc>
          <w:tcPr>
            <w:tcW w:w="724" w:type="pct"/>
            <w:tcBorders>
              <w:top w:val="nil"/>
              <w:left w:val="nil"/>
              <w:bottom w:val="single" w:sz="4" w:space="0" w:color="auto"/>
              <w:right w:val="single" w:sz="4" w:space="0" w:color="auto"/>
            </w:tcBorders>
            <w:vAlign w:val="center"/>
          </w:tcPr>
          <w:p w14:paraId="55F0AAAA" w14:textId="77777777" w:rsidR="00D07378" w:rsidRPr="00506C4E" w:rsidRDefault="00D07378" w:rsidP="00BA499D">
            <w:pPr>
              <w:spacing w:line="276" w:lineRule="auto"/>
              <w:jc w:val="center"/>
              <w:rPr>
                <w:rFonts w:cs="Times New Roman"/>
                <w:bCs/>
                <w:sz w:val="18"/>
                <w:szCs w:val="18"/>
              </w:rPr>
            </w:pPr>
            <w:r>
              <w:rPr>
                <w:rFonts w:cs="Times New Roman"/>
                <w:bCs/>
                <w:sz w:val="18"/>
                <w:szCs w:val="18"/>
              </w:rPr>
              <w:t>19</w:t>
            </w:r>
          </w:p>
        </w:tc>
      </w:tr>
      <w:tr w:rsidR="00D07378" w:rsidRPr="002C0CAC" w14:paraId="71F0900E" w14:textId="77777777" w:rsidTr="00BA499D">
        <w:trPr>
          <w:trHeight w:val="113"/>
        </w:trPr>
        <w:tc>
          <w:tcPr>
            <w:tcW w:w="4765" w:type="pct"/>
            <w:gridSpan w:val="4"/>
            <w:tcBorders>
              <w:top w:val="single" w:sz="4" w:space="0" w:color="auto"/>
              <w:left w:val="single" w:sz="4" w:space="0" w:color="auto"/>
              <w:bottom w:val="single" w:sz="4" w:space="0" w:color="auto"/>
              <w:right w:val="single" w:sz="4" w:space="0" w:color="auto"/>
            </w:tcBorders>
            <w:noWrap/>
            <w:vAlign w:val="center"/>
            <w:hideMark/>
          </w:tcPr>
          <w:p w14:paraId="266919CA" w14:textId="77777777" w:rsidR="00D07378" w:rsidRPr="00506C4E" w:rsidRDefault="00D07378" w:rsidP="00BA499D">
            <w:pPr>
              <w:spacing w:after="120" w:line="276" w:lineRule="auto"/>
              <w:rPr>
                <w:rFonts w:eastAsia="Times New Roman" w:cs="Times New Roman"/>
                <w:b/>
                <w:bCs/>
                <w:color w:val="1A1A1A"/>
                <w:sz w:val="18"/>
                <w:szCs w:val="18"/>
                <w:lang w:eastAsia="hr-HR"/>
              </w:rPr>
            </w:pPr>
            <w:r w:rsidRPr="00506C4E">
              <w:rPr>
                <w:rFonts w:eastAsia="Times New Roman" w:cs="Times New Roman"/>
                <w:b/>
                <w:bCs/>
                <w:color w:val="1A1A1A"/>
                <w:sz w:val="18"/>
                <w:szCs w:val="18"/>
                <w:lang w:eastAsia="hr-HR"/>
              </w:rPr>
              <w:t>Radne skupine Vijeća EU</w:t>
            </w:r>
          </w:p>
        </w:tc>
        <w:tc>
          <w:tcPr>
            <w:tcW w:w="118" w:type="pct"/>
          </w:tcPr>
          <w:p w14:paraId="290F258A" w14:textId="77777777" w:rsidR="00D07378" w:rsidRPr="002C0CAC" w:rsidRDefault="00D07378" w:rsidP="00BA499D">
            <w:pPr>
              <w:spacing w:after="200" w:line="276" w:lineRule="auto"/>
            </w:pPr>
          </w:p>
        </w:tc>
        <w:tc>
          <w:tcPr>
            <w:tcW w:w="117" w:type="pct"/>
          </w:tcPr>
          <w:p w14:paraId="451FD9BA" w14:textId="77777777" w:rsidR="00D07378" w:rsidRPr="002C0CAC" w:rsidRDefault="00D07378" w:rsidP="00BA499D">
            <w:pPr>
              <w:spacing w:after="200" w:line="276" w:lineRule="auto"/>
            </w:pPr>
          </w:p>
        </w:tc>
      </w:tr>
      <w:tr w:rsidR="00D07378" w:rsidRPr="002C0CAC" w14:paraId="2ECCA828" w14:textId="77777777" w:rsidTr="00BA499D">
        <w:trPr>
          <w:gridAfter w:val="2"/>
          <w:wAfter w:w="235" w:type="pct"/>
          <w:trHeight w:val="113"/>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14:paraId="34D360F9" w14:textId="77777777" w:rsidR="00D07378" w:rsidRPr="008C6BEC" w:rsidRDefault="00D07378" w:rsidP="00BA499D">
            <w:pPr>
              <w:spacing w:after="120" w:line="276" w:lineRule="auto"/>
              <w:jc w:val="center"/>
              <w:rPr>
                <w:rFonts w:eastAsia="Times New Roman" w:cs="Times New Roman"/>
                <w:bCs/>
                <w:color w:val="1A1A1A"/>
                <w:sz w:val="18"/>
                <w:szCs w:val="18"/>
              </w:rPr>
            </w:pPr>
            <w:r>
              <w:rPr>
                <w:rFonts w:eastAsia="Times New Roman" w:cs="Times New Roman"/>
                <w:bCs/>
                <w:color w:val="1A1A1A"/>
                <w:sz w:val="18"/>
                <w:szCs w:val="18"/>
              </w:rPr>
              <w:t>7</w:t>
            </w:r>
            <w:r w:rsidRPr="008C6BEC">
              <w:rPr>
                <w:rFonts w:eastAsia="Times New Roman" w:cs="Times New Roman"/>
                <w:bCs/>
                <w:color w:val="1A1A1A"/>
                <w:sz w:val="18"/>
                <w:szCs w:val="18"/>
              </w:rPr>
              <w:t>.</w:t>
            </w:r>
          </w:p>
        </w:tc>
        <w:tc>
          <w:tcPr>
            <w:tcW w:w="3006" w:type="pct"/>
            <w:tcBorders>
              <w:top w:val="nil"/>
              <w:left w:val="nil"/>
              <w:bottom w:val="single" w:sz="4" w:space="0" w:color="auto"/>
              <w:right w:val="single" w:sz="4" w:space="0" w:color="auto"/>
            </w:tcBorders>
            <w:shd w:val="clear" w:color="auto" w:fill="auto"/>
            <w:vAlign w:val="center"/>
            <w:hideMark/>
          </w:tcPr>
          <w:p w14:paraId="2C3BFBE9" w14:textId="77777777" w:rsidR="00D07378" w:rsidRPr="00506C4E" w:rsidRDefault="00D07378" w:rsidP="00BA499D">
            <w:pPr>
              <w:spacing w:line="276" w:lineRule="auto"/>
              <w:rPr>
                <w:bCs/>
                <w:sz w:val="18"/>
                <w:szCs w:val="18"/>
              </w:rPr>
            </w:pPr>
            <w:r w:rsidRPr="00506C4E">
              <w:rPr>
                <w:rFonts w:eastAsia="Times New Roman" w:cs="Tahoma"/>
                <w:bCs/>
                <w:color w:val="000000"/>
                <w:sz w:val="18"/>
                <w:szCs w:val="18"/>
                <w:lang w:eastAsia="hr-HR"/>
              </w:rPr>
              <w:t>Radna skupina Vijeća EU za lijekove i medicinske proizvode (</w:t>
            </w:r>
            <w:r w:rsidRPr="00506C4E">
              <w:rPr>
                <w:rFonts w:eastAsia="Times New Roman" w:cs="Tahoma"/>
                <w:bCs/>
                <w:i/>
                <w:color w:val="000000"/>
                <w:sz w:val="18"/>
                <w:szCs w:val="18"/>
                <w:lang w:eastAsia="hr-HR"/>
              </w:rPr>
              <w:t>Pharmaceuticals and Medical Devices Working Group</w:t>
            </w:r>
            <w:r w:rsidRPr="00506C4E">
              <w:rPr>
                <w:rFonts w:eastAsia="Times New Roman" w:cs="Tahoma"/>
                <w:bCs/>
                <w:color w:val="000000"/>
                <w:sz w:val="18"/>
                <w:szCs w:val="18"/>
                <w:lang w:eastAsia="hr-HR"/>
              </w:rPr>
              <w:t>)</w:t>
            </w:r>
          </w:p>
        </w:tc>
        <w:tc>
          <w:tcPr>
            <w:tcW w:w="651" w:type="pct"/>
            <w:tcBorders>
              <w:top w:val="nil"/>
              <w:left w:val="nil"/>
              <w:bottom w:val="single" w:sz="4" w:space="0" w:color="auto"/>
              <w:right w:val="single" w:sz="4" w:space="0" w:color="auto"/>
            </w:tcBorders>
            <w:shd w:val="clear" w:color="auto" w:fill="auto"/>
            <w:vAlign w:val="center"/>
            <w:hideMark/>
          </w:tcPr>
          <w:p w14:paraId="143BF01D" w14:textId="77777777" w:rsidR="00D07378" w:rsidRPr="00506C4E" w:rsidRDefault="00D07378" w:rsidP="00BA499D">
            <w:pPr>
              <w:spacing w:line="276" w:lineRule="auto"/>
              <w:jc w:val="center"/>
              <w:rPr>
                <w:rFonts w:cs="Times New Roman"/>
                <w:bCs/>
                <w:sz w:val="18"/>
                <w:szCs w:val="18"/>
              </w:rPr>
            </w:pPr>
            <w:r w:rsidRPr="00506C4E">
              <w:rPr>
                <w:rFonts w:cs="Times New Roman"/>
                <w:bCs/>
                <w:sz w:val="18"/>
                <w:szCs w:val="18"/>
              </w:rPr>
              <w:t>10</w:t>
            </w:r>
          </w:p>
        </w:tc>
        <w:tc>
          <w:tcPr>
            <w:tcW w:w="724" w:type="pct"/>
            <w:tcBorders>
              <w:top w:val="nil"/>
              <w:left w:val="nil"/>
              <w:bottom w:val="single" w:sz="4" w:space="0" w:color="auto"/>
              <w:right w:val="single" w:sz="4" w:space="0" w:color="auto"/>
            </w:tcBorders>
            <w:shd w:val="clear" w:color="auto" w:fill="auto"/>
            <w:vAlign w:val="center"/>
          </w:tcPr>
          <w:p w14:paraId="5A775389" w14:textId="77777777" w:rsidR="00D07378" w:rsidRPr="00506C4E" w:rsidRDefault="00D07378" w:rsidP="00BA499D">
            <w:pPr>
              <w:spacing w:line="276" w:lineRule="auto"/>
              <w:jc w:val="center"/>
              <w:rPr>
                <w:rFonts w:cs="Times New Roman"/>
                <w:bCs/>
                <w:sz w:val="18"/>
                <w:szCs w:val="18"/>
              </w:rPr>
            </w:pPr>
            <w:r>
              <w:rPr>
                <w:rFonts w:cs="Times New Roman"/>
                <w:bCs/>
                <w:sz w:val="18"/>
                <w:szCs w:val="18"/>
              </w:rPr>
              <w:t>86</w:t>
            </w:r>
          </w:p>
        </w:tc>
      </w:tr>
      <w:tr w:rsidR="00D07378" w:rsidRPr="002C0CAC" w14:paraId="084E8826" w14:textId="77777777" w:rsidTr="00BA499D">
        <w:trPr>
          <w:trHeight w:val="113"/>
        </w:trPr>
        <w:tc>
          <w:tcPr>
            <w:tcW w:w="4765"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BC3E5" w14:textId="77777777" w:rsidR="00D07378" w:rsidRPr="008C6BEC" w:rsidRDefault="00D07378" w:rsidP="00BA499D">
            <w:pPr>
              <w:spacing w:after="120" w:line="276" w:lineRule="auto"/>
              <w:rPr>
                <w:rFonts w:eastAsia="Times New Roman" w:cs="Times New Roman"/>
                <w:b/>
                <w:bCs/>
                <w:color w:val="1A1A1A"/>
                <w:sz w:val="18"/>
                <w:szCs w:val="18"/>
                <w:lang w:eastAsia="hr-HR"/>
              </w:rPr>
            </w:pPr>
            <w:r w:rsidRPr="008C6BEC">
              <w:rPr>
                <w:rFonts w:eastAsia="Times New Roman" w:cs="Times New Roman"/>
                <w:b/>
                <w:bCs/>
                <w:color w:val="1A1A1A"/>
                <w:sz w:val="18"/>
                <w:szCs w:val="18"/>
                <w:lang w:eastAsia="hr-HR"/>
              </w:rPr>
              <w:t>Povjerenstva i radne skupine EMA-e</w:t>
            </w:r>
          </w:p>
        </w:tc>
        <w:tc>
          <w:tcPr>
            <w:tcW w:w="118" w:type="pct"/>
            <w:shd w:val="clear" w:color="auto" w:fill="auto"/>
          </w:tcPr>
          <w:p w14:paraId="67771F53" w14:textId="77777777" w:rsidR="00D07378" w:rsidRPr="002C0CAC" w:rsidRDefault="00D07378" w:rsidP="00BA499D">
            <w:pPr>
              <w:spacing w:after="200" w:line="276" w:lineRule="auto"/>
            </w:pPr>
          </w:p>
        </w:tc>
        <w:tc>
          <w:tcPr>
            <w:tcW w:w="117" w:type="pct"/>
            <w:shd w:val="clear" w:color="auto" w:fill="auto"/>
          </w:tcPr>
          <w:p w14:paraId="5FF9AC29" w14:textId="77777777" w:rsidR="00D07378" w:rsidRPr="002C0CAC" w:rsidRDefault="00D07378" w:rsidP="00BA499D">
            <w:pPr>
              <w:spacing w:after="200" w:line="276" w:lineRule="auto"/>
            </w:pPr>
          </w:p>
        </w:tc>
      </w:tr>
      <w:tr w:rsidR="00D07378" w:rsidRPr="002C0CAC" w14:paraId="776E6D4D" w14:textId="77777777" w:rsidTr="00BA499D">
        <w:trPr>
          <w:gridAfter w:val="2"/>
          <w:wAfter w:w="235" w:type="pct"/>
          <w:trHeight w:val="113"/>
        </w:trPr>
        <w:tc>
          <w:tcPr>
            <w:tcW w:w="384" w:type="pct"/>
            <w:tcBorders>
              <w:top w:val="nil"/>
              <w:left w:val="single" w:sz="4" w:space="0" w:color="auto"/>
              <w:bottom w:val="single" w:sz="4" w:space="0" w:color="auto"/>
              <w:right w:val="single" w:sz="4" w:space="0" w:color="auto"/>
            </w:tcBorders>
            <w:noWrap/>
            <w:vAlign w:val="center"/>
            <w:hideMark/>
          </w:tcPr>
          <w:p w14:paraId="47C9D8D2" w14:textId="77777777" w:rsidR="00D07378" w:rsidRPr="00B464D7" w:rsidRDefault="00D07378" w:rsidP="00BA499D">
            <w:pPr>
              <w:spacing w:after="120" w:line="276" w:lineRule="auto"/>
              <w:jc w:val="center"/>
              <w:rPr>
                <w:rFonts w:eastAsia="Times New Roman" w:cs="Times New Roman"/>
                <w:bCs/>
                <w:color w:val="1A1A1A"/>
                <w:sz w:val="18"/>
                <w:szCs w:val="18"/>
              </w:rPr>
            </w:pPr>
            <w:r>
              <w:rPr>
                <w:rFonts w:eastAsia="Times New Roman" w:cs="Times New Roman"/>
                <w:bCs/>
                <w:color w:val="1A1A1A"/>
                <w:sz w:val="18"/>
                <w:szCs w:val="18"/>
              </w:rPr>
              <w:t>8</w:t>
            </w:r>
            <w:r w:rsidRPr="00B464D7">
              <w:rPr>
                <w:rFonts w:eastAsia="Times New Roman" w:cs="Times New Roman"/>
                <w:bCs/>
                <w:color w:val="1A1A1A"/>
                <w:sz w:val="18"/>
                <w:szCs w:val="18"/>
              </w:rPr>
              <w:t>.</w:t>
            </w:r>
          </w:p>
        </w:tc>
        <w:tc>
          <w:tcPr>
            <w:tcW w:w="3006" w:type="pct"/>
            <w:tcBorders>
              <w:top w:val="nil"/>
              <w:left w:val="single" w:sz="4" w:space="0" w:color="auto"/>
              <w:bottom w:val="single" w:sz="4" w:space="0" w:color="auto"/>
              <w:right w:val="single" w:sz="4" w:space="0" w:color="auto"/>
            </w:tcBorders>
            <w:vAlign w:val="center"/>
            <w:hideMark/>
          </w:tcPr>
          <w:p w14:paraId="258FC0EA" w14:textId="77777777" w:rsidR="00D07378" w:rsidRPr="00A15603" w:rsidRDefault="00D07378" w:rsidP="00BA499D">
            <w:pPr>
              <w:pStyle w:val="NoSpacing"/>
              <w:spacing w:line="276" w:lineRule="auto"/>
              <w:rPr>
                <w:rFonts w:eastAsia="Times New Roman" w:cs="Times New Roman"/>
                <w:sz w:val="18"/>
                <w:szCs w:val="18"/>
              </w:rPr>
            </w:pPr>
            <w:r w:rsidRPr="00A15603">
              <w:rPr>
                <w:sz w:val="18"/>
                <w:szCs w:val="18"/>
              </w:rPr>
              <w:t>Povjerenstvo za humane lijekove (CHMP)</w:t>
            </w:r>
          </w:p>
        </w:tc>
        <w:tc>
          <w:tcPr>
            <w:tcW w:w="651" w:type="pct"/>
            <w:tcBorders>
              <w:top w:val="nil"/>
              <w:left w:val="single" w:sz="4" w:space="0" w:color="auto"/>
              <w:bottom w:val="single" w:sz="4" w:space="0" w:color="auto"/>
              <w:right w:val="single" w:sz="4" w:space="0" w:color="auto"/>
            </w:tcBorders>
            <w:vAlign w:val="center"/>
          </w:tcPr>
          <w:p w14:paraId="16E89592" w14:textId="77777777" w:rsidR="00D07378" w:rsidRPr="00A15603" w:rsidRDefault="00D07378" w:rsidP="00BA499D">
            <w:pPr>
              <w:spacing w:line="276" w:lineRule="auto"/>
              <w:jc w:val="center"/>
              <w:rPr>
                <w:rFonts w:cs="Times New Roman"/>
                <w:bCs/>
                <w:sz w:val="18"/>
                <w:szCs w:val="18"/>
              </w:rPr>
            </w:pPr>
            <w:r w:rsidRPr="00A15603">
              <w:rPr>
                <w:rFonts w:cs="Times New Roman"/>
                <w:bCs/>
                <w:sz w:val="18"/>
                <w:szCs w:val="18"/>
              </w:rPr>
              <w:t>23</w:t>
            </w:r>
          </w:p>
        </w:tc>
        <w:tc>
          <w:tcPr>
            <w:tcW w:w="724" w:type="pct"/>
            <w:tcBorders>
              <w:top w:val="nil"/>
              <w:left w:val="single" w:sz="4" w:space="0" w:color="auto"/>
              <w:bottom w:val="single" w:sz="4" w:space="0" w:color="auto"/>
              <w:right w:val="single" w:sz="4" w:space="0" w:color="auto"/>
            </w:tcBorders>
            <w:vAlign w:val="center"/>
          </w:tcPr>
          <w:p w14:paraId="73BEBD3B" w14:textId="77777777" w:rsidR="00D07378" w:rsidRPr="00A15603" w:rsidRDefault="00D07378" w:rsidP="00BA499D">
            <w:pPr>
              <w:spacing w:line="276" w:lineRule="auto"/>
              <w:jc w:val="center"/>
              <w:rPr>
                <w:rFonts w:cs="Times New Roman"/>
                <w:bCs/>
                <w:sz w:val="18"/>
                <w:szCs w:val="18"/>
              </w:rPr>
            </w:pPr>
            <w:r>
              <w:rPr>
                <w:rFonts w:cs="Times New Roman"/>
                <w:bCs/>
                <w:sz w:val="18"/>
                <w:szCs w:val="18"/>
              </w:rPr>
              <w:t>24</w:t>
            </w:r>
          </w:p>
        </w:tc>
      </w:tr>
      <w:tr w:rsidR="00D07378" w:rsidRPr="002C0CAC" w14:paraId="79C8799D" w14:textId="77777777" w:rsidTr="00BA499D">
        <w:trPr>
          <w:gridAfter w:val="2"/>
          <w:wAfter w:w="235" w:type="pct"/>
          <w:trHeight w:val="113"/>
        </w:trPr>
        <w:tc>
          <w:tcPr>
            <w:tcW w:w="384" w:type="pct"/>
            <w:tcBorders>
              <w:top w:val="nil"/>
              <w:left w:val="single" w:sz="4" w:space="0" w:color="auto"/>
              <w:bottom w:val="single" w:sz="4" w:space="0" w:color="auto"/>
              <w:right w:val="single" w:sz="4" w:space="0" w:color="auto"/>
            </w:tcBorders>
            <w:noWrap/>
            <w:vAlign w:val="center"/>
            <w:hideMark/>
          </w:tcPr>
          <w:p w14:paraId="62642053" w14:textId="77777777" w:rsidR="00D07378" w:rsidRPr="00B464D7" w:rsidRDefault="00D07378" w:rsidP="00BA499D">
            <w:pPr>
              <w:spacing w:after="120" w:line="276" w:lineRule="auto"/>
              <w:jc w:val="center"/>
              <w:rPr>
                <w:rFonts w:eastAsia="Times New Roman" w:cs="Times New Roman"/>
                <w:bCs/>
                <w:color w:val="1A1A1A"/>
                <w:sz w:val="18"/>
                <w:szCs w:val="18"/>
              </w:rPr>
            </w:pPr>
            <w:r>
              <w:rPr>
                <w:rFonts w:eastAsia="Times New Roman" w:cs="Times New Roman"/>
                <w:bCs/>
                <w:color w:val="1A1A1A"/>
                <w:sz w:val="18"/>
                <w:szCs w:val="18"/>
              </w:rPr>
              <w:t>9</w:t>
            </w:r>
            <w:r w:rsidRPr="00B464D7">
              <w:rPr>
                <w:rFonts w:eastAsia="Times New Roman" w:cs="Times New Roman"/>
                <w:bCs/>
                <w:color w:val="1A1A1A"/>
                <w:sz w:val="18"/>
                <w:szCs w:val="18"/>
              </w:rPr>
              <w:t>.</w:t>
            </w:r>
          </w:p>
        </w:tc>
        <w:tc>
          <w:tcPr>
            <w:tcW w:w="3006" w:type="pct"/>
            <w:tcBorders>
              <w:top w:val="nil"/>
              <w:left w:val="single" w:sz="4" w:space="0" w:color="auto"/>
              <w:bottom w:val="single" w:sz="4" w:space="0" w:color="auto"/>
              <w:right w:val="single" w:sz="4" w:space="0" w:color="auto"/>
            </w:tcBorders>
            <w:vAlign w:val="center"/>
            <w:hideMark/>
          </w:tcPr>
          <w:p w14:paraId="36390C02" w14:textId="77777777" w:rsidR="00D07378" w:rsidRPr="00A15603" w:rsidRDefault="00D07378" w:rsidP="00BA499D">
            <w:pPr>
              <w:pStyle w:val="NoSpacing"/>
              <w:spacing w:line="276" w:lineRule="auto"/>
              <w:rPr>
                <w:rFonts w:eastAsia="Times New Roman" w:cs="Times New Roman"/>
                <w:sz w:val="18"/>
                <w:szCs w:val="18"/>
              </w:rPr>
            </w:pPr>
            <w:r w:rsidRPr="00A15603">
              <w:rPr>
                <w:sz w:val="18"/>
                <w:szCs w:val="18"/>
              </w:rPr>
              <w:t>Radna skupina za znanstveni savjet (SAWP)</w:t>
            </w:r>
          </w:p>
        </w:tc>
        <w:tc>
          <w:tcPr>
            <w:tcW w:w="651" w:type="pct"/>
            <w:tcBorders>
              <w:top w:val="nil"/>
              <w:left w:val="single" w:sz="4" w:space="0" w:color="auto"/>
              <w:bottom w:val="single" w:sz="4" w:space="0" w:color="auto"/>
              <w:right w:val="single" w:sz="4" w:space="0" w:color="auto"/>
            </w:tcBorders>
            <w:vAlign w:val="center"/>
          </w:tcPr>
          <w:p w14:paraId="458E8C3B" w14:textId="77777777" w:rsidR="00D07378" w:rsidRPr="00A15603" w:rsidRDefault="00D07378" w:rsidP="00BA499D">
            <w:pPr>
              <w:spacing w:line="276" w:lineRule="auto"/>
              <w:jc w:val="center"/>
              <w:rPr>
                <w:rFonts w:cs="Times New Roman"/>
                <w:bCs/>
                <w:sz w:val="18"/>
                <w:szCs w:val="18"/>
              </w:rPr>
            </w:pPr>
            <w:r w:rsidRPr="00A15603">
              <w:rPr>
                <w:rFonts w:cs="Times New Roman"/>
                <w:bCs/>
                <w:sz w:val="18"/>
                <w:szCs w:val="18"/>
              </w:rPr>
              <w:t>11</w:t>
            </w:r>
          </w:p>
        </w:tc>
        <w:tc>
          <w:tcPr>
            <w:tcW w:w="724" w:type="pct"/>
            <w:tcBorders>
              <w:top w:val="nil"/>
              <w:left w:val="single" w:sz="4" w:space="0" w:color="auto"/>
              <w:bottom w:val="single" w:sz="4" w:space="0" w:color="auto"/>
              <w:right w:val="single" w:sz="4" w:space="0" w:color="auto"/>
            </w:tcBorders>
            <w:vAlign w:val="center"/>
          </w:tcPr>
          <w:p w14:paraId="08A695AB" w14:textId="77777777" w:rsidR="00D07378" w:rsidRPr="00A15603" w:rsidRDefault="00D07378" w:rsidP="00BA499D">
            <w:pPr>
              <w:spacing w:line="276" w:lineRule="auto"/>
              <w:jc w:val="center"/>
              <w:rPr>
                <w:rFonts w:cs="Times New Roman"/>
                <w:bCs/>
                <w:sz w:val="18"/>
                <w:szCs w:val="18"/>
              </w:rPr>
            </w:pPr>
            <w:r>
              <w:rPr>
                <w:rFonts w:cs="Times New Roman"/>
                <w:bCs/>
                <w:sz w:val="18"/>
                <w:szCs w:val="18"/>
              </w:rPr>
              <w:t>13</w:t>
            </w:r>
          </w:p>
        </w:tc>
      </w:tr>
      <w:tr w:rsidR="00D07378" w:rsidRPr="002C0CAC" w14:paraId="609E15A8" w14:textId="77777777" w:rsidTr="00BA499D">
        <w:trPr>
          <w:gridAfter w:val="2"/>
          <w:wAfter w:w="235" w:type="pct"/>
          <w:trHeight w:val="113"/>
        </w:trPr>
        <w:tc>
          <w:tcPr>
            <w:tcW w:w="384" w:type="pct"/>
            <w:tcBorders>
              <w:top w:val="nil"/>
              <w:left w:val="single" w:sz="4" w:space="0" w:color="auto"/>
              <w:bottom w:val="single" w:sz="4" w:space="0" w:color="auto"/>
              <w:right w:val="single" w:sz="4" w:space="0" w:color="auto"/>
            </w:tcBorders>
            <w:noWrap/>
            <w:vAlign w:val="center"/>
            <w:hideMark/>
          </w:tcPr>
          <w:p w14:paraId="1AEE7A97" w14:textId="77777777" w:rsidR="00D07378" w:rsidRPr="00B464D7" w:rsidRDefault="00D07378" w:rsidP="00BA499D">
            <w:pPr>
              <w:spacing w:after="120" w:line="276" w:lineRule="auto"/>
              <w:jc w:val="center"/>
              <w:rPr>
                <w:rFonts w:eastAsia="Times New Roman" w:cs="Times New Roman"/>
                <w:bCs/>
                <w:color w:val="1A1A1A"/>
                <w:sz w:val="18"/>
                <w:szCs w:val="18"/>
              </w:rPr>
            </w:pPr>
            <w:r>
              <w:rPr>
                <w:rFonts w:eastAsia="Times New Roman" w:cs="Times New Roman"/>
                <w:bCs/>
                <w:color w:val="1A1A1A"/>
                <w:sz w:val="18"/>
                <w:szCs w:val="18"/>
              </w:rPr>
              <w:t>10</w:t>
            </w:r>
            <w:r w:rsidRPr="00B464D7">
              <w:rPr>
                <w:rFonts w:eastAsia="Times New Roman" w:cs="Times New Roman"/>
                <w:bCs/>
                <w:color w:val="1A1A1A"/>
                <w:sz w:val="18"/>
                <w:szCs w:val="18"/>
              </w:rPr>
              <w:t>.</w:t>
            </w:r>
          </w:p>
        </w:tc>
        <w:tc>
          <w:tcPr>
            <w:tcW w:w="3006" w:type="pct"/>
            <w:tcBorders>
              <w:top w:val="nil"/>
              <w:left w:val="nil"/>
              <w:bottom w:val="single" w:sz="4" w:space="0" w:color="auto"/>
              <w:right w:val="single" w:sz="4" w:space="0" w:color="auto"/>
            </w:tcBorders>
            <w:vAlign w:val="center"/>
            <w:hideMark/>
          </w:tcPr>
          <w:p w14:paraId="49E1C4C0" w14:textId="77777777" w:rsidR="00D07378" w:rsidRPr="00A15603" w:rsidRDefault="00D07378" w:rsidP="00BA499D">
            <w:pPr>
              <w:pStyle w:val="NoSpacing"/>
              <w:spacing w:line="276" w:lineRule="auto"/>
              <w:rPr>
                <w:rFonts w:eastAsia="Times New Roman" w:cs="Times New Roman"/>
                <w:sz w:val="18"/>
                <w:szCs w:val="18"/>
              </w:rPr>
            </w:pPr>
            <w:r w:rsidRPr="00A15603">
              <w:rPr>
                <w:sz w:val="18"/>
                <w:szCs w:val="18"/>
              </w:rPr>
              <w:t>Radna skupina za biološke lijekove (BWP)</w:t>
            </w:r>
          </w:p>
        </w:tc>
        <w:tc>
          <w:tcPr>
            <w:tcW w:w="651" w:type="pct"/>
            <w:tcBorders>
              <w:top w:val="nil"/>
              <w:left w:val="nil"/>
              <w:bottom w:val="single" w:sz="4" w:space="0" w:color="auto"/>
              <w:right w:val="single" w:sz="4" w:space="0" w:color="auto"/>
            </w:tcBorders>
            <w:vAlign w:val="center"/>
          </w:tcPr>
          <w:p w14:paraId="7545E80B" w14:textId="77777777" w:rsidR="00D07378" w:rsidRPr="00A15603" w:rsidRDefault="00D07378" w:rsidP="00BA499D">
            <w:pPr>
              <w:spacing w:line="276" w:lineRule="auto"/>
              <w:jc w:val="center"/>
              <w:rPr>
                <w:rFonts w:cs="Times New Roman"/>
                <w:bCs/>
                <w:sz w:val="18"/>
                <w:szCs w:val="18"/>
              </w:rPr>
            </w:pPr>
            <w:r w:rsidRPr="00A15603">
              <w:rPr>
                <w:rFonts w:cs="Times New Roman"/>
                <w:bCs/>
                <w:sz w:val="18"/>
                <w:szCs w:val="18"/>
              </w:rPr>
              <w:t>11</w:t>
            </w:r>
          </w:p>
        </w:tc>
        <w:tc>
          <w:tcPr>
            <w:tcW w:w="724" w:type="pct"/>
            <w:tcBorders>
              <w:top w:val="nil"/>
              <w:left w:val="nil"/>
              <w:bottom w:val="single" w:sz="4" w:space="0" w:color="auto"/>
              <w:right w:val="single" w:sz="4" w:space="0" w:color="auto"/>
            </w:tcBorders>
            <w:vAlign w:val="center"/>
          </w:tcPr>
          <w:p w14:paraId="15E3D639" w14:textId="77777777" w:rsidR="00D07378" w:rsidRPr="00A15603" w:rsidRDefault="00D07378" w:rsidP="00BA499D">
            <w:pPr>
              <w:spacing w:line="276" w:lineRule="auto"/>
              <w:jc w:val="center"/>
              <w:rPr>
                <w:rFonts w:cs="Times New Roman"/>
                <w:bCs/>
                <w:sz w:val="18"/>
                <w:szCs w:val="18"/>
              </w:rPr>
            </w:pPr>
            <w:r>
              <w:rPr>
                <w:rFonts w:cs="Times New Roman"/>
                <w:bCs/>
                <w:sz w:val="18"/>
                <w:szCs w:val="18"/>
              </w:rPr>
              <w:t>21</w:t>
            </w:r>
          </w:p>
        </w:tc>
      </w:tr>
      <w:tr w:rsidR="00D07378" w:rsidRPr="002C0CAC" w14:paraId="5393CCB5" w14:textId="77777777" w:rsidTr="00BA499D">
        <w:trPr>
          <w:gridAfter w:val="2"/>
          <w:wAfter w:w="235" w:type="pct"/>
          <w:trHeight w:val="113"/>
        </w:trPr>
        <w:tc>
          <w:tcPr>
            <w:tcW w:w="384" w:type="pct"/>
            <w:tcBorders>
              <w:top w:val="nil"/>
              <w:left w:val="single" w:sz="4" w:space="0" w:color="auto"/>
              <w:bottom w:val="single" w:sz="4" w:space="0" w:color="auto"/>
              <w:right w:val="single" w:sz="4" w:space="0" w:color="auto"/>
            </w:tcBorders>
            <w:noWrap/>
            <w:vAlign w:val="center"/>
            <w:hideMark/>
          </w:tcPr>
          <w:p w14:paraId="2BB1BCC7" w14:textId="77777777" w:rsidR="00D07378" w:rsidRPr="00B464D7" w:rsidRDefault="00D07378" w:rsidP="00BA499D">
            <w:pPr>
              <w:spacing w:after="120" w:line="276" w:lineRule="auto"/>
              <w:jc w:val="center"/>
              <w:rPr>
                <w:rFonts w:eastAsia="Times New Roman" w:cs="Times New Roman"/>
                <w:bCs/>
                <w:color w:val="1A1A1A"/>
                <w:sz w:val="18"/>
                <w:szCs w:val="18"/>
              </w:rPr>
            </w:pPr>
            <w:r>
              <w:rPr>
                <w:rFonts w:eastAsia="Times New Roman" w:cs="Times New Roman"/>
                <w:bCs/>
                <w:color w:val="1A1A1A"/>
                <w:sz w:val="18"/>
                <w:szCs w:val="18"/>
              </w:rPr>
              <w:t>11</w:t>
            </w:r>
            <w:r w:rsidRPr="00B464D7">
              <w:rPr>
                <w:rFonts w:eastAsia="Times New Roman" w:cs="Times New Roman"/>
                <w:bCs/>
                <w:color w:val="1A1A1A"/>
                <w:sz w:val="18"/>
                <w:szCs w:val="18"/>
              </w:rPr>
              <w:t>.</w:t>
            </w:r>
          </w:p>
        </w:tc>
        <w:tc>
          <w:tcPr>
            <w:tcW w:w="3006" w:type="pct"/>
            <w:tcBorders>
              <w:top w:val="nil"/>
              <w:left w:val="nil"/>
              <w:bottom w:val="single" w:sz="4" w:space="0" w:color="auto"/>
              <w:right w:val="single" w:sz="4" w:space="0" w:color="auto"/>
            </w:tcBorders>
            <w:vAlign w:val="center"/>
            <w:hideMark/>
          </w:tcPr>
          <w:p w14:paraId="5CA3E39A" w14:textId="77777777" w:rsidR="00D07378" w:rsidRPr="00A15603" w:rsidRDefault="00D07378" w:rsidP="00BA499D">
            <w:pPr>
              <w:pStyle w:val="NoSpacing"/>
              <w:spacing w:line="276" w:lineRule="auto"/>
              <w:rPr>
                <w:rFonts w:eastAsia="Times New Roman" w:cs="Times New Roman"/>
                <w:sz w:val="18"/>
                <w:szCs w:val="18"/>
              </w:rPr>
            </w:pPr>
            <w:r w:rsidRPr="00A15603">
              <w:rPr>
                <w:sz w:val="18"/>
                <w:szCs w:val="18"/>
              </w:rPr>
              <w:t>Radna skupina za kakvoću lijekova (QWP)</w:t>
            </w:r>
          </w:p>
        </w:tc>
        <w:tc>
          <w:tcPr>
            <w:tcW w:w="651" w:type="pct"/>
            <w:tcBorders>
              <w:top w:val="nil"/>
              <w:left w:val="nil"/>
              <w:bottom w:val="single" w:sz="4" w:space="0" w:color="auto"/>
              <w:right w:val="single" w:sz="4" w:space="0" w:color="auto"/>
            </w:tcBorders>
            <w:vAlign w:val="center"/>
          </w:tcPr>
          <w:p w14:paraId="165F6576" w14:textId="77777777" w:rsidR="00D07378" w:rsidRPr="00A15603" w:rsidRDefault="00D07378" w:rsidP="00BA499D">
            <w:pPr>
              <w:spacing w:line="276" w:lineRule="auto"/>
              <w:jc w:val="center"/>
              <w:rPr>
                <w:rFonts w:eastAsia="Times New Roman" w:cstheme="minorHAnsi"/>
                <w:sz w:val="18"/>
                <w:szCs w:val="18"/>
              </w:rPr>
            </w:pPr>
            <w:r w:rsidRPr="00A15603">
              <w:rPr>
                <w:rFonts w:eastAsia="Times New Roman" w:cstheme="minorHAnsi"/>
                <w:sz w:val="18"/>
                <w:szCs w:val="18"/>
              </w:rPr>
              <w:t>4</w:t>
            </w:r>
          </w:p>
        </w:tc>
        <w:tc>
          <w:tcPr>
            <w:tcW w:w="724" w:type="pct"/>
            <w:tcBorders>
              <w:top w:val="nil"/>
              <w:left w:val="nil"/>
              <w:bottom w:val="single" w:sz="4" w:space="0" w:color="auto"/>
              <w:right w:val="single" w:sz="4" w:space="0" w:color="auto"/>
            </w:tcBorders>
            <w:vAlign w:val="center"/>
          </w:tcPr>
          <w:p w14:paraId="64C42387" w14:textId="77777777" w:rsidR="00D07378" w:rsidRPr="00A15603" w:rsidRDefault="00D07378" w:rsidP="00BA499D">
            <w:pPr>
              <w:spacing w:line="276" w:lineRule="auto"/>
              <w:jc w:val="center"/>
              <w:rPr>
                <w:rFonts w:eastAsia="Times New Roman" w:cstheme="minorHAnsi"/>
                <w:sz w:val="18"/>
                <w:szCs w:val="18"/>
              </w:rPr>
            </w:pPr>
            <w:r>
              <w:rPr>
                <w:rFonts w:eastAsia="Times New Roman" w:cstheme="minorHAnsi"/>
                <w:sz w:val="18"/>
                <w:szCs w:val="18"/>
              </w:rPr>
              <w:t>6</w:t>
            </w:r>
          </w:p>
        </w:tc>
      </w:tr>
      <w:tr w:rsidR="00D07378" w:rsidRPr="002C0CAC" w14:paraId="58EA8D33" w14:textId="77777777" w:rsidTr="00BA499D">
        <w:trPr>
          <w:gridAfter w:val="2"/>
          <w:wAfter w:w="235" w:type="pct"/>
          <w:trHeight w:val="113"/>
        </w:trPr>
        <w:tc>
          <w:tcPr>
            <w:tcW w:w="384" w:type="pct"/>
            <w:tcBorders>
              <w:top w:val="nil"/>
              <w:left w:val="single" w:sz="4" w:space="0" w:color="auto"/>
              <w:bottom w:val="single" w:sz="4" w:space="0" w:color="auto"/>
              <w:right w:val="single" w:sz="4" w:space="0" w:color="auto"/>
            </w:tcBorders>
            <w:noWrap/>
            <w:vAlign w:val="center"/>
            <w:hideMark/>
          </w:tcPr>
          <w:p w14:paraId="68210D59" w14:textId="77777777" w:rsidR="00D07378" w:rsidRPr="00B464D7" w:rsidRDefault="00D07378" w:rsidP="00BA499D">
            <w:pPr>
              <w:spacing w:after="120" w:line="276" w:lineRule="auto"/>
              <w:jc w:val="center"/>
              <w:rPr>
                <w:rFonts w:eastAsia="Times New Roman" w:cs="Times New Roman"/>
                <w:bCs/>
                <w:color w:val="1A1A1A"/>
                <w:sz w:val="18"/>
                <w:szCs w:val="18"/>
              </w:rPr>
            </w:pPr>
            <w:r w:rsidRPr="00B464D7">
              <w:rPr>
                <w:rFonts w:eastAsia="Times New Roman" w:cs="Times New Roman"/>
                <w:bCs/>
                <w:color w:val="1A1A1A"/>
                <w:sz w:val="18"/>
                <w:szCs w:val="18"/>
              </w:rPr>
              <w:t>1</w:t>
            </w:r>
            <w:r>
              <w:rPr>
                <w:rFonts w:eastAsia="Times New Roman" w:cs="Times New Roman"/>
                <w:bCs/>
                <w:color w:val="1A1A1A"/>
                <w:sz w:val="18"/>
                <w:szCs w:val="18"/>
              </w:rPr>
              <w:t>2</w:t>
            </w:r>
            <w:r w:rsidRPr="00B464D7">
              <w:rPr>
                <w:rFonts w:eastAsia="Times New Roman" w:cs="Times New Roman"/>
                <w:bCs/>
                <w:color w:val="1A1A1A"/>
                <w:sz w:val="18"/>
                <w:szCs w:val="18"/>
              </w:rPr>
              <w:t>.</w:t>
            </w:r>
          </w:p>
        </w:tc>
        <w:tc>
          <w:tcPr>
            <w:tcW w:w="3006" w:type="pct"/>
            <w:tcBorders>
              <w:top w:val="nil"/>
              <w:left w:val="nil"/>
              <w:bottom w:val="single" w:sz="4" w:space="0" w:color="auto"/>
              <w:right w:val="single" w:sz="4" w:space="0" w:color="auto"/>
            </w:tcBorders>
            <w:vAlign w:val="center"/>
            <w:hideMark/>
          </w:tcPr>
          <w:p w14:paraId="570A081E" w14:textId="77777777" w:rsidR="00D07378" w:rsidRPr="00A15603" w:rsidRDefault="00D07378" w:rsidP="00BA499D">
            <w:pPr>
              <w:pStyle w:val="NoSpacing"/>
              <w:spacing w:line="276" w:lineRule="auto"/>
              <w:rPr>
                <w:rFonts w:eastAsia="Times New Roman" w:cs="Times New Roman"/>
                <w:sz w:val="18"/>
                <w:szCs w:val="18"/>
              </w:rPr>
            </w:pPr>
            <w:r w:rsidRPr="00A15603">
              <w:rPr>
                <w:sz w:val="18"/>
                <w:szCs w:val="18"/>
              </w:rPr>
              <w:t>Radna grupa za lingvističku provjeru dokumenata (QRD)</w:t>
            </w:r>
          </w:p>
        </w:tc>
        <w:tc>
          <w:tcPr>
            <w:tcW w:w="651" w:type="pct"/>
            <w:tcBorders>
              <w:top w:val="nil"/>
              <w:left w:val="nil"/>
              <w:bottom w:val="single" w:sz="4" w:space="0" w:color="auto"/>
              <w:right w:val="single" w:sz="4" w:space="0" w:color="auto"/>
            </w:tcBorders>
            <w:vAlign w:val="center"/>
          </w:tcPr>
          <w:p w14:paraId="36E6393F" w14:textId="77777777" w:rsidR="00D07378" w:rsidRPr="00A15603" w:rsidRDefault="00D07378" w:rsidP="00BA499D">
            <w:pPr>
              <w:spacing w:line="276" w:lineRule="auto"/>
              <w:jc w:val="center"/>
              <w:rPr>
                <w:rFonts w:cs="Times New Roman"/>
                <w:bCs/>
                <w:sz w:val="18"/>
                <w:szCs w:val="18"/>
              </w:rPr>
            </w:pPr>
            <w:r w:rsidRPr="00A15603">
              <w:rPr>
                <w:rFonts w:cs="Times New Roman"/>
                <w:bCs/>
                <w:sz w:val="18"/>
                <w:szCs w:val="18"/>
              </w:rPr>
              <w:t>3</w:t>
            </w:r>
          </w:p>
        </w:tc>
        <w:tc>
          <w:tcPr>
            <w:tcW w:w="724" w:type="pct"/>
            <w:tcBorders>
              <w:top w:val="nil"/>
              <w:left w:val="nil"/>
              <w:bottom w:val="single" w:sz="4" w:space="0" w:color="auto"/>
              <w:right w:val="single" w:sz="4" w:space="0" w:color="auto"/>
            </w:tcBorders>
            <w:vAlign w:val="center"/>
          </w:tcPr>
          <w:p w14:paraId="392EF144" w14:textId="77777777" w:rsidR="00D07378" w:rsidRPr="00A15603" w:rsidRDefault="00D07378" w:rsidP="00BA499D">
            <w:pPr>
              <w:spacing w:line="276" w:lineRule="auto"/>
              <w:jc w:val="center"/>
              <w:rPr>
                <w:rFonts w:cs="Times New Roman"/>
                <w:bCs/>
                <w:sz w:val="18"/>
                <w:szCs w:val="18"/>
              </w:rPr>
            </w:pPr>
            <w:r>
              <w:rPr>
                <w:rFonts w:cs="Times New Roman"/>
                <w:bCs/>
                <w:sz w:val="18"/>
                <w:szCs w:val="18"/>
              </w:rPr>
              <w:t>3</w:t>
            </w:r>
          </w:p>
        </w:tc>
      </w:tr>
      <w:tr w:rsidR="00D07378" w:rsidRPr="002C0CAC" w14:paraId="3A2E43AD" w14:textId="77777777" w:rsidTr="00BA499D">
        <w:trPr>
          <w:gridAfter w:val="2"/>
          <w:wAfter w:w="235" w:type="pct"/>
          <w:trHeight w:val="113"/>
        </w:trPr>
        <w:tc>
          <w:tcPr>
            <w:tcW w:w="384" w:type="pct"/>
            <w:tcBorders>
              <w:top w:val="nil"/>
              <w:left w:val="single" w:sz="4" w:space="0" w:color="auto"/>
              <w:bottom w:val="single" w:sz="4" w:space="0" w:color="auto"/>
              <w:right w:val="single" w:sz="4" w:space="0" w:color="auto"/>
            </w:tcBorders>
            <w:noWrap/>
            <w:vAlign w:val="center"/>
            <w:hideMark/>
          </w:tcPr>
          <w:p w14:paraId="3937D304" w14:textId="77777777" w:rsidR="00D07378" w:rsidRPr="00B464D7" w:rsidRDefault="00D07378" w:rsidP="00BA499D">
            <w:pPr>
              <w:spacing w:after="120" w:line="276" w:lineRule="auto"/>
              <w:jc w:val="center"/>
              <w:rPr>
                <w:rFonts w:eastAsia="Times New Roman" w:cs="Times New Roman"/>
                <w:bCs/>
                <w:color w:val="1A1A1A"/>
                <w:sz w:val="18"/>
                <w:szCs w:val="18"/>
              </w:rPr>
            </w:pPr>
            <w:r w:rsidRPr="00B464D7">
              <w:rPr>
                <w:rFonts w:eastAsia="Times New Roman" w:cs="Times New Roman"/>
                <w:bCs/>
                <w:color w:val="1A1A1A"/>
                <w:sz w:val="18"/>
                <w:szCs w:val="18"/>
              </w:rPr>
              <w:t>1</w:t>
            </w:r>
            <w:r>
              <w:rPr>
                <w:rFonts w:eastAsia="Times New Roman" w:cs="Times New Roman"/>
                <w:bCs/>
                <w:color w:val="1A1A1A"/>
                <w:sz w:val="18"/>
                <w:szCs w:val="18"/>
              </w:rPr>
              <w:t>3</w:t>
            </w:r>
            <w:r w:rsidRPr="00B464D7">
              <w:rPr>
                <w:rFonts w:eastAsia="Times New Roman" w:cs="Times New Roman"/>
                <w:bCs/>
                <w:color w:val="1A1A1A"/>
                <w:sz w:val="18"/>
                <w:szCs w:val="18"/>
              </w:rPr>
              <w:t>.</w:t>
            </w:r>
          </w:p>
        </w:tc>
        <w:tc>
          <w:tcPr>
            <w:tcW w:w="3006" w:type="pct"/>
            <w:tcBorders>
              <w:top w:val="nil"/>
              <w:left w:val="nil"/>
              <w:bottom w:val="single" w:sz="4" w:space="0" w:color="auto"/>
              <w:right w:val="single" w:sz="4" w:space="0" w:color="auto"/>
            </w:tcBorders>
            <w:vAlign w:val="center"/>
          </w:tcPr>
          <w:p w14:paraId="2DA7131A" w14:textId="77777777" w:rsidR="00D07378" w:rsidRPr="00506C4E" w:rsidRDefault="00D07378" w:rsidP="00BA499D">
            <w:pPr>
              <w:pStyle w:val="NoSpacing"/>
              <w:spacing w:line="276" w:lineRule="auto"/>
              <w:rPr>
                <w:rFonts w:eastAsia="Times New Roman" w:cs="Times New Roman"/>
                <w:sz w:val="18"/>
                <w:szCs w:val="18"/>
              </w:rPr>
            </w:pPr>
            <w:r w:rsidRPr="00506C4E">
              <w:rPr>
                <w:sz w:val="18"/>
                <w:szCs w:val="18"/>
              </w:rPr>
              <w:t xml:space="preserve">Radna skupina za </w:t>
            </w:r>
            <w:r>
              <w:rPr>
                <w:sz w:val="18"/>
                <w:szCs w:val="18"/>
              </w:rPr>
              <w:t>modele i simulaciju (MSOEG)</w:t>
            </w:r>
          </w:p>
        </w:tc>
        <w:tc>
          <w:tcPr>
            <w:tcW w:w="651" w:type="pct"/>
            <w:tcBorders>
              <w:top w:val="nil"/>
              <w:left w:val="nil"/>
              <w:bottom w:val="single" w:sz="4" w:space="0" w:color="auto"/>
              <w:right w:val="single" w:sz="4" w:space="0" w:color="auto"/>
            </w:tcBorders>
            <w:vAlign w:val="center"/>
          </w:tcPr>
          <w:p w14:paraId="7D948D54" w14:textId="77777777" w:rsidR="00D07378" w:rsidRPr="00506C4E" w:rsidRDefault="00D07378" w:rsidP="00BA499D">
            <w:pPr>
              <w:spacing w:line="276" w:lineRule="auto"/>
              <w:jc w:val="center"/>
              <w:rPr>
                <w:rFonts w:cs="Times New Roman"/>
                <w:bCs/>
                <w:sz w:val="18"/>
                <w:szCs w:val="18"/>
              </w:rPr>
            </w:pPr>
            <w:r>
              <w:rPr>
                <w:rFonts w:cs="Times New Roman"/>
                <w:bCs/>
                <w:sz w:val="18"/>
                <w:szCs w:val="18"/>
              </w:rPr>
              <w:t>15</w:t>
            </w:r>
          </w:p>
        </w:tc>
        <w:tc>
          <w:tcPr>
            <w:tcW w:w="724" w:type="pct"/>
            <w:tcBorders>
              <w:top w:val="nil"/>
              <w:left w:val="nil"/>
              <w:bottom w:val="single" w:sz="4" w:space="0" w:color="auto"/>
              <w:right w:val="single" w:sz="4" w:space="0" w:color="auto"/>
            </w:tcBorders>
            <w:vAlign w:val="center"/>
          </w:tcPr>
          <w:p w14:paraId="46FEDB42" w14:textId="77777777" w:rsidR="00D07378" w:rsidRPr="00506C4E" w:rsidRDefault="00D07378" w:rsidP="00BA499D">
            <w:pPr>
              <w:spacing w:line="276" w:lineRule="auto"/>
              <w:jc w:val="center"/>
              <w:rPr>
                <w:rFonts w:cs="Times New Roman"/>
                <w:bCs/>
                <w:sz w:val="18"/>
                <w:szCs w:val="18"/>
              </w:rPr>
            </w:pPr>
            <w:r>
              <w:rPr>
                <w:rFonts w:cs="Times New Roman"/>
                <w:bCs/>
                <w:sz w:val="18"/>
                <w:szCs w:val="18"/>
              </w:rPr>
              <w:t>8</w:t>
            </w:r>
          </w:p>
        </w:tc>
      </w:tr>
      <w:tr w:rsidR="00D07378" w:rsidRPr="002C0CAC" w14:paraId="00F4ABE9" w14:textId="77777777" w:rsidTr="00BA499D">
        <w:trPr>
          <w:gridAfter w:val="2"/>
          <w:wAfter w:w="235" w:type="pct"/>
          <w:trHeight w:val="113"/>
        </w:trPr>
        <w:tc>
          <w:tcPr>
            <w:tcW w:w="384" w:type="pct"/>
            <w:tcBorders>
              <w:top w:val="nil"/>
              <w:left w:val="single" w:sz="4" w:space="0" w:color="auto"/>
              <w:bottom w:val="single" w:sz="4" w:space="0" w:color="auto"/>
              <w:right w:val="single" w:sz="4" w:space="0" w:color="auto"/>
            </w:tcBorders>
            <w:noWrap/>
            <w:vAlign w:val="center"/>
            <w:hideMark/>
          </w:tcPr>
          <w:p w14:paraId="1BE70F61" w14:textId="77777777" w:rsidR="00D07378" w:rsidRPr="00B464D7" w:rsidRDefault="00D07378" w:rsidP="00BA499D">
            <w:pPr>
              <w:spacing w:after="120" w:line="276" w:lineRule="auto"/>
              <w:jc w:val="center"/>
              <w:rPr>
                <w:rFonts w:eastAsia="Times New Roman" w:cs="Times New Roman"/>
                <w:bCs/>
                <w:color w:val="1A1A1A"/>
                <w:sz w:val="18"/>
                <w:szCs w:val="18"/>
              </w:rPr>
            </w:pPr>
            <w:r w:rsidRPr="00B464D7">
              <w:rPr>
                <w:rFonts w:eastAsia="Times New Roman" w:cs="Times New Roman"/>
                <w:bCs/>
                <w:color w:val="1A1A1A"/>
                <w:sz w:val="18"/>
                <w:szCs w:val="18"/>
              </w:rPr>
              <w:t>1</w:t>
            </w:r>
            <w:r>
              <w:rPr>
                <w:rFonts w:eastAsia="Times New Roman" w:cs="Times New Roman"/>
                <w:bCs/>
                <w:color w:val="1A1A1A"/>
                <w:sz w:val="18"/>
                <w:szCs w:val="18"/>
              </w:rPr>
              <w:t>4</w:t>
            </w:r>
            <w:r w:rsidRPr="00B464D7">
              <w:rPr>
                <w:rFonts w:eastAsia="Times New Roman" w:cs="Times New Roman"/>
                <w:bCs/>
                <w:color w:val="1A1A1A"/>
                <w:sz w:val="18"/>
                <w:szCs w:val="18"/>
              </w:rPr>
              <w:t>.</w:t>
            </w:r>
          </w:p>
        </w:tc>
        <w:tc>
          <w:tcPr>
            <w:tcW w:w="3006" w:type="pct"/>
            <w:tcBorders>
              <w:top w:val="nil"/>
              <w:left w:val="nil"/>
              <w:bottom w:val="single" w:sz="4" w:space="0" w:color="auto"/>
              <w:right w:val="single" w:sz="4" w:space="0" w:color="auto"/>
            </w:tcBorders>
            <w:vAlign w:val="center"/>
          </w:tcPr>
          <w:p w14:paraId="0A45B350" w14:textId="77777777" w:rsidR="00D07378" w:rsidRPr="00A15603" w:rsidRDefault="00D07378" w:rsidP="00BA499D">
            <w:pPr>
              <w:pStyle w:val="NoSpacing"/>
              <w:spacing w:line="276" w:lineRule="auto"/>
              <w:rPr>
                <w:rFonts w:eastAsia="Times New Roman" w:cs="Times New Roman"/>
                <w:sz w:val="18"/>
                <w:szCs w:val="18"/>
              </w:rPr>
            </w:pPr>
            <w:r w:rsidRPr="00A15603">
              <w:rPr>
                <w:rFonts w:cs="Calibri"/>
                <w:sz w:val="18"/>
                <w:szCs w:val="18"/>
              </w:rPr>
              <w:t xml:space="preserve">Radna skupina </w:t>
            </w:r>
            <w:r>
              <w:rPr>
                <w:rFonts w:cs="Calibri"/>
                <w:sz w:val="18"/>
                <w:szCs w:val="18"/>
              </w:rPr>
              <w:t>za biostatistiku (BSOEG)</w:t>
            </w:r>
          </w:p>
        </w:tc>
        <w:tc>
          <w:tcPr>
            <w:tcW w:w="651" w:type="pct"/>
            <w:tcBorders>
              <w:top w:val="nil"/>
              <w:left w:val="nil"/>
              <w:bottom w:val="single" w:sz="4" w:space="0" w:color="auto"/>
              <w:right w:val="single" w:sz="4" w:space="0" w:color="auto"/>
            </w:tcBorders>
            <w:vAlign w:val="center"/>
          </w:tcPr>
          <w:p w14:paraId="2EFCCAF2" w14:textId="77777777" w:rsidR="00D07378" w:rsidRPr="00A15603" w:rsidRDefault="00D07378" w:rsidP="00BA499D">
            <w:pPr>
              <w:spacing w:line="276" w:lineRule="auto"/>
              <w:jc w:val="center"/>
              <w:rPr>
                <w:rFonts w:cs="Times New Roman"/>
                <w:bCs/>
                <w:sz w:val="18"/>
                <w:szCs w:val="18"/>
              </w:rPr>
            </w:pPr>
          </w:p>
        </w:tc>
        <w:tc>
          <w:tcPr>
            <w:tcW w:w="724" w:type="pct"/>
            <w:tcBorders>
              <w:top w:val="nil"/>
              <w:left w:val="nil"/>
              <w:bottom w:val="single" w:sz="4" w:space="0" w:color="auto"/>
              <w:right w:val="single" w:sz="4" w:space="0" w:color="auto"/>
            </w:tcBorders>
            <w:vAlign w:val="center"/>
          </w:tcPr>
          <w:p w14:paraId="3302794F" w14:textId="77777777" w:rsidR="00D07378" w:rsidRPr="00A15603" w:rsidRDefault="00D07378" w:rsidP="00BA499D">
            <w:pPr>
              <w:spacing w:line="276" w:lineRule="auto"/>
              <w:jc w:val="center"/>
              <w:rPr>
                <w:rFonts w:cs="Times New Roman"/>
                <w:bCs/>
                <w:sz w:val="18"/>
                <w:szCs w:val="18"/>
              </w:rPr>
            </w:pPr>
            <w:r>
              <w:rPr>
                <w:rFonts w:cs="Times New Roman"/>
                <w:bCs/>
                <w:sz w:val="18"/>
                <w:szCs w:val="18"/>
              </w:rPr>
              <w:t>12</w:t>
            </w:r>
          </w:p>
        </w:tc>
      </w:tr>
      <w:tr w:rsidR="00D07378" w:rsidRPr="002C0CAC" w14:paraId="69400E27" w14:textId="77777777" w:rsidTr="00BA499D">
        <w:trPr>
          <w:gridAfter w:val="2"/>
          <w:wAfter w:w="235" w:type="pct"/>
          <w:trHeight w:val="113"/>
        </w:trPr>
        <w:tc>
          <w:tcPr>
            <w:tcW w:w="384" w:type="pct"/>
            <w:tcBorders>
              <w:top w:val="nil"/>
              <w:left w:val="single" w:sz="4" w:space="0" w:color="auto"/>
              <w:bottom w:val="single" w:sz="4" w:space="0" w:color="auto"/>
              <w:right w:val="single" w:sz="4" w:space="0" w:color="auto"/>
            </w:tcBorders>
            <w:noWrap/>
            <w:vAlign w:val="center"/>
            <w:hideMark/>
          </w:tcPr>
          <w:p w14:paraId="4573C5D0" w14:textId="77777777" w:rsidR="00D07378" w:rsidRPr="00B464D7" w:rsidRDefault="00D07378" w:rsidP="00BA499D">
            <w:pPr>
              <w:spacing w:after="120" w:line="276" w:lineRule="auto"/>
              <w:jc w:val="center"/>
              <w:rPr>
                <w:rFonts w:eastAsia="Times New Roman" w:cs="Times New Roman"/>
                <w:bCs/>
                <w:color w:val="1A1A1A"/>
                <w:sz w:val="18"/>
                <w:szCs w:val="18"/>
              </w:rPr>
            </w:pPr>
            <w:r w:rsidRPr="00B464D7">
              <w:rPr>
                <w:rFonts w:eastAsia="Times New Roman" w:cs="Times New Roman"/>
                <w:bCs/>
                <w:color w:val="1A1A1A"/>
                <w:sz w:val="18"/>
                <w:szCs w:val="18"/>
              </w:rPr>
              <w:t>1</w:t>
            </w:r>
            <w:r>
              <w:rPr>
                <w:rFonts w:eastAsia="Times New Roman" w:cs="Times New Roman"/>
                <w:bCs/>
                <w:color w:val="1A1A1A"/>
                <w:sz w:val="18"/>
                <w:szCs w:val="18"/>
              </w:rPr>
              <w:t>5</w:t>
            </w:r>
            <w:r w:rsidRPr="00B464D7">
              <w:rPr>
                <w:rFonts w:eastAsia="Times New Roman" w:cs="Times New Roman"/>
                <w:bCs/>
                <w:color w:val="1A1A1A"/>
                <w:sz w:val="18"/>
                <w:szCs w:val="18"/>
              </w:rPr>
              <w:t>.</w:t>
            </w:r>
          </w:p>
        </w:tc>
        <w:tc>
          <w:tcPr>
            <w:tcW w:w="3006" w:type="pct"/>
            <w:tcBorders>
              <w:top w:val="nil"/>
              <w:left w:val="nil"/>
              <w:bottom w:val="single" w:sz="4" w:space="0" w:color="auto"/>
              <w:right w:val="single" w:sz="4" w:space="0" w:color="auto"/>
            </w:tcBorders>
            <w:vAlign w:val="center"/>
          </w:tcPr>
          <w:p w14:paraId="057890F0" w14:textId="4DD379E3" w:rsidR="00D07378" w:rsidRPr="00A15603" w:rsidRDefault="00A22291" w:rsidP="00BA499D">
            <w:pPr>
              <w:pStyle w:val="NoSpacing"/>
              <w:spacing w:line="276" w:lineRule="auto"/>
              <w:rPr>
                <w:rFonts w:eastAsia="Times New Roman" w:cs="Times New Roman"/>
                <w:sz w:val="18"/>
                <w:szCs w:val="18"/>
              </w:rPr>
            </w:pPr>
            <w:r>
              <w:rPr>
                <w:rFonts w:cs="Calibri"/>
                <w:sz w:val="18"/>
                <w:szCs w:val="18"/>
              </w:rPr>
              <w:t xml:space="preserve">Skupina </w:t>
            </w:r>
            <w:r w:rsidR="00D07378">
              <w:rPr>
                <w:rFonts w:cs="Calibri"/>
                <w:sz w:val="18"/>
                <w:szCs w:val="18"/>
              </w:rPr>
              <w:t>za izradu smjernica za generike</w:t>
            </w:r>
          </w:p>
        </w:tc>
        <w:tc>
          <w:tcPr>
            <w:tcW w:w="651" w:type="pct"/>
            <w:tcBorders>
              <w:top w:val="nil"/>
              <w:left w:val="nil"/>
              <w:bottom w:val="single" w:sz="4" w:space="0" w:color="auto"/>
              <w:right w:val="single" w:sz="4" w:space="0" w:color="auto"/>
            </w:tcBorders>
            <w:vAlign w:val="center"/>
          </w:tcPr>
          <w:p w14:paraId="7D5CF3FE" w14:textId="77777777" w:rsidR="00D07378" w:rsidRPr="00A15603" w:rsidRDefault="00D07378" w:rsidP="00BA499D">
            <w:pPr>
              <w:spacing w:line="276" w:lineRule="auto"/>
              <w:jc w:val="center"/>
              <w:rPr>
                <w:rFonts w:cs="Times New Roman"/>
                <w:bCs/>
                <w:sz w:val="18"/>
                <w:szCs w:val="18"/>
              </w:rPr>
            </w:pPr>
            <w:r>
              <w:rPr>
                <w:rFonts w:cs="Times New Roman"/>
                <w:bCs/>
                <w:sz w:val="18"/>
                <w:szCs w:val="18"/>
              </w:rPr>
              <w:t>0</w:t>
            </w:r>
          </w:p>
        </w:tc>
        <w:tc>
          <w:tcPr>
            <w:tcW w:w="724" w:type="pct"/>
            <w:tcBorders>
              <w:top w:val="nil"/>
              <w:left w:val="nil"/>
              <w:bottom w:val="single" w:sz="4" w:space="0" w:color="auto"/>
              <w:right w:val="single" w:sz="4" w:space="0" w:color="auto"/>
            </w:tcBorders>
            <w:vAlign w:val="center"/>
          </w:tcPr>
          <w:p w14:paraId="720948F0" w14:textId="77777777" w:rsidR="00D07378" w:rsidRPr="00A15603" w:rsidRDefault="00D07378" w:rsidP="00BA499D">
            <w:pPr>
              <w:spacing w:line="276" w:lineRule="auto"/>
              <w:jc w:val="center"/>
              <w:rPr>
                <w:rFonts w:cs="Times New Roman"/>
                <w:bCs/>
                <w:sz w:val="18"/>
                <w:szCs w:val="18"/>
              </w:rPr>
            </w:pPr>
            <w:r>
              <w:rPr>
                <w:rFonts w:cs="Times New Roman"/>
                <w:bCs/>
                <w:sz w:val="18"/>
                <w:szCs w:val="18"/>
              </w:rPr>
              <w:t>4</w:t>
            </w:r>
          </w:p>
        </w:tc>
      </w:tr>
      <w:tr w:rsidR="00D07378" w:rsidRPr="002C0CAC" w14:paraId="197F2F79" w14:textId="77777777" w:rsidTr="00BA499D">
        <w:trPr>
          <w:gridAfter w:val="2"/>
          <w:wAfter w:w="235" w:type="pct"/>
          <w:trHeight w:val="113"/>
        </w:trPr>
        <w:tc>
          <w:tcPr>
            <w:tcW w:w="384" w:type="pct"/>
            <w:tcBorders>
              <w:top w:val="nil"/>
              <w:left w:val="single" w:sz="4" w:space="0" w:color="auto"/>
              <w:bottom w:val="single" w:sz="4" w:space="0" w:color="auto"/>
              <w:right w:val="single" w:sz="4" w:space="0" w:color="auto"/>
            </w:tcBorders>
            <w:noWrap/>
            <w:vAlign w:val="center"/>
          </w:tcPr>
          <w:p w14:paraId="596BEED2" w14:textId="77777777" w:rsidR="00D07378" w:rsidRPr="00B464D7" w:rsidRDefault="00D07378" w:rsidP="00BA499D">
            <w:pPr>
              <w:spacing w:after="120" w:line="276" w:lineRule="auto"/>
              <w:jc w:val="center"/>
              <w:rPr>
                <w:rFonts w:eastAsia="Times New Roman" w:cs="Times New Roman"/>
                <w:bCs/>
                <w:color w:val="1A1A1A"/>
                <w:sz w:val="18"/>
                <w:szCs w:val="18"/>
              </w:rPr>
            </w:pPr>
            <w:r w:rsidRPr="00B464D7">
              <w:rPr>
                <w:rFonts w:eastAsia="Times New Roman" w:cs="Times New Roman"/>
                <w:bCs/>
                <w:color w:val="1A1A1A"/>
                <w:sz w:val="18"/>
                <w:szCs w:val="18"/>
              </w:rPr>
              <w:t>1</w:t>
            </w:r>
            <w:r>
              <w:rPr>
                <w:rFonts w:eastAsia="Times New Roman" w:cs="Times New Roman"/>
                <w:bCs/>
                <w:color w:val="1A1A1A"/>
                <w:sz w:val="18"/>
                <w:szCs w:val="18"/>
              </w:rPr>
              <w:t>6</w:t>
            </w:r>
            <w:r w:rsidRPr="00B464D7">
              <w:rPr>
                <w:rFonts w:eastAsia="Times New Roman" w:cs="Times New Roman"/>
                <w:bCs/>
                <w:color w:val="1A1A1A"/>
                <w:sz w:val="18"/>
                <w:szCs w:val="18"/>
              </w:rPr>
              <w:t>.</w:t>
            </w:r>
          </w:p>
        </w:tc>
        <w:tc>
          <w:tcPr>
            <w:tcW w:w="3006" w:type="pct"/>
            <w:tcBorders>
              <w:top w:val="nil"/>
              <w:left w:val="nil"/>
              <w:bottom w:val="single" w:sz="4" w:space="0" w:color="auto"/>
              <w:right w:val="single" w:sz="4" w:space="0" w:color="auto"/>
            </w:tcBorders>
            <w:vAlign w:val="center"/>
          </w:tcPr>
          <w:p w14:paraId="1CB5C369" w14:textId="77777777" w:rsidR="00D07378" w:rsidRPr="00A15603" w:rsidRDefault="00D07378" w:rsidP="00BA499D">
            <w:pPr>
              <w:pStyle w:val="NoSpacing"/>
              <w:spacing w:line="276" w:lineRule="auto"/>
              <w:rPr>
                <w:rFonts w:eastAsia="Times New Roman" w:cs="Times New Roman"/>
                <w:sz w:val="18"/>
                <w:szCs w:val="18"/>
              </w:rPr>
            </w:pPr>
            <w:r w:rsidRPr="00A15603">
              <w:rPr>
                <w:sz w:val="18"/>
                <w:szCs w:val="18"/>
              </w:rPr>
              <w:t>Povjerenstvo za naprednu terapiju (CAT)</w:t>
            </w:r>
          </w:p>
        </w:tc>
        <w:tc>
          <w:tcPr>
            <w:tcW w:w="651" w:type="pct"/>
            <w:tcBorders>
              <w:top w:val="nil"/>
              <w:left w:val="nil"/>
              <w:bottom w:val="single" w:sz="4" w:space="0" w:color="auto"/>
              <w:right w:val="single" w:sz="4" w:space="0" w:color="auto"/>
            </w:tcBorders>
            <w:vAlign w:val="center"/>
          </w:tcPr>
          <w:p w14:paraId="041653D0" w14:textId="77777777" w:rsidR="00D07378" w:rsidRPr="00A15603" w:rsidRDefault="00D07378" w:rsidP="00BA499D">
            <w:pPr>
              <w:spacing w:line="276" w:lineRule="auto"/>
              <w:jc w:val="center"/>
              <w:rPr>
                <w:rFonts w:cs="Times New Roman"/>
                <w:bCs/>
                <w:sz w:val="18"/>
                <w:szCs w:val="18"/>
              </w:rPr>
            </w:pPr>
            <w:r w:rsidRPr="00A15603">
              <w:rPr>
                <w:rFonts w:cs="Times New Roman"/>
                <w:bCs/>
                <w:sz w:val="18"/>
                <w:szCs w:val="18"/>
              </w:rPr>
              <w:t>13</w:t>
            </w:r>
          </w:p>
        </w:tc>
        <w:tc>
          <w:tcPr>
            <w:tcW w:w="724" w:type="pct"/>
            <w:tcBorders>
              <w:top w:val="nil"/>
              <w:left w:val="nil"/>
              <w:bottom w:val="single" w:sz="4" w:space="0" w:color="auto"/>
              <w:right w:val="single" w:sz="4" w:space="0" w:color="auto"/>
            </w:tcBorders>
            <w:vAlign w:val="center"/>
          </w:tcPr>
          <w:p w14:paraId="6799FCAC" w14:textId="77777777" w:rsidR="00D07378" w:rsidRPr="00A15603" w:rsidRDefault="00D07378" w:rsidP="00BA499D">
            <w:pPr>
              <w:spacing w:line="276" w:lineRule="auto"/>
              <w:jc w:val="center"/>
              <w:rPr>
                <w:rFonts w:cs="Times New Roman"/>
                <w:bCs/>
                <w:sz w:val="18"/>
                <w:szCs w:val="18"/>
              </w:rPr>
            </w:pPr>
            <w:r>
              <w:rPr>
                <w:rFonts w:cs="Times New Roman"/>
                <w:bCs/>
                <w:sz w:val="18"/>
                <w:szCs w:val="18"/>
              </w:rPr>
              <w:t>13</w:t>
            </w:r>
          </w:p>
        </w:tc>
      </w:tr>
      <w:tr w:rsidR="00D07378" w:rsidRPr="002C0CAC" w14:paraId="70D5EBEA" w14:textId="77777777" w:rsidTr="00BA499D">
        <w:trPr>
          <w:gridAfter w:val="2"/>
          <w:wAfter w:w="235" w:type="pct"/>
          <w:trHeight w:val="113"/>
        </w:trPr>
        <w:tc>
          <w:tcPr>
            <w:tcW w:w="384" w:type="pct"/>
            <w:tcBorders>
              <w:top w:val="nil"/>
              <w:left w:val="single" w:sz="4" w:space="0" w:color="auto"/>
              <w:bottom w:val="single" w:sz="4" w:space="0" w:color="auto"/>
              <w:right w:val="single" w:sz="4" w:space="0" w:color="auto"/>
            </w:tcBorders>
            <w:noWrap/>
            <w:vAlign w:val="center"/>
          </w:tcPr>
          <w:p w14:paraId="3F4CF865" w14:textId="77777777" w:rsidR="00D07378" w:rsidRPr="00B464D7" w:rsidRDefault="00D07378" w:rsidP="00BA499D">
            <w:pPr>
              <w:spacing w:after="120" w:line="276" w:lineRule="auto"/>
              <w:jc w:val="center"/>
              <w:rPr>
                <w:rFonts w:eastAsia="Times New Roman" w:cs="Times New Roman"/>
                <w:bCs/>
                <w:color w:val="1A1A1A"/>
                <w:sz w:val="18"/>
                <w:szCs w:val="18"/>
              </w:rPr>
            </w:pPr>
            <w:r w:rsidRPr="00B464D7">
              <w:rPr>
                <w:rFonts w:eastAsia="Times New Roman" w:cs="Times New Roman"/>
                <w:bCs/>
                <w:color w:val="1A1A1A"/>
                <w:sz w:val="18"/>
                <w:szCs w:val="18"/>
              </w:rPr>
              <w:t>1</w:t>
            </w:r>
            <w:r>
              <w:rPr>
                <w:rFonts w:eastAsia="Times New Roman" w:cs="Times New Roman"/>
                <w:bCs/>
                <w:color w:val="1A1A1A"/>
                <w:sz w:val="18"/>
                <w:szCs w:val="18"/>
              </w:rPr>
              <w:t>7</w:t>
            </w:r>
            <w:r w:rsidRPr="00B464D7">
              <w:rPr>
                <w:rFonts w:eastAsia="Times New Roman" w:cs="Times New Roman"/>
                <w:bCs/>
                <w:color w:val="1A1A1A"/>
                <w:sz w:val="18"/>
                <w:szCs w:val="18"/>
              </w:rPr>
              <w:t>.</w:t>
            </w:r>
          </w:p>
        </w:tc>
        <w:tc>
          <w:tcPr>
            <w:tcW w:w="3006" w:type="pct"/>
            <w:tcBorders>
              <w:top w:val="nil"/>
              <w:left w:val="nil"/>
              <w:bottom w:val="single" w:sz="4" w:space="0" w:color="auto"/>
              <w:right w:val="single" w:sz="4" w:space="0" w:color="auto"/>
            </w:tcBorders>
            <w:vAlign w:val="center"/>
          </w:tcPr>
          <w:p w14:paraId="06E20074" w14:textId="77777777" w:rsidR="00D07378" w:rsidRPr="00A15603" w:rsidRDefault="00D07378" w:rsidP="00BA499D">
            <w:pPr>
              <w:pStyle w:val="NoSpacing"/>
              <w:spacing w:line="276" w:lineRule="auto"/>
              <w:rPr>
                <w:rFonts w:eastAsia="Times New Roman" w:cs="Times New Roman"/>
                <w:sz w:val="18"/>
                <w:szCs w:val="18"/>
              </w:rPr>
            </w:pPr>
            <w:r w:rsidRPr="00A15603">
              <w:rPr>
                <w:sz w:val="18"/>
                <w:szCs w:val="18"/>
              </w:rPr>
              <w:t>Povjerenstvo za lijekove za rijetke bolesti (COMP)</w:t>
            </w:r>
          </w:p>
        </w:tc>
        <w:tc>
          <w:tcPr>
            <w:tcW w:w="651" w:type="pct"/>
            <w:tcBorders>
              <w:top w:val="nil"/>
              <w:left w:val="nil"/>
              <w:bottom w:val="single" w:sz="4" w:space="0" w:color="auto"/>
              <w:right w:val="single" w:sz="4" w:space="0" w:color="auto"/>
            </w:tcBorders>
            <w:vAlign w:val="center"/>
          </w:tcPr>
          <w:p w14:paraId="273819BD" w14:textId="77777777" w:rsidR="00D07378" w:rsidRPr="00A15603" w:rsidRDefault="00D07378" w:rsidP="00BA499D">
            <w:pPr>
              <w:spacing w:line="276" w:lineRule="auto"/>
              <w:jc w:val="center"/>
              <w:rPr>
                <w:rFonts w:cs="Times New Roman"/>
                <w:bCs/>
                <w:sz w:val="18"/>
                <w:szCs w:val="18"/>
              </w:rPr>
            </w:pPr>
            <w:r w:rsidRPr="00A15603">
              <w:rPr>
                <w:rFonts w:cs="Times New Roman"/>
                <w:bCs/>
                <w:sz w:val="18"/>
                <w:szCs w:val="18"/>
              </w:rPr>
              <w:t>13</w:t>
            </w:r>
          </w:p>
        </w:tc>
        <w:tc>
          <w:tcPr>
            <w:tcW w:w="724" w:type="pct"/>
            <w:tcBorders>
              <w:top w:val="nil"/>
              <w:left w:val="nil"/>
              <w:bottom w:val="single" w:sz="4" w:space="0" w:color="auto"/>
              <w:right w:val="single" w:sz="4" w:space="0" w:color="auto"/>
            </w:tcBorders>
            <w:vAlign w:val="center"/>
          </w:tcPr>
          <w:p w14:paraId="2E4038F5" w14:textId="77777777" w:rsidR="00D07378" w:rsidRPr="00A15603" w:rsidRDefault="00D07378" w:rsidP="00BA499D">
            <w:pPr>
              <w:spacing w:line="276" w:lineRule="auto"/>
              <w:jc w:val="center"/>
              <w:rPr>
                <w:rFonts w:cs="Times New Roman"/>
                <w:bCs/>
                <w:sz w:val="18"/>
                <w:szCs w:val="18"/>
              </w:rPr>
            </w:pPr>
            <w:r>
              <w:rPr>
                <w:rFonts w:cs="Times New Roman"/>
                <w:bCs/>
                <w:sz w:val="18"/>
                <w:szCs w:val="18"/>
              </w:rPr>
              <w:t>10</w:t>
            </w:r>
          </w:p>
        </w:tc>
      </w:tr>
      <w:tr w:rsidR="00D07378" w:rsidRPr="002C0CAC" w14:paraId="20E5EC15" w14:textId="77777777" w:rsidTr="00BA499D">
        <w:trPr>
          <w:gridAfter w:val="2"/>
          <w:wAfter w:w="235" w:type="pct"/>
          <w:trHeight w:val="113"/>
        </w:trPr>
        <w:tc>
          <w:tcPr>
            <w:tcW w:w="384" w:type="pct"/>
            <w:tcBorders>
              <w:top w:val="nil"/>
              <w:left w:val="single" w:sz="4" w:space="0" w:color="auto"/>
              <w:bottom w:val="single" w:sz="4" w:space="0" w:color="auto"/>
              <w:right w:val="single" w:sz="4" w:space="0" w:color="auto"/>
            </w:tcBorders>
            <w:noWrap/>
            <w:vAlign w:val="center"/>
          </w:tcPr>
          <w:p w14:paraId="59C852D6" w14:textId="77777777" w:rsidR="00D07378" w:rsidRPr="00B464D7" w:rsidRDefault="00D07378" w:rsidP="00BA499D">
            <w:pPr>
              <w:spacing w:after="120" w:line="276" w:lineRule="auto"/>
              <w:jc w:val="center"/>
              <w:rPr>
                <w:rFonts w:eastAsia="Times New Roman" w:cs="Times New Roman"/>
                <w:bCs/>
                <w:color w:val="1A1A1A"/>
                <w:sz w:val="18"/>
                <w:szCs w:val="18"/>
              </w:rPr>
            </w:pPr>
            <w:r>
              <w:rPr>
                <w:rFonts w:eastAsia="Times New Roman" w:cs="Times New Roman"/>
                <w:bCs/>
                <w:color w:val="1A1A1A"/>
                <w:sz w:val="18"/>
                <w:szCs w:val="18"/>
              </w:rPr>
              <w:t>18</w:t>
            </w:r>
            <w:r w:rsidRPr="00B464D7">
              <w:rPr>
                <w:rFonts w:eastAsia="Times New Roman" w:cs="Times New Roman"/>
                <w:bCs/>
                <w:color w:val="1A1A1A"/>
                <w:sz w:val="18"/>
                <w:szCs w:val="18"/>
              </w:rPr>
              <w:t>.</w:t>
            </w:r>
          </w:p>
        </w:tc>
        <w:tc>
          <w:tcPr>
            <w:tcW w:w="3006" w:type="pct"/>
            <w:tcBorders>
              <w:top w:val="nil"/>
              <w:left w:val="nil"/>
              <w:bottom w:val="single" w:sz="4" w:space="0" w:color="auto"/>
              <w:right w:val="single" w:sz="4" w:space="0" w:color="auto"/>
            </w:tcBorders>
            <w:vAlign w:val="center"/>
          </w:tcPr>
          <w:p w14:paraId="751ECC0F" w14:textId="77777777" w:rsidR="00D07378" w:rsidRPr="00A15603" w:rsidRDefault="00D07378" w:rsidP="00BA499D">
            <w:pPr>
              <w:pStyle w:val="NoSpacing"/>
              <w:spacing w:line="276" w:lineRule="auto"/>
              <w:rPr>
                <w:rFonts w:eastAsia="Times New Roman" w:cs="Times New Roman"/>
                <w:sz w:val="18"/>
                <w:szCs w:val="18"/>
              </w:rPr>
            </w:pPr>
            <w:r w:rsidRPr="00A15603">
              <w:rPr>
                <w:sz w:val="18"/>
                <w:szCs w:val="18"/>
              </w:rPr>
              <w:t>Povjerenstvo za biljne lijekove (HMPC)</w:t>
            </w:r>
          </w:p>
        </w:tc>
        <w:tc>
          <w:tcPr>
            <w:tcW w:w="651" w:type="pct"/>
            <w:tcBorders>
              <w:top w:val="nil"/>
              <w:left w:val="nil"/>
              <w:bottom w:val="single" w:sz="4" w:space="0" w:color="auto"/>
              <w:right w:val="single" w:sz="4" w:space="0" w:color="auto"/>
            </w:tcBorders>
            <w:vAlign w:val="center"/>
          </w:tcPr>
          <w:p w14:paraId="39874001" w14:textId="77777777" w:rsidR="00D07378" w:rsidRPr="00A15603" w:rsidRDefault="00D07378" w:rsidP="00BA499D">
            <w:pPr>
              <w:spacing w:line="276" w:lineRule="auto"/>
              <w:jc w:val="center"/>
              <w:rPr>
                <w:rFonts w:cs="Times New Roman"/>
                <w:bCs/>
                <w:sz w:val="18"/>
                <w:szCs w:val="18"/>
              </w:rPr>
            </w:pPr>
            <w:r w:rsidRPr="00A15603">
              <w:rPr>
                <w:rFonts w:cs="Times New Roman"/>
                <w:bCs/>
                <w:sz w:val="18"/>
                <w:szCs w:val="18"/>
              </w:rPr>
              <w:t>8</w:t>
            </w:r>
          </w:p>
        </w:tc>
        <w:tc>
          <w:tcPr>
            <w:tcW w:w="724" w:type="pct"/>
            <w:tcBorders>
              <w:top w:val="nil"/>
              <w:left w:val="nil"/>
              <w:bottom w:val="single" w:sz="4" w:space="0" w:color="auto"/>
              <w:right w:val="single" w:sz="4" w:space="0" w:color="auto"/>
            </w:tcBorders>
            <w:vAlign w:val="center"/>
          </w:tcPr>
          <w:p w14:paraId="14AF3737" w14:textId="77777777" w:rsidR="00D07378" w:rsidRPr="00A15603" w:rsidRDefault="00D07378" w:rsidP="00BA499D">
            <w:pPr>
              <w:spacing w:line="276" w:lineRule="auto"/>
              <w:jc w:val="center"/>
              <w:rPr>
                <w:rFonts w:cs="Times New Roman"/>
                <w:bCs/>
                <w:sz w:val="18"/>
                <w:szCs w:val="18"/>
              </w:rPr>
            </w:pPr>
            <w:r>
              <w:rPr>
                <w:rFonts w:cs="Times New Roman"/>
                <w:bCs/>
                <w:sz w:val="18"/>
                <w:szCs w:val="18"/>
              </w:rPr>
              <w:t>8</w:t>
            </w:r>
          </w:p>
        </w:tc>
      </w:tr>
      <w:tr w:rsidR="00D07378" w:rsidRPr="0035593C" w14:paraId="2E675ABC" w14:textId="77777777" w:rsidTr="00BA499D">
        <w:trPr>
          <w:gridAfter w:val="2"/>
          <w:wAfter w:w="235" w:type="pct"/>
          <w:trHeight w:val="113"/>
        </w:trPr>
        <w:tc>
          <w:tcPr>
            <w:tcW w:w="384" w:type="pct"/>
            <w:tcBorders>
              <w:top w:val="nil"/>
              <w:left w:val="single" w:sz="4" w:space="0" w:color="auto"/>
              <w:bottom w:val="single" w:sz="4" w:space="0" w:color="auto"/>
              <w:right w:val="single" w:sz="4" w:space="0" w:color="auto"/>
            </w:tcBorders>
            <w:noWrap/>
            <w:vAlign w:val="center"/>
          </w:tcPr>
          <w:p w14:paraId="2F9EB6D3" w14:textId="77777777" w:rsidR="00D07378" w:rsidRPr="0035593C" w:rsidRDefault="00D07378" w:rsidP="00BA499D">
            <w:pPr>
              <w:spacing w:after="120" w:line="276" w:lineRule="auto"/>
              <w:jc w:val="center"/>
              <w:rPr>
                <w:rFonts w:eastAsia="Times New Roman" w:cs="Times New Roman"/>
                <w:bCs/>
                <w:color w:val="1A1A1A"/>
                <w:sz w:val="18"/>
                <w:szCs w:val="18"/>
              </w:rPr>
            </w:pPr>
            <w:r>
              <w:rPr>
                <w:rFonts w:eastAsia="Times New Roman" w:cs="Times New Roman"/>
                <w:bCs/>
                <w:color w:val="1A1A1A"/>
                <w:sz w:val="18"/>
                <w:szCs w:val="18"/>
              </w:rPr>
              <w:t>19</w:t>
            </w:r>
            <w:r w:rsidRPr="0035593C">
              <w:rPr>
                <w:rFonts w:eastAsia="Times New Roman" w:cs="Times New Roman"/>
                <w:bCs/>
                <w:color w:val="1A1A1A"/>
                <w:sz w:val="18"/>
                <w:szCs w:val="18"/>
              </w:rPr>
              <w:t>.</w:t>
            </w:r>
          </w:p>
        </w:tc>
        <w:tc>
          <w:tcPr>
            <w:tcW w:w="3006" w:type="pct"/>
            <w:tcBorders>
              <w:top w:val="nil"/>
              <w:left w:val="nil"/>
              <w:bottom w:val="single" w:sz="4" w:space="0" w:color="auto"/>
              <w:right w:val="single" w:sz="4" w:space="0" w:color="auto"/>
            </w:tcBorders>
            <w:vAlign w:val="center"/>
          </w:tcPr>
          <w:p w14:paraId="76D88448" w14:textId="77777777" w:rsidR="00D07378" w:rsidRPr="0035593C" w:rsidRDefault="00D07378" w:rsidP="00BA499D">
            <w:pPr>
              <w:pStyle w:val="NoSpacing"/>
              <w:spacing w:line="276" w:lineRule="auto"/>
              <w:rPr>
                <w:rFonts w:eastAsia="Times New Roman" w:cs="Times New Roman"/>
                <w:sz w:val="18"/>
                <w:szCs w:val="18"/>
              </w:rPr>
            </w:pPr>
            <w:r w:rsidRPr="0035593C">
              <w:rPr>
                <w:sz w:val="18"/>
                <w:szCs w:val="18"/>
              </w:rPr>
              <w:t>EU Innovation Network (EU-IN)</w:t>
            </w:r>
          </w:p>
        </w:tc>
        <w:tc>
          <w:tcPr>
            <w:tcW w:w="651" w:type="pct"/>
            <w:tcBorders>
              <w:top w:val="nil"/>
              <w:left w:val="nil"/>
              <w:bottom w:val="single" w:sz="4" w:space="0" w:color="auto"/>
              <w:right w:val="single" w:sz="4" w:space="0" w:color="auto"/>
            </w:tcBorders>
            <w:vAlign w:val="center"/>
          </w:tcPr>
          <w:p w14:paraId="6B57B0DF" w14:textId="77777777" w:rsidR="00D07378" w:rsidRPr="0035593C" w:rsidRDefault="00D07378" w:rsidP="00BA499D">
            <w:pPr>
              <w:spacing w:line="276" w:lineRule="auto"/>
              <w:jc w:val="center"/>
              <w:rPr>
                <w:rFonts w:cs="Times New Roman"/>
                <w:bCs/>
                <w:sz w:val="18"/>
                <w:szCs w:val="18"/>
              </w:rPr>
            </w:pPr>
            <w:r w:rsidRPr="0035593C">
              <w:rPr>
                <w:rFonts w:cs="Times New Roman"/>
                <w:bCs/>
                <w:sz w:val="18"/>
                <w:szCs w:val="18"/>
              </w:rPr>
              <w:t>11</w:t>
            </w:r>
          </w:p>
        </w:tc>
        <w:tc>
          <w:tcPr>
            <w:tcW w:w="724" w:type="pct"/>
            <w:tcBorders>
              <w:top w:val="nil"/>
              <w:left w:val="nil"/>
              <w:bottom w:val="single" w:sz="4" w:space="0" w:color="auto"/>
              <w:right w:val="single" w:sz="4" w:space="0" w:color="auto"/>
            </w:tcBorders>
            <w:vAlign w:val="center"/>
          </w:tcPr>
          <w:p w14:paraId="1E293873" w14:textId="77777777" w:rsidR="00D07378" w:rsidRPr="0035593C" w:rsidRDefault="00D07378" w:rsidP="00BA499D">
            <w:pPr>
              <w:spacing w:line="276" w:lineRule="auto"/>
              <w:jc w:val="center"/>
              <w:rPr>
                <w:rFonts w:cs="Times New Roman"/>
                <w:bCs/>
                <w:sz w:val="18"/>
                <w:szCs w:val="18"/>
              </w:rPr>
            </w:pPr>
            <w:r>
              <w:rPr>
                <w:rFonts w:cs="Times New Roman"/>
                <w:bCs/>
                <w:sz w:val="18"/>
                <w:szCs w:val="18"/>
              </w:rPr>
              <w:t>0</w:t>
            </w:r>
          </w:p>
        </w:tc>
      </w:tr>
      <w:tr w:rsidR="00D07378" w:rsidRPr="0035593C" w14:paraId="22569BDB" w14:textId="77777777" w:rsidTr="00BA499D">
        <w:trPr>
          <w:gridAfter w:val="2"/>
          <w:wAfter w:w="235" w:type="pct"/>
          <w:trHeight w:val="113"/>
        </w:trPr>
        <w:tc>
          <w:tcPr>
            <w:tcW w:w="384" w:type="pct"/>
            <w:tcBorders>
              <w:top w:val="nil"/>
              <w:left w:val="single" w:sz="4" w:space="0" w:color="auto"/>
              <w:bottom w:val="single" w:sz="4" w:space="0" w:color="auto"/>
              <w:right w:val="single" w:sz="4" w:space="0" w:color="auto"/>
            </w:tcBorders>
            <w:noWrap/>
            <w:vAlign w:val="center"/>
          </w:tcPr>
          <w:p w14:paraId="4E10B8A9" w14:textId="77777777" w:rsidR="00D07378" w:rsidRPr="0035593C" w:rsidRDefault="00D07378" w:rsidP="00BA499D">
            <w:pPr>
              <w:spacing w:after="120" w:line="276" w:lineRule="auto"/>
              <w:jc w:val="center"/>
              <w:rPr>
                <w:rFonts w:eastAsia="Times New Roman" w:cs="Times New Roman"/>
                <w:bCs/>
                <w:color w:val="1A1A1A"/>
                <w:sz w:val="18"/>
                <w:szCs w:val="18"/>
              </w:rPr>
            </w:pPr>
            <w:r w:rsidRPr="0035593C">
              <w:rPr>
                <w:rFonts w:eastAsia="Times New Roman" w:cs="Times New Roman"/>
                <w:bCs/>
                <w:color w:val="1A1A1A"/>
                <w:sz w:val="18"/>
                <w:szCs w:val="18"/>
              </w:rPr>
              <w:t>2</w:t>
            </w:r>
            <w:r>
              <w:rPr>
                <w:rFonts w:eastAsia="Times New Roman" w:cs="Times New Roman"/>
                <w:bCs/>
                <w:color w:val="1A1A1A"/>
                <w:sz w:val="18"/>
                <w:szCs w:val="18"/>
              </w:rPr>
              <w:t>0</w:t>
            </w:r>
            <w:r w:rsidRPr="0035593C">
              <w:rPr>
                <w:rFonts w:eastAsia="Times New Roman" w:cs="Times New Roman"/>
                <w:bCs/>
                <w:color w:val="1A1A1A"/>
                <w:sz w:val="18"/>
                <w:szCs w:val="18"/>
              </w:rPr>
              <w:t>.</w:t>
            </w:r>
          </w:p>
        </w:tc>
        <w:tc>
          <w:tcPr>
            <w:tcW w:w="3006" w:type="pct"/>
            <w:tcBorders>
              <w:top w:val="nil"/>
              <w:left w:val="nil"/>
              <w:bottom w:val="single" w:sz="4" w:space="0" w:color="auto"/>
              <w:right w:val="single" w:sz="4" w:space="0" w:color="auto"/>
            </w:tcBorders>
            <w:vAlign w:val="center"/>
          </w:tcPr>
          <w:p w14:paraId="7289077B" w14:textId="77777777" w:rsidR="00D07378" w:rsidRPr="0035593C" w:rsidRDefault="00D07378" w:rsidP="00BA499D">
            <w:pPr>
              <w:pStyle w:val="NoSpacing"/>
              <w:spacing w:line="276" w:lineRule="auto"/>
              <w:rPr>
                <w:rFonts w:eastAsia="Times New Roman" w:cstheme="minorHAnsi"/>
                <w:sz w:val="18"/>
                <w:szCs w:val="18"/>
              </w:rPr>
            </w:pPr>
            <w:r w:rsidRPr="0035593C">
              <w:rPr>
                <w:rFonts w:eastAsia="Times New Roman" w:cstheme="minorHAnsi"/>
                <w:iCs/>
                <w:sz w:val="18"/>
                <w:szCs w:val="18"/>
              </w:rPr>
              <w:t>Upravljačka skupina za velike podatke (BDSG)</w:t>
            </w:r>
          </w:p>
        </w:tc>
        <w:tc>
          <w:tcPr>
            <w:tcW w:w="651" w:type="pct"/>
            <w:tcBorders>
              <w:top w:val="nil"/>
              <w:left w:val="nil"/>
              <w:bottom w:val="single" w:sz="4" w:space="0" w:color="auto"/>
              <w:right w:val="single" w:sz="4" w:space="0" w:color="auto"/>
            </w:tcBorders>
            <w:vAlign w:val="center"/>
          </w:tcPr>
          <w:p w14:paraId="0DF0DC98" w14:textId="77777777" w:rsidR="00D07378" w:rsidRPr="0035593C" w:rsidRDefault="00D07378" w:rsidP="00BA499D">
            <w:pPr>
              <w:spacing w:line="276" w:lineRule="auto"/>
              <w:jc w:val="center"/>
              <w:rPr>
                <w:rFonts w:cs="Times New Roman"/>
                <w:bCs/>
                <w:sz w:val="18"/>
                <w:szCs w:val="18"/>
              </w:rPr>
            </w:pPr>
            <w:r w:rsidRPr="0035593C">
              <w:rPr>
                <w:bCs/>
                <w:sz w:val="18"/>
                <w:szCs w:val="18"/>
              </w:rPr>
              <w:t>11</w:t>
            </w:r>
          </w:p>
        </w:tc>
        <w:tc>
          <w:tcPr>
            <w:tcW w:w="724" w:type="pct"/>
            <w:tcBorders>
              <w:top w:val="nil"/>
              <w:left w:val="nil"/>
              <w:bottom w:val="single" w:sz="4" w:space="0" w:color="auto"/>
              <w:right w:val="single" w:sz="4" w:space="0" w:color="auto"/>
            </w:tcBorders>
            <w:vAlign w:val="center"/>
          </w:tcPr>
          <w:p w14:paraId="6C4B5DB3" w14:textId="77777777" w:rsidR="00D07378" w:rsidRPr="0035593C" w:rsidRDefault="00D07378" w:rsidP="00BA499D">
            <w:pPr>
              <w:spacing w:line="276" w:lineRule="auto"/>
              <w:jc w:val="center"/>
              <w:rPr>
                <w:rFonts w:cs="Times New Roman"/>
                <w:bCs/>
                <w:sz w:val="18"/>
                <w:szCs w:val="18"/>
              </w:rPr>
            </w:pPr>
            <w:r>
              <w:rPr>
                <w:rFonts w:cs="Times New Roman"/>
                <w:bCs/>
                <w:sz w:val="18"/>
                <w:szCs w:val="18"/>
              </w:rPr>
              <w:t>0</w:t>
            </w:r>
          </w:p>
        </w:tc>
      </w:tr>
      <w:tr w:rsidR="00D07378" w:rsidRPr="002C0CAC" w14:paraId="6D2F1F9D" w14:textId="77777777" w:rsidTr="00BA499D">
        <w:trPr>
          <w:gridAfter w:val="2"/>
          <w:wAfter w:w="235" w:type="pct"/>
          <w:trHeight w:val="113"/>
        </w:trPr>
        <w:tc>
          <w:tcPr>
            <w:tcW w:w="384" w:type="pct"/>
            <w:tcBorders>
              <w:top w:val="nil"/>
              <w:left w:val="single" w:sz="4" w:space="0" w:color="auto"/>
              <w:bottom w:val="single" w:sz="4" w:space="0" w:color="auto"/>
              <w:right w:val="single" w:sz="4" w:space="0" w:color="auto"/>
            </w:tcBorders>
            <w:noWrap/>
            <w:vAlign w:val="center"/>
          </w:tcPr>
          <w:p w14:paraId="6FA5F5E6" w14:textId="77777777" w:rsidR="00D07378" w:rsidRPr="0035593C" w:rsidRDefault="00D07378" w:rsidP="00BA499D">
            <w:pPr>
              <w:spacing w:after="120" w:line="276" w:lineRule="auto"/>
              <w:jc w:val="center"/>
              <w:rPr>
                <w:rFonts w:eastAsia="Times New Roman" w:cs="Times New Roman"/>
                <w:bCs/>
                <w:color w:val="1A1A1A"/>
                <w:sz w:val="18"/>
                <w:szCs w:val="18"/>
              </w:rPr>
            </w:pPr>
            <w:r w:rsidRPr="0035593C">
              <w:rPr>
                <w:rFonts w:eastAsia="Times New Roman" w:cs="Times New Roman"/>
                <w:bCs/>
                <w:color w:val="1A1A1A"/>
                <w:sz w:val="18"/>
                <w:szCs w:val="18"/>
              </w:rPr>
              <w:t>2</w:t>
            </w:r>
            <w:r>
              <w:rPr>
                <w:rFonts w:eastAsia="Times New Roman" w:cs="Times New Roman"/>
                <w:bCs/>
                <w:color w:val="1A1A1A"/>
                <w:sz w:val="18"/>
                <w:szCs w:val="18"/>
              </w:rPr>
              <w:t>1</w:t>
            </w:r>
            <w:r w:rsidRPr="0035593C">
              <w:rPr>
                <w:rFonts w:eastAsia="Times New Roman" w:cs="Times New Roman"/>
                <w:bCs/>
                <w:color w:val="1A1A1A"/>
                <w:sz w:val="18"/>
                <w:szCs w:val="18"/>
              </w:rPr>
              <w:t>.</w:t>
            </w:r>
          </w:p>
        </w:tc>
        <w:tc>
          <w:tcPr>
            <w:tcW w:w="3006" w:type="pct"/>
            <w:tcBorders>
              <w:top w:val="nil"/>
              <w:left w:val="nil"/>
              <w:bottom w:val="single" w:sz="4" w:space="0" w:color="auto"/>
              <w:right w:val="single" w:sz="4" w:space="0" w:color="auto"/>
            </w:tcBorders>
            <w:vAlign w:val="center"/>
          </w:tcPr>
          <w:p w14:paraId="4CD7747C" w14:textId="77777777" w:rsidR="00D07378" w:rsidRPr="0035593C" w:rsidRDefault="00D07378" w:rsidP="00BA499D">
            <w:pPr>
              <w:pStyle w:val="NoSpacing"/>
              <w:spacing w:line="276" w:lineRule="auto"/>
              <w:rPr>
                <w:rFonts w:eastAsia="Times New Roman" w:cs="Times New Roman"/>
                <w:sz w:val="18"/>
                <w:szCs w:val="18"/>
              </w:rPr>
            </w:pPr>
            <w:r w:rsidRPr="0035593C">
              <w:rPr>
                <w:rFonts w:eastAsia="Times New Roman" w:cstheme="minorHAnsi"/>
                <w:iCs/>
                <w:sz w:val="18"/>
                <w:szCs w:val="18"/>
              </w:rPr>
              <w:t>Skupina za klasifikaciju</w:t>
            </w:r>
            <w:r w:rsidRPr="0035593C">
              <w:rPr>
                <w:rFonts w:eastAsia="Times New Roman" w:cstheme="minorHAnsi"/>
                <w:i/>
                <w:iCs/>
                <w:sz w:val="18"/>
                <w:szCs w:val="18"/>
              </w:rPr>
              <w:t xml:space="preserve"> borderline</w:t>
            </w:r>
            <w:r w:rsidRPr="0035593C">
              <w:rPr>
                <w:rFonts w:eastAsia="Times New Roman" w:cstheme="minorHAnsi"/>
                <w:iCs/>
                <w:sz w:val="18"/>
                <w:szCs w:val="18"/>
              </w:rPr>
              <w:t xml:space="preserve"> proizvoda (BLCG</w:t>
            </w:r>
            <w:r w:rsidRPr="0035593C">
              <w:rPr>
                <w:rFonts w:eastAsia="Times New Roman" w:cstheme="minorHAnsi"/>
                <w:i/>
                <w:iCs/>
                <w:sz w:val="18"/>
                <w:szCs w:val="18"/>
              </w:rPr>
              <w:t>)</w:t>
            </w:r>
          </w:p>
        </w:tc>
        <w:tc>
          <w:tcPr>
            <w:tcW w:w="651" w:type="pct"/>
            <w:tcBorders>
              <w:top w:val="nil"/>
              <w:left w:val="nil"/>
              <w:bottom w:val="single" w:sz="4" w:space="0" w:color="auto"/>
              <w:right w:val="single" w:sz="4" w:space="0" w:color="auto"/>
            </w:tcBorders>
            <w:vAlign w:val="center"/>
          </w:tcPr>
          <w:p w14:paraId="009CA3AD" w14:textId="77777777" w:rsidR="00D07378" w:rsidRPr="0035593C" w:rsidRDefault="00D07378" w:rsidP="00BA499D">
            <w:pPr>
              <w:spacing w:line="276" w:lineRule="auto"/>
              <w:jc w:val="center"/>
              <w:rPr>
                <w:rFonts w:cs="Times New Roman"/>
                <w:bCs/>
                <w:sz w:val="18"/>
                <w:szCs w:val="18"/>
              </w:rPr>
            </w:pPr>
            <w:r w:rsidRPr="0035593C">
              <w:rPr>
                <w:rFonts w:cs="Times New Roman"/>
                <w:bCs/>
                <w:sz w:val="18"/>
                <w:szCs w:val="18"/>
              </w:rPr>
              <w:t>11</w:t>
            </w:r>
          </w:p>
        </w:tc>
        <w:tc>
          <w:tcPr>
            <w:tcW w:w="724" w:type="pct"/>
            <w:tcBorders>
              <w:top w:val="nil"/>
              <w:left w:val="nil"/>
              <w:bottom w:val="single" w:sz="4" w:space="0" w:color="auto"/>
              <w:right w:val="single" w:sz="4" w:space="0" w:color="auto"/>
            </w:tcBorders>
            <w:vAlign w:val="center"/>
          </w:tcPr>
          <w:p w14:paraId="143FC32C" w14:textId="77777777" w:rsidR="00D07378" w:rsidRPr="00A15603" w:rsidRDefault="00D07378" w:rsidP="00BA499D">
            <w:pPr>
              <w:spacing w:line="276" w:lineRule="auto"/>
              <w:jc w:val="center"/>
              <w:rPr>
                <w:rFonts w:cs="Times New Roman"/>
                <w:bCs/>
                <w:sz w:val="18"/>
                <w:szCs w:val="18"/>
              </w:rPr>
            </w:pPr>
            <w:r>
              <w:rPr>
                <w:rFonts w:cs="Times New Roman"/>
                <w:bCs/>
                <w:sz w:val="18"/>
                <w:szCs w:val="18"/>
              </w:rPr>
              <w:t>0</w:t>
            </w:r>
          </w:p>
        </w:tc>
      </w:tr>
      <w:tr w:rsidR="00D07378" w:rsidRPr="002C0CAC" w14:paraId="49F23F15" w14:textId="77777777" w:rsidTr="00BA499D">
        <w:trPr>
          <w:trHeight w:val="113"/>
        </w:trPr>
        <w:tc>
          <w:tcPr>
            <w:tcW w:w="4765" w:type="pct"/>
            <w:gridSpan w:val="4"/>
            <w:tcBorders>
              <w:top w:val="nil"/>
              <w:left w:val="single" w:sz="4" w:space="0" w:color="auto"/>
              <w:bottom w:val="single" w:sz="4" w:space="0" w:color="auto"/>
              <w:right w:val="single" w:sz="4" w:space="0" w:color="auto"/>
            </w:tcBorders>
            <w:noWrap/>
            <w:vAlign w:val="center"/>
            <w:hideMark/>
          </w:tcPr>
          <w:p w14:paraId="43DCAAF4" w14:textId="77777777" w:rsidR="00D07378" w:rsidRPr="008C6BEC" w:rsidRDefault="00D07378" w:rsidP="00BA499D">
            <w:pPr>
              <w:pStyle w:val="NoSpacing"/>
              <w:spacing w:after="120" w:line="276" w:lineRule="auto"/>
              <w:rPr>
                <w:rFonts w:eastAsia="Times New Roman" w:cs="Times New Roman"/>
                <w:b/>
                <w:bCs/>
                <w:color w:val="1A1A1A"/>
                <w:sz w:val="18"/>
                <w:szCs w:val="18"/>
                <w:lang w:eastAsia="hr-HR"/>
              </w:rPr>
            </w:pPr>
            <w:r w:rsidRPr="008C6BEC">
              <w:rPr>
                <w:rFonts w:eastAsia="Times New Roman" w:cs="Times New Roman"/>
                <w:b/>
                <w:bCs/>
                <w:color w:val="1A1A1A"/>
                <w:sz w:val="18"/>
                <w:szCs w:val="18"/>
                <w:lang w:eastAsia="hr-HR"/>
              </w:rPr>
              <w:t>Povjerenstva i radne skupine EDQM-a</w:t>
            </w:r>
          </w:p>
        </w:tc>
        <w:tc>
          <w:tcPr>
            <w:tcW w:w="118" w:type="pct"/>
          </w:tcPr>
          <w:p w14:paraId="03973DDE" w14:textId="77777777" w:rsidR="00D07378" w:rsidRPr="002C0CAC" w:rsidRDefault="00D07378" w:rsidP="00BA499D">
            <w:pPr>
              <w:spacing w:after="200" w:line="276" w:lineRule="auto"/>
              <w:rPr>
                <w:rFonts w:eastAsiaTheme="minorEastAsia"/>
                <w:sz w:val="20"/>
                <w:szCs w:val="20"/>
              </w:rPr>
            </w:pPr>
          </w:p>
        </w:tc>
        <w:tc>
          <w:tcPr>
            <w:tcW w:w="117" w:type="pct"/>
          </w:tcPr>
          <w:p w14:paraId="5C2D1E5A" w14:textId="77777777" w:rsidR="00D07378" w:rsidRPr="002C0CAC" w:rsidRDefault="00D07378" w:rsidP="00BA499D">
            <w:pPr>
              <w:spacing w:after="200" w:line="276" w:lineRule="auto"/>
              <w:rPr>
                <w:rFonts w:eastAsiaTheme="minorEastAsia"/>
                <w:sz w:val="20"/>
                <w:szCs w:val="20"/>
              </w:rPr>
            </w:pPr>
          </w:p>
        </w:tc>
      </w:tr>
      <w:tr w:rsidR="00D07378" w:rsidRPr="008C6BEC" w14:paraId="310BE88C" w14:textId="77777777" w:rsidTr="00BA499D">
        <w:trPr>
          <w:gridAfter w:val="2"/>
          <w:wAfter w:w="235" w:type="pct"/>
          <w:trHeight w:val="665"/>
        </w:trPr>
        <w:tc>
          <w:tcPr>
            <w:tcW w:w="384" w:type="pct"/>
            <w:tcBorders>
              <w:top w:val="nil"/>
              <w:left w:val="single" w:sz="4" w:space="0" w:color="auto"/>
              <w:bottom w:val="single" w:sz="4" w:space="0" w:color="auto"/>
              <w:right w:val="single" w:sz="4" w:space="0" w:color="auto"/>
            </w:tcBorders>
            <w:noWrap/>
            <w:vAlign w:val="center"/>
            <w:hideMark/>
          </w:tcPr>
          <w:p w14:paraId="6D6AE10B" w14:textId="77777777" w:rsidR="00D07378" w:rsidRPr="008C6BEC" w:rsidRDefault="00D07378" w:rsidP="00BA499D">
            <w:pPr>
              <w:spacing w:after="120" w:line="276" w:lineRule="auto"/>
              <w:jc w:val="center"/>
              <w:rPr>
                <w:rFonts w:eastAsia="Times New Roman" w:cs="Times New Roman"/>
                <w:bCs/>
                <w:color w:val="1A1A1A"/>
                <w:sz w:val="18"/>
                <w:szCs w:val="18"/>
              </w:rPr>
            </w:pPr>
            <w:r w:rsidRPr="008C6BEC">
              <w:rPr>
                <w:bCs/>
                <w:color w:val="1A1A1A"/>
                <w:sz w:val="18"/>
                <w:szCs w:val="18"/>
              </w:rPr>
              <w:t>2</w:t>
            </w:r>
            <w:r>
              <w:rPr>
                <w:bCs/>
                <w:color w:val="1A1A1A"/>
                <w:sz w:val="18"/>
                <w:szCs w:val="18"/>
              </w:rPr>
              <w:t>2</w:t>
            </w:r>
            <w:r w:rsidRPr="008C6BEC">
              <w:rPr>
                <w:bCs/>
                <w:color w:val="1A1A1A"/>
                <w:sz w:val="18"/>
                <w:szCs w:val="18"/>
              </w:rPr>
              <w:t>.</w:t>
            </w:r>
          </w:p>
        </w:tc>
        <w:tc>
          <w:tcPr>
            <w:tcW w:w="3006" w:type="pct"/>
            <w:tcBorders>
              <w:top w:val="nil"/>
              <w:left w:val="nil"/>
              <w:bottom w:val="single" w:sz="4" w:space="0" w:color="auto"/>
              <w:right w:val="single" w:sz="4" w:space="0" w:color="auto"/>
            </w:tcBorders>
            <w:vAlign w:val="center"/>
            <w:hideMark/>
          </w:tcPr>
          <w:p w14:paraId="384849B9" w14:textId="77777777" w:rsidR="00D07378" w:rsidRPr="00A15603" w:rsidRDefault="00D07378" w:rsidP="00BA499D">
            <w:pPr>
              <w:spacing w:after="240" w:line="276" w:lineRule="auto"/>
              <w:rPr>
                <w:rFonts w:cstheme="minorHAnsi"/>
                <w:sz w:val="18"/>
                <w:szCs w:val="18"/>
              </w:rPr>
            </w:pPr>
            <w:r w:rsidRPr="00506C4E">
              <w:rPr>
                <w:sz w:val="18"/>
                <w:szCs w:val="18"/>
              </w:rPr>
              <w:t>Povjerenstvo stručnjaka za klasifikaciju lijekova s obzirom na opskrbu (</w:t>
            </w:r>
            <w:r w:rsidRPr="00506C4E">
              <w:rPr>
                <w:rFonts w:cs="Calibri"/>
                <w:sz w:val="18"/>
                <w:szCs w:val="18"/>
              </w:rPr>
              <w:t>CD-P-PH/PHO)</w:t>
            </w:r>
          </w:p>
        </w:tc>
        <w:tc>
          <w:tcPr>
            <w:tcW w:w="651" w:type="pct"/>
            <w:tcBorders>
              <w:top w:val="nil"/>
              <w:left w:val="nil"/>
              <w:bottom w:val="single" w:sz="4" w:space="0" w:color="auto"/>
              <w:right w:val="single" w:sz="4" w:space="0" w:color="auto"/>
            </w:tcBorders>
            <w:vAlign w:val="center"/>
            <w:hideMark/>
          </w:tcPr>
          <w:p w14:paraId="4841193F" w14:textId="77777777" w:rsidR="00D07378" w:rsidRPr="00A15603" w:rsidRDefault="00D07378" w:rsidP="00BA499D">
            <w:pPr>
              <w:spacing w:line="276" w:lineRule="auto"/>
              <w:jc w:val="center"/>
              <w:rPr>
                <w:rFonts w:cs="Times New Roman"/>
                <w:bCs/>
                <w:sz w:val="18"/>
                <w:szCs w:val="18"/>
              </w:rPr>
            </w:pPr>
            <w:r w:rsidRPr="00A15603">
              <w:rPr>
                <w:rFonts w:cs="Times New Roman"/>
                <w:bCs/>
                <w:sz w:val="18"/>
                <w:szCs w:val="18"/>
              </w:rPr>
              <w:t>2</w:t>
            </w:r>
          </w:p>
        </w:tc>
        <w:tc>
          <w:tcPr>
            <w:tcW w:w="724" w:type="pct"/>
            <w:tcBorders>
              <w:top w:val="nil"/>
              <w:left w:val="nil"/>
              <w:bottom w:val="single" w:sz="4" w:space="0" w:color="auto"/>
              <w:right w:val="single" w:sz="4" w:space="0" w:color="auto"/>
            </w:tcBorders>
            <w:vAlign w:val="center"/>
          </w:tcPr>
          <w:p w14:paraId="047253F7" w14:textId="77777777" w:rsidR="00D07378" w:rsidRPr="00A15603" w:rsidRDefault="00D07378" w:rsidP="00BA499D">
            <w:pPr>
              <w:spacing w:line="276" w:lineRule="auto"/>
              <w:jc w:val="center"/>
              <w:rPr>
                <w:rFonts w:cs="Times New Roman"/>
                <w:bCs/>
                <w:sz w:val="18"/>
                <w:szCs w:val="18"/>
              </w:rPr>
            </w:pPr>
            <w:r>
              <w:rPr>
                <w:rFonts w:cs="Times New Roman"/>
                <w:bCs/>
                <w:sz w:val="18"/>
                <w:szCs w:val="18"/>
              </w:rPr>
              <w:t>6</w:t>
            </w:r>
          </w:p>
        </w:tc>
      </w:tr>
      <w:tr w:rsidR="00D07378" w:rsidRPr="008C6BEC" w14:paraId="00ADA93D" w14:textId="77777777" w:rsidTr="00BA499D">
        <w:trPr>
          <w:gridAfter w:val="2"/>
          <w:wAfter w:w="235" w:type="pct"/>
          <w:trHeight w:val="665"/>
        </w:trPr>
        <w:tc>
          <w:tcPr>
            <w:tcW w:w="384" w:type="pct"/>
            <w:tcBorders>
              <w:top w:val="nil"/>
              <w:left w:val="single" w:sz="4" w:space="0" w:color="auto"/>
              <w:bottom w:val="single" w:sz="4" w:space="0" w:color="auto"/>
              <w:right w:val="single" w:sz="4" w:space="0" w:color="auto"/>
            </w:tcBorders>
            <w:noWrap/>
            <w:vAlign w:val="center"/>
          </w:tcPr>
          <w:p w14:paraId="30E51714" w14:textId="77777777" w:rsidR="00D07378" w:rsidRPr="008C6BEC" w:rsidRDefault="00D07378" w:rsidP="00BA499D">
            <w:pPr>
              <w:spacing w:after="120" w:line="276" w:lineRule="auto"/>
              <w:jc w:val="center"/>
              <w:rPr>
                <w:bCs/>
                <w:color w:val="1A1A1A"/>
                <w:sz w:val="18"/>
                <w:szCs w:val="18"/>
              </w:rPr>
            </w:pPr>
            <w:r>
              <w:rPr>
                <w:bCs/>
                <w:color w:val="1A1A1A"/>
                <w:sz w:val="18"/>
                <w:szCs w:val="18"/>
              </w:rPr>
              <w:lastRenderedPageBreak/>
              <w:t xml:space="preserve">23. </w:t>
            </w:r>
          </w:p>
        </w:tc>
        <w:tc>
          <w:tcPr>
            <w:tcW w:w="3006" w:type="pct"/>
            <w:tcBorders>
              <w:top w:val="nil"/>
              <w:left w:val="nil"/>
              <w:bottom w:val="single" w:sz="4" w:space="0" w:color="auto"/>
              <w:right w:val="single" w:sz="4" w:space="0" w:color="auto"/>
            </w:tcBorders>
            <w:vAlign w:val="center"/>
          </w:tcPr>
          <w:p w14:paraId="5FB33A66" w14:textId="77777777" w:rsidR="00D07378" w:rsidRPr="00A15603" w:rsidRDefault="00D07378" w:rsidP="00BA499D">
            <w:pPr>
              <w:spacing w:after="240" w:line="276" w:lineRule="auto"/>
              <w:rPr>
                <w:sz w:val="18"/>
                <w:szCs w:val="18"/>
              </w:rPr>
            </w:pPr>
            <w:r w:rsidRPr="00506C4E">
              <w:rPr>
                <w:sz w:val="18"/>
                <w:szCs w:val="18"/>
              </w:rPr>
              <w:t>Povjerenstvo za smanjenje rizika od krivotvorenih lijekova Vijeća Europe (Committee of Experts on minimising the public health risks posed by falsified medical products and related crimes , CD-P-PH/CMED)</w:t>
            </w:r>
          </w:p>
        </w:tc>
        <w:tc>
          <w:tcPr>
            <w:tcW w:w="651" w:type="pct"/>
            <w:tcBorders>
              <w:top w:val="nil"/>
              <w:left w:val="nil"/>
              <w:bottom w:val="single" w:sz="4" w:space="0" w:color="auto"/>
              <w:right w:val="single" w:sz="4" w:space="0" w:color="auto"/>
            </w:tcBorders>
            <w:vAlign w:val="center"/>
          </w:tcPr>
          <w:p w14:paraId="79D4369D" w14:textId="77777777" w:rsidR="00D07378" w:rsidRPr="00A15603" w:rsidRDefault="00D07378" w:rsidP="00BA499D">
            <w:pPr>
              <w:spacing w:line="276" w:lineRule="auto"/>
              <w:jc w:val="center"/>
              <w:rPr>
                <w:rFonts w:cs="Times New Roman"/>
                <w:bCs/>
                <w:sz w:val="18"/>
                <w:szCs w:val="18"/>
              </w:rPr>
            </w:pPr>
            <w:r w:rsidRPr="00A15603">
              <w:rPr>
                <w:rFonts w:cs="Times New Roman"/>
                <w:bCs/>
                <w:sz w:val="18"/>
                <w:szCs w:val="18"/>
              </w:rPr>
              <w:t>2</w:t>
            </w:r>
          </w:p>
        </w:tc>
        <w:tc>
          <w:tcPr>
            <w:tcW w:w="724" w:type="pct"/>
            <w:tcBorders>
              <w:top w:val="nil"/>
              <w:left w:val="nil"/>
              <w:bottom w:val="single" w:sz="4" w:space="0" w:color="auto"/>
              <w:right w:val="single" w:sz="4" w:space="0" w:color="auto"/>
            </w:tcBorders>
            <w:vAlign w:val="center"/>
          </w:tcPr>
          <w:p w14:paraId="5D4023E3" w14:textId="77777777" w:rsidR="00D07378" w:rsidRPr="00A15603" w:rsidDel="00AC271A" w:rsidRDefault="00D07378" w:rsidP="00BA499D">
            <w:pPr>
              <w:spacing w:line="276" w:lineRule="auto"/>
              <w:jc w:val="center"/>
              <w:rPr>
                <w:rFonts w:cs="Times New Roman"/>
                <w:bCs/>
                <w:sz w:val="18"/>
                <w:szCs w:val="18"/>
              </w:rPr>
            </w:pPr>
            <w:r>
              <w:rPr>
                <w:rFonts w:cs="Times New Roman"/>
                <w:bCs/>
                <w:sz w:val="18"/>
                <w:szCs w:val="18"/>
              </w:rPr>
              <w:t>2</w:t>
            </w:r>
          </w:p>
        </w:tc>
      </w:tr>
      <w:tr w:rsidR="00D07378" w:rsidRPr="002C0CAC" w14:paraId="1A32798C" w14:textId="77777777" w:rsidTr="00BA499D">
        <w:trPr>
          <w:gridAfter w:val="2"/>
          <w:wAfter w:w="235" w:type="pct"/>
          <w:trHeight w:val="760"/>
        </w:trPr>
        <w:tc>
          <w:tcPr>
            <w:tcW w:w="384" w:type="pct"/>
            <w:tcBorders>
              <w:top w:val="nil"/>
              <w:left w:val="single" w:sz="4" w:space="0" w:color="auto"/>
              <w:bottom w:val="single" w:sz="4" w:space="0" w:color="auto"/>
              <w:right w:val="single" w:sz="4" w:space="0" w:color="auto"/>
            </w:tcBorders>
            <w:noWrap/>
            <w:vAlign w:val="center"/>
            <w:hideMark/>
          </w:tcPr>
          <w:p w14:paraId="2142409C" w14:textId="77777777" w:rsidR="00D07378" w:rsidRPr="00B464D7" w:rsidRDefault="00D07378" w:rsidP="00BA499D">
            <w:pPr>
              <w:spacing w:after="120" w:line="276" w:lineRule="auto"/>
              <w:jc w:val="center"/>
              <w:rPr>
                <w:rFonts w:eastAsia="Times New Roman" w:cs="Times New Roman"/>
                <w:bCs/>
                <w:color w:val="1A1A1A"/>
                <w:sz w:val="18"/>
                <w:szCs w:val="18"/>
              </w:rPr>
            </w:pPr>
            <w:r>
              <w:rPr>
                <w:bCs/>
                <w:color w:val="1A1A1A"/>
                <w:sz w:val="18"/>
                <w:szCs w:val="18"/>
              </w:rPr>
              <w:t>24.</w:t>
            </w:r>
          </w:p>
        </w:tc>
        <w:tc>
          <w:tcPr>
            <w:tcW w:w="3006" w:type="pct"/>
            <w:tcBorders>
              <w:top w:val="nil"/>
              <w:left w:val="nil"/>
              <w:bottom w:val="single" w:sz="4" w:space="0" w:color="auto"/>
              <w:right w:val="single" w:sz="4" w:space="0" w:color="auto"/>
            </w:tcBorders>
            <w:vAlign w:val="center"/>
            <w:hideMark/>
          </w:tcPr>
          <w:p w14:paraId="05B5640A" w14:textId="77777777" w:rsidR="00D07378" w:rsidRPr="00A15603" w:rsidRDefault="00D07378" w:rsidP="00BA499D">
            <w:pPr>
              <w:spacing w:after="240" w:line="276" w:lineRule="auto"/>
              <w:jc w:val="both"/>
              <w:rPr>
                <w:rFonts w:eastAsia="Calibri" w:cs="Times New Roman"/>
                <w:sz w:val="18"/>
                <w:szCs w:val="18"/>
              </w:rPr>
            </w:pPr>
            <w:r w:rsidRPr="00A15603">
              <w:rPr>
                <w:sz w:val="18"/>
                <w:szCs w:val="18"/>
              </w:rPr>
              <w:t>Suradnja u postupku ocjene dokumentacije o djelatnoj tvari za izdavanje Ovjernice Europske farmakopeje</w:t>
            </w:r>
          </w:p>
        </w:tc>
        <w:tc>
          <w:tcPr>
            <w:tcW w:w="651" w:type="pct"/>
            <w:tcBorders>
              <w:top w:val="nil"/>
              <w:left w:val="nil"/>
              <w:bottom w:val="single" w:sz="4" w:space="0" w:color="auto"/>
              <w:right w:val="single" w:sz="4" w:space="0" w:color="auto"/>
            </w:tcBorders>
            <w:vAlign w:val="center"/>
          </w:tcPr>
          <w:p w14:paraId="1ACB7790" w14:textId="77777777" w:rsidR="00D07378" w:rsidRPr="00A15603" w:rsidRDefault="00D07378" w:rsidP="00BA499D">
            <w:pPr>
              <w:spacing w:line="276" w:lineRule="auto"/>
              <w:jc w:val="center"/>
              <w:rPr>
                <w:rFonts w:cs="Times New Roman"/>
                <w:bCs/>
                <w:sz w:val="18"/>
                <w:szCs w:val="18"/>
              </w:rPr>
            </w:pPr>
            <w:r w:rsidRPr="00A15603">
              <w:rPr>
                <w:rFonts w:cs="Times New Roman"/>
                <w:bCs/>
                <w:sz w:val="18"/>
                <w:szCs w:val="18"/>
              </w:rPr>
              <w:t>2</w:t>
            </w:r>
          </w:p>
        </w:tc>
        <w:tc>
          <w:tcPr>
            <w:tcW w:w="724" w:type="pct"/>
            <w:tcBorders>
              <w:top w:val="nil"/>
              <w:left w:val="nil"/>
              <w:bottom w:val="single" w:sz="4" w:space="0" w:color="auto"/>
              <w:right w:val="single" w:sz="4" w:space="0" w:color="auto"/>
            </w:tcBorders>
            <w:vAlign w:val="center"/>
          </w:tcPr>
          <w:p w14:paraId="0AB699AF" w14:textId="77777777" w:rsidR="00D07378" w:rsidRPr="00A15603" w:rsidRDefault="00D07378" w:rsidP="00BA499D">
            <w:pPr>
              <w:spacing w:line="276" w:lineRule="auto"/>
              <w:jc w:val="center"/>
              <w:rPr>
                <w:rFonts w:cs="Times New Roman"/>
                <w:bCs/>
                <w:sz w:val="18"/>
                <w:szCs w:val="18"/>
              </w:rPr>
            </w:pPr>
            <w:r>
              <w:rPr>
                <w:rFonts w:cs="Times New Roman"/>
                <w:bCs/>
                <w:sz w:val="18"/>
                <w:szCs w:val="18"/>
              </w:rPr>
              <w:t>7</w:t>
            </w:r>
          </w:p>
        </w:tc>
      </w:tr>
      <w:tr w:rsidR="00D07378" w:rsidRPr="002C0CAC" w14:paraId="4E1F3D1F" w14:textId="77777777" w:rsidTr="00BA499D">
        <w:trPr>
          <w:gridAfter w:val="2"/>
          <w:wAfter w:w="235" w:type="pct"/>
          <w:trHeight w:val="760"/>
        </w:trPr>
        <w:tc>
          <w:tcPr>
            <w:tcW w:w="384" w:type="pct"/>
            <w:tcBorders>
              <w:top w:val="nil"/>
              <w:left w:val="single" w:sz="4" w:space="0" w:color="auto"/>
              <w:bottom w:val="single" w:sz="4" w:space="0" w:color="auto"/>
              <w:right w:val="single" w:sz="4" w:space="0" w:color="auto"/>
            </w:tcBorders>
            <w:noWrap/>
            <w:vAlign w:val="center"/>
          </w:tcPr>
          <w:p w14:paraId="1D6DBD13" w14:textId="77777777" w:rsidR="00D07378" w:rsidRDefault="00D07378" w:rsidP="00BA499D">
            <w:pPr>
              <w:spacing w:after="120" w:line="276" w:lineRule="auto"/>
              <w:jc w:val="center"/>
              <w:rPr>
                <w:bCs/>
                <w:color w:val="1A1A1A"/>
                <w:sz w:val="18"/>
                <w:szCs w:val="18"/>
              </w:rPr>
            </w:pPr>
            <w:r>
              <w:rPr>
                <w:bCs/>
                <w:color w:val="1A1A1A"/>
                <w:sz w:val="18"/>
                <w:szCs w:val="18"/>
              </w:rPr>
              <w:t xml:space="preserve">25. </w:t>
            </w:r>
          </w:p>
        </w:tc>
        <w:tc>
          <w:tcPr>
            <w:tcW w:w="3006" w:type="pct"/>
            <w:tcBorders>
              <w:top w:val="nil"/>
              <w:left w:val="nil"/>
              <w:bottom w:val="single" w:sz="4" w:space="0" w:color="auto"/>
              <w:right w:val="single" w:sz="4" w:space="0" w:color="auto"/>
            </w:tcBorders>
            <w:vAlign w:val="center"/>
          </w:tcPr>
          <w:p w14:paraId="15FB4F7E" w14:textId="77777777" w:rsidR="00D07378" w:rsidRPr="00A15603" w:rsidRDefault="00D07378" w:rsidP="00BA499D">
            <w:pPr>
              <w:spacing w:after="240" w:line="276" w:lineRule="auto"/>
              <w:jc w:val="both"/>
              <w:rPr>
                <w:sz w:val="18"/>
                <w:szCs w:val="18"/>
              </w:rPr>
            </w:pPr>
            <w:r>
              <w:rPr>
                <w:sz w:val="18"/>
                <w:szCs w:val="18"/>
              </w:rPr>
              <w:t>Mreža kontakata za granične proizvode (</w:t>
            </w:r>
            <w:r w:rsidRPr="00427C32">
              <w:rPr>
                <w:sz w:val="18"/>
                <w:szCs w:val="18"/>
              </w:rPr>
              <w:t>EDQM Network on Borderline Products</w:t>
            </w:r>
            <w:r>
              <w:rPr>
                <w:sz w:val="18"/>
                <w:szCs w:val="18"/>
              </w:rPr>
              <w:t>)</w:t>
            </w:r>
          </w:p>
        </w:tc>
        <w:tc>
          <w:tcPr>
            <w:tcW w:w="651" w:type="pct"/>
            <w:tcBorders>
              <w:top w:val="nil"/>
              <w:left w:val="nil"/>
              <w:bottom w:val="single" w:sz="4" w:space="0" w:color="auto"/>
              <w:right w:val="single" w:sz="4" w:space="0" w:color="auto"/>
            </w:tcBorders>
            <w:vAlign w:val="center"/>
          </w:tcPr>
          <w:p w14:paraId="65255ED7" w14:textId="77777777" w:rsidR="00D07378" w:rsidRPr="00A15603" w:rsidRDefault="00D07378" w:rsidP="00BA499D">
            <w:pPr>
              <w:spacing w:line="276" w:lineRule="auto"/>
              <w:jc w:val="center"/>
              <w:rPr>
                <w:rFonts w:cs="Times New Roman"/>
                <w:bCs/>
                <w:sz w:val="18"/>
                <w:szCs w:val="18"/>
              </w:rPr>
            </w:pPr>
            <w:r>
              <w:rPr>
                <w:rFonts w:cs="Times New Roman"/>
                <w:bCs/>
                <w:sz w:val="18"/>
                <w:szCs w:val="18"/>
              </w:rPr>
              <w:t>2</w:t>
            </w:r>
          </w:p>
        </w:tc>
        <w:tc>
          <w:tcPr>
            <w:tcW w:w="724" w:type="pct"/>
            <w:tcBorders>
              <w:top w:val="nil"/>
              <w:left w:val="nil"/>
              <w:bottom w:val="single" w:sz="4" w:space="0" w:color="auto"/>
              <w:right w:val="single" w:sz="4" w:space="0" w:color="auto"/>
            </w:tcBorders>
            <w:vAlign w:val="center"/>
          </w:tcPr>
          <w:p w14:paraId="65B439EE" w14:textId="02C00607" w:rsidR="00D07378" w:rsidRPr="00A15603" w:rsidRDefault="00A62A09" w:rsidP="00BA499D">
            <w:pPr>
              <w:spacing w:line="276" w:lineRule="auto"/>
              <w:jc w:val="center"/>
              <w:rPr>
                <w:rFonts w:cs="Times New Roman"/>
                <w:bCs/>
                <w:sz w:val="18"/>
                <w:szCs w:val="18"/>
              </w:rPr>
            </w:pPr>
            <w:r>
              <w:rPr>
                <w:rFonts w:cs="Times New Roman"/>
                <w:bCs/>
                <w:sz w:val="18"/>
                <w:szCs w:val="18"/>
              </w:rPr>
              <w:t>2</w:t>
            </w:r>
          </w:p>
        </w:tc>
      </w:tr>
      <w:tr w:rsidR="00D07378" w:rsidRPr="002C0CAC" w14:paraId="520AF974" w14:textId="77777777" w:rsidTr="00BA499D">
        <w:trPr>
          <w:trHeight w:val="113"/>
        </w:trPr>
        <w:tc>
          <w:tcPr>
            <w:tcW w:w="4765" w:type="pct"/>
            <w:gridSpan w:val="4"/>
            <w:tcBorders>
              <w:top w:val="nil"/>
              <w:left w:val="single" w:sz="4" w:space="0" w:color="auto"/>
              <w:bottom w:val="single" w:sz="4" w:space="0" w:color="auto"/>
              <w:right w:val="single" w:sz="4" w:space="0" w:color="auto"/>
            </w:tcBorders>
            <w:noWrap/>
            <w:vAlign w:val="center"/>
            <w:hideMark/>
          </w:tcPr>
          <w:p w14:paraId="1F78AA0D" w14:textId="77777777" w:rsidR="00D07378" w:rsidRPr="008C6BEC" w:rsidRDefault="00D07378" w:rsidP="00BA499D">
            <w:pPr>
              <w:pStyle w:val="NoSpacing"/>
              <w:spacing w:after="120" w:line="276" w:lineRule="auto"/>
              <w:rPr>
                <w:rFonts w:cs="Times New Roman"/>
                <w:b/>
                <w:bCs/>
                <w:sz w:val="18"/>
                <w:szCs w:val="18"/>
              </w:rPr>
            </w:pPr>
            <w:r w:rsidRPr="008C6BEC">
              <w:rPr>
                <w:rFonts w:cs="Times New Roman"/>
                <w:b/>
                <w:bCs/>
                <w:sz w:val="18"/>
                <w:szCs w:val="18"/>
              </w:rPr>
              <w:t>Povjerenstva i radne skupine HMA-a i CMDh</w:t>
            </w:r>
          </w:p>
        </w:tc>
        <w:tc>
          <w:tcPr>
            <w:tcW w:w="118" w:type="pct"/>
          </w:tcPr>
          <w:p w14:paraId="73207BC0" w14:textId="77777777" w:rsidR="00D07378" w:rsidRPr="002C0CAC" w:rsidRDefault="00D07378" w:rsidP="00BA499D">
            <w:pPr>
              <w:spacing w:after="200" w:line="276" w:lineRule="auto"/>
              <w:rPr>
                <w:rFonts w:eastAsiaTheme="minorEastAsia"/>
                <w:sz w:val="20"/>
                <w:szCs w:val="20"/>
              </w:rPr>
            </w:pPr>
          </w:p>
        </w:tc>
        <w:tc>
          <w:tcPr>
            <w:tcW w:w="117" w:type="pct"/>
          </w:tcPr>
          <w:p w14:paraId="40387C72" w14:textId="77777777" w:rsidR="00D07378" w:rsidRPr="002C0CAC" w:rsidRDefault="00D07378" w:rsidP="00BA499D">
            <w:pPr>
              <w:spacing w:after="200" w:line="276" w:lineRule="auto"/>
              <w:rPr>
                <w:rFonts w:eastAsiaTheme="minorEastAsia"/>
                <w:sz w:val="20"/>
                <w:szCs w:val="20"/>
              </w:rPr>
            </w:pPr>
          </w:p>
        </w:tc>
      </w:tr>
      <w:tr w:rsidR="00D07378" w:rsidRPr="002C0CAC" w14:paraId="5FA2066D" w14:textId="77777777" w:rsidTr="00BA499D">
        <w:trPr>
          <w:gridAfter w:val="2"/>
          <w:wAfter w:w="235" w:type="pct"/>
          <w:trHeight w:val="113"/>
        </w:trPr>
        <w:tc>
          <w:tcPr>
            <w:tcW w:w="384" w:type="pct"/>
            <w:tcBorders>
              <w:top w:val="nil"/>
              <w:left w:val="single" w:sz="4" w:space="0" w:color="auto"/>
              <w:bottom w:val="single" w:sz="4" w:space="0" w:color="auto"/>
              <w:right w:val="single" w:sz="4" w:space="0" w:color="auto"/>
            </w:tcBorders>
            <w:noWrap/>
            <w:vAlign w:val="center"/>
          </w:tcPr>
          <w:p w14:paraId="0A10C164" w14:textId="77777777" w:rsidR="00D07378" w:rsidRPr="00B464D7" w:rsidRDefault="00D07378" w:rsidP="00BA499D">
            <w:pPr>
              <w:spacing w:after="120" w:line="276" w:lineRule="auto"/>
              <w:jc w:val="center"/>
              <w:rPr>
                <w:rFonts w:eastAsia="Times New Roman" w:cs="Times New Roman"/>
                <w:bCs/>
                <w:color w:val="1A1A1A"/>
                <w:sz w:val="18"/>
                <w:szCs w:val="18"/>
              </w:rPr>
            </w:pPr>
            <w:r w:rsidRPr="00B464D7">
              <w:rPr>
                <w:bCs/>
                <w:color w:val="1A1A1A"/>
                <w:sz w:val="18"/>
                <w:szCs w:val="18"/>
              </w:rPr>
              <w:t>2</w:t>
            </w:r>
            <w:r>
              <w:rPr>
                <w:bCs/>
                <w:color w:val="1A1A1A"/>
                <w:sz w:val="18"/>
                <w:szCs w:val="18"/>
              </w:rPr>
              <w:t>6</w:t>
            </w:r>
            <w:r w:rsidRPr="00B464D7">
              <w:rPr>
                <w:bCs/>
                <w:color w:val="1A1A1A"/>
                <w:sz w:val="18"/>
                <w:szCs w:val="18"/>
              </w:rPr>
              <w:t>.</w:t>
            </w:r>
          </w:p>
        </w:tc>
        <w:tc>
          <w:tcPr>
            <w:tcW w:w="3006" w:type="pct"/>
            <w:tcBorders>
              <w:top w:val="nil"/>
              <w:left w:val="nil"/>
              <w:bottom w:val="single" w:sz="4" w:space="0" w:color="auto"/>
              <w:right w:val="single" w:sz="4" w:space="0" w:color="auto"/>
            </w:tcBorders>
            <w:vAlign w:val="center"/>
          </w:tcPr>
          <w:p w14:paraId="3FD7E289" w14:textId="77777777" w:rsidR="00D07378" w:rsidRPr="00A15603" w:rsidRDefault="00D07378" w:rsidP="00BA499D">
            <w:pPr>
              <w:pStyle w:val="NoSpacing"/>
              <w:spacing w:line="276" w:lineRule="auto"/>
              <w:rPr>
                <w:rFonts w:eastAsia="Times New Roman" w:cs="Times New Roman"/>
                <w:sz w:val="18"/>
                <w:szCs w:val="18"/>
              </w:rPr>
            </w:pPr>
            <w:r w:rsidRPr="00A15603">
              <w:rPr>
                <w:sz w:val="18"/>
                <w:szCs w:val="18"/>
              </w:rPr>
              <w:t>HMA (</w:t>
            </w:r>
            <w:r w:rsidRPr="00A15603">
              <w:rPr>
                <w:i/>
                <w:sz w:val="18"/>
                <w:szCs w:val="18"/>
              </w:rPr>
              <w:t>The</w:t>
            </w:r>
            <w:r w:rsidRPr="00A15603">
              <w:rPr>
                <w:sz w:val="18"/>
                <w:szCs w:val="18"/>
              </w:rPr>
              <w:t xml:space="preserve"> </w:t>
            </w:r>
            <w:r w:rsidRPr="00A15603">
              <w:rPr>
                <w:i/>
                <w:sz w:val="18"/>
                <w:szCs w:val="18"/>
              </w:rPr>
              <w:t>Heads of Medicines Agencies</w:t>
            </w:r>
            <w:r w:rsidRPr="00A15603">
              <w:rPr>
                <w:sz w:val="18"/>
                <w:szCs w:val="18"/>
              </w:rPr>
              <w:t>)</w:t>
            </w:r>
          </w:p>
        </w:tc>
        <w:tc>
          <w:tcPr>
            <w:tcW w:w="651" w:type="pct"/>
            <w:tcBorders>
              <w:top w:val="nil"/>
              <w:left w:val="nil"/>
              <w:bottom w:val="single" w:sz="4" w:space="0" w:color="auto"/>
              <w:right w:val="single" w:sz="4" w:space="0" w:color="auto"/>
            </w:tcBorders>
            <w:vAlign w:val="center"/>
          </w:tcPr>
          <w:p w14:paraId="581A6701" w14:textId="77777777" w:rsidR="00D07378" w:rsidRPr="00A15603" w:rsidRDefault="00D07378" w:rsidP="00BA499D">
            <w:pPr>
              <w:spacing w:line="276" w:lineRule="auto"/>
              <w:jc w:val="center"/>
              <w:rPr>
                <w:rFonts w:cs="Times New Roman"/>
                <w:bCs/>
                <w:sz w:val="18"/>
                <w:szCs w:val="18"/>
              </w:rPr>
            </w:pPr>
            <w:r w:rsidRPr="00A15603">
              <w:rPr>
                <w:rFonts w:cs="Times New Roman"/>
                <w:bCs/>
                <w:sz w:val="18"/>
                <w:szCs w:val="18"/>
              </w:rPr>
              <w:t>4</w:t>
            </w:r>
          </w:p>
        </w:tc>
        <w:tc>
          <w:tcPr>
            <w:tcW w:w="724" w:type="pct"/>
            <w:tcBorders>
              <w:top w:val="nil"/>
              <w:left w:val="nil"/>
              <w:bottom w:val="single" w:sz="4" w:space="0" w:color="auto"/>
              <w:right w:val="single" w:sz="4" w:space="0" w:color="auto"/>
            </w:tcBorders>
            <w:vAlign w:val="center"/>
          </w:tcPr>
          <w:p w14:paraId="07EE64E9" w14:textId="77777777" w:rsidR="00D07378" w:rsidRPr="00A15603" w:rsidRDefault="00D07378" w:rsidP="00BA499D">
            <w:pPr>
              <w:spacing w:line="276" w:lineRule="auto"/>
              <w:jc w:val="center"/>
              <w:rPr>
                <w:rFonts w:cs="Times New Roman"/>
                <w:bCs/>
                <w:sz w:val="18"/>
                <w:szCs w:val="18"/>
              </w:rPr>
            </w:pPr>
            <w:r>
              <w:rPr>
                <w:rFonts w:cs="Times New Roman"/>
                <w:bCs/>
                <w:sz w:val="18"/>
                <w:szCs w:val="18"/>
              </w:rPr>
              <w:t>4</w:t>
            </w:r>
          </w:p>
        </w:tc>
      </w:tr>
      <w:tr w:rsidR="00D07378" w:rsidRPr="002C0CAC" w14:paraId="686D9338" w14:textId="77777777" w:rsidTr="00BA499D">
        <w:trPr>
          <w:gridAfter w:val="2"/>
          <w:wAfter w:w="235" w:type="pct"/>
          <w:trHeight w:val="113"/>
        </w:trPr>
        <w:tc>
          <w:tcPr>
            <w:tcW w:w="384" w:type="pct"/>
            <w:tcBorders>
              <w:top w:val="nil"/>
              <w:left w:val="single" w:sz="4" w:space="0" w:color="auto"/>
              <w:bottom w:val="single" w:sz="4" w:space="0" w:color="auto"/>
              <w:right w:val="single" w:sz="4" w:space="0" w:color="auto"/>
            </w:tcBorders>
            <w:noWrap/>
            <w:vAlign w:val="center"/>
          </w:tcPr>
          <w:p w14:paraId="65DD5DE2" w14:textId="77777777" w:rsidR="00D07378" w:rsidRPr="00B464D7" w:rsidRDefault="00D07378" w:rsidP="00BA499D">
            <w:pPr>
              <w:spacing w:after="120" w:line="276" w:lineRule="auto"/>
              <w:jc w:val="center"/>
              <w:rPr>
                <w:rFonts w:eastAsia="Times New Roman" w:cs="Times New Roman"/>
                <w:bCs/>
                <w:color w:val="1A1A1A"/>
                <w:sz w:val="18"/>
                <w:szCs w:val="18"/>
              </w:rPr>
            </w:pPr>
            <w:r>
              <w:rPr>
                <w:bCs/>
                <w:color w:val="1A1A1A"/>
                <w:sz w:val="18"/>
                <w:szCs w:val="18"/>
              </w:rPr>
              <w:t>27</w:t>
            </w:r>
            <w:r w:rsidRPr="00B464D7">
              <w:rPr>
                <w:bCs/>
                <w:color w:val="1A1A1A"/>
                <w:sz w:val="18"/>
                <w:szCs w:val="18"/>
              </w:rPr>
              <w:t>.</w:t>
            </w:r>
          </w:p>
        </w:tc>
        <w:tc>
          <w:tcPr>
            <w:tcW w:w="3006" w:type="pct"/>
            <w:tcBorders>
              <w:top w:val="nil"/>
              <w:left w:val="nil"/>
              <w:bottom w:val="single" w:sz="4" w:space="0" w:color="auto"/>
              <w:right w:val="single" w:sz="4" w:space="0" w:color="auto"/>
            </w:tcBorders>
            <w:vAlign w:val="center"/>
          </w:tcPr>
          <w:p w14:paraId="7867A295" w14:textId="44F7E19D" w:rsidR="00D07378" w:rsidRPr="00A15603" w:rsidRDefault="00D07378" w:rsidP="00A22291">
            <w:pPr>
              <w:pStyle w:val="NoSpacing"/>
              <w:spacing w:line="276" w:lineRule="auto"/>
              <w:rPr>
                <w:sz w:val="18"/>
                <w:szCs w:val="18"/>
              </w:rPr>
            </w:pPr>
            <w:r w:rsidRPr="00A15603">
              <w:rPr>
                <w:sz w:val="18"/>
                <w:szCs w:val="18"/>
              </w:rPr>
              <w:t xml:space="preserve">Koordinacijska </w:t>
            </w:r>
            <w:r w:rsidR="00A22291">
              <w:rPr>
                <w:sz w:val="18"/>
                <w:szCs w:val="18"/>
              </w:rPr>
              <w:t>skupina</w:t>
            </w:r>
            <w:r w:rsidR="00A22291" w:rsidRPr="00A15603">
              <w:rPr>
                <w:sz w:val="18"/>
                <w:szCs w:val="18"/>
              </w:rPr>
              <w:t xml:space="preserve"> </w:t>
            </w:r>
            <w:r w:rsidRPr="00A15603">
              <w:rPr>
                <w:sz w:val="18"/>
                <w:szCs w:val="18"/>
              </w:rPr>
              <w:t xml:space="preserve">za postupak međusobnog priznavanja i decentralizirani postupak za humane lijekove </w:t>
            </w:r>
            <w:r w:rsidRPr="00A15603">
              <w:rPr>
                <w:rFonts w:cs="Calibri"/>
                <w:sz w:val="18"/>
                <w:szCs w:val="18"/>
              </w:rPr>
              <w:t>(CMDh)</w:t>
            </w:r>
          </w:p>
        </w:tc>
        <w:tc>
          <w:tcPr>
            <w:tcW w:w="651" w:type="pct"/>
            <w:tcBorders>
              <w:top w:val="nil"/>
              <w:left w:val="nil"/>
              <w:bottom w:val="single" w:sz="4" w:space="0" w:color="auto"/>
              <w:right w:val="single" w:sz="4" w:space="0" w:color="auto"/>
            </w:tcBorders>
            <w:vAlign w:val="center"/>
          </w:tcPr>
          <w:p w14:paraId="3AD51528" w14:textId="77777777" w:rsidR="00D07378" w:rsidRPr="00A15603" w:rsidRDefault="00D07378" w:rsidP="00BA499D">
            <w:pPr>
              <w:spacing w:line="276" w:lineRule="auto"/>
              <w:jc w:val="center"/>
              <w:rPr>
                <w:rFonts w:cs="Times New Roman"/>
                <w:bCs/>
                <w:sz w:val="18"/>
                <w:szCs w:val="18"/>
              </w:rPr>
            </w:pPr>
            <w:r w:rsidRPr="00A15603">
              <w:rPr>
                <w:rFonts w:cs="Times New Roman"/>
                <w:bCs/>
                <w:sz w:val="18"/>
                <w:szCs w:val="18"/>
              </w:rPr>
              <w:t>11</w:t>
            </w:r>
          </w:p>
        </w:tc>
        <w:tc>
          <w:tcPr>
            <w:tcW w:w="724" w:type="pct"/>
            <w:tcBorders>
              <w:top w:val="nil"/>
              <w:left w:val="nil"/>
              <w:bottom w:val="single" w:sz="4" w:space="0" w:color="auto"/>
              <w:right w:val="single" w:sz="4" w:space="0" w:color="auto"/>
            </w:tcBorders>
            <w:vAlign w:val="center"/>
          </w:tcPr>
          <w:p w14:paraId="1B997015" w14:textId="77777777" w:rsidR="00D07378" w:rsidRPr="00A15603" w:rsidRDefault="00D07378" w:rsidP="00BA499D">
            <w:pPr>
              <w:spacing w:line="276" w:lineRule="auto"/>
              <w:jc w:val="center"/>
              <w:rPr>
                <w:rFonts w:cs="Times New Roman"/>
                <w:bCs/>
                <w:sz w:val="18"/>
                <w:szCs w:val="18"/>
              </w:rPr>
            </w:pPr>
            <w:r>
              <w:rPr>
                <w:rFonts w:cs="Times New Roman"/>
                <w:bCs/>
                <w:sz w:val="18"/>
                <w:szCs w:val="18"/>
              </w:rPr>
              <w:t>11</w:t>
            </w:r>
          </w:p>
        </w:tc>
      </w:tr>
      <w:tr w:rsidR="00D07378" w:rsidRPr="002C0CAC" w14:paraId="34BAFF85" w14:textId="77777777" w:rsidTr="00BA499D">
        <w:trPr>
          <w:gridAfter w:val="2"/>
          <w:wAfter w:w="235" w:type="pct"/>
          <w:trHeight w:val="113"/>
        </w:trPr>
        <w:tc>
          <w:tcPr>
            <w:tcW w:w="384" w:type="pct"/>
            <w:tcBorders>
              <w:top w:val="nil"/>
              <w:left w:val="single" w:sz="4" w:space="0" w:color="auto"/>
              <w:bottom w:val="single" w:sz="4" w:space="0" w:color="auto"/>
              <w:right w:val="single" w:sz="4" w:space="0" w:color="auto"/>
            </w:tcBorders>
            <w:noWrap/>
            <w:vAlign w:val="center"/>
          </w:tcPr>
          <w:p w14:paraId="4EB5B105" w14:textId="77777777" w:rsidR="00D07378" w:rsidRPr="00B464D7" w:rsidRDefault="00D07378" w:rsidP="00BA499D">
            <w:pPr>
              <w:spacing w:after="120" w:line="276" w:lineRule="auto"/>
              <w:jc w:val="center"/>
              <w:rPr>
                <w:rFonts w:eastAsia="Times New Roman" w:cs="Times New Roman"/>
                <w:bCs/>
                <w:color w:val="1A1A1A"/>
                <w:sz w:val="18"/>
                <w:szCs w:val="18"/>
              </w:rPr>
            </w:pPr>
            <w:r>
              <w:rPr>
                <w:bCs/>
                <w:color w:val="1A1A1A"/>
                <w:sz w:val="18"/>
                <w:szCs w:val="18"/>
              </w:rPr>
              <w:t>28</w:t>
            </w:r>
            <w:r w:rsidRPr="00B464D7">
              <w:rPr>
                <w:bCs/>
                <w:color w:val="1A1A1A"/>
                <w:sz w:val="18"/>
                <w:szCs w:val="18"/>
              </w:rPr>
              <w:t>.</w:t>
            </w:r>
          </w:p>
        </w:tc>
        <w:tc>
          <w:tcPr>
            <w:tcW w:w="3006" w:type="pct"/>
            <w:tcBorders>
              <w:top w:val="nil"/>
              <w:left w:val="nil"/>
              <w:bottom w:val="single" w:sz="4" w:space="0" w:color="auto"/>
              <w:right w:val="single" w:sz="4" w:space="0" w:color="auto"/>
            </w:tcBorders>
            <w:vAlign w:val="center"/>
          </w:tcPr>
          <w:p w14:paraId="2B54F950" w14:textId="77777777" w:rsidR="00D07378" w:rsidRPr="00A15603" w:rsidRDefault="00D07378" w:rsidP="00BA499D">
            <w:pPr>
              <w:spacing w:after="240" w:line="276" w:lineRule="auto"/>
              <w:contextualSpacing/>
              <w:jc w:val="both"/>
              <w:rPr>
                <w:rFonts w:eastAsia="Times New Roman" w:cstheme="minorHAnsi"/>
                <w:bCs/>
                <w:sz w:val="18"/>
                <w:szCs w:val="18"/>
              </w:rPr>
            </w:pPr>
            <w:r w:rsidRPr="00A15603">
              <w:rPr>
                <w:rFonts w:cs="Calibri"/>
                <w:sz w:val="18"/>
                <w:szCs w:val="18"/>
              </w:rPr>
              <w:t>Radna skupina za temeljnu dokumentaciju o djelatnoj tvari (</w:t>
            </w:r>
            <w:r w:rsidRPr="00A15603">
              <w:rPr>
                <w:rFonts w:cs="Calibri"/>
                <w:i/>
                <w:sz w:val="18"/>
                <w:szCs w:val="18"/>
              </w:rPr>
              <w:t>Working Group on Active Substance Master File Procedures</w:t>
            </w:r>
            <w:r w:rsidRPr="00A15603">
              <w:rPr>
                <w:rFonts w:cs="Calibri"/>
                <w:sz w:val="18"/>
                <w:szCs w:val="18"/>
              </w:rPr>
              <w:t>)</w:t>
            </w:r>
          </w:p>
        </w:tc>
        <w:tc>
          <w:tcPr>
            <w:tcW w:w="651" w:type="pct"/>
            <w:tcBorders>
              <w:top w:val="nil"/>
              <w:left w:val="nil"/>
              <w:bottom w:val="single" w:sz="4" w:space="0" w:color="auto"/>
              <w:right w:val="single" w:sz="4" w:space="0" w:color="auto"/>
            </w:tcBorders>
            <w:vAlign w:val="center"/>
          </w:tcPr>
          <w:p w14:paraId="75ED4C7F" w14:textId="77777777" w:rsidR="00D07378" w:rsidRPr="00A15603" w:rsidRDefault="00D07378" w:rsidP="00BA499D">
            <w:pPr>
              <w:spacing w:line="276" w:lineRule="auto"/>
              <w:jc w:val="center"/>
              <w:rPr>
                <w:rFonts w:cs="Times New Roman"/>
                <w:bCs/>
                <w:sz w:val="18"/>
                <w:szCs w:val="18"/>
              </w:rPr>
            </w:pPr>
            <w:r w:rsidRPr="00A15603">
              <w:rPr>
                <w:rFonts w:cs="Times New Roman"/>
                <w:bCs/>
                <w:sz w:val="18"/>
                <w:szCs w:val="18"/>
              </w:rPr>
              <w:t>4</w:t>
            </w:r>
          </w:p>
        </w:tc>
        <w:tc>
          <w:tcPr>
            <w:tcW w:w="724" w:type="pct"/>
            <w:tcBorders>
              <w:top w:val="nil"/>
              <w:left w:val="nil"/>
              <w:bottom w:val="single" w:sz="4" w:space="0" w:color="auto"/>
              <w:right w:val="single" w:sz="4" w:space="0" w:color="auto"/>
            </w:tcBorders>
            <w:vAlign w:val="center"/>
          </w:tcPr>
          <w:p w14:paraId="2B9CAD8F" w14:textId="77777777" w:rsidR="00D07378" w:rsidRPr="00A15603" w:rsidRDefault="00D07378" w:rsidP="00BA499D">
            <w:pPr>
              <w:spacing w:line="276" w:lineRule="auto"/>
              <w:jc w:val="center"/>
              <w:rPr>
                <w:rFonts w:cs="Times New Roman"/>
                <w:bCs/>
                <w:sz w:val="18"/>
                <w:szCs w:val="18"/>
              </w:rPr>
            </w:pPr>
            <w:r>
              <w:rPr>
                <w:rFonts w:cs="Times New Roman"/>
                <w:bCs/>
                <w:sz w:val="18"/>
                <w:szCs w:val="18"/>
              </w:rPr>
              <w:t>3</w:t>
            </w:r>
          </w:p>
        </w:tc>
      </w:tr>
      <w:tr w:rsidR="00D07378" w:rsidRPr="002C0CAC" w14:paraId="1C9D9D8E" w14:textId="77777777" w:rsidTr="00BA499D">
        <w:trPr>
          <w:gridAfter w:val="2"/>
          <w:wAfter w:w="235" w:type="pct"/>
          <w:trHeight w:val="113"/>
        </w:trPr>
        <w:tc>
          <w:tcPr>
            <w:tcW w:w="384" w:type="pct"/>
            <w:tcBorders>
              <w:top w:val="nil"/>
              <w:left w:val="single" w:sz="4" w:space="0" w:color="auto"/>
              <w:bottom w:val="single" w:sz="4" w:space="0" w:color="auto"/>
              <w:right w:val="single" w:sz="4" w:space="0" w:color="auto"/>
            </w:tcBorders>
            <w:noWrap/>
            <w:vAlign w:val="center"/>
          </w:tcPr>
          <w:p w14:paraId="04E9707B" w14:textId="77777777" w:rsidR="00D07378" w:rsidRPr="00B464D7" w:rsidRDefault="00D07378" w:rsidP="00BA499D">
            <w:pPr>
              <w:spacing w:after="120" w:line="276" w:lineRule="auto"/>
              <w:jc w:val="center"/>
              <w:rPr>
                <w:rFonts w:eastAsia="Times New Roman" w:cs="Times New Roman"/>
                <w:bCs/>
                <w:color w:val="1A1A1A"/>
                <w:sz w:val="18"/>
                <w:szCs w:val="18"/>
              </w:rPr>
            </w:pPr>
            <w:r>
              <w:rPr>
                <w:bCs/>
                <w:color w:val="1A1A1A"/>
                <w:sz w:val="18"/>
                <w:szCs w:val="18"/>
              </w:rPr>
              <w:t>29</w:t>
            </w:r>
            <w:r w:rsidRPr="008C6BEC">
              <w:rPr>
                <w:bCs/>
                <w:color w:val="1A1A1A"/>
                <w:sz w:val="18"/>
                <w:szCs w:val="18"/>
              </w:rPr>
              <w:t>.</w:t>
            </w:r>
          </w:p>
        </w:tc>
        <w:tc>
          <w:tcPr>
            <w:tcW w:w="3006" w:type="pct"/>
            <w:tcBorders>
              <w:top w:val="nil"/>
              <w:left w:val="nil"/>
              <w:bottom w:val="single" w:sz="4" w:space="0" w:color="auto"/>
              <w:right w:val="single" w:sz="4" w:space="0" w:color="auto"/>
            </w:tcBorders>
            <w:vAlign w:val="center"/>
          </w:tcPr>
          <w:p w14:paraId="0A8CC606" w14:textId="77777777" w:rsidR="00D07378" w:rsidRPr="00A15603" w:rsidRDefault="00D07378" w:rsidP="00BA499D">
            <w:pPr>
              <w:spacing w:after="240" w:line="276" w:lineRule="auto"/>
              <w:contextualSpacing/>
              <w:jc w:val="both"/>
              <w:rPr>
                <w:rFonts w:eastAsia="Times New Roman" w:cstheme="minorHAnsi"/>
                <w:bCs/>
                <w:sz w:val="18"/>
                <w:szCs w:val="18"/>
              </w:rPr>
            </w:pPr>
            <w:r w:rsidRPr="00A15603">
              <w:rPr>
                <w:rFonts w:cs="Calibri"/>
                <w:sz w:val="18"/>
                <w:szCs w:val="18"/>
              </w:rPr>
              <w:t>Radna skupina za regulaciju izmjena (</w:t>
            </w:r>
            <w:r w:rsidRPr="00A15603">
              <w:rPr>
                <w:rFonts w:cs="Calibri"/>
                <w:i/>
                <w:sz w:val="18"/>
                <w:szCs w:val="18"/>
              </w:rPr>
              <w:t>Working Party on Variation Regulation</w:t>
            </w:r>
            <w:r w:rsidRPr="00A15603">
              <w:rPr>
                <w:rFonts w:cs="Calibri"/>
                <w:sz w:val="18"/>
                <w:szCs w:val="18"/>
              </w:rPr>
              <w:t>)</w:t>
            </w:r>
          </w:p>
        </w:tc>
        <w:tc>
          <w:tcPr>
            <w:tcW w:w="651" w:type="pct"/>
            <w:tcBorders>
              <w:top w:val="nil"/>
              <w:left w:val="nil"/>
              <w:bottom w:val="single" w:sz="4" w:space="0" w:color="auto"/>
              <w:right w:val="single" w:sz="4" w:space="0" w:color="auto"/>
            </w:tcBorders>
            <w:vAlign w:val="center"/>
          </w:tcPr>
          <w:p w14:paraId="55959584" w14:textId="77777777" w:rsidR="00D07378" w:rsidRPr="00A15603" w:rsidRDefault="00D07378" w:rsidP="00BA499D">
            <w:pPr>
              <w:spacing w:line="276" w:lineRule="auto"/>
              <w:jc w:val="center"/>
              <w:rPr>
                <w:rFonts w:cs="Times New Roman"/>
                <w:bCs/>
                <w:sz w:val="18"/>
                <w:szCs w:val="18"/>
              </w:rPr>
            </w:pPr>
            <w:r w:rsidRPr="00A15603">
              <w:rPr>
                <w:rFonts w:cs="Times New Roman"/>
                <w:bCs/>
                <w:sz w:val="18"/>
                <w:szCs w:val="18"/>
              </w:rPr>
              <w:t>5</w:t>
            </w:r>
          </w:p>
        </w:tc>
        <w:tc>
          <w:tcPr>
            <w:tcW w:w="724" w:type="pct"/>
            <w:tcBorders>
              <w:top w:val="nil"/>
              <w:left w:val="nil"/>
              <w:bottom w:val="single" w:sz="4" w:space="0" w:color="auto"/>
              <w:right w:val="single" w:sz="4" w:space="0" w:color="auto"/>
            </w:tcBorders>
            <w:vAlign w:val="center"/>
          </w:tcPr>
          <w:p w14:paraId="6695D1C7" w14:textId="77777777" w:rsidR="00D07378" w:rsidRPr="00A15603" w:rsidRDefault="00D07378" w:rsidP="00BA499D">
            <w:pPr>
              <w:spacing w:line="276" w:lineRule="auto"/>
              <w:jc w:val="center"/>
              <w:rPr>
                <w:rFonts w:cs="Times New Roman"/>
                <w:bCs/>
                <w:sz w:val="18"/>
                <w:szCs w:val="18"/>
              </w:rPr>
            </w:pPr>
            <w:r>
              <w:rPr>
                <w:rFonts w:cs="Times New Roman"/>
                <w:bCs/>
                <w:sz w:val="18"/>
                <w:szCs w:val="18"/>
              </w:rPr>
              <w:t>4</w:t>
            </w:r>
          </w:p>
        </w:tc>
      </w:tr>
      <w:tr w:rsidR="00D07378" w:rsidRPr="008C6BEC" w14:paraId="7E67FCD4" w14:textId="77777777" w:rsidTr="00BA499D">
        <w:trPr>
          <w:gridAfter w:val="2"/>
          <w:wAfter w:w="235" w:type="pct"/>
          <w:trHeight w:val="113"/>
        </w:trPr>
        <w:tc>
          <w:tcPr>
            <w:tcW w:w="384" w:type="pct"/>
            <w:tcBorders>
              <w:top w:val="nil"/>
              <w:left w:val="single" w:sz="4" w:space="0" w:color="auto"/>
              <w:bottom w:val="single" w:sz="4" w:space="0" w:color="auto"/>
              <w:right w:val="single" w:sz="4" w:space="0" w:color="auto"/>
            </w:tcBorders>
            <w:noWrap/>
            <w:vAlign w:val="center"/>
          </w:tcPr>
          <w:p w14:paraId="65B21764" w14:textId="77777777" w:rsidR="00D07378" w:rsidRPr="008C6BEC" w:rsidRDefault="00D07378" w:rsidP="00BA499D">
            <w:pPr>
              <w:spacing w:after="120" w:line="276" w:lineRule="auto"/>
              <w:jc w:val="center"/>
              <w:rPr>
                <w:rFonts w:eastAsia="Times New Roman" w:cs="Times New Roman"/>
                <w:bCs/>
                <w:color w:val="1A1A1A"/>
                <w:sz w:val="18"/>
                <w:szCs w:val="18"/>
              </w:rPr>
            </w:pPr>
            <w:r>
              <w:rPr>
                <w:bCs/>
                <w:color w:val="1A1A1A"/>
                <w:sz w:val="18"/>
                <w:szCs w:val="18"/>
              </w:rPr>
              <w:t>30</w:t>
            </w:r>
            <w:r w:rsidRPr="00B464D7">
              <w:rPr>
                <w:bCs/>
                <w:color w:val="1A1A1A"/>
                <w:sz w:val="18"/>
                <w:szCs w:val="18"/>
              </w:rPr>
              <w:t>.</w:t>
            </w:r>
          </w:p>
        </w:tc>
        <w:tc>
          <w:tcPr>
            <w:tcW w:w="3006" w:type="pct"/>
            <w:tcBorders>
              <w:top w:val="nil"/>
              <w:left w:val="nil"/>
              <w:bottom w:val="single" w:sz="4" w:space="0" w:color="auto"/>
              <w:right w:val="single" w:sz="4" w:space="0" w:color="auto"/>
            </w:tcBorders>
            <w:vAlign w:val="center"/>
          </w:tcPr>
          <w:p w14:paraId="7C384A1D" w14:textId="77777777" w:rsidR="00D07378" w:rsidRPr="00A15603" w:rsidRDefault="00D07378" w:rsidP="00BA499D">
            <w:pPr>
              <w:spacing w:after="240" w:line="276" w:lineRule="auto"/>
              <w:contextualSpacing/>
              <w:jc w:val="both"/>
              <w:rPr>
                <w:rFonts w:eastAsia="Times New Roman" w:cstheme="minorHAnsi"/>
                <w:bCs/>
                <w:sz w:val="18"/>
                <w:szCs w:val="18"/>
              </w:rPr>
            </w:pPr>
            <w:r w:rsidRPr="00A15603">
              <w:rPr>
                <w:rFonts w:cs="Calibri"/>
                <w:sz w:val="18"/>
                <w:szCs w:val="18"/>
              </w:rPr>
              <w:t>Radna skupina za bezreceptne lijekove (</w:t>
            </w:r>
            <w:r w:rsidRPr="00A15603">
              <w:rPr>
                <w:rFonts w:cs="Calibri"/>
                <w:i/>
                <w:sz w:val="18"/>
                <w:szCs w:val="18"/>
              </w:rPr>
              <w:t>Non-prescription Medicinal Products TF</w:t>
            </w:r>
            <w:r w:rsidRPr="00A15603">
              <w:rPr>
                <w:rFonts w:cs="Calibri"/>
                <w:sz w:val="18"/>
                <w:szCs w:val="18"/>
              </w:rPr>
              <w:t>)</w:t>
            </w:r>
          </w:p>
        </w:tc>
        <w:tc>
          <w:tcPr>
            <w:tcW w:w="651" w:type="pct"/>
            <w:tcBorders>
              <w:top w:val="nil"/>
              <w:left w:val="nil"/>
              <w:bottom w:val="single" w:sz="4" w:space="0" w:color="auto"/>
              <w:right w:val="single" w:sz="4" w:space="0" w:color="auto"/>
            </w:tcBorders>
            <w:vAlign w:val="center"/>
          </w:tcPr>
          <w:p w14:paraId="1680453B" w14:textId="77777777" w:rsidR="00D07378" w:rsidRPr="00A15603" w:rsidRDefault="00D07378" w:rsidP="00BA499D">
            <w:pPr>
              <w:spacing w:line="276" w:lineRule="auto"/>
              <w:jc w:val="center"/>
              <w:rPr>
                <w:rFonts w:cs="Times New Roman"/>
                <w:bCs/>
                <w:sz w:val="18"/>
                <w:szCs w:val="18"/>
              </w:rPr>
            </w:pPr>
            <w:r w:rsidRPr="00A15603">
              <w:rPr>
                <w:rFonts w:cs="Times New Roman"/>
                <w:bCs/>
                <w:sz w:val="18"/>
                <w:szCs w:val="18"/>
              </w:rPr>
              <w:t>2</w:t>
            </w:r>
          </w:p>
        </w:tc>
        <w:tc>
          <w:tcPr>
            <w:tcW w:w="724" w:type="pct"/>
            <w:tcBorders>
              <w:top w:val="nil"/>
              <w:left w:val="nil"/>
              <w:bottom w:val="single" w:sz="4" w:space="0" w:color="auto"/>
              <w:right w:val="single" w:sz="4" w:space="0" w:color="auto"/>
            </w:tcBorders>
            <w:vAlign w:val="center"/>
          </w:tcPr>
          <w:p w14:paraId="51ECA44D" w14:textId="77777777" w:rsidR="00D07378" w:rsidRPr="00A15603" w:rsidRDefault="00D07378" w:rsidP="00BA499D">
            <w:pPr>
              <w:spacing w:line="276" w:lineRule="auto"/>
              <w:jc w:val="center"/>
              <w:rPr>
                <w:rFonts w:cs="Times New Roman"/>
                <w:bCs/>
                <w:sz w:val="18"/>
                <w:szCs w:val="18"/>
              </w:rPr>
            </w:pPr>
            <w:r>
              <w:rPr>
                <w:rFonts w:cs="Times New Roman"/>
                <w:bCs/>
                <w:sz w:val="18"/>
                <w:szCs w:val="18"/>
              </w:rPr>
              <w:t>1</w:t>
            </w:r>
          </w:p>
        </w:tc>
      </w:tr>
      <w:tr w:rsidR="00D07378" w:rsidRPr="002C0CAC" w14:paraId="614F5D64" w14:textId="77777777" w:rsidTr="00BA499D">
        <w:trPr>
          <w:gridAfter w:val="2"/>
          <w:wAfter w:w="235" w:type="pct"/>
          <w:trHeight w:val="113"/>
        </w:trPr>
        <w:tc>
          <w:tcPr>
            <w:tcW w:w="384" w:type="pct"/>
            <w:tcBorders>
              <w:top w:val="nil"/>
              <w:left w:val="single" w:sz="4" w:space="0" w:color="auto"/>
              <w:bottom w:val="single" w:sz="4" w:space="0" w:color="auto"/>
              <w:right w:val="single" w:sz="4" w:space="0" w:color="auto"/>
            </w:tcBorders>
            <w:noWrap/>
            <w:vAlign w:val="center"/>
          </w:tcPr>
          <w:p w14:paraId="765B4F91" w14:textId="77777777" w:rsidR="00D07378" w:rsidRPr="00B464D7" w:rsidRDefault="00D07378" w:rsidP="00BA499D">
            <w:pPr>
              <w:spacing w:after="120" w:line="276" w:lineRule="auto"/>
              <w:jc w:val="center"/>
              <w:rPr>
                <w:rFonts w:eastAsia="Times New Roman" w:cs="Times New Roman"/>
                <w:bCs/>
                <w:color w:val="1A1A1A"/>
                <w:sz w:val="18"/>
                <w:szCs w:val="18"/>
              </w:rPr>
            </w:pPr>
            <w:r w:rsidRPr="00B464D7">
              <w:rPr>
                <w:bCs/>
                <w:color w:val="1A1A1A"/>
                <w:sz w:val="18"/>
                <w:szCs w:val="18"/>
              </w:rPr>
              <w:t>3</w:t>
            </w:r>
            <w:r>
              <w:rPr>
                <w:bCs/>
                <w:color w:val="1A1A1A"/>
                <w:sz w:val="18"/>
                <w:szCs w:val="18"/>
              </w:rPr>
              <w:t>1</w:t>
            </w:r>
            <w:r w:rsidRPr="00B464D7">
              <w:rPr>
                <w:bCs/>
                <w:color w:val="1A1A1A"/>
                <w:sz w:val="18"/>
                <w:szCs w:val="18"/>
              </w:rPr>
              <w:t>.</w:t>
            </w:r>
          </w:p>
        </w:tc>
        <w:tc>
          <w:tcPr>
            <w:tcW w:w="3006" w:type="pct"/>
            <w:tcBorders>
              <w:top w:val="nil"/>
              <w:left w:val="nil"/>
              <w:bottom w:val="single" w:sz="4" w:space="0" w:color="auto"/>
              <w:right w:val="single" w:sz="4" w:space="0" w:color="auto"/>
            </w:tcBorders>
            <w:vAlign w:val="center"/>
          </w:tcPr>
          <w:p w14:paraId="280865F0" w14:textId="77777777" w:rsidR="00D07378" w:rsidRPr="00A15603" w:rsidRDefault="00D07378" w:rsidP="00BA499D">
            <w:pPr>
              <w:spacing w:after="240" w:line="276" w:lineRule="auto"/>
              <w:contextualSpacing/>
              <w:jc w:val="both"/>
              <w:rPr>
                <w:rFonts w:eastAsia="Times New Roman" w:cstheme="minorHAnsi"/>
                <w:sz w:val="18"/>
                <w:szCs w:val="18"/>
              </w:rPr>
            </w:pPr>
            <w:r w:rsidRPr="00A15603">
              <w:rPr>
                <w:rFonts w:cs="Calibri"/>
                <w:iCs/>
                <w:sz w:val="18"/>
                <w:szCs w:val="18"/>
              </w:rPr>
              <w:t>Radna skupina za homeopatske lijekove (</w:t>
            </w:r>
            <w:r w:rsidRPr="00A15603">
              <w:rPr>
                <w:rFonts w:cs="Calibri"/>
                <w:i/>
                <w:iCs/>
                <w:sz w:val="18"/>
                <w:szCs w:val="18"/>
              </w:rPr>
              <w:t>Homeopathic medicinal products working group</w:t>
            </w:r>
            <w:r w:rsidRPr="00A15603">
              <w:rPr>
                <w:rFonts w:cs="Calibri"/>
                <w:iCs/>
                <w:sz w:val="18"/>
                <w:szCs w:val="18"/>
              </w:rPr>
              <w:t>)</w:t>
            </w:r>
          </w:p>
        </w:tc>
        <w:tc>
          <w:tcPr>
            <w:tcW w:w="651" w:type="pct"/>
            <w:tcBorders>
              <w:top w:val="nil"/>
              <w:left w:val="nil"/>
              <w:bottom w:val="single" w:sz="4" w:space="0" w:color="auto"/>
              <w:right w:val="single" w:sz="4" w:space="0" w:color="auto"/>
            </w:tcBorders>
            <w:vAlign w:val="center"/>
          </w:tcPr>
          <w:p w14:paraId="653B7031" w14:textId="77777777" w:rsidR="00D07378" w:rsidRPr="00A15603" w:rsidRDefault="00D07378" w:rsidP="00BA499D">
            <w:pPr>
              <w:spacing w:line="276" w:lineRule="auto"/>
              <w:jc w:val="center"/>
              <w:rPr>
                <w:rFonts w:cs="Times New Roman"/>
                <w:bCs/>
                <w:sz w:val="18"/>
                <w:szCs w:val="18"/>
              </w:rPr>
            </w:pPr>
            <w:r w:rsidRPr="00A15603">
              <w:rPr>
                <w:rFonts w:cs="Times New Roman"/>
                <w:bCs/>
                <w:sz w:val="18"/>
                <w:szCs w:val="18"/>
              </w:rPr>
              <w:t>1</w:t>
            </w:r>
          </w:p>
        </w:tc>
        <w:tc>
          <w:tcPr>
            <w:tcW w:w="724" w:type="pct"/>
            <w:tcBorders>
              <w:top w:val="nil"/>
              <w:left w:val="nil"/>
              <w:bottom w:val="single" w:sz="4" w:space="0" w:color="auto"/>
              <w:right w:val="single" w:sz="4" w:space="0" w:color="auto"/>
            </w:tcBorders>
            <w:vAlign w:val="center"/>
          </w:tcPr>
          <w:p w14:paraId="344BF6FF" w14:textId="77777777" w:rsidR="00D07378" w:rsidRPr="00A15603" w:rsidRDefault="00D07378" w:rsidP="00BA499D">
            <w:pPr>
              <w:spacing w:line="276" w:lineRule="auto"/>
              <w:jc w:val="center"/>
              <w:rPr>
                <w:rFonts w:cs="Times New Roman"/>
                <w:bCs/>
                <w:sz w:val="18"/>
                <w:szCs w:val="18"/>
              </w:rPr>
            </w:pPr>
            <w:r>
              <w:rPr>
                <w:rFonts w:cs="Times New Roman"/>
                <w:bCs/>
                <w:sz w:val="18"/>
                <w:szCs w:val="18"/>
              </w:rPr>
              <w:t>2</w:t>
            </w:r>
          </w:p>
        </w:tc>
      </w:tr>
      <w:tr w:rsidR="00D07378" w:rsidRPr="002C0CAC" w14:paraId="5EDF3D48" w14:textId="77777777" w:rsidTr="00BA499D">
        <w:trPr>
          <w:gridAfter w:val="2"/>
          <w:wAfter w:w="235" w:type="pct"/>
          <w:trHeight w:val="113"/>
        </w:trPr>
        <w:tc>
          <w:tcPr>
            <w:tcW w:w="384" w:type="pct"/>
            <w:tcBorders>
              <w:top w:val="nil"/>
              <w:left w:val="single" w:sz="4" w:space="0" w:color="auto"/>
              <w:bottom w:val="single" w:sz="4" w:space="0" w:color="auto"/>
              <w:right w:val="single" w:sz="4" w:space="0" w:color="auto"/>
            </w:tcBorders>
            <w:noWrap/>
            <w:vAlign w:val="center"/>
          </w:tcPr>
          <w:p w14:paraId="3CBEAD7B" w14:textId="77777777" w:rsidR="00D07378" w:rsidRPr="00B464D7" w:rsidRDefault="00D07378" w:rsidP="00BA499D">
            <w:pPr>
              <w:spacing w:after="120" w:line="276" w:lineRule="auto"/>
              <w:jc w:val="center"/>
              <w:rPr>
                <w:rFonts w:eastAsia="Times New Roman" w:cs="Times New Roman"/>
                <w:bCs/>
                <w:color w:val="1A1A1A"/>
                <w:sz w:val="18"/>
                <w:szCs w:val="18"/>
              </w:rPr>
            </w:pPr>
            <w:r w:rsidRPr="00B464D7">
              <w:rPr>
                <w:bCs/>
                <w:color w:val="1A1A1A"/>
                <w:sz w:val="18"/>
                <w:szCs w:val="18"/>
              </w:rPr>
              <w:t>3</w:t>
            </w:r>
            <w:r>
              <w:rPr>
                <w:bCs/>
                <w:color w:val="1A1A1A"/>
                <w:sz w:val="18"/>
                <w:szCs w:val="18"/>
              </w:rPr>
              <w:t>2</w:t>
            </w:r>
            <w:r w:rsidRPr="00B464D7">
              <w:rPr>
                <w:bCs/>
                <w:color w:val="1A1A1A"/>
                <w:sz w:val="18"/>
                <w:szCs w:val="18"/>
              </w:rPr>
              <w:t>.</w:t>
            </w:r>
          </w:p>
        </w:tc>
        <w:tc>
          <w:tcPr>
            <w:tcW w:w="3006" w:type="pct"/>
            <w:tcBorders>
              <w:top w:val="nil"/>
              <w:left w:val="nil"/>
              <w:bottom w:val="single" w:sz="4" w:space="0" w:color="auto"/>
              <w:right w:val="single" w:sz="4" w:space="0" w:color="auto"/>
            </w:tcBorders>
            <w:vAlign w:val="center"/>
          </w:tcPr>
          <w:p w14:paraId="7A120D97" w14:textId="77777777" w:rsidR="00D07378" w:rsidRPr="00A15603" w:rsidRDefault="00D07378" w:rsidP="00BA499D">
            <w:pPr>
              <w:spacing w:after="240" w:line="276" w:lineRule="auto"/>
              <w:contextualSpacing/>
              <w:jc w:val="both"/>
              <w:rPr>
                <w:rFonts w:eastAsia="Times New Roman" w:cstheme="minorHAnsi"/>
                <w:iCs/>
                <w:sz w:val="18"/>
                <w:szCs w:val="18"/>
              </w:rPr>
            </w:pPr>
            <w:r w:rsidRPr="00A15603">
              <w:rPr>
                <w:rFonts w:cs="Calibri"/>
                <w:iCs/>
                <w:sz w:val="18"/>
                <w:szCs w:val="18"/>
              </w:rPr>
              <w:t>Radna skupina za CTS (Communication and Tracking System)</w:t>
            </w:r>
          </w:p>
        </w:tc>
        <w:tc>
          <w:tcPr>
            <w:tcW w:w="651" w:type="pct"/>
            <w:tcBorders>
              <w:top w:val="nil"/>
              <w:left w:val="nil"/>
              <w:bottom w:val="single" w:sz="4" w:space="0" w:color="auto"/>
              <w:right w:val="single" w:sz="4" w:space="0" w:color="auto"/>
            </w:tcBorders>
            <w:vAlign w:val="center"/>
          </w:tcPr>
          <w:p w14:paraId="21A045C1" w14:textId="77777777" w:rsidR="00D07378" w:rsidRPr="00A15603" w:rsidRDefault="00D07378" w:rsidP="00BA499D">
            <w:pPr>
              <w:spacing w:line="276" w:lineRule="auto"/>
              <w:jc w:val="center"/>
              <w:rPr>
                <w:rFonts w:cs="Times New Roman"/>
                <w:bCs/>
                <w:sz w:val="18"/>
                <w:szCs w:val="18"/>
              </w:rPr>
            </w:pPr>
            <w:r w:rsidRPr="00A15603">
              <w:rPr>
                <w:rFonts w:cs="Times New Roman"/>
                <w:bCs/>
                <w:sz w:val="18"/>
                <w:szCs w:val="18"/>
              </w:rPr>
              <w:t>3</w:t>
            </w:r>
          </w:p>
        </w:tc>
        <w:tc>
          <w:tcPr>
            <w:tcW w:w="724" w:type="pct"/>
            <w:tcBorders>
              <w:top w:val="nil"/>
              <w:left w:val="nil"/>
              <w:bottom w:val="single" w:sz="4" w:space="0" w:color="auto"/>
              <w:right w:val="single" w:sz="4" w:space="0" w:color="auto"/>
            </w:tcBorders>
            <w:vAlign w:val="center"/>
          </w:tcPr>
          <w:p w14:paraId="1CA0C62C" w14:textId="77777777" w:rsidR="00D07378" w:rsidRPr="00A15603" w:rsidRDefault="00D07378" w:rsidP="00BA499D">
            <w:pPr>
              <w:spacing w:line="276" w:lineRule="auto"/>
              <w:jc w:val="center"/>
              <w:rPr>
                <w:rFonts w:cs="Times New Roman"/>
                <w:bCs/>
                <w:sz w:val="18"/>
                <w:szCs w:val="18"/>
              </w:rPr>
            </w:pPr>
            <w:r>
              <w:rPr>
                <w:rFonts w:cs="Times New Roman"/>
                <w:bCs/>
                <w:sz w:val="18"/>
                <w:szCs w:val="18"/>
              </w:rPr>
              <w:t>4</w:t>
            </w:r>
          </w:p>
        </w:tc>
      </w:tr>
      <w:tr w:rsidR="00D07378" w:rsidRPr="002C0CAC" w14:paraId="10CA237A" w14:textId="77777777" w:rsidTr="00BA499D">
        <w:trPr>
          <w:gridAfter w:val="2"/>
          <w:wAfter w:w="235" w:type="pct"/>
          <w:trHeight w:val="113"/>
        </w:trPr>
        <w:tc>
          <w:tcPr>
            <w:tcW w:w="384" w:type="pct"/>
            <w:tcBorders>
              <w:top w:val="nil"/>
              <w:left w:val="single" w:sz="4" w:space="0" w:color="auto"/>
              <w:bottom w:val="single" w:sz="4" w:space="0" w:color="auto"/>
              <w:right w:val="single" w:sz="4" w:space="0" w:color="auto"/>
            </w:tcBorders>
            <w:noWrap/>
            <w:vAlign w:val="center"/>
          </w:tcPr>
          <w:p w14:paraId="353ECEF2" w14:textId="77777777" w:rsidR="00D07378" w:rsidRPr="00B464D7" w:rsidRDefault="00D07378" w:rsidP="00BA499D">
            <w:pPr>
              <w:spacing w:after="120" w:line="276" w:lineRule="auto"/>
              <w:jc w:val="center"/>
              <w:rPr>
                <w:rFonts w:eastAsia="Times New Roman" w:cs="Times New Roman"/>
                <w:bCs/>
                <w:color w:val="1A1A1A"/>
                <w:sz w:val="18"/>
                <w:szCs w:val="18"/>
              </w:rPr>
            </w:pPr>
            <w:r>
              <w:rPr>
                <w:bCs/>
                <w:color w:val="1A1A1A"/>
                <w:sz w:val="18"/>
                <w:szCs w:val="18"/>
              </w:rPr>
              <w:t>33</w:t>
            </w:r>
            <w:r w:rsidRPr="00B128DE">
              <w:rPr>
                <w:bCs/>
                <w:color w:val="1A1A1A"/>
                <w:sz w:val="18"/>
                <w:szCs w:val="18"/>
              </w:rPr>
              <w:t>.</w:t>
            </w:r>
          </w:p>
        </w:tc>
        <w:tc>
          <w:tcPr>
            <w:tcW w:w="3006" w:type="pct"/>
            <w:tcBorders>
              <w:top w:val="nil"/>
              <w:left w:val="nil"/>
              <w:bottom w:val="single" w:sz="4" w:space="0" w:color="auto"/>
              <w:right w:val="single" w:sz="4" w:space="0" w:color="auto"/>
            </w:tcBorders>
            <w:vAlign w:val="center"/>
          </w:tcPr>
          <w:p w14:paraId="4595E0F2" w14:textId="77777777" w:rsidR="00D07378" w:rsidRPr="00A15603" w:rsidRDefault="00D07378" w:rsidP="00BA499D">
            <w:pPr>
              <w:spacing w:after="240" w:line="276" w:lineRule="auto"/>
              <w:contextualSpacing/>
              <w:jc w:val="both"/>
              <w:rPr>
                <w:rFonts w:eastAsia="Times New Roman" w:cstheme="minorHAnsi"/>
                <w:iCs/>
                <w:sz w:val="18"/>
                <w:szCs w:val="18"/>
              </w:rPr>
            </w:pPr>
            <w:r w:rsidRPr="00A15603">
              <w:rPr>
                <w:rFonts w:cs="Calibri"/>
                <w:iCs/>
                <w:sz w:val="18"/>
                <w:szCs w:val="18"/>
              </w:rPr>
              <w:t>Radna skupina za pravna i zakonodavna pitanja (EMACOLEX)</w:t>
            </w:r>
          </w:p>
        </w:tc>
        <w:tc>
          <w:tcPr>
            <w:tcW w:w="651" w:type="pct"/>
            <w:tcBorders>
              <w:top w:val="nil"/>
              <w:left w:val="nil"/>
              <w:bottom w:val="single" w:sz="4" w:space="0" w:color="auto"/>
              <w:right w:val="single" w:sz="4" w:space="0" w:color="auto"/>
            </w:tcBorders>
            <w:vAlign w:val="center"/>
          </w:tcPr>
          <w:p w14:paraId="21E38540" w14:textId="77777777" w:rsidR="00D07378" w:rsidRPr="00A15603" w:rsidRDefault="00D07378" w:rsidP="00BA499D">
            <w:pPr>
              <w:spacing w:line="276" w:lineRule="auto"/>
              <w:jc w:val="center"/>
              <w:rPr>
                <w:rFonts w:cs="Times New Roman"/>
                <w:bCs/>
                <w:sz w:val="18"/>
                <w:szCs w:val="18"/>
              </w:rPr>
            </w:pPr>
            <w:r w:rsidRPr="00A15603">
              <w:rPr>
                <w:rFonts w:cs="Times New Roman"/>
                <w:bCs/>
                <w:sz w:val="18"/>
                <w:szCs w:val="18"/>
              </w:rPr>
              <w:t>2</w:t>
            </w:r>
          </w:p>
        </w:tc>
        <w:tc>
          <w:tcPr>
            <w:tcW w:w="724" w:type="pct"/>
            <w:tcBorders>
              <w:top w:val="nil"/>
              <w:left w:val="nil"/>
              <w:bottom w:val="single" w:sz="4" w:space="0" w:color="auto"/>
              <w:right w:val="single" w:sz="4" w:space="0" w:color="auto"/>
            </w:tcBorders>
            <w:vAlign w:val="center"/>
          </w:tcPr>
          <w:p w14:paraId="307B99DB" w14:textId="77777777" w:rsidR="00D07378" w:rsidRPr="00A15603" w:rsidRDefault="00D07378" w:rsidP="00BA499D">
            <w:pPr>
              <w:spacing w:line="276" w:lineRule="auto"/>
              <w:jc w:val="center"/>
              <w:rPr>
                <w:rFonts w:cs="Times New Roman"/>
                <w:bCs/>
                <w:sz w:val="18"/>
                <w:szCs w:val="18"/>
              </w:rPr>
            </w:pPr>
            <w:r>
              <w:rPr>
                <w:rFonts w:cs="Times New Roman"/>
                <w:bCs/>
                <w:sz w:val="18"/>
                <w:szCs w:val="18"/>
              </w:rPr>
              <w:t>2</w:t>
            </w:r>
          </w:p>
        </w:tc>
      </w:tr>
      <w:tr w:rsidR="00D07378" w:rsidRPr="00777154" w14:paraId="7107998C" w14:textId="77777777" w:rsidTr="00BA499D">
        <w:trPr>
          <w:gridAfter w:val="2"/>
          <w:wAfter w:w="235" w:type="pct"/>
          <w:trHeight w:val="113"/>
        </w:trPr>
        <w:tc>
          <w:tcPr>
            <w:tcW w:w="384" w:type="pct"/>
            <w:tcBorders>
              <w:top w:val="nil"/>
              <w:left w:val="single" w:sz="4" w:space="0" w:color="auto"/>
              <w:bottom w:val="single" w:sz="4" w:space="0" w:color="auto"/>
              <w:right w:val="single" w:sz="4" w:space="0" w:color="auto"/>
            </w:tcBorders>
            <w:noWrap/>
            <w:vAlign w:val="center"/>
          </w:tcPr>
          <w:p w14:paraId="35BFCCA6" w14:textId="77777777" w:rsidR="00D07378" w:rsidRPr="00B464D7" w:rsidRDefault="00D07378" w:rsidP="00BA499D">
            <w:pPr>
              <w:spacing w:after="120" w:line="276" w:lineRule="auto"/>
              <w:jc w:val="center"/>
              <w:rPr>
                <w:rFonts w:eastAsia="Times New Roman" w:cs="Times New Roman"/>
                <w:bCs/>
                <w:color w:val="1A1A1A"/>
                <w:sz w:val="18"/>
                <w:szCs w:val="18"/>
              </w:rPr>
            </w:pPr>
            <w:r w:rsidRPr="008C6BEC">
              <w:rPr>
                <w:bCs/>
                <w:color w:val="1A1A1A"/>
                <w:sz w:val="18"/>
                <w:szCs w:val="18"/>
              </w:rPr>
              <w:t>3</w:t>
            </w:r>
            <w:r>
              <w:rPr>
                <w:bCs/>
                <w:color w:val="1A1A1A"/>
                <w:sz w:val="18"/>
                <w:szCs w:val="18"/>
              </w:rPr>
              <w:t>4</w:t>
            </w:r>
            <w:r w:rsidRPr="008C6BEC">
              <w:rPr>
                <w:bCs/>
                <w:color w:val="1A1A1A"/>
                <w:sz w:val="18"/>
                <w:szCs w:val="18"/>
              </w:rPr>
              <w:t>.</w:t>
            </w:r>
          </w:p>
        </w:tc>
        <w:tc>
          <w:tcPr>
            <w:tcW w:w="3006" w:type="pct"/>
            <w:tcBorders>
              <w:top w:val="nil"/>
              <w:left w:val="nil"/>
              <w:bottom w:val="single" w:sz="4" w:space="0" w:color="auto"/>
              <w:right w:val="single" w:sz="4" w:space="0" w:color="auto"/>
            </w:tcBorders>
            <w:vAlign w:val="center"/>
          </w:tcPr>
          <w:p w14:paraId="1A1AC12B" w14:textId="77777777" w:rsidR="00D07378" w:rsidRPr="00506C4E" w:rsidRDefault="00D07378" w:rsidP="00BA499D">
            <w:pPr>
              <w:spacing w:after="240" w:line="276" w:lineRule="auto"/>
              <w:contextualSpacing/>
              <w:jc w:val="both"/>
              <w:rPr>
                <w:rFonts w:eastAsia="Times New Roman" w:cstheme="minorHAnsi"/>
                <w:iCs/>
                <w:sz w:val="18"/>
                <w:szCs w:val="18"/>
              </w:rPr>
            </w:pPr>
            <w:r w:rsidRPr="00506C4E">
              <w:rPr>
                <w:rFonts w:cs="Calibri"/>
                <w:iCs/>
                <w:sz w:val="18"/>
                <w:szCs w:val="18"/>
              </w:rPr>
              <w:t>Projekt harmonizacije plana upravljanja rizicima (HaRP)</w:t>
            </w:r>
          </w:p>
        </w:tc>
        <w:tc>
          <w:tcPr>
            <w:tcW w:w="651" w:type="pct"/>
            <w:tcBorders>
              <w:top w:val="nil"/>
              <w:left w:val="nil"/>
              <w:bottom w:val="single" w:sz="4" w:space="0" w:color="auto"/>
              <w:right w:val="single" w:sz="4" w:space="0" w:color="auto"/>
            </w:tcBorders>
            <w:vAlign w:val="center"/>
          </w:tcPr>
          <w:p w14:paraId="0F713F54" w14:textId="77777777" w:rsidR="00D07378" w:rsidRPr="00506C4E" w:rsidRDefault="00D07378" w:rsidP="00BA499D">
            <w:pPr>
              <w:spacing w:line="276" w:lineRule="auto"/>
              <w:jc w:val="center"/>
              <w:rPr>
                <w:rFonts w:cs="Times New Roman"/>
                <w:bCs/>
                <w:sz w:val="18"/>
                <w:szCs w:val="18"/>
              </w:rPr>
            </w:pPr>
            <w:r w:rsidRPr="00506C4E">
              <w:rPr>
                <w:rFonts w:cs="Times New Roman"/>
                <w:bCs/>
                <w:sz w:val="18"/>
                <w:szCs w:val="18"/>
              </w:rPr>
              <w:t>10</w:t>
            </w:r>
          </w:p>
        </w:tc>
        <w:tc>
          <w:tcPr>
            <w:tcW w:w="724" w:type="pct"/>
            <w:tcBorders>
              <w:top w:val="nil"/>
              <w:left w:val="nil"/>
              <w:bottom w:val="single" w:sz="4" w:space="0" w:color="auto"/>
              <w:right w:val="single" w:sz="4" w:space="0" w:color="auto"/>
            </w:tcBorders>
            <w:vAlign w:val="center"/>
          </w:tcPr>
          <w:p w14:paraId="06972F8B" w14:textId="77777777" w:rsidR="00D07378" w:rsidRPr="00A15603" w:rsidRDefault="00D07378" w:rsidP="00BA499D">
            <w:pPr>
              <w:spacing w:line="276" w:lineRule="auto"/>
              <w:jc w:val="center"/>
              <w:rPr>
                <w:rFonts w:cs="Times New Roman"/>
                <w:bCs/>
                <w:sz w:val="18"/>
                <w:szCs w:val="18"/>
              </w:rPr>
            </w:pPr>
            <w:r>
              <w:rPr>
                <w:rFonts w:cs="Times New Roman"/>
                <w:bCs/>
                <w:sz w:val="18"/>
                <w:szCs w:val="18"/>
              </w:rPr>
              <w:t>1</w:t>
            </w:r>
          </w:p>
        </w:tc>
      </w:tr>
      <w:tr w:rsidR="00D07378" w:rsidRPr="008C6BEC" w14:paraId="492E623F" w14:textId="77777777" w:rsidTr="00BA499D">
        <w:trPr>
          <w:gridAfter w:val="2"/>
          <w:wAfter w:w="235" w:type="pct"/>
          <w:trHeight w:val="113"/>
        </w:trPr>
        <w:tc>
          <w:tcPr>
            <w:tcW w:w="384" w:type="pct"/>
            <w:tcBorders>
              <w:top w:val="nil"/>
              <w:left w:val="single" w:sz="4" w:space="0" w:color="auto"/>
              <w:bottom w:val="single" w:sz="4" w:space="0" w:color="auto"/>
              <w:right w:val="single" w:sz="4" w:space="0" w:color="auto"/>
            </w:tcBorders>
            <w:noWrap/>
            <w:vAlign w:val="center"/>
          </w:tcPr>
          <w:p w14:paraId="4B9A7696" w14:textId="77777777" w:rsidR="00D07378" w:rsidRPr="008C6BEC" w:rsidRDefault="00D07378" w:rsidP="00BA499D">
            <w:pPr>
              <w:spacing w:after="120" w:line="276" w:lineRule="auto"/>
              <w:jc w:val="center"/>
              <w:rPr>
                <w:rFonts w:eastAsia="Times New Roman" w:cs="Times New Roman"/>
                <w:bCs/>
                <w:color w:val="1A1A1A"/>
                <w:sz w:val="18"/>
                <w:szCs w:val="18"/>
              </w:rPr>
            </w:pPr>
            <w:r w:rsidRPr="008C6BEC">
              <w:rPr>
                <w:bCs/>
                <w:color w:val="1A1A1A"/>
                <w:sz w:val="18"/>
                <w:szCs w:val="18"/>
              </w:rPr>
              <w:t>3</w:t>
            </w:r>
            <w:r>
              <w:rPr>
                <w:bCs/>
                <w:color w:val="1A1A1A"/>
                <w:sz w:val="18"/>
                <w:szCs w:val="18"/>
              </w:rPr>
              <w:t>5</w:t>
            </w:r>
            <w:r w:rsidRPr="008C6BEC">
              <w:rPr>
                <w:bCs/>
                <w:color w:val="1A1A1A"/>
                <w:sz w:val="18"/>
                <w:szCs w:val="18"/>
              </w:rPr>
              <w:t>.</w:t>
            </w:r>
          </w:p>
        </w:tc>
        <w:tc>
          <w:tcPr>
            <w:tcW w:w="3006" w:type="pct"/>
            <w:tcBorders>
              <w:top w:val="nil"/>
              <w:left w:val="nil"/>
              <w:bottom w:val="single" w:sz="4" w:space="0" w:color="auto"/>
              <w:right w:val="single" w:sz="4" w:space="0" w:color="auto"/>
            </w:tcBorders>
            <w:vAlign w:val="center"/>
          </w:tcPr>
          <w:p w14:paraId="7FC43387" w14:textId="77777777" w:rsidR="00D07378" w:rsidRPr="00A15603" w:rsidRDefault="00D07378" w:rsidP="00BA499D">
            <w:pPr>
              <w:spacing w:after="240" w:line="276" w:lineRule="auto"/>
              <w:contextualSpacing/>
              <w:jc w:val="both"/>
              <w:rPr>
                <w:rFonts w:eastAsia="Times New Roman" w:cstheme="minorHAnsi"/>
                <w:iCs/>
                <w:sz w:val="18"/>
                <w:szCs w:val="18"/>
              </w:rPr>
            </w:pPr>
            <w:r w:rsidRPr="00A15603">
              <w:rPr>
                <w:rFonts w:cs="Calibri"/>
                <w:iCs/>
                <w:sz w:val="18"/>
                <w:szCs w:val="18"/>
              </w:rPr>
              <w:t>Radna skupina za zajedničke farmakovigilancijske postupke (PhV WSP WP)</w:t>
            </w:r>
          </w:p>
        </w:tc>
        <w:tc>
          <w:tcPr>
            <w:tcW w:w="651" w:type="pct"/>
            <w:tcBorders>
              <w:top w:val="nil"/>
              <w:left w:val="nil"/>
              <w:bottom w:val="single" w:sz="4" w:space="0" w:color="auto"/>
              <w:right w:val="single" w:sz="4" w:space="0" w:color="auto"/>
            </w:tcBorders>
            <w:vAlign w:val="center"/>
          </w:tcPr>
          <w:p w14:paraId="24F9B67C" w14:textId="77777777" w:rsidR="00D07378" w:rsidRPr="00A15603" w:rsidRDefault="00D07378" w:rsidP="00BA499D">
            <w:pPr>
              <w:spacing w:line="276" w:lineRule="auto"/>
              <w:jc w:val="center"/>
              <w:rPr>
                <w:rFonts w:cs="Times New Roman"/>
                <w:bCs/>
                <w:sz w:val="18"/>
                <w:szCs w:val="18"/>
              </w:rPr>
            </w:pPr>
            <w:r w:rsidRPr="00A15603">
              <w:rPr>
                <w:rFonts w:cs="Times New Roman"/>
                <w:bCs/>
                <w:sz w:val="18"/>
                <w:szCs w:val="18"/>
              </w:rPr>
              <w:t>10</w:t>
            </w:r>
          </w:p>
        </w:tc>
        <w:tc>
          <w:tcPr>
            <w:tcW w:w="724" w:type="pct"/>
            <w:tcBorders>
              <w:top w:val="nil"/>
              <w:left w:val="nil"/>
              <w:bottom w:val="single" w:sz="4" w:space="0" w:color="auto"/>
              <w:right w:val="single" w:sz="4" w:space="0" w:color="auto"/>
            </w:tcBorders>
            <w:vAlign w:val="center"/>
          </w:tcPr>
          <w:p w14:paraId="1ADA7104" w14:textId="77777777" w:rsidR="00D07378" w:rsidRPr="00A15603" w:rsidRDefault="00D07378" w:rsidP="00BA499D">
            <w:pPr>
              <w:spacing w:line="276" w:lineRule="auto"/>
              <w:jc w:val="center"/>
              <w:rPr>
                <w:rFonts w:cs="Times New Roman"/>
                <w:bCs/>
                <w:sz w:val="18"/>
                <w:szCs w:val="18"/>
              </w:rPr>
            </w:pPr>
            <w:r>
              <w:rPr>
                <w:rFonts w:cs="Times New Roman"/>
                <w:bCs/>
                <w:sz w:val="18"/>
                <w:szCs w:val="18"/>
              </w:rPr>
              <w:t>5</w:t>
            </w:r>
          </w:p>
        </w:tc>
      </w:tr>
      <w:tr w:rsidR="00D07378" w:rsidRPr="008C6BEC" w14:paraId="196B00F5" w14:textId="77777777" w:rsidTr="00BA499D">
        <w:trPr>
          <w:gridAfter w:val="2"/>
          <w:wAfter w:w="235" w:type="pct"/>
          <w:trHeight w:val="113"/>
        </w:trPr>
        <w:tc>
          <w:tcPr>
            <w:tcW w:w="384" w:type="pct"/>
            <w:tcBorders>
              <w:top w:val="nil"/>
              <w:left w:val="single" w:sz="4" w:space="0" w:color="auto"/>
              <w:bottom w:val="single" w:sz="4" w:space="0" w:color="auto"/>
              <w:right w:val="single" w:sz="4" w:space="0" w:color="auto"/>
            </w:tcBorders>
            <w:noWrap/>
            <w:vAlign w:val="center"/>
          </w:tcPr>
          <w:p w14:paraId="137BE2C8" w14:textId="77777777" w:rsidR="00D07378" w:rsidRPr="008C6BEC" w:rsidRDefault="00D07378" w:rsidP="00BA499D">
            <w:pPr>
              <w:spacing w:after="120" w:line="276" w:lineRule="auto"/>
              <w:jc w:val="center"/>
              <w:rPr>
                <w:rFonts w:eastAsia="Times New Roman" w:cs="Times New Roman"/>
                <w:bCs/>
                <w:color w:val="1A1A1A"/>
                <w:sz w:val="18"/>
                <w:szCs w:val="18"/>
              </w:rPr>
            </w:pPr>
            <w:r>
              <w:rPr>
                <w:bCs/>
                <w:color w:val="1A1A1A"/>
                <w:sz w:val="18"/>
                <w:szCs w:val="18"/>
              </w:rPr>
              <w:t>36.</w:t>
            </w:r>
          </w:p>
        </w:tc>
        <w:tc>
          <w:tcPr>
            <w:tcW w:w="3006" w:type="pct"/>
            <w:tcBorders>
              <w:top w:val="nil"/>
              <w:left w:val="nil"/>
              <w:bottom w:val="single" w:sz="4" w:space="0" w:color="auto"/>
              <w:right w:val="single" w:sz="4" w:space="0" w:color="auto"/>
            </w:tcBorders>
            <w:vAlign w:val="center"/>
          </w:tcPr>
          <w:p w14:paraId="12B7C89C" w14:textId="77777777" w:rsidR="00D07378" w:rsidRPr="00A15603" w:rsidRDefault="00D07378" w:rsidP="00BA499D">
            <w:pPr>
              <w:spacing w:after="240" w:line="276" w:lineRule="auto"/>
              <w:contextualSpacing/>
              <w:jc w:val="both"/>
              <w:rPr>
                <w:rFonts w:eastAsia="Times New Roman" w:cstheme="minorHAnsi"/>
                <w:iCs/>
                <w:sz w:val="18"/>
                <w:szCs w:val="18"/>
              </w:rPr>
            </w:pPr>
            <w:r w:rsidRPr="00A15603">
              <w:rPr>
                <w:rFonts w:cs="Calibri"/>
                <w:iCs/>
                <w:sz w:val="18"/>
                <w:szCs w:val="18"/>
              </w:rPr>
              <w:t>Regulatorna skupina za elektronički obrazac prijave (</w:t>
            </w:r>
            <w:r w:rsidRPr="00A15603">
              <w:rPr>
                <w:rFonts w:cs="Calibri"/>
                <w:i/>
                <w:iCs/>
                <w:sz w:val="18"/>
                <w:szCs w:val="18"/>
              </w:rPr>
              <w:t>eAF Regulatory Focus Group</w:t>
            </w:r>
            <w:r w:rsidRPr="00A15603">
              <w:rPr>
                <w:rFonts w:cs="Calibri"/>
                <w:iCs/>
                <w:sz w:val="18"/>
                <w:szCs w:val="18"/>
              </w:rPr>
              <w:t>)</w:t>
            </w:r>
          </w:p>
        </w:tc>
        <w:tc>
          <w:tcPr>
            <w:tcW w:w="651" w:type="pct"/>
            <w:tcBorders>
              <w:top w:val="nil"/>
              <w:left w:val="nil"/>
              <w:bottom w:val="single" w:sz="4" w:space="0" w:color="auto"/>
              <w:right w:val="single" w:sz="4" w:space="0" w:color="auto"/>
            </w:tcBorders>
            <w:vAlign w:val="center"/>
          </w:tcPr>
          <w:p w14:paraId="2F97B3C2" w14:textId="77777777" w:rsidR="00D07378" w:rsidRPr="00A15603" w:rsidRDefault="00D07378" w:rsidP="00BA499D">
            <w:pPr>
              <w:spacing w:line="276" w:lineRule="auto"/>
              <w:jc w:val="center"/>
              <w:rPr>
                <w:rFonts w:cs="Times New Roman"/>
                <w:bCs/>
                <w:sz w:val="18"/>
                <w:szCs w:val="18"/>
              </w:rPr>
            </w:pPr>
            <w:r w:rsidRPr="00A15603">
              <w:rPr>
                <w:rFonts w:cs="Times New Roman"/>
                <w:bCs/>
                <w:sz w:val="18"/>
                <w:szCs w:val="18"/>
              </w:rPr>
              <w:t>8</w:t>
            </w:r>
          </w:p>
        </w:tc>
        <w:tc>
          <w:tcPr>
            <w:tcW w:w="724" w:type="pct"/>
            <w:tcBorders>
              <w:top w:val="nil"/>
              <w:left w:val="nil"/>
              <w:bottom w:val="single" w:sz="4" w:space="0" w:color="auto"/>
              <w:right w:val="single" w:sz="4" w:space="0" w:color="auto"/>
            </w:tcBorders>
            <w:vAlign w:val="center"/>
          </w:tcPr>
          <w:p w14:paraId="69D7DDF5" w14:textId="77777777" w:rsidR="00D07378" w:rsidRPr="00A15603" w:rsidRDefault="00D07378" w:rsidP="00BA499D">
            <w:pPr>
              <w:spacing w:line="276" w:lineRule="auto"/>
              <w:jc w:val="center"/>
              <w:rPr>
                <w:rFonts w:cs="Times New Roman"/>
                <w:bCs/>
                <w:sz w:val="18"/>
                <w:szCs w:val="18"/>
              </w:rPr>
            </w:pPr>
            <w:r>
              <w:rPr>
                <w:rFonts w:cs="Times New Roman"/>
                <w:bCs/>
                <w:sz w:val="18"/>
                <w:szCs w:val="18"/>
              </w:rPr>
              <w:t>0</w:t>
            </w:r>
          </w:p>
        </w:tc>
      </w:tr>
      <w:tr w:rsidR="00D07378" w:rsidRPr="002C0CAC" w14:paraId="492D36A8" w14:textId="77777777" w:rsidTr="00BA499D">
        <w:trPr>
          <w:gridAfter w:val="2"/>
          <w:wAfter w:w="235" w:type="pct"/>
          <w:trHeight w:val="113"/>
        </w:trPr>
        <w:tc>
          <w:tcPr>
            <w:tcW w:w="3390" w:type="pct"/>
            <w:gridSpan w:val="2"/>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391081A2" w14:textId="77777777" w:rsidR="00D07378" w:rsidRPr="00A357B1" w:rsidRDefault="00D07378" w:rsidP="00BA499D">
            <w:pPr>
              <w:pStyle w:val="NoSpacing"/>
              <w:spacing w:after="120" w:line="276" w:lineRule="auto"/>
              <w:rPr>
                <w:b/>
                <w:sz w:val="18"/>
                <w:szCs w:val="18"/>
              </w:rPr>
            </w:pPr>
            <w:r w:rsidRPr="00A357B1">
              <w:rPr>
                <w:b/>
                <w:sz w:val="18"/>
                <w:szCs w:val="18"/>
              </w:rPr>
              <w:t>UKUPNO:</w:t>
            </w:r>
          </w:p>
        </w:tc>
        <w:tc>
          <w:tcPr>
            <w:tcW w:w="651" w:type="pct"/>
            <w:tcBorders>
              <w:top w:val="nil"/>
              <w:left w:val="nil"/>
              <w:bottom w:val="single" w:sz="4" w:space="0" w:color="auto"/>
              <w:right w:val="single" w:sz="4" w:space="0" w:color="auto"/>
            </w:tcBorders>
            <w:shd w:val="clear" w:color="auto" w:fill="BFBFBF" w:themeFill="background1" w:themeFillShade="BF"/>
            <w:vAlign w:val="center"/>
          </w:tcPr>
          <w:p w14:paraId="4949FA65" w14:textId="77777777" w:rsidR="00D07378" w:rsidRPr="00432A67" w:rsidRDefault="00D07378" w:rsidP="00BA499D">
            <w:pPr>
              <w:pStyle w:val="NoSpacing"/>
              <w:spacing w:line="276" w:lineRule="auto"/>
              <w:jc w:val="center"/>
              <w:rPr>
                <w:b/>
                <w:sz w:val="18"/>
                <w:szCs w:val="18"/>
              </w:rPr>
            </w:pPr>
            <w:r>
              <w:rPr>
                <w:b/>
                <w:sz w:val="18"/>
                <w:szCs w:val="18"/>
              </w:rPr>
              <w:t>221</w:t>
            </w:r>
          </w:p>
        </w:tc>
        <w:tc>
          <w:tcPr>
            <w:tcW w:w="724" w:type="pct"/>
            <w:tcBorders>
              <w:top w:val="nil"/>
              <w:left w:val="nil"/>
              <w:bottom w:val="single" w:sz="4" w:space="0" w:color="auto"/>
              <w:right w:val="single" w:sz="4" w:space="0" w:color="auto"/>
            </w:tcBorders>
            <w:shd w:val="clear" w:color="auto" w:fill="BFBFBF" w:themeFill="background1" w:themeFillShade="BF"/>
            <w:vAlign w:val="center"/>
          </w:tcPr>
          <w:p w14:paraId="3617C6AA" w14:textId="1A7A4A56" w:rsidR="00D07378" w:rsidRPr="00432A67" w:rsidRDefault="00A62A09" w:rsidP="00BA499D">
            <w:pPr>
              <w:pStyle w:val="NoSpacing"/>
              <w:spacing w:line="276" w:lineRule="auto"/>
              <w:jc w:val="center"/>
              <w:rPr>
                <w:b/>
                <w:sz w:val="18"/>
                <w:szCs w:val="18"/>
              </w:rPr>
            </w:pPr>
            <w:r>
              <w:rPr>
                <w:b/>
                <w:sz w:val="18"/>
                <w:szCs w:val="18"/>
              </w:rPr>
              <w:t>340</w:t>
            </w:r>
          </w:p>
        </w:tc>
      </w:tr>
    </w:tbl>
    <w:p w14:paraId="6696AF22" w14:textId="77777777" w:rsidR="00D07378" w:rsidRDefault="00D07378" w:rsidP="00D07378">
      <w:pPr>
        <w:tabs>
          <w:tab w:val="center" w:pos="858"/>
          <w:tab w:val="center" w:pos="4320"/>
          <w:tab w:val="right" w:pos="8306"/>
          <w:tab w:val="right" w:pos="8640"/>
        </w:tabs>
        <w:spacing w:after="120"/>
        <w:jc w:val="both"/>
      </w:pPr>
    </w:p>
    <w:p w14:paraId="3DC99EF7" w14:textId="77777777" w:rsidR="00D07378" w:rsidRDefault="00D07378" w:rsidP="00D07378"/>
    <w:p w14:paraId="22C67A9C" w14:textId="64089CA8" w:rsidR="0085421A" w:rsidRDefault="0085421A">
      <w:pPr>
        <w:rPr>
          <w:rFonts w:ascii="Calibri" w:hAnsi="Calibri" w:cs="Calibri"/>
        </w:rPr>
      </w:pPr>
      <w:r>
        <w:rPr>
          <w:rFonts w:ascii="Calibri" w:hAnsi="Calibri" w:cs="Calibri"/>
        </w:rPr>
        <w:br w:type="page"/>
      </w:r>
    </w:p>
    <w:p w14:paraId="361AFFF7" w14:textId="77777777" w:rsidR="0085421A" w:rsidRPr="002F73B3" w:rsidRDefault="0085421A" w:rsidP="0085421A">
      <w:pPr>
        <w:pStyle w:val="Heading2"/>
        <w:rPr>
          <w:b/>
        </w:rPr>
      </w:pPr>
      <w:bookmarkStart w:id="78" w:name="_Toc514929947"/>
      <w:bookmarkStart w:id="79" w:name="_Toc530140508"/>
      <w:bookmarkStart w:id="80" w:name="_Toc26534626"/>
      <w:bookmarkStart w:id="81" w:name="_Toc165035447"/>
      <w:r w:rsidRPr="002F73B3">
        <w:lastRenderedPageBreak/>
        <w:t>2.2. Farmakovigilancija</w:t>
      </w:r>
      <w:bookmarkEnd w:id="78"/>
      <w:bookmarkEnd w:id="79"/>
      <w:bookmarkEnd w:id="80"/>
      <w:bookmarkEnd w:id="81"/>
      <w:r w:rsidRPr="002F73B3">
        <w:t xml:space="preserve"> </w:t>
      </w:r>
    </w:p>
    <w:p w14:paraId="44DA7DB9" w14:textId="77777777" w:rsidR="0085421A" w:rsidRPr="002F73B3" w:rsidRDefault="0085421A" w:rsidP="0085421A">
      <w:pPr>
        <w:spacing w:line="276" w:lineRule="auto"/>
        <w:jc w:val="both"/>
        <w:rPr>
          <w:rFonts w:cstheme="minorHAnsi"/>
        </w:rPr>
      </w:pPr>
      <w:bookmarkStart w:id="82" w:name="_Toc514929960"/>
      <w:bookmarkStart w:id="83" w:name="_Toc530140523"/>
      <w:r w:rsidRPr="002F73B3">
        <w:rPr>
          <w:rFonts w:cstheme="minorHAnsi"/>
        </w:rPr>
        <w:t xml:space="preserve">U skladu s odredbama Zakona o lijekovima i pravilnika donesenih na temelju Zakona, HALMED </w:t>
      </w:r>
      <w:r w:rsidRPr="002F73B3">
        <w:t xml:space="preserve">provodi farmakovigilancijske aktivnosti u Republici Hrvatskoj u suradnji s regulatornim tijelima za lijekove zemalja članica, Europskom komisijom i Europskom agencijom za lijekove. </w:t>
      </w:r>
      <w:r w:rsidRPr="002F73B3">
        <w:rPr>
          <w:rFonts w:cstheme="minorHAnsi"/>
          <w:bCs/>
        </w:rPr>
        <w:t>Farmakovigilancija</w:t>
      </w:r>
      <w:r w:rsidRPr="002F73B3">
        <w:rPr>
          <w:rFonts w:cstheme="minorHAnsi"/>
        </w:rPr>
        <w:t xml:space="preserve"> je skup aktivnosti vezanih uz otkrivanje, procjenu, razumijevanje, prevenciju i postupanje u slučaju nuspojava lijekova kao i novih saznanja o škodljivosti primjene lijekova.</w:t>
      </w:r>
    </w:p>
    <w:p w14:paraId="0D15F7A1" w14:textId="77777777" w:rsidR="0085421A" w:rsidRPr="002F73B3" w:rsidRDefault="0085421A" w:rsidP="0085421A">
      <w:pPr>
        <w:pStyle w:val="Heading3"/>
      </w:pPr>
      <w:bookmarkStart w:id="84" w:name="_Toc514929948"/>
      <w:bookmarkStart w:id="85" w:name="_Toc530140509"/>
      <w:bookmarkStart w:id="86" w:name="_Toc26534627"/>
      <w:bookmarkStart w:id="87" w:name="_Toc165035448"/>
      <w:r w:rsidRPr="002F73B3">
        <w:t>2.2.1. Upravljanje prijavama sumnji na nuspojave lijekova</w:t>
      </w:r>
      <w:bookmarkEnd w:id="84"/>
      <w:bookmarkEnd w:id="85"/>
      <w:bookmarkEnd w:id="86"/>
      <w:bookmarkEnd w:id="87"/>
      <w:r w:rsidRPr="002F73B3">
        <w:t xml:space="preserve"> </w:t>
      </w:r>
    </w:p>
    <w:p w14:paraId="1EC991AA" w14:textId="77777777" w:rsidR="0085421A" w:rsidRPr="002F73B3" w:rsidRDefault="0085421A" w:rsidP="0085421A">
      <w:pPr>
        <w:spacing w:line="276" w:lineRule="auto"/>
        <w:jc w:val="both"/>
        <w:rPr>
          <w:color w:val="000000"/>
        </w:rPr>
      </w:pPr>
      <w:r w:rsidRPr="002F73B3">
        <w:t xml:space="preserve">Upravljanje prijavama sumnji na nuspojave obuhvaća zaprimanje, </w:t>
      </w:r>
      <w:r w:rsidRPr="002F73B3">
        <w:rPr>
          <w:bCs/>
        </w:rPr>
        <w:t xml:space="preserve">obradu i stručnu procjenu spontanih prijava sumnji na nuspojave od zdravstvenih radnika i pacijenata/korisnika na lijekove iz prometa u Republici Hrvatskoj te </w:t>
      </w:r>
      <w:r w:rsidRPr="002F73B3">
        <w:rPr>
          <w:rFonts w:eastAsia="Times New Roman" w:cs="Times New Roman"/>
          <w:bCs/>
          <w:color w:val="000000"/>
          <w:lang w:eastAsia="hr-HR"/>
        </w:rPr>
        <w:t>z</w:t>
      </w:r>
      <w:r w:rsidRPr="002F73B3">
        <w:rPr>
          <w:color w:val="000000"/>
        </w:rPr>
        <w:t xml:space="preserve">aprimanje, obradu i stručnu procjenu nuspojava zabilježenih iz kliničkih ispitivanja lijekova koja se provode u Republici Hrvatskoj.  </w:t>
      </w:r>
    </w:p>
    <w:p w14:paraId="35E5E6BF" w14:textId="77777777" w:rsidR="0085421A" w:rsidRPr="002F73B3" w:rsidRDefault="0085421A" w:rsidP="0085421A">
      <w:pPr>
        <w:spacing w:line="276" w:lineRule="auto"/>
        <w:jc w:val="both"/>
      </w:pPr>
    </w:p>
    <w:p w14:paraId="4FD20BDF" w14:textId="77777777" w:rsidR="0085421A" w:rsidRPr="002F73B3" w:rsidRDefault="0085421A" w:rsidP="0085421A">
      <w:pPr>
        <w:spacing w:line="276" w:lineRule="auto"/>
        <w:jc w:val="both"/>
      </w:pPr>
      <w:r w:rsidRPr="002F73B3">
        <w:t>HALMED vodi nacionalni sustav farmakovigilancije i sudjeluje u farmakovigilancijskim aktivnostima EU-a. Sve zaprimljene prijave sumnji na nuspojave HALMED prosljeđuje u središnju bazu nuspojava EU (EudraVigilance) i u bazu</w:t>
      </w:r>
      <w:r w:rsidRPr="002F73B3">
        <w:rPr>
          <w:bCs/>
        </w:rPr>
        <w:t xml:space="preserve"> nuspojava Svjetske zdravstvene organizacije (VigiBase). </w:t>
      </w:r>
    </w:p>
    <w:p w14:paraId="481E45B9" w14:textId="77777777" w:rsidR="0085421A" w:rsidRPr="002F73B3" w:rsidRDefault="0085421A" w:rsidP="0085421A">
      <w:pPr>
        <w:spacing w:line="276" w:lineRule="auto"/>
        <w:jc w:val="both"/>
      </w:pPr>
    </w:p>
    <w:p w14:paraId="4C65B0A2" w14:textId="77777777" w:rsidR="0085421A" w:rsidRPr="002F73B3" w:rsidRDefault="0085421A" w:rsidP="0085421A">
      <w:pPr>
        <w:spacing w:line="276" w:lineRule="auto"/>
        <w:jc w:val="both"/>
      </w:pPr>
      <w:r w:rsidRPr="002F73B3">
        <w:t xml:space="preserve">HALMED izrađuje godišnje izvješće o nuspojavama koje se za prethodnu godinu javno objavljuje </w:t>
      </w:r>
      <w:hyperlink r:id="rId29" w:history="1">
        <w:r w:rsidRPr="002F73B3">
          <w:rPr>
            <w:rStyle w:val="Hyperlink"/>
            <w:color w:val="auto"/>
            <w:u w:val="none"/>
          </w:rPr>
          <w:t>na internetskim stranicama HALMED-a</w:t>
        </w:r>
      </w:hyperlink>
      <w:r w:rsidRPr="002F73B3">
        <w:t xml:space="preserve"> do 30. </w:t>
      </w:r>
      <w:r>
        <w:t>rujna</w:t>
      </w:r>
      <w:r w:rsidRPr="002F73B3">
        <w:t xml:space="preserve"> tekuće godine. Broj zaprimljenih prijava sumnji na nuspojave lijekova iz prometa i kliničkih ispitivanja u Republici Hrvatskoj u izvještajnom razdoblju prikazan je u Tablici 6. </w:t>
      </w:r>
    </w:p>
    <w:p w14:paraId="74361C4D" w14:textId="77777777" w:rsidR="0085421A" w:rsidRPr="002F73B3" w:rsidRDefault="0085421A" w:rsidP="0085421A">
      <w:pPr>
        <w:jc w:val="both"/>
      </w:pPr>
    </w:p>
    <w:p w14:paraId="5AE8B3ED" w14:textId="77777777" w:rsidR="0085421A" w:rsidRPr="002F73B3" w:rsidRDefault="0085421A" w:rsidP="0085421A">
      <w:pPr>
        <w:spacing w:after="120"/>
        <w:jc w:val="both"/>
        <w:rPr>
          <w:b/>
          <w:bCs/>
        </w:rPr>
      </w:pPr>
      <w:r w:rsidRPr="002F73B3">
        <w:rPr>
          <w:b/>
          <w:bCs/>
          <w:lang w:eastAsia="hr-HR"/>
        </w:rPr>
        <w:t>Tablica 6.</w:t>
      </w:r>
      <w:r w:rsidRPr="002F73B3">
        <w:rPr>
          <w:b/>
        </w:rPr>
        <w:t xml:space="preserve"> B</w:t>
      </w:r>
      <w:r w:rsidRPr="002F73B3">
        <w:rPr>
          <w:b/>
          <w:bCs/>
        </w:rPr>
        <w:t>roj zaprimljenih i obrađenih prijava sumnji na nuspojave lijekova u RH</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20"/>
        <w:gridCol w:w="1220"/>
        <w:gridCol w:w="1133"/>
        <w:gridCol w:w="1560"/>
        <w:gridCol w:w="1277"/>
        <w:gridCol w:w="1275"/>
      </w:tblGrid>
      <w:tr w:rsidR="0085421A" w:rsidRPr="002F73B3" w14:paraId="1D36D00F" w14:textId="77777777" w:rsidTr="00BA499D">
        <w:trPr>
          <w:trHeight w:val="284"/>
        </w:trPr>
        <w:tc>
          <w:tcPr>
            <w:tcW w:w="1481" w:type="pct"/>
            <w:vMerge w:val="restart"/>
            <w:shd w:val="clear" w:color="auto" w:fill="A3E7FF"/>
            <w:tcMar>
              <w:top w:w="0" w:type="dxa"/>
              <w:left w:w="108" w:type="dxa"/>
              <w:bottom w:w="0" w:type="dxa"/>
              <w:right w:w="108" w:type="dxa"/>
            </w:tcMar>
            <w:vAlign w:val="center"/>
          </w:tcPr>
          <w:p w14:paraId="2C4B71FA" w14:textId="77777777" w:rsidR="0085421A" w:rsidRPr="002F73B3" w:rsidRDefault="0085421A" w:rsidP="00BA499D">
            <w:pPr>
              <w:jc w:val="center"/>
              <w:rPr>
                <w:b/>
                <w:bCs/>
                <w:sz w:val="18"/>
                <w:szCs w:val="18"/>
              </w:rPr>
            </w:pPr>
            <w:r w:rsidRPr="002F73B3">
              <w:rPr>
                <w:b/>
                <w:bCs/>
                <w:sz w:val="18"/>
                <w:szCs w:val="18"/>
              </w:rPr>
              <w:t>Broj zaprimljenih sumnji na nuspojave lijekova iz prometa</w:t>
            </w:r>
          </w:p>
          <w:p w14:paraId="6560465B" w14:textId="77777777" w:rsidR="0085421A" w:rsidRPr="002F73B3" w:rsidRDefault="0085421A" w:rsidP="00BA499D">
            <w:pPr>
              <w:jc w:val="center"/>
              <w:rPr>
                <w:b/>
                <w:bCs/>
                <w:sz w:val="18"/>
                <w:szCs w:val="18"/>
              </w:rPr>
            </w:pPr>
            <w:r w:rsidRPr="002F73B3">
              <w:rPr>
                <w:b/>
                <w:bCs/>
                <w:sz w:val="18"/>
                <w:szCs w:val="18"/>
              </w:rPr>
              <w:t>01.01.2023.-</w:t>
            </w:r>
            <w:r>
              <w:rPr>
                <w:b/>
                <w:bCs/>
                <w:sz w:val="18"/>
                <w:szCs w:val="18"/>
              </w:rPr>
              <w:t>31.12</w:t>
            </w:r>
            <w:r w:rsidRPr="002F73B3">
              <w:rPr>
                <w:b/>
                <w:bCs/>
                <w:sz w:val="18"/>
                <w:szCs w:val="18"/>
              </w:rPr>
              <w:t>.2023.</w:t>
            </w:r>
          </w:p>
        </w:tc>
        <w:tc>
          <w:tcPr>
            <w:tcW w:w="1281" w:type="pct"/>
            <w:gridSpan w:val="2"/>
            <w:shd w:val="clear" w:color="auto" w:fill="A3E7FF"/>
            <w:tcMar>
              <w:top w:w="0" w:type="dxa"/>
              <w:left w:w="108" w:type="dxa"/>
              <w:bottom w:w="0" w:type="dxa"/>
              <w:right w:w="108" w:type="dxa"/>
            </w:tcMar>
            <w:vAlign w:val="center"/>
          </w:tcPr>
          <w:p w14:paraId="3977F64A" w14:textId="77777777" w:rsidR="0085421A" w:rsidRPr="002F73B3" w:rsidRDefault="0085421A" w:rsidP="00BA499D">
            <w:pPr>
              <w:jc w:val="center"/>
              <w:rPr>
                <w:b/>
                <w:sz w:val="18"/>
                <w:szCs w:val="18"/>
              </w:rPr>
            </w:pPr>
            <w:r w:rsidRPr="002F73B3">
              <w:rPr>
                <w:b/>
                <w:sz w:val="18"/>
                <w:szCs w:val="18"/>
              </w:rPr>
              <w:t>Iz prometa</w:t>
            </w:r>
          </w:p>
        </w:tc>
        <w:tc>
          <w:tcPr>
            <w:tcW w:w="849" w:type="pct"/>
            <w:vMerge w:val="restart"/>
            <w:shd w:val="clear" w:color="auto" w:fill="A3E7FF"/>
            <w:tcMar>
              <w:top w:w="0" w:type="dxa"/>
              <w:left w:w="108" w:type="dxa"/>
              <w:bottom w:w="0" w:type="dxa"/>
              <w:right w:w="108" w:type="dxa"/>
            </w:tcMar>
            <w:vAlign w:val="center"/>
          </w:tcPr>
          <w:p w14:paraId="4A303792" w14:textId="77777777" w:rsidR="0085421A" w:rsidRPr="002F73B3" w:rsidRDefault="0085421A" w:rsidP="00BA499D">
            <w:pPr>
              <w:jc w:val="center"/>
              <w:rPr>
                <w:b/>
                <w:sz w:val="18"/>
                <w:szCs w:val="18"/>
              </w:rPr>
            </w:pPr>
            <w:r w:rsidRPr="002F73B3">
              <w:rPr>
                <w:b/>
                <w:sz w:val="18"/>
                <w:szCs w:val="18"/>
              </w:rPr>
              <w:t>Ozbiljne i neočekivane nuspojave iz kliničkih ispitivanja (tzv. SUSAR-i)</w:t>
            </w:r>
          </w:p>
        </w:tc>
        <w:tc>
          <w:tcPr>
            <w:tcW w:w="695" w:type="pct"/>
            <w:vMerge w:val="restart"/>
            <w:shd w:val="clear" w:color="auto" w:fill="A3E7FF"/>
            <w:vAlign w:val="center"/>
          </w:tcPr>
          <w:p w14:paraId="36D0A8D7" w14:textId="77777777" w:rsidR="0085421A" w:rsidRPr="002F73B3" w:rsidRDefault="0085421A" w:rsidP="00BA499D">
            <w:pPr>
              <w:jc w:val="center"/>
              <w:rPr>
                <w:b/>
                <w:sz w:val="18"/>
                <w:szCs w:val="18"/>
              </w:rPr>
            </w:pPr>
            <w:r w:rsidRPr="002F73B3">
              <w:rPr>
                <w:b/>
                <w:sz w:val="18"/>
                <w:szCs w:val="18"/>
              </w:rPr>
              <w:t>Izvršenje</w:t>
            </w:r>
          </w:p>
          <w:p w14:paraId="7DEA20E9" w14:textId="77777777" w:rsidR="0085421A" w:rsidRPr="002F73B3" w:rsidRDefault="0085421A" w:rsidP="00BA499D">
            <w:pPr>
              <w:jc w:val="center"/>
              <w:rPr>
                <w:rFonts w:eastAsia="Times New Roman" w:cstheme="minorHAnsi"/>
                <w:b/>
                <w:bCs/>
                <w:sz w:val="18"/>
                <w:szCs w:val="18"/>
                <w:lang w:eastAsia="hr-HR"/>
              </w:rPr>
            </w:pPr>
            <w:r w:rsidRPr="002F73B3">
              <w:rPr>
                <w:rFonts w:eastAsia="Times New Roman" w:cstheme="minorHAnsi"/>
                <w:b/>
                <w:bCs/>
                <w:sz w:val="18"/>
                <w:szCs w:val="18"/>
                <w:lang w:eastAsia="hr-HR"/>
              </w:rPr>
              <w:t>01.01.-</w:t>
            </w:r>
            <w:r w:rsidRPr="002F73B3" w:rsidDel="00FB47F0">
              <w:rPr>
                <w:rFonts w:eastAsia="Times New Roman" w:cstheme="minorHAnsi"/>
                <w:b/>
                <w:bCs/>
                <w:sz w:val="18"/>
                <w:szCs w:val="18"/>
                <w:lang w:eastAsia="hr-HR"/>
              </w:rPr>
              <w:t xml:space="preserve"> </w:t>
            </w:r>
            <w:r>
              <w:rPr>
                <w:rFonts w:eastAsia="Times New Roman" w:cstheme="minorHAnsi"/>
                <w:b/>
                <w:bCs/>
                <w:sz w:val="18"/>
                <w:szCs w:val="18"/>
                <w:lang w:eastAsia="hr-HR"/>
              </w:rPr>
              <w:t>31.12</w:t>
            </w:r>
            <w:r w:rsidRPr="002F73B3">
              <w:rPr>
                <w:rFonts w:eastAsia="Times New Roman" w:cstheme="minorHAnsi"/>
                <w:b/>
                <w:bCs/>
                <w:sz w:val="18"/>
                <w:szCs w:val="18"/>
                <w:lang w:eastAsia="hr-HR"/>
              </w:rPr>
              <w:t>.2023.*</w:t>
            </w:r>
          </w:p>
          <w:p w14:paraId="19FD7E90" w14:textId="77777777" w:rsidR="0085421A" w:rsidRPr="002F73B3" w:rsidRDefault="0085421A" w:rsidP="00BA499D">
            <w:pPr>
              <w:jc w:val="center"/>
              <w:rPr>
                <w:b/>
                <w:sz w:val="18"/>
                <w:szCs w:val="18"/>
              </w:rPr>
            </w:pPr>
          </w:p>
        </w:tc>
        <w:tc>
          <w:tcPr>
            <w:tcW w:w="695" w:type="pct"/>
            <w:vMerge w:val="restart"/>
            <w:shd w:val="clear" w:color="auto" w:fill="A3E7FF"/>
            <w:vAlign w:val="center"/>
          </w:tcPr>
          <w:p w14:paraId="2CED0DCA" w14:textId="77777777" w:rsidR="0085421A" w:rsidRPr="002F73B3" w:rsidRDefault="0085421A" w:rsidP="00BA499D">
            <w:pPr>
              <w:jc w:val="center"/>
              <w:rPr>
                <w:b/>
                <w:sz w:val="18"/>
                <w:szCs w:val="18"/>
              </w:rPr>
            </w:pPr>
            <w:r w:rsidRPr="002F73B3">
              <w:rPr>
                <w:b/>
                <w:sz w:val="18"/>
                <w:szCs w:val="18"/>
              </w:rPr>
              <w:t>% izvršenja*</w:t>
            </w:r>
          </w:p>
        </w:tc>
      </w:tr>
      <w:tr w:rsidR="0085421A" w:rsidRPr="002F73B3" w14:paraId="73FCE076" w14:textId="77777777" w:rsidTr="00BA499D">
        <w:trPr>
          <w:trHeight w:val="773"/>
        </w:trPr>
        <w:tc>
          <w:tcPr>
            <w:tcW w:w="1481" w:type="pct"/>
            <w:vMerge/>
            <w:shd w:val="clear" w:color="auto" w:fill="A3E7FF"/>
            <w:tcMar>
              <w:top w:w="0" w:type="dxa"/>
              <w:left w:w="108" w:type="dxa"/>
              <w:bottom w:w="0" w:type="dxa"/>
              <w:right w:w="108" w:type="dxa"/>
            </w:tcMar>
            <w:vAlign w:val="center"/>
            <w:hideMark/>
          </w:tcPr>
          <w:p w14:paraId="5AD88279" w14:textId="77777777" w:rsidR="0085421A" w:rsidRPr="002F73B3" w:rsidRDefault="0085421A" w:rsidP="00BA499D">
            <w:pPr>
              <w:jc w:val="center"/>
              <w:rPr>
                <w:b/>
                <w:bCs/>
                <w:sz w:val="20"/>
                <w:szCs w:val="20"/>
              </w:rPr>
            </w:pPr>
          </w:p>
        </w:tc>
        <w:tc>
          <w:tcPr>
            <w:tcW w:w="664" w:type="pct"/>
            <w:shd w:val="clear" w:color="auto" w:fill="A3E7FF"/>
            <w:tcMar>
              <w:top w:w="0" w:type="dxa"/>
              <w:left w:w="108" w:type="dxa"/>
              <w:bottom w:w="0" w:type="dxa"/>
              <w:right w:w="108" w:type="dxa"/>
            </w:tcMar>
            <w:vAlign w:val="center"/>
          </w:tcPr>
          <w:p w14:paraId="3F12508C" w14:textId="77777777" w:rsidR="0085421A" w:rsidRPr="002F73B3" w:rsidRDefault="0085421A" w:rsidP="00BA499D">
            <w:pPr>
              <w:jc w:val="center"/>
              <w:rPr>
                <w:b/>
                <w:sz w:val="18"/>
                <w:szCs w:val="18"/>
              </w:rPr>
            </w:pPr>
            <w:r w:rsidRPr="002F73B3">
              <w:rPr>
                <w:b/>
                <w:sz w:val="18"/>
                <w:szCs w:val="18"/>
              </w:rPr>
              <w:t>Lijekovi</w:t>
            </w:r>
          </w:p>
        </w:tc>
        <w:tc>
          <w:tcPr>
            <w:tcW w:w="617" w:type="pct"/>
            <w:shd w:val="clear" w:color="auto" w:fill="A3E7FF"/>
            <w:tcMar>
              <w:top w:w="0" w:type="dxa"/>
              <w:left w:w="108" w:type="dxa"/>
              <w:bottom w:w="0" w:type="dxa"/>
              <w:right w:w="108" w:type="dxa"/>
            </w:tcMar>
            <w:vAlign w:val="center"/>
          </w:tcPr>
          <w:p w14:paraId="3CA8D69D" w14:textId="77777777" w:rsidR="0085421A" w:rsidRPr="002F73B3" w:rsidRDefault="0085421A" w:rsidP="00BA499D">
            <w:pPr>
              <w:jc w:val="center"/>
              <w:rPr>
                <w:b/>
                <w:sz w:val="18"/>
                <w:szCs w:val="18"/>
              </w:rPr>
            </w:pPr>
            <w:r w:rsidRPr="002F73B3">
              <w:rPr>
                <w:b/>
                <w:sz w:val="18"/>
                <w:szCs w:val="18"/>
              </w:rPr>
              <w:t>Cjepiva</w:t>
            </w:r>
          </w:p>
        </w:tc>
        <w:tc>
          <w:tcPr>
            <w:tcW w:w="849" w:type="pct"/>
            <w:vMerge/>
            <w:shd w:val="clear" w:color="auto" w:fill="A3E7FF"/>
            <w:tcMar>
              <w:top w:w="0" w:type="dxa"/>
              <w:left w:w="108" w:type="dxa"/>
              <w:bottom w:w="0" w:type="dxa"/>
              <w:right w:w="108" w:type="dxa"/>
            </w:tcMar>
            <w:vAlign w:val="center"/>
          </w:tcPr>
          <w:p w14:paraId="343E1103" w14:textId="77777777" w:rsidR="0085421A" w:rsidRPr="002F73B3" w:rsidRDefault="0085421A" w:rsidP="00BA499D">
            <w:pPr>
              <w:jc w:val="center"/>
              <w:rPr>
                <w:sz w:val="20"/>
                <w:szCs w:val="20"/>
              </w:rPr>
            </w:pPr>
          </w:p>
        </w:tc>
        <w:tc>
          <w:tcPr>
            <w:tcW w:w="695" w:type="pct"/>
            <w:vMerge/>
            <w:shd w:val="clear" w:color="auto" w:fill="A3E7FF"/>
            <w:vAlign w:val="center"/>
          </w:tcPr>
          <w:p w14:paraId="4C1F80F9" w14:textId="77777777" w:rsidR="0085421A" w:rsidRPr="002F73B3" w:rsidRDefault="0085421A" w:rsidP="00BA499D">
            <w:pPr>
              <w:jc w:val="center"/>
              <w:rPr>
                <w:sz w:val="20"/>
                <w:szCs w:val="20"/>
              </w:rPr>
            </w:pPr>
          </w:p>
        </w:tc>
        <w:tc>
          <w:tcPr>
            <w:tcW w:w="695" w:type="pct"/>
            <w:vMerge/>
            <w:shd w:val="clear" w:color="auto" w:fill="A3E7FF"/>
            <w:vAlign w:val="center"/>
          </w:tcPr>
          <w:p w14:paraId="6FA3A4F9" w14:textId="77777777" w:rsidR="0085421A" w:rsidRPr="002F73B3" w:rsidRDefault="0085421A" w:rsidP="00BA499D">
            <w:pPr>
              <w:jc w:val="center"/>
              <w:rPr>
                <w:sz w:val="20"/>
                <w:szCs w:val="20"/>
              </w:rPr>
            </w:pPr>
          </w:p>
        </w:tc>
      </w:tr>
      <w:tr w:rsidR="0085421A" w:rsidRPr="002F73B3" w14:paraId="25CC45B7" w14:textId="77777777" w:rsidTr="00BA499D">
        <w:trPr>
          <w:trHeight w:val="284"/>
        </w:trPr>
        <w:tc>
          <w:tcPr>
            <w:tcW w:w="1481" w:type="pct"/>
            <w:shd w:val="clear" w:color="auto" w:fill="auto"/>
            <w:tcMar>
              <w:top w:w="0" w:type="dxa"/>
              <w:left w:w="108" w:type="dxa"/>
              <w:bottom w:w="0" w:type="dxa"/>
              <w:right w:w="108" w:type="dxa"/>
            </w:tcMar>
            <w:vAlign w:val="center"/>
          </w:tcPr>
          <w:p w14:paraId="473C0062" w14:textId="77777777" w:rsidR="0085421A" w:rsidRPr="002F73B3" w:rsidRDefault="0085421A" w:rsidP="00BA499D">
            <w:pPr>
              <w:jc w:val="center"/>
              <w:rPr>
                <w:bCs/>
                <w:sz w:val="18"/>
                <w:szCs w:val="18"/>
              </w:rPr>
            </w:pPr>
            <w:r>
              <w:rPr>
                <w:bCs/>
                <w:sz w:val="18"/>
                <w:szCs w:val="18"/>
              </w:rPr>
              <w:t>2585</w:t>
            </w:r>
          </w:p>
        </w:tc>
        <w:tc>
          <w:tcPr>
            <w:tcW w:w="664" w:type="pct"/>
            <w:shd w:val="clear" w:color="auto" w:fill="auto"/>
            <w:tcMar>
              <w:top w:w="0" w:type="dxa"/>
              <w:left w:w="108" w:type="dxa"/>
              <w:bottom w:w="0" w:type="dxa"/>
              <w:right w:w="108" w:type="dxa"/>
            </w:tcMar>
            <w:vAlign w:val="center"/>
          </w:tcPr>
          <w:p w14:paraId="63E790A2" w14:textId="77777777" w:rsidR="0085421A" w:rsidRPr="002F73B3" w:rsidRDefault="0085421A" w:rsidP="00BA499D">
            <w:pPr>
              <w:jc w:val="center"/>
              <w:rPr>
                <w:sz w:val="18"/>
                <w:szCs w:val="18"/>
              </w:rPr>
            </w:pPr>
            <w:r>
              <w:rPr>
                <w:sz w:val="18"/>
                <w:szCs w:val="18"/>
              </w:rPr>
              <w:t>2433</w:t>
            </w:r>
          </w:p>
        </w:tc>
        <w:tc>
          <w:tcPr>
            <w:tcW w:w="617" w:type="pct"/>
            <w:shd w:val="clear" w:color="auto" w:fill="auto"/>
            <w:tcMar>
              <w:top w:w="0" w:type="dxa"/>
              <w:left w:w="108" w:type="dxa"/>
              <w:bottom w:w="0" w:type="dxa"/>
              <w:right w:w="108" w:type="dxa"/>
            </w:tcMar>
            <w:vAlign w:val="center"/>
          </w:tcPr>
          <w:p w14:paraId="45A4794F" w14:textId="77777777" w:rsidR="0085421A" w:rsidRPr="002F73B3" w:rsidRDefault="0085421A" w:rsidP="00BA499D">
            <w:pPr>
              <w:jc w:val="center"/>
              <w:rPr>
                <w:sz w:val="18"/>
                <w:szCs w:val="18"/>
              </w:rPr>
            </w:pPr>
            <w:r>
              <w:rPr>
                <w:sz w:val="18"/>
                <w:szCs w:val="18"/>
              </w:rPr>
              <w:t>152</w:t>
            </w:r>
          </w:p>
        </w:tc>
        <w:tc>
          <w:tcPr>
            <w:tcW w:w="849" w:type="pct"/>
            <w:shd w:val="clear" w:color="auto" w:fill="auto"/>
            <w:tcMar>
              <w:top w:w="0" w:type="dxa"/>
              <w:left w:w="108" w:type="dxa"/>
              <w:bottom w:w="0" w:type="dxa"/>
              <w:right w:w="108" w:type="dxa"/>
            </w:tcMar>
            <w:vAlign w:val="center"/>
          </w:tcPr>
          <w:p w14:paraId="51CE9919" w14:textId="77777777" w:rsidR="0085421A" w:rsidRPr="002F73B3" w:rsidRDefault="0085421A" w:rsidP="00BA499D">
            <w:pPr>
              <w:jc w:val="center"/>
              <w:rPr>
                <w:sz w:val="18"/>
                <w:szCs w:val="18"/>
              </w:rPr>
            </w:pPr>
            <w:r>
              <w:rPr>
                <w:sz w:val="18"/>
                <w:szCs w:val="18"/>
              </w:rPr>
              <w:t>2</w:t>
            </w:r>
            <w:r w:rsidRPr="002F73B3">
              <w:rPr>
                <w:sz w:val="18"/>
                <w:szCs w:val="18"/>
              </w:rPr>
              <w:t>1</w:t>
            </w:r>
          </w:p>
        </w:tc>
        <w:tc>
          <w:tcPr>
            <w:tcW w:w="695" w:type="pct"/>
            <w:shd w:val="clear" w:color="auto" w:fill="auto"/>
            <w:vAlign w:val="center"/>
          </w:tcPr>
          <w:p w14:paraId="7DD44645" w14:textId="77777777" w:rsidR="0085421A" w:rsidRPr="002F73B3" w:rsidRDefault="0085421A" w:rsidP="00BA499D">
            <w:pPr>
              <w:jc w:val="center"/>
              <w:rPr>
                <w:sz w:val="18"/>
                <w:szCs w:val="18"/>
              </w:rPr>
            </w:pPr>
            <w:r>
              <w:rPr>
                <w:sz w:val="18"/>
                <w:szCs w:val="18"/>
              </w:rPr>
              <w:t>2521</w:t>
            </w:r>
          </w:p>
        </w:tc>
        <w:tc>
          <w:tcPr>
            <w:tcW w:w="695" w:type="pct"/>
            <w:shd w:val="clear" w:color="auto" w:fill="auto"/>
            <w:vAlign w:val="center"/>
          </w:tcPr>
          <w:p w14:paraId="5398BE60" w14:textId="77777777" w:rsidR="0085421A" w:rsidRPr="002F73B3" w:rsidRDefault="0085421A" w:rsidP="00BA499D">
            <w:pPr>
              <w:jc w:val="center"/>
              <w:rPr>
                <w:sz w:val="18"/>
                <w:szCs w:val="18"/>
              </w:rPr>
            </w:pPr>
            <w:r w:rsidRPr="002F73B3">
              <w:rPr>
                <w:sz w:val="18"/>
                <w:szCs w:val="18"/>
              </w:rPr>
              <w:t>100%</w:t>
            </w:r>
          </w:p>
        </w:tc>
      </w:tr>
    </w:tbl>
    <w:p w14:paraId="289B32FB" w14:textId="77777777" w:rsidR="0085421A" w:rsidRPr="002F73B3" w:rsidRDefault="0085421A" w:rsidP="0085421A">
      <w:pPr>
        <w:spacing w:after="120"/>
        <w:jc w:val="both"/>
        <w:rPr>
          <w:color w:val="000000"/>
          <w:sz w:val="18"/>
          <w:szCs w:val="18"/>
        </w:rPr>
      </w:pPr>
      <w:r w:rsidRPr="002F73B3">
        <w:rPr>
          <w:color w:val="000000"/>
          <w:sz w:val="18"/>
          <w:szCs w:val="18"/>
        </w:rPr>
        <w:t>*zakonski rok za obradu neozbiljnih nuspojava iznosi 90 dana, dok za obradu ozbiljnih iznosi 15 dana</w:t>
      </w:r>
    </w:p>
    <w:p w14:paraId="64FF952F" w14:textId="77777777" w:rsidR="0085421A" w:rsidRPr="002F73B3" w:rsidRDefault="0085421A" w:rsidP="0085421A">
      <w:pPr>
        <w:spacing w:line="276" w:lineRule="auto"/>
        <w:jc w:val="both"/>
      </w:pPr>
    </w:p>
    <w:p w14:paraId="3C0B0949" w14:textId="77777777" w:rsidR="0085421A" w:rsidRPr="002F73B3" w:rsidRDefault="0085421A" w:rsidP="0085421A">
      <w:pPr>
        <w:spacing w:line="276" w:lineRule="auto"/>
        <w:jc w:val="both"/>
      </w:pPr>
      <w:r w:rsidRPr="002F73B3">
        <w:t>U izvještajnom razdoblju održano je 1</w:t>
      </w:r>
      <w:r>
        <w:t>9</w:t>
      </w:r>
      <w:r w:rsidRPr="002F73B3">
        <w:t xml:space="preserve"> sastanaka Stručne grupe za nuspojave i sigurnu primjenu cjepiva koja se sastoji od farmakovigilancijskih stručnjaka HALMED-a i stručnjaka epidemiologa iz HZJZ-a.</w:t>
      </w:r>
    </w:p>
    <w:p w14:paraId="0E700DDD" w14:textId="77777777" w:rsidR="0085421A" w:rsidRPr="002F73B3" w:rsidRDefault="0085421A" w:rsidP="0085421A">
      <w:pPr>
        <w:spacing w:after="120" w:line="276" w:lineRule="auto"/>
        <w:jc w:val="both"/>
        <w:rPr>
          <w:color w:val="000000"/>
          <w:sz w:val="18"/>
          <w:szCs w:val="18"/>
        </w:rPr>
      </w:pPr>
      <w:r w:rsidRPr="002F73B3">
        <w:t xml:space="preserve">Na sastancima Stručne grupe ocijenjena je ozbiljnost i uzročno-posljedična povezanost između nuspojave(a) i suspektnog cjepiva za </w:t>
      </w:r>
      <w:r>
        <w:t>157</w:t>
      </w:r>
      <w:r w:rsidRPr="002F73B3">
        <w:t xml:space="preserve"> prijava sumnji na nuspojave cjepiva. Tijekom </w:t>
      </w:r>
      <w:r>
        <w:t>6</w:t>
      </w:r>
      <w:r w:rsidRPr="002F73B3">
        <w:t xml:space="preserve"> sastan</w:t>
      </w:r>
      <w:r>
        <w:t>a</w:t>
      </w:r>
      <w:r w:rsidRPr="002F73B3">
        <w:t>ka održan</w:t>
      </w:r>
      <w:r>
        <w:t>ih</w:t>
      </w:r>
      <w:r w:rsidRPr="002F73B3">
        <w:t xml:space="preserve"> za COVID-19 cjepiva ocijenjena je ozbiljnost i uzročno-posljedična povezanost između nuspojave(a) i suspektnog cjepiva za 2</w:t>
      </w:r>
      <w:r>
        <w:t>4</w:t>
      </w:r>
      <w:r w:rsidRPr="002F73B3">
        <w:t xml:space="preserve"> prijav</w:t>
      </w:r>
      <w:r>
        <w:t>e</w:t>
      </w:r>
      <w:r w:rsidRPr="002F73B3">
        <w:t xml:space="preserve"> sumnji na nuspojave. Tijekom </w:t>
      </w:r>
      <w:r>
        <w:t>13</w:t>
      </w:r>
      <w:r w:rsidRPr="002F73B3">
        <w:t xml:space="preserve"> sastanaka održanih za druga cjepiva ocijenjena je ozbiljnost i uzročno-posljedična povezanost između nuspojave(a) i suspektnog cjepiva za </w:t>
      </w:r>
      <w:r>
        <w:t>133</w:t>
      </w:r>
      <w:r w:rsidRPr="002F73B3">
        <w:t xml:space="preserve"> prijav</w:t>
      </w:r>
      <w:r>
        <w:t>e</w:t>
      </w:r>
      <w:r w:rsidRPr="002F73B3">
        <w:t xml:space="preserve"> sumnji na nuspojave.</w:t>
      </w:r>
    </w:p>
    <w:p w14:paraId="7BD090AD" w14:textId="77777777" w:rsidR="0085421A" w:rsidRPr="002F73B3" w:rsidRDefault="0085421A" w:rsidP="0085421A">
      <w:pPr>
        <w:pStyle w:val="Heading3"/>
      </w:pPr>
      <w:bookmarkStart w:id="88" w:name="_Toc514929949"/>
      <w:bookmarkStart w:id="89" w:name="_Toc530140510"/>
      <w:bookmarkStart w:id="90" w:name="_Toc26534628"/>
      <w:bookmarkStart w:id="91" w:name="_Toc165035449"/>
      <w:r w:rsidRPr="002F73B3">
        <w:lastRenderedPageBreak/>
        <w:t>2.2.2. Ocjena periodičkog izvješća o neškodljivosti lijeka</w:t>
      </w:r>
      <w:bookmarkEnd w:id="88"/>
      <w:bookmarkEnd w:id="89"/>
      <w:bookmarkEnd w:id="90"/>
      <w:r w:rsidRPr="002F73B3">
        <w:t xml:space="preserve"> (PSUR)</w:t>
      </w:r>
      <w:bookmarkEnd w:id="91"/>
    </w:p>
    <w:p w14:paraId="0B4B424C" w14:textId="77777777" w:rsidR="0085421A" w:rsidRPr="002F73B3" w:rsidRDefault="0085421A" w:rsidP="0085421A">
      <w:pPr>
        <w:spacing w:line="276" w:lineRule="auto"/>
        <w:jc w:val="both"/>
      </w:pPr>
      <w:r w:rsidRPr="002F73B3">
        <w:t>Periodičko izvješće o neškodljivosti lijeka (</w:t>
      </w:r>
      <w:r w:rsidRPr="002F73B3">
        <w:rPr>
          <w:i/>
        </w:rPr>
        <w:t>Periodic Safety Update Report</w:t>
      </w:r>
      <w:r w:rsidRPr="002F73B3">
        <w:t xml:space="preserve">, PSUR) je izvješće o sigurnosti lijeka koje sadrži sveobuhvatnu i kritičku analizu omjera rizika i koristi primjene lijeka uzimajući u obzir sve dostupne podatke, a predaje ga nositelj odobrenja u određenim vremenskim razmacima nakon dobivanja odobrenja za stavljanje lijeka u promet. </w:t>
      </w:r>
    </w:p>
    <w:p w14:paraId="613B246A" w14:textId="77777777" w:rsidR="0085421A" w:rsidRPr="002F73B3" w:rsidRDefault="0085421A" w:rsidP="0085421A">
      <w:pPr>
        <w:spacing w:line="276" w:lineRule="auto"/>
        <w:jc w:val="both"/>
      </w:pPr>
    </w:p>
    <w:p w14:paraId="34F0E94D" w14:textId="77777777" w:rsidR="0085421A" w:rsidRPr="002F73B3" w:rsidRDefault="0085421A" w:rsidP="0085421A">
      <w:pPr>
        <w:spacing w:line="276" w:lineRule="auto"/>
        <w:jc w:val="both"/>
      </w:pPr>
      <w:r w:rsidRPr="002F73B3">
        <w:t xml:space="preserve">U izvještajnom razdoblju HALMED je ocijenio </w:t>
      </w:r>
      <w:r>
        <w:t>30</w:t>
      </w:r>
      <w:r w:rsidRPr="002F73B3">
        <w:t xml:space="preserve"> PSUR-a na temelju ugovora s EMA-om. Navedeni podaci o izvršenju prikazani su u Tablici 1. (R. br. 10. Farmakovigilancija).</w:t>
      </w:r>
    </w:p>
    <w:p w14:paraId="1932ECF1" w14:textId="77777777" w:rsidR="0085421A" w:rsidRPr="002F73B3" w:rsidRDefault="0085421A" w:rsidP="0085421A">
      <w:pPr>
        <w:pStyle w:val="Heading3"/>
      </w:pPr>
      <w:bookmarkStart w:id="92" w:name="_Toc514929950"/>
      <w:bookmarkStart w:id="93" w:name="_Toc530140511"/>
      <w:bookmarkStart w:id="94" w:name="_Toc26534629"/>
      <w:bookmarkStart w:id="95" w:name="_Toc165035450"/>
      <w:r w:rsidRPr="002F73B3">
        <w:t>2.2.3. Ocjena plana upravljanja rizicima</w:t>
      </w:r>
      <w:bookmarkEnd w:id="92"/>
      <w:bookmarkEnd w:id="93"/>
      <w:bookmarkEnd w:id="94"/>
      <w:r w:rsidRPr="002F73B3">
        <w:t xml:space="preserve"> (RMP)</w:t>
      </w:r>
      <w:bookmarkEnd w:id="95"/>
    </w:p>
    <w:p w14:paraId="51B89558" w14:textId="77777777" w:rsidR="0085421A" w:rsidRPr="002F73B3" w:rsidRDefault="0085421A" w:rsidP="0085421A">
      <w:pPr>
        <w:spacing w:line="276" w:lineRule="auto"/>
        <w:jc w:val="both"/>
        <w:rPr>
          <w:u w:val="single"/>
        </w:rPr>
      </w:pPr>
      <w:r w:rsidRPr="002F73B3">
        <w:t>Plan upravljanja rizicima (</w:t>
      </w:r>
      <w:r w:rsidRPr="002F73B3">
        <w:rPr>
          <w:i/>
        </w:rPr>
        <w:t>Risk Management Plan</w:t>
      </w:r>
      <w:r w:rsidRPr="002F73B3">
        <w:t xml:space="preserve">, RMP) je </w:t>
      </w:r>
      <w:r w:rsidRPr="002F73B3">
        <w:rPr>
          <w:color w:val="000000"/>
        </w:rPr>
        <w:t>detaljan opis sustava upravljanja rizikom koji nositelj odobrenja prilaže uz zahtjev za davanje odobrenja za stavljanje lijeka u promet, uz zahtjev za obnovu ili izmjenu odobrenja, ako je primjenjivo ili na zahtjev regulatornog tijela.</w:t>
      </w:r>
    </w:p>
    <w:p w14:paraId="314628DC" w14:textId="77777777" w:rsidR="0085421A" w:rsidRPr="002F73B3" w:rsidRDefault="0085421A" w:rsidP="0085421A">
      <w:pPr>
        <w:spacing w:line="276" w:lineRule="auto"/>
        <w:jc w:val="both"/>
      </w:pPr>
    </w:p>
    <w:p w14:paraId="6B9A5C3B" w14:textId="77777777" w:rsidR="0085421A" w:rsidRPr="002F73B3" w:rsidRDefault="0085421A" w:rsidP="0085421A">
      <w:pPr>
        <w:spacing w:line="276" w:lineRule="auto"/>
        <w:jc w:val="both"/>
      </w:pPr>
      <w:r w:rsidRPr="002F73B3">
        <w:t xml:space="preserve">U izvještajnom razdoblju HALMED je ocijenio </w:t>
      </w:r>
      <w:r>
        <w:t>20</w:t>
      </w:r>
      <w:r w:rsidRPr="002F73B3">
        <w:t xml:space="preserve"> RMP-ova u nacionalnim postupcima davanja odobrenja za stavljanje lijeka u promet i </w:t>
      </w:r>
      <w:r>
        <w:t>34</w:t>
      </w:r>
      <w:r w:rsidRPr="002F73B3">
        <w:t xml:space="preserve"> u MRP/DCP postupcima kad je Hrvatska RMS. Navedeni podaci o izvršenju prikazani su u Tablici 2. Izvršenje prihodovnih usluga davanja odobrenja za stavljanje lijeka u promet.</w:t>
      </w:r>
    </w:p>
    <w:p w14:paraId="1BD13B3F" w14:textId="77777777" w:rsidR="0085421A" w:rsidRPr="002F73B3" w:rsidRDefault="0085421A" w:rsidP="0085421A">
      <w:pPr>
        <w:spacing w:line="276" w:lineRule="auto"/>
        <w:jc w:val="both"/>
      </w:pPr>
    </w:p>
    <w:p w14:paraId="44DAA472" w14:textId="77777777" w:rsidR="0085421A" w:rsidRPr="002F73B3" w:rsidRDefault="0085421A" w:rsidP="0085421A">
      <w:pPr>
        <w:pStyle w:val="Heading3"/>
      </w:pPr>
      <w:bookmarkStart w:id="96" w:name="_Toc514929951"/>
      <w:bookmarkStart w:id="97" w:name="_Toc530140512"/>
      <w:bookmarkStart w:id="98" w:name="_Toc26534630"/>
      <w:bookmarkStart w:id="99" w:name="_Toc165035451"/>
      <w:r w:rsidRPr="002F73B3">
        <w:t>2.2.4. Ocjena sigurnosti u kliničkim ispitivanjima</w:t>
      </w:r>
      <w:bookmarkEnd w:id="96"/>
      <w:bookmarkEnd w:id="97"/>
      <w:bookmarkEnd w:id="98"/>
      <w:bookmarkEnd w:id="99"/>
    </w:p>
    <w:p w14:paraId="12E38AF9" w14:textId="77777777" w:rsidR="0085421A" w:rsidRPr="002F73B3" w:rsidRDefault="0085421A" w:rsidP="0085421A">
      <w:pPr>
        <w:pStyle w:val="FootnoteText"/>
        <w:spacing w:line="276" w:lineRule="auto"/>
        <w:jc w:val="both"/>
        <w:rPr>
          <w:rStyle w:val="st1"/>
          <w:rFonts w:cs="Arial"/>
          <w:sz w:val="22"/>
          <w:szCs w:val="22"/>
        </w:rPr>
      </w:pPr>
      <w:r w:rsidRPr="002F73B3">
        <w:rPr>
          <w:rStyle w:val="st1"/>
          <w:rFonts w:cs="Arial"/>
          <w:sz w:val="22"/>
          <w:szCs w:val="22"/>
        </w:rPr>
        <w:t>U siječnju 2022. godine stupila je na snagu Uredba (EU) 536/2014 Europskog parlamenta i Vijeća od 16. travnja 2014. godine o kliničkim ispitivanjima lijekova za primjenu kod ljudi te o stavljanju izvan snage Direktive 2001/20/EZ (</w:t>
      </w:r>
      <w:r w:rsidRPr="002F73B3">
        <w:rPr>
          <w:rStyle w:val="st1"/>
          <w:rFonts w:cs="Arial"/>
          <w:i/>
          <w:sz w:val="22"/>
          <w:szCs w:val="22"/>
        </w:rPr>
        <w:t>engl. Clinical Trial Regulation, CTR</w:t>
      </w:r>
      <w:r w:rsidRPr="002F73B3">
        <w:rPr>
          <w:rStyle w:val="st1"/>
          <w:rFonts w:cs="Arial"/>
          <w:sz w:val="22"/>
          <w:szCs w:val="22"/>
        </w:rPr>
        <w:t>) zajedno s Provedbenom uredbom Komisije (EU) 2022/20 оd 7. siječnja 2022. godine o utvrđivanju pravila za primjenu Uredbe (EU) br. 536/2014 Europskog parlamenta i Vijeća u pogledu utvrđivanja pravila i postupaka za suradnju država članica u ocjeni sigurnosti kliničkih ispitivanja, koja između ostalog definira i provođenje ocjene sigurnosti u kliničkim ispitivanjima. Navedena Uredba (EU) 536/2014 u Republici Hrvatskoj preuzeta je Zakonom o provedbi Uredbe (EU) br. 536/2014 („Narodne novine“, broj 14/2019).</w:t>
      </w:r>
    </w:p>
    <w:p w14:paraId="3E5738F7" w14:textId="77777777" w:rsidR="0085421A" w:rsidRPr="002F73B3" w:rsidRDefault="0085421A" w:rsidP="0085421A">
      <w:pPr>
        <w:pStyle w:val="FootnoteText"/>
        <w:spacing w:line="276" w:lineRule="auto"/>
        <w:jc w:val="both"/>
        <w:rPr>
          <w:rStyle w:val="st1"/>
          <w:rFonts w:cs="Arial"/>
          <w:sz w:val="22"/>
          <w:szCs w:val="22"/>
        </w:rPr>
      </w:pPr>
      <w:r w:rsidRPr="002F73B3">
        <w:rPr>
          <w:rStyle w:val="st1"/>
          <w:rFonts w:cs="Arial"/>
          <w:sz w:val="22"/>
          <w:szCs w:val="22"/>
        </w:rPr>
        <w:t xml:space="preserve">Ocjena sigurnosti u kliničkim ispitivanjima provodit će se putem izbora države članice koja ocjenjuje sigurnost u kliničkim ispitivanjima (engl. </w:t>
      </w:r>
      <w:r w:rsidRPr="002F73B3">
        <w:rPr>
          <w:rStyle w:val="st1"/>
          <w:rFonts w:cs="Arial"/>
          <w:i/>
          <w:sz w:val="22"/>
          <w:szCs w:val="22"/>
        </w:rPr>
        <w:t xml:space="preserve">safety </w:t>
      </w:r>
      <w:r>
        <w:rPr>
          <w:rStyle w:val="st1"/>
          <w:rFonts w:cs="Arial"/>
          <w:i/>
          <w:sz w:val="22"/>
          <w:szCs w:val="22"/>
        </w:rPr>
        <w:t>a</w:t>
      </w:r>
      <w:r w:rsidRPr="002F73B3">
        <w:rPr>
          <w:rStyle w:val="st1"/>
          <w:rFonts w:cs="Arial"/>
          <w:i/>
          <w:sz w:val="22"/>
          <w:szCs w:val="22"/>
        </w:rPr>
        <w:t>ssessing Member State</w:t>
      </w:r>
      <w:r w:rsidRPr="002F73B3">
        <w:rPr>
          <w:rStyle w:val="st1"/>
          <w:rFonts w:cs="Arial"/>
          <w:sz w:val="22"/>
          <w:szCs w:val="22"/>
        </w:rPr>
        <w:t>, s</w:t>
      </w:r>
      <w:r>
        <w:rPr>
          <w:rStyle w:val="st1"/>
          <w:rFonts w:cs="Arial"/>
          <w:sz w:val="22"/>
          <w:szCs w:val="22"/>
        </w:rPr>
        <w:t>a</w:t>
      </w:r>
      <w:r w:rsidRPr="002F73B3">
        <w:rPr>
          <w:rStyle w:val="st1"/>
          <w:rFonts w:cs="Arial"/>
          <w:sz w:val="22"/>
          <w:szCs w:val="22"/>
        </w:rPr>
        <w:t>MS), a ti poslovi obuhvaćaju:</w:t>
      </w:r>
    </w:p>
    <w:p w14:paraId="333132A6" w14:textId="77777777" w:rsidR="0085421A" w:rsidRPr="002F73B3" w:rsidRDefault="0085421A" w:rsidP="0085421A">
      <w:pPr>
        <w:pStyle w:val="FootnoteText"/>
        <w:spacing w:line="276" w:lineRule="auto"/>
        <w:jc w:val="both"/>
        <w:rPr>
          <w:rStyle w:val="st1"/>
          <w:rFonts w:cs="Arial"/>
          <w:sz w:val="22"/>
          <w:szCs w:val="22"/>
        </w:rPr>
      </w:pPr>
      <w:r w:rsidRPr="002F73B3">
        <w:rPr>
          <w:rStyle w:val="st1"/>
          <w:rFonts w:cs="Arial"/>
          <w:sz w:val="22"/>
          <w:szCs w:val="22"/>
        </w:rPr>
        <w:t>1.</w:t>
      </w:r>
      <w:r w:rsidRPr="002F73B3">
        <w:rPr>
          <w:rStyle w:val="st1"/>
          <w:rFonts w:cs="Arial"/>
          <w:sz w:val="22"/>
          <w:szCs w:val="22"/>
        </w:rPr>
        <w:tab/>
        <w:t>kontinuirano praćenje sigurnosti djelatne tvari u kliničkim ispitivanjima koja se provode u EU</w:t>
      </w:r>
    </w:p>
    <w:p w14:paraId="0170D8C2" w14:textId="77777777" w:rsidR="0085421A" w:rsidRPr="002F73B3" w:rsidRDefault="0085421A" w:rsidP="0085421A">
      <w:pPr>
        <w:pStyle w:val="FootnoteText"/>
        <w:spacing w:line="276" w:lineRule="auto"/>
        <w:jc w:val="both"/>
        <w:rPr>
          <w:rStyle w:val="st1"/>
          <w:rFonts w:cs="Arial"/>
          <w:sz w:val="22"/>
          <w:szCs w:val="22"/>
        </w:rPr>
      </w:pPr>
      <w:r w:rsidRPr="002F73B3">
        <w:rPr>
          <w:rStyle w:val="st1"/>
          <w:rFonts w:cs="Arial"/>
          <w:sz w:val="22"/>
          <w:szCs w:val="22"/>
        </w:rPr>
        <w:t>2.</w:t>
      </w:r>
      <w:r w:rsidRPr="002F73B3">
        <w:rPr>
          <w:rStyle w:val="st1"/>
          <w:rFonts w:cs="Arial"/>
          <w:sz w:val="22"/>
          <w:szCs w:val="22"/>
        </w:rPr>
        <w:tab/>
        <w:t xml:space="preserve">ocjenu </w:t>
      </w:r>
      <w:r w:rsidRPr="001A2E26">
        <w:rPr>
          <w:rStyle w:val="st1"/>
          <w:rFonts w:cs="Arial"/>
          <w:sz w:val="22"/>
          <w:szCs w:val="22"/>
        </w:rPr>
        <w:t>Godišnje</w:t>
      </w:r>
      <w:r>
        <w:rPr>
          <w:rStyle w:val="st1"/>
          <w:rFonts w:cs="Arial"/>
          <w:sz w:val="22"/>
          <w:szCs w:val="22"/>
        </w:rPr>
        <w:t>g izvješća</w:t>
      </w:r>
      <w:r w:rsidRPr="001A2E26">
        <w:rPr>
          <w:rStyle w:val="st1"/>
          <w:rFonts w:cs="Arial"/>
          <w:sz w:val="22"/>
          <w:szCs w:val="22"/>
        </w:rPr>
        <w:t xml:space="preserve"> o sigurnosti (engl. </w:t>
      </w:r>
      <w:r w:rsidRPr="001A2E26">
        <w:rPr>
          <w:rStyle w:val="st1"/>
          <w:rFonts w:cs="Arial"/>
          <w:i/>
          <w:sz w:val="22"/>
          <w:szCs w:val="22"/>
        </w:rPr>
        <w:t>annual safety r</w:t>
      </w:r>
      <w:r w:rsidRPr="00B505A7">
        <w:rPr>
          <w:rStyle w:val="st1"/>
          <w:rFonts w:cs="Arial"/>
          <w:i/>
          <w:sz w:val="22"/>
          <w:szCs w:val="22"/>
        </w:rPr>
        <w:t>eport</w:t>
      </w:r>
      <w:r>
        <w:rPr>
          <w:rStyle w:val="st1"/>
          <w:rFonts w:cs="Arial"/>
          <w:sz w:val="22"/>
          <w:szCs w:val="22"/>
        </w:rPr>
        <w:t>,</w:t>
      </w:r>
      <w:r w:rsidRPr="001A2E26">
        <w:rPr>
          <w:rStyle w:val="st1"/>
          <w:rFonts w:cs="Arial"/>
          <w:sz w:val="22"/>
          <w:szCs w:val="22"/>
        </w:rPr>
        <w:t xml:space="preserve"> ASR</w:t>
      </w:r>
      <w:r>
        <w:rPr>
          <w:rStyle w:val="st1"/>
          <w:rFonts w:cs="Arial"/>
          <w:sz w:val="22"/>
          <w:szCs w:val="22"/>
        </w:rPr>
        <w:t>)</w:t>
      </w:r>
      <w:r w:rsidRPr="002F73B3">
        <w:rPr>
          <w:rStyle w:val="st1"/>
          <w:rFonts w:cs="Arial"/>
          <w:sz w:val="22"/>
          <w:szCs w:val="22"/>
        </w:rPr>
        <w:t>.</w:t>
      </w:r>
    </w:p>
    <w:p w14:paraId="613844C5" w14:textId="77777777" w:rsidR="0085421A" w:rsidRPr="002F73B3" w:rsidRDefault="0085421A" w:rsidP="0085421A">
      <w:pPr>
        <w:pStyle w:val="FootnoteText"/>
        <w:spacing w:line="276" w:lineRule="auto"/>
        <w:jc w:val="both"/>
        <w:rPr>
          <w:sz w:val="22"/>
          <w:szCs w:val="22"/>
        </w:rPr>
      </w:pPr>
      <w:r w:rsidRPr="001A2E26">
        <w:rPr>
          <w:rStyle w:val="st1"/>
          <w:rFonts w:cs="Arial"/>
          <w:sz w:val="22"/>
          <w:szCs w:val="22"/>
        </w:rPr>
        <w:t xml:space="preserve">Godišnje izvješće o sigurnosti </w:t>
      </w:r>
      <w:r w:rsidRPr="002F73B3">
        <w:rPr>
          <w:rStyle w:val="st1"/>
          <w:rFonts w:cs="Arial"/>
          <w:sz w:val="22"/>
          <w:szCs w:val="22"/>
        </w:rPr>
        <w:t>(</w:t>
      </w:r>
      <w:r>
        <w:rPr>
          <w:rStyle w:val="st1"/>
          <w:rFonts w:cs="Arial"/>
          <w:sz w:val="22"/>
          <w:szCs w:val="22"/>
        </w:rPr>
        <w:t>AS</w:t>
      </w:r>
      <w:r w:rsidRPr="002F73B3">
        <w:rPr>
          <w:rStyle w:val="st1"/>
          <w:rFonts w:cs="Arial"/>
          <w:sz w:val="22"/>
          <w:szCs w:val="22"/>
        </w:rPr>
        <w:t xml:space="preserve">R) je </w:t>
      </w:r>
      <w:r w:rsidRPr="002F73B3">
        <w:rPr>
          <w:sz w:val="22"/>
          <w:szCs w:val="22"/>
        </w:rPr>
        <w:t>godišnje izvješće i ocjena relevantnih sigurnosnih informacija prikupljenih tijekom izvještajnog razdoblja za ispitivani lijek, neovisno o tome je li dano odobrenje za stavljanje u promet</w:t>
      </w:r>
      <w:r>
        <w:rPr>
          <w:sz w:val="22"/>
          <w:szCs w:val="22"/>
        </w:rPr>
        <w:t>, a</w:t>
      </w:r>
      <w:r w:rsidRPr="002F73B3">
        <w:rPr>
          <w:sz w:val="22"/>
          <w:szCs w:val="22"/>
        </w:rPr>
        <w:t xml:space="preserve"> predaje ga naručitelj kliničkog ispitivanja ili predstavnik naručitelja kliničkog ispitivanja</w:t>
      </w:r>
      <w:r w:rsidRPr="001A2E26">
        <w:t xml:space="preserve"> </w:t>
      </w:r>
      <w:r w:rsidRPr="001A2E26">
        <w:rPr>
          <w:sz w:val="22"/>
          <w:szCs w:val="22"/>
        </w:rPr>
        <w:t>u DSUR formatu (engl.</w:t>
      </w:r>
      <w:r>
        <w:rPr>
          <w:sz w:val="22"/>
          <w:szCs w:val="22"/>
        </w:rPr>
        <w:t xml:space="preserve"> </w:t>
      </w:r>
      <w:r w:rsidRPr="00B505A7">
        <w:rPr>
          <w:i/>
          <w:sz w:val="22"/>
          <w:szCs w:val="22"/>
        </w:rPr>
        <w:t>development safety update report</w:t>
      </w:r>
      <w:r w:rsidRPr="001A2E26">
        <w:rPr>
          <w:sz w:val="22"/>
          <w:szCs w:val="22"/>
        </w:rPr>
        <w:t>) propisanom ICH E2F smjernicama</w:t>
      </w:r>
      <w:r w:rsidRPr="002F73B3">
        <w:rPr>
          <w:sz w:val="22"/>
          <w:szCs w:val="22"/>
        </w:rPr>
        <w:t xml:space="preserve">. HALMED </w:t>
      </w:r>
      <w:r>
        <w:rPr>
          <w:sz w:val="22"/>
          <w:szCs w:val="22"/>
        </w:rPr>
        <w:t xml:space="preserve">također </w:t>
      </w:r>
      <w:r w:rsidRPr="002F73B3">
        <w:rPr>
          <w:sz w:val="22"/>
          <w:szCs w:val="22"/>
        </w:rPr>
        <w:t xml:space="preserve">ocjenjuje </w:t>
      </w:r>
      <w:r>
        <w:rPr>
          <w:sz w:val="22"/>
          <w:szCs w:val="22"/>
        </w:rPr>
        <w:t>ASR-ove za sve lijekove za koje se u Hrvatskoj provode klinička ispitivanja,</w:t>
      </w:r>
      <w:r w:rsidRPr="002F73B3">
        <w:rPr>
          <w:sz w:val="22"/>
          <w:szCs w:val="22"/>
        </w:rPr>
        <w:t xml:space="preserve"> </w:t>
      </w:r>
      <w:r>
        <w:rPr>
          <w:color w:val="000000"/>
          <w:sz w:val="22"/>
          <w:szCs w:val="22"/>
        </w:rPr>
        <w:t>te</w:t>
      </w:r>
      <w:r w:rsidRPr="002F73B3">
        <w:rPr>
          <w:color w:val="000000"/>
          <w:sz w:val="22"/>
          <w:szCs w:val="22"/>
        </w:rPr>
        <w:t xml:space="preserve"> o provedenoj ocjeni izvještava članove Središnjeg etičkog povjerenstva (SEP) na redovitim sjednicama.</w:t>
      </w:r>
    </w:p>
    <w:p w14:paraId="46B31F8B" w14:textId="77777777" w:rsidR="0085421A" w:rsidRPr="002F73B3" w:rsidRDefault="0085421A" w:rsidP="0085421A">
      <w:pPr>
        <w:spacing w:line="276" w:lineRule="auto"/>
        <w:jc w:val="both"/>
      </w:pPr>
    </w:p>
    <w:p w14:paraId="60CE04F7" w14:textId="77777777" w:rsidR="0085421A" w:rsidRPr="002F73B3" w:rsidRDefault="0085421A" w:rsidP="0085421A">
      <w:pPr>
        <w:spacing w:line="276" w:lineRule="auto"/>
        <w:jc w:val="both"/>
      </w:pPr>
      <w:r w:rsidRPr="002F73B3">
        <w:t xml:space="preserve">U izvještajnom razdoblju HALMED je ocijenio </w:t>
      </w:r>
      <w:r>
        <w:t>133</w:t>
      </w:r>
      <w:r w:rsidRPr="002F73B3">
        <w:t xml:space="preserve"> </w:t>
      </w:r>
      <w:r>
        <w:t>ASR u svrhu izvještavanja na sjednicama SEP-a, te dodatno 3 ASR-a u vidu saMS ocjene</w:t>
      </w:r>
      <w:r w:rsidRPr="002F73B3">
        <w:t>. Navedeni podaci o izvršenju iskazani su u Tablici 7.</w:t>
      </w:r>
    </w:p>
    <w:p w14:paraId="5AA16008" w14:textId="77777777" w:rsidR="0085421A" w:rsidRPr="002F73B3" w:rsidRDefault="0085421A" w:rsidP="0085421A">
      <w:pPr>
        <w:pStyle w:val="Heading3"/>
      </w:pPr>
      <w:bookmarkStart w:id="100" w:name="_Toc514929952"/>
      <w:bookmarkStart w:id="101" w:name="_Toc530140513"/>
      <w:bookmarkStart w:id="102" w:name="_Toc26534631"/>
      <w:bookmarkStart w:id="103" w:name="_Toc165035452"/>
      <w:r w:rsidRPr="002F73B3">
        <w:lastRenderedPageBreak/>
        <w:t>2.2.5. Ocjena neintervencijskih ispitivanja</w:t>
      </w:r>
      <w:bookmarkEnd w:id="100"/>
      <w:bookmarkEnd w:id="101"/>
      <w:bookmarkEnd w:id="102"/>
      <w:bookmarkEnd w:id="103"/>
      <w:r w:rsidRPr="002F73B3">
        <w:t xml:space="preserve"> </w:t>
      </w:r>
    </w:p>
    <w:p w14:paraId="7BEDE6BF" w14:textId="77777777" w:rsidR="0085421A" w:rsidRPr="002F73B3" w:rsidRDefault="0085421A" w:rsidP="0085421A">
      <w:pPr>
        <w:spacing w:line="276" w:lineRule="auto"/>
        <w:jc w:val="both"/>
        <w:rPr>
          <w:bCs/>
        </w:rPr>
      </w:pPr>
      <w:r w:rsidRPr="002F73B3">
        <w:rPr>
          <w:bCs/>
        </w:rPr>
        <w:t xml:space="preserve">Neintervencijska ispitivanja su ispitivanja u kojima se lijek propisuje u skladu s odobrenjem za stavljanje u promet. Uključivanje bolesnika u određeni terapijski postupak nije unaprijed određeno planom ispitivanja nego se provodi sukladno uobičajenoj praksi, a propisivanje lijeka je neovisno o odluci o tome da se bolesnika uključi u ispitivanje. Dodatni dijagnostički postupci i postupci praćenja bolesnika ne provode se, već se koriste epidemiološke metode za analizu prikupljenih podataka. HALMED ocjenjuje dokumentaciju za provođenje neintervencijskih ispitivanja. Pritom se pregledava plan ispitivanja s naglaskom na cilj ispitivanja, metodologiju (dizajn studije, izvori podataka, kriteriji uključivanja, kriteriji isključivanja, upravljanje podacima, analiza podataka, upravljanje kvalitetom, ograničenja ispitne metode) i postupanje s nuspojavama/štetnim događajima. Također se prilikom ocjene uzima u obzir druga podnesena dokumentacija poput informiranog pristanka za bolesnika i test liste ispitanika te daje Mišljenje za provođenje neintervencijskog ispitivanja lijekova. </w:t>
      </w:r>
    </w:p>
    <w:p w14:paraId="70BA3767" w14:textId="77777777" w:rsidR="0085421A" w:rsidRPr="002F73B3" w:rsidRDefault="0085421A" w:rsidP="0085421A">
      <w:pPr>
        <w:spacing w:line="276" w:lineRule="auto"/>
        <w:jc w:val="both"/>
      </w:pPr>
    </w:p>
    <w:p w14:paraId="32EC5ABD" w14:textId="77777777" w:rsidR="0085421A" w:rsidRPr="002F73B3" w:rsidRDefault="0085421A" w:rsidP="0085421A">
      <w:pPr>
        <w:spacing w:line="276" w:lineRule="auto"/>
        <w:jc w:val="both"/>
      </w:pPr>
      <w:r w:rsidRPr="002F73B3">
        <w:t xml:space="preserve">U izvještajnom razdoblju provedena je inicijalna ocjena za </w:t>
      </w:r>
      <w:r>
        <w:t>4</w:t>
      </w:r>
      <w:r w:rsidRPr="002F73B3">
        <w:t xml:space="preserve"> neintervencijska ispitivanja te </w:t>
      </w:r>
      <w:r>
        <w:t>su</w:t>
      </w:r>
      <w:r w:rsidRPr="002F73B3">
        <w:t xml:space="preserve"> ocijenjen</w:t>
      </w:r>
      <w:r>
        <w:t>e</w:t>
      </w:r>
      <w:r w:rsidRPr="002F73B3">
        <w:t xml:space="preserve"> </w:t>
      </w:r>
      <w:r>
        <w:t>2</w:t>
      </w:r>
      <w:r w:rsidRPr="002F73B3">
        <w:t xml:space="preserve"> već</w:t>
      </w:r>
      <w:r>
        <w:t>e</w:t>
      </w:r>
      <w:r w:rsidRPr="002F73B3">
        <w:t xml:space="preserve"> izmjen</w:t>
      </w:r>
      <w:r>
        <w:t>e</w:t>
      </w:r>
      <w:r w:rsidRPr="002F73B3">
        <w:t xml:space="preserve"> prethodno odobren</w:t>
      </w:r>
      <w:r>
        <w:t>ih</w:t>
      </w:r>
      <w:r w:rsidRPr="002F73B3">
        <w:t xml:space="preserve"> neintervencijsk</w:t>
      </w:r>
      <w:r>
        <w:t>ih</w:t>
      </w:r>
      <w:r w:rsidRPr="002F73B3">
        <w:t xml:space="preserve"> ispitivanja i </w:t>
      </w:r>
      <w:r>
        <w:t>2</w:t>
      </w:r>
      <w:r w:rsidRPr="002F73B3">
        <w:t xml:space="preserve"> manj</w:t>
      </w:r>
      <w:r>
        <w:t>e</w:t>
      </w:r>
      <w:r w:rsidRPr="002F73B3">
        <w:t xml:space="preserve"> izmjen</w:t>
      </w:r>
      <w:r>
        <w:t>e</w:t>
      </w:r>
      <w:r w:rsidRPr="002F73B3">
        <w:t xml:space="preserve"> prethodno odobren</w:t>
      </w:r>
      <w:r>
        <w:t>ih</w:t>
      </w:r>
      <w:r w:rsidRPr="002F73B3">
        <w:t xml:space="preserve"> neintervencijsk</w:t>
      </w:r>
      <w:r>
        <w:t>ih</w:t>
      </w:r>
      <w:r w:rsidRPr="002F73B3">
        <w:t xml:space="preserve"> ispitivanja. Navedeni podaci o izvršenju prikazani su u Tablici 7.</w:t>
      </w:r>
    </w:p>
    <w:p w14:paraId="3061C2ED" w14:textId="77777777" w:rsidR="0085421A" w:rsidRPr="002F73B3" w:rsidRDefault="0085421A" w:rsidP="0085421A">
      <w:pPr>
        <w:pStyle w:val="Heading3"/>
      </w:pPr>
      <w:bookmarkStart w:id="104" w:name="_Toc514929953"/>
      <w:bookmarkStart w:id="105" w:name="_Toc530140514"/>
      <w:bookmarkStart w:id="106" w:name="_Toc26534632"/>
      <w:bookmarkStart w:id="107" w:name="_Toc165035453"/>
      <w:r w:rsidRPr="002F73B3">
        <w:t>2.2.6. Odobravanje dodatnih mjera minimizacije rizika</w:t>
      </w:r>
      <w:bookmarkEnd w:id="104"/>
      <w:bookmarkEnd w:id="105"/>
      <w:bookmarkEnd w:id="106"/>
      <w:r w:rsidRPr="002F73B3">
        <w:t xml:space="preserve"> (dMMR)</w:t>
      </w:r>
      <w:bookmarkEnd w:id="107"/>
    </w:p>
    <w:p w14:paraId="317FD5C4" w14:textId="77777777" w:rsidR="0085421A" w:rsidRPr="002F73B3" w:rsidRDefault="0085421A" w:rsidP="0085421A">
      <w:pPr>
        <w:spacing w:line="276" w:lineRule="auto"/>
        <w:jc w:val="both"/>
      </w:pPr>
      <w:r w:rsidRPr="002F73B3">
        <w:rPr>
          <w:rFonts w:cs="Arial"/>
        </w:rPr>
        <w:t>Mjere minimizacije rizika (MMR) su intervencije i aktivnosti koje se provode kako bi se spriječila ili smanjila mogućnost pojave nuspojava povezanih s izloženošću lijeku ili kako bi se u slučaju pojave nuspojava smanjila njihova težina i utjecaj na bolesnika. MMR-ovi se dijele na rutinske i dodatne. Sadržaj dodatnih MMR-ova odobrava HALMED, a njihova svrha je pružanje važnih informacija o određenoj važnoj nuspojavi odnosno riziku primjene lijeka.</w:t>
      </w:r>
      <w:r w:rsidRPr="002F73B3" w:rsidDel="00D260DF">
        <w:rPr>
          <w:rFonts w:cs="Arial"/>
        </w:rPr>
        <w:t xml:space="preserve"> </w:t>
      </w:r>
      <w:r w:rsidRPr="002F73B3">
        <w:rPr>
          <w:rFonts w:cs="Arial"/>
        </w:rPr>
        <w:t xml:space="preserve">Primjeri dodatnih MMR-ova su edukacijski programi (poput edukacijskih materijala u obliku knjižice, brošure, kartice i slično), kontrolirani pristup lijeku te druge mjere poput programa prevencije trudnoće i pisama zdravstvenim radnicima. </w:t>
      </w:r>
    </w:p>
    <w:p w14:paraId="1038879D" w14:textId="77777777" w:rsidR="0085421A" w:rsidRPr="002F73B3" w:rsidRDefault="0085421A" w:rsidP="0085421A">
      <w:pPr>
        <w:spacing w:line="276" w:lineRule="auto"/>
        <w:jc w:val="both"/>
      </w:pPr>
    </w:p>
    <w:p w14:paraId="63B7497B" w14:textId="77777777" w:rsidR="0085421A" w:rsidRPr="002F73B3" w:rsidRDefault="0085421A" w:rsidP="0085421A">
      <w:pPr>
        <w:spacing w:line="276" w:lineRule="auto"/>
        <w:jc w:val="both"/>
      </w:pPr>
      <w:r w:rsidRPr="002F73B3">
        <w:t>Podaci o broju odobrenih dodatnih MMR-ova i izmjena dodatnih MMR-ova u izvještajnom razdoblju prikazani su u Tablici 7.</w:t>
      </w:r>
    </w:p>
    <w:p w14:paraId="098ADD69" w14:textId="77777777" w:rsidR="0085421A" w:rsidRPr="002F73B3" w:rsidRDefault="0085421A" w:rsidP="0085421A">
      <w:pPr>
        <w:pStyle w:val="Heading3"/>
      </w:pPr>
      <w:bookmarkStart w:id="108" w:name="_Toc514929954"/>
      <w:bookmarkStart w:id="109" w:name="_Toc530140515"/>
      <w:bookmarkStart w:id="110" w:name="_Toc26534633"/>
      <w:bookmarkStart w:id="111" w:name="_Toc165035454"/>
      <w:r w:rsidRPr="002F73B3">
        <w:t>2.2.7. Odobravanje lokalne osobe odgovorne za farmakovigilanciju i zamjenika</w:t>
      </w:r>
      <w:bookmarkEnd w:id="108"/>
      <w:bookmarkEnd w:id="109"/>
      <w:bookmarkEnd w:id="110"/>
      <w:r w:rsidRPr="002F73B3">
        <w:t xml:space="preserve"> (lQPPV)</w:t>
      </w:r>
      <w:bookmarkEnd w:id="111"/>
    </w:p>
    <w:p w14:paraId="2F5CC3F0" w14:textId="77777777" w:rsidR="0085421A" w:rsidRPr="002F73B3" w:rsidRDefault="0085421A" w:rsidP="0085421A">
      <w:pPr>
        <w:spacing w:line="276" w:lineRule="auto"/>
        <w:jc w:val="both"/>
        <w:rPr>
          <w:bCs/>
        </w:rPr>
      </w:pPr>
      <w:r w:rsidRPr="002F73B3">
        <w:rPr>
          <w:bCs/>
        </w:rPr>
        <w:t>Lokalna odgovorna osoba za farmakovigilanciju je odgovorna za uspostavljanje i provođenje farmakovigilancijskog sustava nositelja odobrenja za stavljanje lijeka u promet u Republici Hrvatskoj.</w:t>
      </w:r>
    </w:p>
    <w:p w14:paraId="14D589E9" w14:textId="77777777" w:rsidR="0085421A" w:rsidRPr="002F73B3" w:rsidRDefault="0085421A" w:rsidP="0085421A">
      <w:pPr>
        <w:spacing w:line="276" w:lineRule="auto"/>
        <w:jc w:val="both"/>
      </w:pPr>
    </w:p>
    <w:p w14:paraId="5F185A34" w14:textId="77777777" w:rsidR="0085421A" w:rsidRPr="002F73B3" w:rsidRDefault="0085421A" w:rsidP="0085421A">
      <w:pPr>
        <w:spacing w:line="276" w:lineRule="auto"/>
        <w:jc w:val="both"/>
      </w:pPr>
      <w:r w:rsidRPr="002F73B3">
        <w:t xml:space="preserve">Podaci o broju odobrenih lokalnih odgovornih </w:t>
      </w:r>
      <w:r w:rsidRPr="002F73B3">
        <w:rPr>
          <w:bCs/>
        </w:rPr>
        <w:t xml:space="preserve">osoba za farmakovigilanciju i njihovih zamjenika </w:t>
      </w:r>
      <w:r w:rsidRPr="002F73B3">
        <w:t>u izvještajnom razdoblju prikazani su u Tablici 8.</w:t>
      </w:r>
    </w:p>
    <w:p w14:paraId="44495D53" w14:textId="77777777" w:rsidR="0085421A" w:rsidRPr="002F73B3" w:rsidRDefault="0085421A" w:rsidP="0085421A">
      <w:pPr>
        <w:pStyle w:val="Heading3"/>
      </w:pPr>
      <w:bookmarkStart w:id="112" w:name="_Toc514929955"/>
      <w:bookmarkStart w:id="113" w:name="_Toc530140516"/>
      <w:bookmarkStart w:id="114" w:name="_Toc26534634"/>
      <w:bookmarkStart w:id="115" w:name="_Toc165035455"/>
      <w:r w:rsidRPr="002F73B3">
        <w:t>2.2.8. Informiranje o sigurnosti primjene lijekova</w:t>
      </w:r>
      <w:bookmarkEnd w:id="112"/>
      <w:bookmarkEnd w:id="113"/>
      <w:bookmarkEnd w:id="114"/>
      <w:bookmarkEnd w:id="115"/>
    </w:p>
    <w:p w14:paraId="4D8E0A39" w14:textId="77777777" w:rsidR="0085421A" w:rsidRPr="002F73B3" w:rsidRDefault="0085421A" w:rsidP="0085421A">
      <w:pPr>
        <w:spacing w:line="276" w:lineRule="auto"/>
        <w:jc w:val="both"/>
      </w:pPr>
      <w:r w:rsidRPr="002F73B3">
        <w:t xml:space="preserve">HALMED redovito obavještava zdravstvene radnike, pacijente i nositelje odobrenja o sigurnosnim pitanjima te razmjenjuje informacije s regulatornim tijelima EU-a. HALMED pruža „on-line“ informacije o sigurnosti </w:t>
      </w:r>
      <w:r w:rsidRPr="002F73B3">
        <w:lastRenderedPageBreak/>
        <w:t>primjene lijekova za javnost putem internetske stranice i daje dodatne informacije na zahtjev javnosti (građani, novinari).</w:t>
      </w:r>
    </w:p>
    <w:p w14:paraId="5D2B1B13" w14:textId="77777777" w:rsidR="0085421A" w:rsidRPr="002F73B3" w:rsidRDefault="0085421A" w:rsidP="0085421A">
      <w:pPr>
        <w:spacing w:line="276" w:lineRule="auto"/>
        <w:jc w:val="both"/>
      </w:pPr>
      <w:r w:rsidRPr="002F73B3">
        <w:t xml:space="preserve">S ciljem izvještavanja zdravstvenih radnika, bolesnika i šire javnosti o pitanjima koja se odnose na sigurnost primjene lijekova, HALMED takve informacije redovito objavljuje na svojim internetskim stranicama. </w:t>
      </w:r>
    </w:p>
    <w:p w14:paraId="59BA9718" w14:textId="77777777" w:rsidR="0085421A" w:rsidRPr="002F73B3" w:rsidRDefault="0085421A" w:rsidP="0085421A">
      <w:pPr>
        <w:spacing w:line="276" w:lineRule="auto"/>
        <w:jc w:val="both"/>
      </w:pPr>
      <w:r w:rsidRPr="002F73B3">
        <w:t>Podaci o broju pripremljenih tekstova o sigurnosti primjene lijekova za internetske stranice HALMED-a u izvještajnom razdoblju prikazani su u Tablici 8.</w:t>
      </w:r>
    </w:p>
    <w:p w14:paraId="664362D6" w14:textId="77777777" w:rsidR="0085421A" w:rsidRPr="002F73B3" w:rsidRDefault="0085421A" w:rsidP="0085421A">
      <w:pPr>
        <w:jc w:val="both"/>
      </w:pPr>
    </w:p>
    <w:p w14:paraId="423393E5" w14:textId="77777777" w:rsidR="0085421A" w:rsidRPr="002F73B3" w:rsidRDefault="0085421A" w:rsidP="0085421A">
      <w:pPr>
        <w:spacing w:line="276" w:lineRule="auto"/>
        <w:jc w:val="both"/>
      </w:pPr>
      <w:r w:rsidRPr="002F73B3">
        <w:t xml:space="preserve">Razmjena informacija koje ne zahtijevaju hitno postupanje (engl. </w:t>
      </w:r>
      <w:r w:rsidRPr="002F73B3">
        <w:rPr>
          <w:i/>
        </w:rPr>
        <w:t>Non Urgent Information</w:t>
      </w:r>
      <w:r w:rsidRPr="002F73B3">
        <w:t xml:space="preserve">, NUI) s regulatornim tijelima EU odvija se elektronički putem sustava </w:t>
      </w:r>
      <w:r w:rsidRPr="002F73B3">
        <w:rPr>
          <w:i/>
        </w:rPr>
        <w:t>European Pharmacovigilance Issues Tracking Tool</w:t>
      </w:r>
      <w:r w:rsidRPr="002F73B3">
        <w:t xml:space="preserve"> (EPITT). Obuhvaća odgovore i komentare vezane za aktualna sigurnosna pitanja, odobrene lijekove i djelatne tvari u Republici Hrvatskoj te sve relevantne podatke o sigurnosti primjene lijekova koje je zatražila neka od država članica EU-a. </w:t>
      </w:r>
    </w:p>
    <w:p w14:paraId="4FBD7E19" w14:textId="77777777" w:rsidR="0085421A" w:rsidRPr="002F73B3" w:rsidRDefault="0085421A" w:rsidP="0085421A">
      <w:pPr>
        <w:spacing w:line="276" w:lineRule="auto"/>
        <w:jc w:val="both"/>
      </w:pPr>
      <w:r w:rsidRPr="002F73B3">
        <w:t>Podaci o broju odgovorenih NUI-a poslanih od država članica EU-a i podaci o broju poslanih NUI-a od RH u izvještajnom  razdoblju prikazani su u Tablici 8.</w:t>
      </w:r>
    </w:p>
    <w:p w14:paraId="339B70FB" w14:textId="77777777" w:rsidR="0085421A" w:rsidRPr="002F73B3" w:rsidRDefault="0085421A" w:rsidP="0085421A">
      <w:pPr>
        <w:spacing w:line="276" w:lineRule="auto"/>
        <w:jc w:val="both"/>
      </w:pPr>
    </w:p>
    <w:p w14:paraId="6D4A163C" w14:textId="77777777" w:rsidR="0085421A" w:rsidRPr="002F73B3" w:rsidRDefault="0085421A" w:rsidP="0085421A">
      <w:pPr>
        <w:spacing w:line="276" w:lineRule="auto"/>
        <w:jc w:val="both"/>
      </w:pPr>
      <w:r w:rsidRPr="002F73B3">
        <w:t xml:space="preserve">S ciljem izvještavanja o novim informacijama vezanima uz sigurnost primjene lijekova, HALMED odobrava tekst pisma zdravstvenim radnicima (engl. </w:t>
      </w:r>
      <w:r w:rsidRPr="002F73B3">
        <w:rPr>
          <w:i/>
        </w:rPr>
        <w:t>Direct Healthcare Professional Communication</w:t>
      </w:r>
      <w:r w:rsidRPr="002F73B3">
        <w:t xml:space="preserve">, DHPC) kojeg upućuju nositelji odobrenja ili HALMED, a sadržaj DHPC-a uz popratnu novost objavljuje na svojim internetskim stranicama. U slučaju lijekova koji se nalaze na listama lijekova HZZO-a, HALMED o upućenim DHPC-ima, uz Ministarstvo zdravstva, obavještava i HZZO te se dodatna dostupnost DHPC-a osigurava kroz Centralni zdravstveni informacijski sustav Republike Hrvatske suradnjom djelatnika HALMED-a i djelatnika HZZO-a. </w:t>
      </w:r>
    </w:p>
    <w:p w14:paraId="4E43FFD2" w14:textId="77777777" w:rsidR="0085421A" w:rsidRPr="002F73B3" w:rsidRDefault="0085421A" w:rsidP="0085421A">
      <w:pPr>
        <w:spacing w:line="276" w:lineRule="auto"/>
        <w:jc w:val="both"/>
      </w:pPr>
    </w:p>
    <w:p w14:paraId="21B9F73A" w14:textId="77777777" w:rsidR="0085421A" w:rsidRPr="002F73B3" w:rsidRDefault="0085421A" w:rsidP="0085421A">
      <w:pPr>
        <w:spacing w:line="276" w:lineRule="auto"/>
        <w:jc w:val="both"/>
      </w:pPr>
      <w:r w:rsidRPr="002F73B3">
        <w:t xml:space="preserve">Podaci o broju odobrenih DHPC-a u izvještajnom razdoblju prikazani su u Tablici 8. </w:t>
      </w:r>
    </w:p>
    <w:p w14:paraId="764E4109" w14:textId="77777777" w:rsidR="0085421A" w:rsidRPr="002F73B3" w:rsidRDefault="0085421A" w:rsidP="0085421A">
      <w:pPr>
        <w:spacing w:line="276" w:lineRule="auto"/>
        <w:jc w:val="both"/>
      </w:pPr>
    </w:p>
    <w:p w14:paraId="3321F5B9" w14:textId="77777777" w:rsidR="0085421A" w:rsidRPr="002F73B3" w:rsidRDefault="0085421A" w:rsidP="0085421A">
      <w:pPr>
        <w:spacing w:line="276" w:lineRule="auto"/>
        <w:jc w:val="both"/>
      </w:pPr>
      <w:r w:rsidRPr="002F73B3">
        <w:t xml:space="preserve">HALMED redovito odgovara na upite javnosti (građani, novinari) vezane uz sigurnost primjene lijekova. </w:t>
      </w:r>
    </w:p>
    <w:p w14:paraId="38DC92FF" w14:textId="77777777" w:rsidR="0085421A" w:rsidRPr="002F73B3" w:rsidRDefault="0085421A" w:rsidP="0085421A">
      <w:pPr>
        <w:spacing w:line="276" w:lineRule="auto"/>
        <w:jc w:val="both"/>
      </w:pPr>
      <w:r w:rsidRPr="002F73B3">
        <w:t>Podaci o broju pripremljenih odgovora u izvještajnom razdoblju prikazani su u Tablici 8.</w:t>
      </w:r>
    </w:p>
    <w:p w14:paraId="010023D9" w14:textId="77777777" w:rsidR="0085421A" w:rsidRDefault="0085421A" w:rsidP="0085421A">
      <w:pPr>
        <w:spacing w:line="276" w:lineRule="auto"/>
        <w:jc w:val="both"/>
      </w:pPr>
    </w:p>
    <w:p w14:paraId="7D6BDBD3" w14:textId="0504C124" w:rsidR="0085421A" w:rsidRPr="002F73B3" w:rsidRDefault="0085421A" w:rsidP="0085421A">
      <w:pPr>
        <w:spacing w:line="276" w:lineRule="auto"/>
        <w:jc w:val="both"/>
      </w:pPr>
      <w:r>
        <w:t xml:space="preserve">Kreiran je 1. farmakovigilancijski </w:t>
      </w:r>
      <w:r w:rsidR="00722E10">
        <w:t>b</w:t>
      </w:r>
      <w:r>
        <w:t xml:space="preserve">ilten koji sadrži informacije o sigurnosti primjene lijekova koje su postale dostupne tijekom 2023. godine. Bilten je objavljen i distribuiran u informacijskom sustavu OPeKOM. </w:t>
      </w:r>
    </w:p>
    <w:p w14:paraId="2DDD1D00" w14:textId="77777777" w:rsidR="0085421A" w:rsidRPr="002F73B3" w:rsidRDefault="0085421A" w:rsidP="0085421A">
      <w:pPr>
        <w:pStyle w:val="Heading3"/>
      </w:pPr>
      <w:bookmarkStart w:id="116" w:name="_Toc514929956"/>
      <w:bookmarkStart w:id="117" w:name="_Toc530140517"/>
      <w:bookmarkStart w:id="118" w:name="_Toc26534635"/>
      <w:bookmarkStart w:id="119" w:name="_Toc165035456"/>
      <w:r w:rsidRPr="002F73B3">
        <w:t>2.2.9. Detekcija i ocjena signala</w:t>
      </w:r>
      <w:bookmarkEnd w:id="116"/>
      <w:bookmarkEnd w:id="117"/>
      <w:bookmarkEnd w:id="118"/>
      <w:bookmarkEnd w:id="119"/>
      <w:r w:rsidRPr="002F73B3">
        <w:t xml:space="preserve"> </w:t>
      </w:r>
    </w:p>
    <w:p w14:paraId="16AE44DF" w14:textId="77777777" w:rsidR="0085421A" w:rsidRPr="002F73B3" w:rsidRDefault="0085421A" w:rsidP="0085421A">
      <w:pPr>
        <w:spacing w:after="240" w:line="276" w:lineRule="auto"/>
        <w:jc w:val="both"/>
        <w:rPr>
          <w:rFonts w:eastAsia="Times New Roman" w:cstheme="minorHAnsi"/>
          <w:color w:val="000000"/>
        </w:rPr>
      </w:pPr>
      <w:r w:rsidRPr="002F73B3">
        <w:rPr>
          <w:rFonts w:eastAsia="Times New Roman" w:cstheme="minorHAnsi"/>
          <w:color w:val="000000"/>
        </w:rPr>
        <w:t>Signal je informacija koja potječe iz jednog ili više izvora, a ukazuje na novu potencijalnu uzročno-posljedičnu vezu ili novi aspekt već poznate veze između intervencije i događaja ili niza povezanih događaja, bilo štetnih ili korisnih, za koje se procijeni da postoji dovoljna vjerojatnost za pokretanje postupka verifikacije.</w:t>
      </w:r>
    </w:p>
    <w:p w14:paraId="3694D782" w14:textId="77777777" w:rsidR="0085421A" w:rsidRPr="002F73B3" w:rsidRDefault="0085421A" w:rsidP="0085421A">
      <w:pPr>
        <w:spacing w:after="240" w:line="276" w:lineRule="auto"/>
        <w:jc w:val="both"/>
        <w:rPr>
          <w:rFonts w:eastAsia="Times New Roman" w:cstheme="minorHAnsi"/>
          <w:color w:val="000000"/>
        </w:rPr>
      </w:pPr>
      <w:r w:rsidRPr="002F73B3">
        <w:rPr>
          <w:rFonts w:eastAsia="Times New Roman" w:cstheme="minorHAnsi"/>
          <w:color w:val="000000"/>
        </w:rPr>
        <w:t xml:space="preserve">Kroz sudjelovanje u </w:t>
      </w:r>
      <w:r w:rsidRPr="002F73B3">
        <w:rPr>
          <w:rFonts w:eastAsia="Times New Roman" w:cstheme="minorHAnsi"/>
          <w:i/>
          <w:color w:val="000000"/>
        </w:rPr>
        <w:t>Signal Management WorkSharingu</w:t>
      </w:r>
      <w:r w:rsidRPr="002F73B3">
        <w:rPr>
          <w:rFonts w:eastAsia="Times New Roman" w:cstheme="minorHAnsi"/>
          <w:color w:val="000000"/>
        </w:rPr>
        <w:t xml:space="preserve"> Hrvatska je od 2014. godine zadužena za detekciju signala za 36 djelatnih tvari ili kombinacije djelatnih tvari kao vodeća zemlja članica EU-a (engl. </w:t>
      </w:r>
      <w:r w:rsidRPr="002F73B3">
        <w:rPr>
          <w:rFonts w:eastAsia="Times New Roman" w:cstheme="minorHAnsi"/>
          <w:i/>
          <w:color w:val="000000"/>
        </w:rPr>
        <w:t>lead member state</w:t>
      </w:r>
      <w:r w:rsidRPr="002F73B3">
        <w:rPr>
          <w:rFonts w:eastAsia="Times New Roman" w:cstheme="minorHAnsi"/>
          <w:color w:val="000000"/>
        </w:rPr>
        <w:t>). Djelatnici HALMED-a također sudjeluju u ocjeni već potvrđenih signala od strane EMA-e i vodećih zemalja članica EU-a, u suradnji s Povjerenstvom za sigurnost primjene lijekova HALMED-a, kao potpora radu hrvatskih predstavnika u PRAC-u.</w:t>
      </w:r>
    </w:p>
    <w:p w14:paraId="071C6E6C" w14:textId="77777777" w:rsidR="0085421A" w:rsidRPr="002F73B3" w:rsidRDefault="0085421A" w:rsidP="0085421A">
      <w:pPr>
        <w:spacing w:line="276" w:lineRule="auto"/>
        <w:jc w:val="both"/>
      </w:pPr>
      <w:r w:rsidRPr="002F73B3">
        <w:rPr>
          <w:rFonts w:eastAsia="Times New Roman" w:cstheme="minorHAnsi"/>
        </w:rPr>
        <w:t>Podaci o broju ocijenjenih signala u izvještajnom razdoblju prikazani su u Tablici 8.</w:t>
      </w:r>
      <w:r w:rsidRPr="002F73B3">
        <w:rPr>
          <w:rFonts w:eastAsia="Times New Roman" w:cstheme="minorHAnsi"/>
          <w:color w:val="000000"/>
        </w:rPr>
        <w:t xml:space="preserve"> </w:t>
      </w:r>
    </w:p>
    <w:p w14:paraId="68C4D0B1" w14:textId="77777777" w:rsidR="0085421A" w:rsidRPr="002F73B3" w:rsidRDefault="0085421A" w:rsidP="0085421A">
      <w:pPr>
        <w:pStyle w:val="Heading3"/>
      </w:pPr>
      <w:bookmarkStart w:id="120" w:name="_Toc514929957"/>
      <w:bookmarkStart w:id="121" w:name="_Toc530140518"/>
      <w:bookmarkStart w:id="122" w:name="_Toc26534636"/>
      <w:bookmarkStart w:id="123" w:name="_Toc165035457"/>
      <w:r w:rsidRPr="002F73B3">
        <w:lastRenderedPageBreak/>
        <w:t>2.2.10. Održavanje sjednica Povjerenstva za sigurnost primjene lijekova</w:t>
      </w:r>
      <w:bookmarkEnd w:id="120"/>
      <w:bookmarkEnd w:id="121"/>
      <w:bookmarkEnd w:id="122"/>
      <w:bookmarkEnd w:id="123"/>
      <w:r w:rsidRPr="002F73B3">
        <w:t xml:space="preserve"> </w:t>
      </w:r>
    </w:p>
    <w:p w14:paraId="6186FDA0" w14:textId="77777777" w:rsidR="0085421A" w:rsidRPr="002F73B3" w:rsidRDefault="0085421A" w:rsidP="0085421A">
      <w:pPr>
        <w:spacing w:after="240" w:line="276" w:lineRule="auto"/>
        <w:jc w:val="both"/>
        <w:rPr>
          <w:bCs/>
        </w:rPr>
      </w:pPr>
      <w:r w:rsidRPr="002F73B3">
        <w:rPr>
          <w:bCs/>
        </w:rPr>
        <w:t>Povjerenstvo za sigurnost primjene lijekova je stručno tijelo HALMED-a koje sukladno odredbama Zakona o lijekovima i pravilnika za područje lijekova i farmakovigilanciju obavlja poslove u svezi sa sigurnošću primjene lijekova i pruža podršku provođenju farmakovigilancijskih aktivnosti.</w:t>
      </w:r>
    </w:p>
    <w:p w14:paraId="12BCCF79" w14:textId="77777777" w:rsidR="0085421A" w:rsidRPr="002F73B3" w:rsidRDefault="0085421A" w:rsidP="0085421A">
      <w:pPr>
        <w:spacing w:line="276" w:lineRule="auto"/>
        <w:jc w:val="both"/>
        <w:rPr>
          <w:bCs/>
        </w:rPr>
      </w:pPr>
      <w:r w:rsidRPr="002F73B3">
        <w:t>U izvještajnom razdoblju održan</w:t>
      </w:r>
      <w:r>
        <w:t>o</w:t>
      </w:r>
      <w:r w:rsidRPr="002F73B3">
        <w:t xml:space="preserve"> </w:t>
      </w:r>
      <w:r>
        <w:t>je</w:t>
      </w:r>
      <w:r w:rsidRPr="002F73B3">
        <w:t xml:space="preserve"> </w:t>
      </w:r>
      <w:r>
        <w:t>pet</w:t>
      </w:r>
      <w:r w:rsidRPr="002F73B3">
        <w:t xml:space="preserve"> sjednic</w:t>
      </w:r>
      <w:r>
        <w:t>a</w:t>
      </w:r>
      <w:r w:rsidRPr="002F73B3">
        <w:t xml:space="preserve"> </w:t>
      </w:r>
      <w:r w:rsidRPr="002F73B3">
        <w:rPr>
          <w:bCs/>
        </w:rPr>
        <w:t>Povjerenstva za sigurnost primjene lijekova</w:t>
      </w:r>
      <w:r w:rsidRPr="002F73B3">
        <w:rPr>
          <w:b/>
          <w:bCs/>
        </w:rPr>
        <w:t>.</w:t>
      </w:r>
    </w:p>
    <w:p w14:paraId="70702175" w14:textId="77777777" w:rsidR="0085421A" w:rsidRPr="002F73B3" w:rsidRDefault="0085421A" w:rsidP="0085421A">
      <w:pPr>
        <w:pStyle w:val="Heading3"/>
      </w:pPr>
      <w:bookmarkStart w:id="124" w:name="_Toc514929958"/>
      <w:bookmarkStart w:id="125" w:name="_Toc530140519"/>
      <w:bookmarkStart w:id="126" w:name="_Toc26534637"/>
      <w:bookmarkStart w:id="127" w:name="_Toc165035458"/>
      <w:r w:rsidRPr="002F73B3">
        <w:t>2.2.11. Evidencije prijavitelja nuspojava</w:t>
      </w:r>
      <w:bookmarkEnd w:id="124"/>
      <w:bookmarkEnd w:id="125"/>
      <w:bookmarkEnd w:id="126"/>
      <w:bookmarkEnd w:id="127"/>
      <w:r w:rsidRPr="002F73B3">
        <w:t xml:space="preserve"> </w:t>
      </w:r>
    </w:p>
    <w:p w14:paraId="18C070CE" w14:textId="77777777" w:rsidR="0085421A" w:rsidRPr="002F73B3" w:rsidRDefault="0085421A" w:rsidP="0085421A">
      <w:pPr>
        <w:spacing w:after="120" w:line="276" w:lineRule="auto"/>
        <w:jc w:val="both"/>
      </w:pPr>
      <w:r w:rsidRPr="002F73B3">
        <w:rPr>
          <w:color w:val="000000"/>
        </w:rPr>
        <w:t xml:space="preserve">U svrhu trajne edukacije zdravstvenih radnika, HALMED vodi evidencije zdravstvenih radnika koji su HALMED-u prijavili sumnje na nuspojave lijekova i popise </w:t>
      </w:r>
      <w:r w:rsidRPr="002F73B3">
        <w:t>prosljeđuje Hrvatskoj ljekarničkoj komori i Hrvatskoj liječničkoj komori.</w:t>
      </w:r>
    </w:p>
    <w:p w14:paraId="29B44682" w14:textId="77777777" w:rsidR="0085421A" w:rsidRPr="002F73B3" w:rsidRDefault="0085421A" w:rsidP="0085421A">
      <w:pPr>
        <w:spacing w:line="276" w:lineRule="auto"/>
        <w:jc w:val="both"/>
      </w:pPr>
      <w:r w:rsidRPr="002F73B3">
        <w:t xml:space="preserve">Izvršenje ostalih neprihodovnih farmakovigilancijskih aktivnosti u izvještajnom razdoblju prikazano je u Tablici 8. </w:t>
      </w:r>
    </w:p>
    <w:p w14:paraId="0401C17F" w14:textId="77777777" w:rsidR="0085421A" w:rsidRPr="002F73B3" w:rsidRDefault="0085421A" w:rsidP="0085421A">
      <w:pPr>
        <w:pStyle w:val="Heading3"/>
      </w:pPr>
      <w:bookmarkStart w:id="128" w:name="_Toc514929959"/>
      <w:bookmarkStart w:id="129" w:name="_Toc530140520"/>
      <w:bookmarkStart w:id="130" w:name="_Toc26534638"/>
      <w:bookmarkStart w:id="131" w:name="_Toc165035459"/>
      <w:r w:rsidRPr="002F73B3">
        <w:t>2.2.12. Europski poslovi</w:t>
      </w:r>
      <w:bookmarkEnd w:id="128"/>
      <w:bookmarkEnd w:id="129"/>
      <w:bookmarkEnd w:id="130"/>
      <w:bookmarkEnd w:id="131"/>
    </w:p>
    <w:p w14:paraId="5268D790" w14:textId="77777777" w:rsidR="0085421A" w:rsidRPr="002F73B3" w:rsidRDefault="0085421A" w:rsidP="0085421A">
      <w:pPr>
        <w:pStyle w:val="Heading4"/>
      </w:pPr>
      <w:bookmarkStart w:id="132" w:name="_Toc530140521"/>
      <w:r w:rsidRPr="002F73B3">
        <w:t>2.2.12.1. Izvješće o radu HALMED-a u povjerenstvima i radnim skupinama EMA-e</w:t>
      </w:r>
      <w:bookmarkEnd w:id="132"/>
    </w:p>
    <w:p w14:paraId="1B229285" w14:textId="77777777" w:rsidR="0085421A" w:rsidRPr="002F73B3" w:rsidRDefault="0085421A" w:rsidP="0085421A">
      <w:pPr>
        <w:spacing w:before="200" w:after="240"/>
        <w:jc w:val="both"/>
        <w:rPr>
          <w:rFonts w:eastAsia="Times New Roman" w:cstheme="minorHAnsi"/>
          <w:b/>
          <w:i/>
        </w:rPr>
      </w:pPr>
      <w:r w:rsidRPr="00CA7E96">
        <w:rPr>
          <w:b/>
        </w:rPr>
        <w:t xml:space="preserve">A) </w:t>
      </w:r>
      <w:r w:rsidRPr="00CA7E96">
        <w:rPr>
          <w:rFonts w:eastAsia="Times New Roman" w:cstheme="minorHAnsi"/>
          <w:b/>
          <w:bCs/>
        </w:rPr>
        <w:t>Povjerenstvo za ocjenu rizika na području farmakovigilancije (</w:t>
      </w:r>
      <w:r w:rsidRPr="00CA7E96">
        <w:rPr>
          <w:b/>
          <w:bCs/>
          <w:i/>
        </w:rPr>
        <w:t xml:space="preserve">The </w:t>
      </w:r>
      <w:hyperlink r:id="rId30" w:tgtFrame="_blank" w:tooltip="The committee that is responsible for assessing all aspects of the risk management of medicines for human use. Abbreviated as PRAC.More information can be found under 'Pharmacovigilance Risk Assessment Committee (PRAC)'." w:history="1">
        <w:r w:rsidRPr="00CA7E96">
          <w:rPr>
            <w:rStyle w:val="Hyperlink"/>
            <w:b/>
            <w:i/>
            <w:color w:val="auto"/>
            <w:u w:val="none"/>
          </w:rPr>
          <w:t>Pharmacovigilance Risk Assessment Committee</w:t>
        </w:r>
      </w:hyperlink>
      <w:r w:rsidRPr="002F73B3">
        <w:rPr>
          <w:b/>
          <w:bCs/>
          <w:i/>
        </w:rPr>
        <w:t xml:space="preserve">, </w:t>
      </w:r>
      <w:r w:rsidRPr="002F73B3">
        <w:rPr>
          <w:rFonts w:eastAsia="Times New Roman" w:cstheme="minorHAnsi"/>
          <w:b/>
          <w:bCs/>
          <w:i/>
        </w:rPr>
        <w:t xml:space="preserve">PRAC) </w:t>
      </w:r>
    </w:p>
    <w:p w14:paraId="185BBEAD" w14:textId="77777777" w:rsidR="0085421A" w:rsidRPr="002F73B3" w:rsidRDefault="0085421A" w:rsidP="0085421A">
      <w:pPr>
        <w:spacing w:after="240" w:line="276" w:lineRule="auto"/>
        <w:jc w:val="both"/>
      </w:pPr>
      <w:r w:rsidRPr="002F73B3">
        <w:t xml:space="preserve">Povjerenstvo za ocjenu rizika na području farmakovigilancije (PRAC) je povjerenstvo EMA-e sastavljeno od predstavnika država članica EU te drugih imenovanih stručnjaka koje je zaduženo za ocjenu i praćenje sigurnosti primjene lijekova za primjenu u ljudi. PRAC provodi detekciju, ocjenu, minimizaciju i komunikaciju rizika od nuspojava uzimajući u obzir terapijski učinak lijeka, provodi ocjenu post-autorizacijskih sigurnosnih studija i po potrebi daje mišljenje o nalazima farmakovigilancijske inspekcije. Na redovitim mjesečnim sjednicama PRAC-a prezentiraju se zaključci provedenih ocjena pojedinih predmeta te se nakon rasprave usvajaju zaključci koji se prosljeđuju na konačno usvajanje CHMP-u (za centralizirano odobrene lijekove) ili CMDh-u (za lijekove odobrene nacionalnim ili MRP/DCP postupkom). Dnevni redovi i zapisnici sjednica javno se objavljuju na internetskim stranicama EMA-e. </w:t>
      </w:r>
    </w:p>
    <w:p w14:paraId="12AEBBD5" w14:textId="77777777" w:rsidR="0085421A" w:rsidRPr="002F73B3" w:rsidRDefault="0085421A" w:rsidP="0085421A">
      <w:pPr>
        <w:spacing w:after="240" w:line="276" w:lineRule="auto"/>
        <w:jc w:val="both"/>
        <w:rPr>
          <w:rFonts w:cstheme="minorHAnsi"/>
        </w:rPr>
      </w:pPr>
      <w:r w:rsidRPr="002F73B3">
        <w:rPr>
          <w:rFonts w:cstheme="minorHAnsi"/>
        </w:rPr>
        <w:t xml:space="preserve">U PRAC-u Republika Hrvatska ima dva predstavnika HALMED-a. U izvještajnom razdoblju predstavnici HALMED-a su sudjelovali u zasjedanju </w:t>
      </w:r>
      <w:r>
        <w:rPr>
          <w:rFonts w:cstheme="minorHAnsi"/>
        </w:rPr>
        <w:t>dvanaest</w:t>
      </w:r>
      <w:r w:rsidRPr="002F73B3">
        <w:rPr>
          <w:rFonts w:cstheme="minorHAnsi"/>
        </w:rPr>
        <w:t xml:space="preserve"> sjednica</w:t>
      </w:r>
      <w:r>
        <w:rPr>
          <w:rFonts w:cstheme="minorHAnsi"/>
        </w:rPr>
        <w:t>.</w:t>
      </w:r>
      <w:r w:rsidRPr="002F73B3">
        <w:rPr>
          <w:rFonts w:cstheme="minorHAnsi"/>
        </w:rPr>
        <w:t xml:space="preserve"> </w:t>
      </w:r>
    </w:p>
    <w:p w14:paraId="54688AB5" w14:textId="77777777" w:rsidR="0085421A" w:rsidRPr="002F73B3" w:rsidRDefault="0085421A" w:rsidP="0085421A">
      <w:pPr>
        <w:spacing w:after="240" w:line="276" w:lineRule="auto"/>
        <w:jc w:val="both"/>
        <w:rPr>
          <w:rFonts w:cstheme="minorHAnsi"/>
        </w:rPr>
      </w:pPr>
      <w:r w:rsidRPr="002F73B3">
        <w:rPr>
          <w:rFonts w:cstheme="minorHAnsi"/>
        </w:rPr>
        <w:t xml:space="preserve">Republika Hrvatska se natjecala za sudjelovanje u natjecateljskim poslovima PRAC-a i bila imenovana kao glavni izvjestitelj </w:t>
      </w:r>
      <w:r w:rsidRPr="002F73B3">
        <w:t>(</w:t>
      </w:r>
      <w:r w:rsidRPr="002F73B3">
        <w:rPr>
          <w:i/>
          <w:iCs/>
        </w:rPr>
        <w:t>Rapporteur</w:t>
      </w:r>
      <w:r w:rsidRPr="002F73B3">
        <w:t xml:space="preserve">) </w:t>
      </w:r>
      <w:r w:rsidRPr="002F73B3">
        <w:rPr>
          <w:rFonts w:cstheme="minorHAnsi"/>
        </w:rPr>
        <w:t>i suizvjestitelj (</w:t>
      </w:r>
      <w:r w:rsidRPr="002F73B3">
        <w:rPr>
          <w:rFonts w:cstheme="minorHAnsi"/>
          <w:i/>
        </w:rPr>
        <w:t>Co-Rapporteur</w:t>
      </w:r>
      <w:r w:rsidRPr="002F73B3">
        <w:rPr>
          <w:rFonts w:cstheme="minorHAnsi"/>
        </w:rPr>
        <w:t>). Ocijenjeni predmeti u izvještajnom razdoblju bili su:</w:t>
      </w:r>
    </w:p>
    <w:p w14:paraId="499E21A9" w14:textId="77777777" w:rsidR="0085421A" w:rsidRPr="002F73B3" w:rsidRDefault="0085421A" w:rsidP="0085421A">
      <w:pPr>
        <w:pStyle w:val="ListParagraph"/>
        <w:numPr>
          <w:ilvl w:val="0"/>
          <w:numId w:val="18"/>
        </w:numPr>
        <w:rPr>
          <w:rFonts w:cstheme="minorHAnsi"/>
          <w:sz w:val="22"/>
          <w:szCs w:val="22"/>
        </w:rPr>
      </w:pPr>
      <w:r w:rsidRPr="002F73B3">
        <w:rPr>
          <w:rFonts w:cstheme="minorHAnsi"/>
          <w:sz w:val="22"/>
          <w:szCs w:val="22"/>
        </w:rPr>
        <w:t>PRAC izvjestitelj za dvije ocjene periodičkog izvješća iz post-autorizacijske sigurnosne studije koja se provodi za centralizirano odobren lijek Ketoconazole HRA Pharma (ketokonazol; HRA Pharma)</w:t>
      </w:r>
    </w:p>
    <w:p w14:paraId="527E3D6A" w14:textId="77777777" w:rsidR="0085421A" w:rsidRDefault="0085421A" w:rsidP="0085421A">
      <w:pPr>
        <w:pStyle w:val="ListParagraph"/>
        <w:numPr>
          <w:ilvl w:val="0"/>
          <w:numId w:val="18"/>
        </w:numPr>
        <w:jc w:val="both"/>
        <w:rPr>
          <w:rFonts w:eastAsiaTheme="minorHAnsi" w:cstheme="minorHAnsi"/>
          <w:sz w:val="22"/>
          <w:szCs w:val="22"/>
        </w:rPr>
      </w:pPr>
      <w:r w:rsidRPr="002F73B3">
        <w:rPr>
          <w:rFonts w:eastAsiaTheme="minorHAnsi" w:cstheme="minorHAnsi"/>
          <w:sz w:val="22"/>
          <w:szCs w:val="22"/>
        </w:rPr>
        <w:t xml:space="preserve">PRAC izvjestitelj </w:t>
      </w:r>
      <w:r>
        <w:rPr>
          <w:rFonts w:eastAsiaTheme="minorHAnsi" w:cstheme="minorHAnsi"/>
          <w:sz w:val="22"/>
          <w:szCs w:val="22"/>
        </w:rPr>
        <w:t xml:space="preserve">za </w:t>
      </w:r>
      <w:r w:rsidRPr="002F73B3">
        <w:rPr>
          <w:rFonts w:eastAsiaTheme="minorHAnsi" w:cstheme="minorHAnsi"/>
          <w:sz w:val="22"/>
          <w:szCs w:val="22"/>
        </w:rPr>
        <w:t>ocjenu plana upravljanja rizicima (RMP) u centraliziranom postupku odobrenja za lijek Joenja (leniolisib)</w:t>
      </w:r>
    </w:p>
    <w:p w14:paraId="5006F05C" w14:textId="77777777" w:rsidR="0085421A" w:rsidRDefault="0085421A" w:rsidP="0085421A">
      <w:pPr>
        <w:pStyle w:val="ListParagraph"/>
        <w:numPr>
          <w:ilvl w:val="0"/>
          <w:numId w:val="18"/>
        </w:numPr>
        <w:jc w:val="both"/>
        <w:rPr>
          <w:rFonts w:eastAsiaTheme="minorHAnsi" w:cstheme="minorHAnsi"/>
          <w:sz w:val="22"/>
          <w:szCs w:val="22"/>
        </w:rPr>
      </w:pPr>
      <w:r w:rsidRPr="002F73B3">
        <w:rPr>
          <w:rFonts w:eastAsiaTheme="minorHAnsi" w:cstheme="minorHAnsi"/>
          <w:sz w:val="22"/>
          <w:szCs w:val="22"/>
        </w:rPr>
        <w:t xml:space="preserve">PRAC izvjestitelj </w:t>
      </w:r>
      <w:r>
        <w:rPr>
          <w:rFonts w:eastAsiaTheme="minorHAnsi" w:cstheme="minorHAnsi"/>
          <w:sz w:val="22"/>
          <w:szCs w:val="22"/>
        </w:rPr>
        <w:t xml:space="preserve">za </w:t>
      </w:r>
      <w:r w:rsidRPr="002F73B3">
        <w:rPr>
          <w:rFonts w:eastAsiaTheme="minorHAnsi" w:cstheme="minorHAnsi"/>
          <w:sz w:val="22"/>
          <w:szCs w:val="22"/>
        </w:rPr>
        <w:t xml:space="preserve">ocjenu plana upravljanja rizicima (RMP) u centraliziranom postupku odobrenja za lijek </w:t>
      </w:r>
      <w:r w:rsidRPr="00B35FE5">
        <w:rPr>
          <w:rFonts w:eastAsiaTheme="minorHAnsi" w:cstheme="minorHAnsi"/>
          <w:sz w:val="22"/>
          <w:szCs w:val="22"/>
        </w:rPr>
        <w:t>Elrexfio (elranatamab)</w:t>
      </w:r>
    </w:p>
    <w:p w14:paraId="353FE5FE" w14:textId="77777777" w:rsidR="0085421A" w:rsidRPr="002F73B3" w:rsidRDefault="0085421A" w:rsidP="0085421A">
      <w:pPr>
        <w:pStyle w:val="ListParagraph"/>
        <w:numPr>
          <w:ilvl w:val="0"/>
          <w:numId w:val="18"/>
        </w:numPr>
        <w:jc w:val="both"/>
        <w:rPr>
          <w:rFonts w:eastAsiaTheme="minorHAnsi" w:cstheme="minorHAnsi"/>
          <w:sz w:val="22"/>
          <w:szCs w:val="22"/>
        </w:rPr>
      </w:pPr>
      <w:r w:rsidRPr="002F73B3">
        <w:rPr>
          <w:rFonts w:eastAsiaTheme="minorHAnsi" w:cstheme="minorHAnsi"/>
          <w:sz w:val="22"/>
          <w:szCs w:val="22"/>
        </w:rPr>
        <w:lastRenderedPageBreak/>
        <w:t xml:space="preserve">PRAC izvjestitelj </w:t>
      </w:r>
      <w:r>
        <w:rPr>
          <w:rFonts w:eastAsiaTheme="minorHAnsi" w:cstheme="minorHAnsi"/>
          <w:sz w:val="22"/>
          <w:szCs w:val="22"/>
        </w:rPr>
        <w:t xml:space="preserve">za </w:t>
      </w:r>
      <w:r w:rsidRPr="002F73B3">
        <w:rPr>
          <w:rFonts w:eastAsiaTheme="minorHAnsi" w:cstheme="minorHAnsi"/>
          <w:sz w:val="22"/>
          <w:szCs w:val="22"/>
        </w:rPr>
        <w:t>ocjenu plana upravljanja rizicima (RMP) u centraliziranom postupku odobrenja za lijek</w:t>
      </w:r>
      <w:r>
        <w:rPr>
          <w:rFonts w:eastAsiaTheme="minorHAnsi" w:cstheme="minorHAnsi"/>
          <w:sz w:val="22"/>
          <w:szCs w:val="22"/>
        </w:rPr>
        <w:t xml:space="preserve"> Nintedanib Accord (nintedanib)</w:t>
      </w:r>
    </w:p>
    <w:p w14:paraId="6F6722AD" w14:textId="77777777" w:rsidR="0085421A" w:rsidRPr="002F73B3" w:rsidRDefault="0085421A" w:rsidP="0085421A">
      <w:pPr>
        <w:pStyle w:val="ListParagraph"/>
        <w:numPr>
          <w:ilvl w:val="0"/>
          <w:numId w:val="18"/>
        </w:numPr>
        <w:jc w:val="both"/>
        <w:rPr>
          <w:rFonts w:eastAsiaTheme="minorHAnsi" w:cstheme="minorHAnsi"/>
          <w:sz w:val="22"/>
          <w:szCs w:val="22"/>
        </w:rPr>
      </w:pPr>
      <w:r w:rsidRPr="002F73B3">
        <w:rPr>
          <w:rFonts w:eastAsiaTheme="minorHAnsi" w:cstheme="minorHAnsi"/>
          <w:sz w:val="22"/>
          <w:szCs w:val="22"/>
        </w:rPr>
        <w:t xml:space="preserve">PRAC izvjestitelj za ocjenu plana upravljanja rizicima (RMP) u postupku izmjene odobrenja za centralizirano odobren lijek </w:t>
      </w:r>
      <w:r w:rsidRPr="002F73B3">
        <w:rPr>
          <w:rFonts w:cstheme="minorHAnsi"/>
          <w:sz w:val="22"/>
          <w:szCs w:val="22"/>
        </w:rPr>
        <w:t>Qinlock (ripretinib)</w:t>
      </w:r>
    </w:p>
    <w:p w14:paraId="62AA4C25" w14:textId="77777777" w:rsidR="0085421A" w:rsidRPr="002F73B3" w:rsidRDefault="0085421A" w:rsidP="0085421A">
      <w:pPr>
        <w:pStyle w:val="ListParagraph"/>
        <w:numPr>
          <w:ilvl w:val="0"/>
          <w:numId w:val="18"/>
        </w:numPr>
        <w:jc w:val="both"/>
        <w:rPr>
          <w:rFonts w:eastAsiaTheme="minorHAnsi" w:cstheme="minorHAnsi"/>
          <w:sz w:val="22"/>
          <w:szCs w:val="22"/>
        </w:rPr>
      </w:pPr>
      <w:r w:rsidRPr="002F73B3">
        <w:rPr>
          <w:rFonts w:eastAsiaTheme="minorHAnsi" w:cstheme="minorHAnsi"/>
          <w:sz w:val="22"/>
          <w:szCs w:val="22"/>
        </w:rPr>
        <w:t>PRAC izvjestitelj za dvije ocjene plana upravljanja rizicima (RMP) u postupku izmjene odobrenja za centralizirano odobren lijek Ofev (nintedanib)</w:t>
      </w:r>
    </w:p>
    <w:p w14:paraId="3A3806AD" w14:textId="77777777" w:rsidR="0085421A" w:rsidRPr="002F73B3" w:rsidRDefault="0085421A" w:rsidP="0085421A">
      <w:pPr>
        <w:pStyle w:val="ListParagraph"/>
        <w:numPr>
          <w:ilvl w:val="0"/>
          <w:numId w:val="18"/>
        </w:numPr>
        <w:jc w:val="both"/>
        <w:rPr>
          <w:rFonts w:eastAsiaTheme="minorHAnsi" w:cstheme="minorHAnsi"/>
          <w:sz w:val="22"/>
          <w:szCs w:val="22"/>
        </w:rPr>
      </w:pPr>
      <w:r w:rsidRPr="002F73B3">
        <w:rPr>
          <w:rFonts w:eastAsiaTheme="minorHAnsi" w:cstheme="minorHAnsi"/>
          <w:sz w:val="22"/>
          <w:szCs w:val="22"/>
        </w:rPr>
        <w:t>PRAC izvjestitelj za dvije ocjene plana upravljanja rizicima (RMP) u postupku izmjene odobrenja za centralizirano odobren lijek Ofev (nintedanib)</w:t>
      </w:r>
    </w:p>
    <w:p w14:paraId="1264EF85" w14:textId="77777777" w:rsidR="0085421A" w:rsidRPr="002F73B3" w:rsidRDefault="0085421A" w:rsidP="0085421A">
      <w:pPr>
        <w:pStyle w:val="ListParagraph"/>
        <w:numPr>
          <w:ilvl w:val="0"/>
          <w:numId w:val="18"/>
        </w:numPr>
        <w:jc w:val="both"/>
        <w:rPr>
          <w:rFonts w:eastAsiaTheme="minorHAnsi" w:cstheme="minorHAnsi"/>
          <w:sz w:val="22"/>
          <w:szCs w:val="22"/>
        </w:rPr>
      </w:pPr>
      <w:r w:rsidRPr="002F73B3">
        <w:rPr>
          <w:rFonts w:eastAsiaTheme="minorHAnsi" w:cstheme="minorHAnsi"/>
          <w:sz w:val="22"/>
          <w:szCs w:val="22"/>
        </w:rPr>
        <w:t>PRAC izvjestitelj za ocjenu plana upravljanja rizicima (RMP) u centraliziranom postupku odobrenja za lijek Eqjubi (sugemalimab)</w:t>
      </w:r>
    </w:p>
    <w:p w14:paraId="45457E88" w14:textId="77777777" w:rsidR="0085421A" w:rsidRPr="00C005E3" w:rsidRDefault="0085421A" w:rsidP="0085421A">
      <w:pPr>
        <w:pStyle w:val="ListParagraph"/>
        <w:numPr>
          <w:ilvl w:val="0"/>
          <w:numId w:val="18"/>
        </w:numPr>
        <w:jc w:val="both"/>
        <w:rPr>
          <w:rFonts w:eastAsiaTheme="minorHAnsi" w:cstheme="minorHAnsi"/>
          <w:sz w:val="22"/>
          <w:szCs w:val="22"/>
        </w:rPr>
      </w:pPr>
      <w:r w:rsidRPr="002F73B3">
        <w:rPr>
          <w:rFonts w:eastAsiaTheme="minorHAnsi" w:cstheme="minorHAnsi"/>
          <w:sz w:val="22"/>
          <w:szCs w:val="22"/>
        </w:rPr>
        <w:t xml:space="preserve">PRAC izvjestitelj za ocjenu plana upravljanja rizicima (RMP) u postupku izmjene odobrenja za centralizirano odobren lijek </w:t>
      </w:r>
      <w:r w:rsidRPr="002F73B3">
        <w:rPr>
          <w:rFonts w:cstheme="minorHAnsi"/>
          <w:sz w:val="22"/>
          <w:szCs w:val="22"/>
        </w:rPr>
        <w:t>Imbruvica (ibrutinib)</w:t>
      </w:r>
    </w:p>
    <w:p w14:paraId="1614109C" w14:textId="77777777" w:rsidR="0085421A" w:rsidRPr="002F73B3" w:rsidRDefault="0085421A" w:rsidP="0085421A">
      <w:pPr>
        <w:pStyle w:val="ListParagraph"/>
        <w:numPr>
          <w:ilvl w:val="0"/>
          <w:numId w:val="18"/>
        </w:numPr>
        <w:jc w:val="both"/>
        <w:rPr>
          <w:rFonts w:eastAsiaTheme="minorHAnsi" w:cstheme="minorHAnsi"/>
          <w:sz w:val="22"/>
          <w:szCs w:val="22"/>
        </w:rPr>
      </w:pPr>
      <w:r w:rsidRPr="002F73B3">
        <w:rPr>
          <w:rFonts w:eastAsiaTheme="minorHAnsi" w:cstheme="minorHAnsi"/>
          <w:sz w:val="22"/>
          <w:szCs w:val="22"/>
        </w:rPr>
        <w:t>PRAC izvjestitelj za</w:t>
      </w:r>
      <w:r>
        <w:rPr>
          <w:rFonts w:eastAsiaTheme="minorHAnsi" w:cstheme="minorHAnsi"/>
          <w:sz w:val="22"/>
          <w:szCs w:val="22"/>
        </w:rPr>
        <w:t xml:space="preserve"> dvije</w:t>
      </w:r>
      <w:r w:rsidRPr="002F73B3">
        <w:rPr>
          <w:rFonts w:eastAsiaTheme="minorHAnsi" w:cstheme="minorHAnsi"/>
          <w:sz w:val="22"/>
          <w:szCs w:val="22"/>
        </w:rPr>
        <w:t xml:space="preserve"> ocjen</w:t>
      </w:r>
      <w:r>
        <w:rPr>
          <w:rFonts w:eastAsiaTheme="minorHAnsi" w:cstheme="minorHAnsi"/>
          <w:sz w:val="22"/>
          <w:szCs w:val="22"/>
        </w:rPr>
        <w:t>e</w:t>
      </w:r>
      <w:r w:rsidRPr="002F73B3">
        <w:rPr>
          <w:rFonts w:eastAsiaTheme="minorHAnsi" w:cstheme="minorHAnsi"/>
          <w:sz w:val="22"/>
          <w:szCs w:val="22"/>
        </w:rPr>
        <w:t xml:space="preserve"> plana upravljanja rizicima (RMP) u postupku izmjene odobrenja za centralizirano odobren lijek </w:t>
      </w:r>
      <w:r w:rsidRPr="00B35FE5">
        <w:rPr>
          <w:rFonts w:cstheme="minorHAnsi"/>
          <w:sz w:val="22"/>
          <w:szCs w:val="22"/>
        </w:rPr>
        <w:t>Cibinqo (abrocitinib)</w:t>
      </w:r>
    </w:p>
    <w:p w14:paraId="1ACDE50D" w14:textId="77777777" w:rsidR="0085421A" w:rsidRPr="002F73B3" w:rsidRDefault="0085421A" w:rsidP="0085421A">
      <w:pPr>
        <w:pStyle w:val="ListParagraph"/>
        <w:numPr>
          <w:ilvl w:val="0"/>
          <w:numId w:val="18"/>
        </w:numPr>
        <w:jc w:val="both"/>
        <w:rPr>
          <w:rFonts w:eastAsiaTheme="minorHAnsi" w:cstheme="minorHAnsi"/>
          <w:sz w:val="22"/>
          <w:szCs w:val="22"/>
        </w:rPr>
      </w:pPr>
      <w:r w:rsidRPr="002F73B3">
        <w:rPr>
          <w:rFonts w:eastAsiaTheme="minorHAnsi" w:cstheme="minorHAnsi"/>
          <w:sz w:val="22"/>
          <w:szCs w:val="22"/>
        </w:rPr>
        <w:t xml:space="preserve">PRAC izvjestitelj za ocjenu plana upravljanja rizicima (RMP) u postupku izmjene odobrenja za centralizirano odobren lijek </w:t>
      </w:r>
      <w:r w:rsidRPr="002F73B3">
        <w:rPr>
          <w:rFonts w:cstheme="minorHAnsi"/>
          <w:sz w:val="22"/>
          <w:szCs w:val="22"/>
        </w:rPr>
        <w:t>Rinvoq (upadacitinib)</w:t>
      </w:r>
    </w:p>
    <w:p w14:paraId="67D8D5EC" w14:textId="77777777" w:rsidR="0085421A" w:rsidRPr="002F73B3" w:rsidRDefault="0085421A" w:rsidP="0085421A">
      <w:pPr>
        <w:pStyle w:val="ListParagraph"/>
        <w:numPr>
          <w:ilvl w:val="0"/>
          <w:numId w:val="18"/>
        </w:numPr>
        <w:rPr>
          <w:rFonts w:cstheme="minorHAnsi"/>
          <w:sz w:val="22"/>
          <w:szCs w:val="22"/>
        </w:rPr>
      </w:pPr>
      <w:r w:rsidRPr="002F73B3">
        <w:rPr>
          <w:rFonts w:cstheme="minorHAnsi"/>
          <w:sz w:val="22"/>
          <w:szCs w:val="22"/>
        </w:rPr>
        <w:t>PRAC izvjestitelj za ocjenu obnove odobrenja za centralizirano odobren lijek Lorviqua (lorlatinib)</w:t>
      </w:r>
    </w:p>
    <w:p w14:paraId="0493B367" w14:textId="77777777" w:rsidR="0085421A" w:rsidRPr="002F73B3" w:rsidRDefault="0085421A" w:rsidP="0085421A">
      <w:pPr>
        <w:pStyle w:val="ListParagraph"/>
        <w:numPr>
          <w:ilvl w:val="0"/>
          <w:numId w:val="18"/>
        </w:numPr>
        <w:rPr>
          <w:rFonts w:cstheme="minorHAnsi"/>
          <w:sz w:val="22"/>
          <w:szCs w:val="22"/>
        </w:rPr>
      </w:pPr>
      <w:r w:rsidRPr="002F73B3">
        <w:rPr>
          <w:sz w:val="22"/>
          <w:szCs w:val="22"/>
        </w:rPr>
        <w:t xml:space="preserve">PRAC izvjestitelj za </w:t>
      </w:r>
      <w:r>
        <w:rPr>
          <w:sz w:val="22"/>
          <w:szCs w:val="22"/>
        </w:rPr>
        <w:t>21</w:t>
      </w:r>
      <w:r w:rsidRPr="002F73B3">
        <w:rPr>
          <w:sz w:val="22"/>
          <w:szCs w:val="22"/>
        </w:rPr>
        <w:t xml:space="preserve"> ocjen</w:t>
      </w:r>
      <w:r>
        <w:rPr>
          <w:sz w:val="22"/>
          <w:szCs w:val="22"/>
        </w:rPr>
        <w:t>u</w:t>
      </w:r>
      <w:r w:rsidRPr="002F73B3">
        <w:rPr>
          <w:sz w:val="22"/>
          <w:szCs w:val="22"/>
        </w:rPr>
        <w:t xml:space="preserve"> protokola neintervencijskih studija za centralizirano odobren lijek Rinvoq (upadacitinib)</w:t>
      </w:r>
    </w:p>
    <w:p w14:paraId="315622C7" w14:textId="77777777" w:rsidR="0085421A" w:rsidRPr="002F73B3" w:rsidRDefault="0085421A" w:rsidP="0085421A">
      <w:pPr>
        <w:pStyle w:val="ListParagraph"/>
        <w:numPr>
          <w:ilvl w:val="0"/>
          <w:numId w:val="18"/>
        </w:numPr>
        <w:rPr>
          <w:rFonts w:cstheme="minorHAnsi"/>
          <w:sz w:val="22"/>
          <w:szCs w:val="22"/>
        </w:rPr>
      </w:pPr>
      <w:r w:rsidRPr="002F73B3">
        <w:rPr>
          <w:rFonts w:cstheme="minorHAnsi"/>
          <w:sz w:val="22"/>
          <w:szCs w:val="22"/>
        </w:rPr>
        <w:t xml:space="preserve">PRAC izvjestitelj za </w:t>
      </w:r>
      <w:r>
        <w:rPr>
          <w:rFonts w:cstheme="minorHAnsi"/>
          <w:sz w:val="22"/>
          <w:szCs w:val="22"/>
        </w:rPr>
        <w:t>7</w:t>
      </w:r>
      <w:r w:rsidRPr="002F73B3">
        <w:rPr>
          <w:rFonts w:cstheme="minorHAnsi"/>
          <w:sz w:val="22"/>
          <w:szCs w:val="22"/>
        </w:rPr>
        <w:t xml:space="preserve"> ocjen</w:t>
      </w:r>
      <w:r>
        <w:rPr>
          <w:rFonts w:cstheme="minorHAnsi"/>
          <w:sz w:val="22"/>
          <w:szCs w:val="22"/>
        </w:rPr>
        <w:t>a</w:t>
      </w:r>
      <w:r w:rsidRPr="002F73B3">
        <w:rPr>
          <w:rFonts w:cstheme="minorHAnsi"/>
          <w:sz w:val="22"/>
          <w:szCs w:val="22"/>
        </w:rPr>
        <w:t xml:space="preserve"> protokola neintervencijske studije za centralizirano odobren lijek </w:t>
      </w:r>
      <w:r w:rsidRPr="002F73B3">
        <w:rPr>
          <w:sz w:val="22"/>
          <w:szCs w:val="22"/>
        </w:rPr>
        <w:t>Cibinqo (abrocitinib)</w:t>
      </w:r>
    </w:p>
    <w:p w14:paraId="5080F426" w14:textId="77777777" w:rsidR="0085421A" w:rsidRPr="002F73B3" w:rsidRDefault="0085421A" w:rsidP="0085421A">
      <w:pPr>
        <w:pStyle w:val="ListParagraph"/>
        <w:numPr>
          <w:ilvl w:val="0"/>
          <w:numId w:val="18"/>
        </w:numPr>
        <w:rPr>
          <w:rFonts w:cstheme="minorHAnsi"/>
          <w:sz w:val="22"/>
          <w:szCs w:val="22"/>
        </w:rPr>
      </w:pPr>
      <w:r w:rsidRPr="002F73B3">
        <w:rPr>
          <w:rFonts w:cstheme="minorHAnsi"/>
          <w:sz w:val="22"/>
          <w:szCs w:val="22"/>
        </w:rPr>
        <w:t xml:space="preserve">PRAC izvjestitelj za </w:t>
      </w:r>
      <w:r>
        <w:rPr>
          <w:rFonts w:cstheme="minorHAnsi"/>
          <w:sz w:val="22"/>
          <w:szCs w:val="22"/>
        </w:rPr>
        <w:t>tri</w:t>
      </w:r>
      <w:r w:rsidRPr="002F73B3">
        <w:rPr>
          <w:rFonts w:cstheme="minorHAnsi"/>
          <w:sz w:val="22"/>
          <w:szCs w:val="22"/>
        </w:rPr>
        <w:t xml:space="preserve"> ocjene protokola neintervencijske studije za centralizirano odobren lijek Calquence (acalabrutinib) </w:t>
      </w:r>
    </w:p>
    <w:p w14:paraId="7E23370F" w14:textId="77777777" w:rsidR="0085421A" w:rsidRPr="000B51D4" w:rsidRDefault="0085421A" w:rsidP="0085421A">
      <w:pPr>
        <w:pStyle w:val="ListParagraph"/>
        <w:numPr>
          <w:ilvl w:val="0"/>
          <w:numId w:val="18"/>
        </w:numPr>
        <w:rPr>
          <w:rFonts w:cstheme="minorHAnsi"/>
          <w:sz w:val="22"/>
          <w:szCs w:val="22"/>
        </w:rPr>
      </w:pPr>
      <w:r w:rsidRPr="002F73B3">
        <w:rPr>
          <w:rFonts w:cstheme="minorHAnsi"/>
          <w:sz w:val="22"/>
          <w:szCs w:val="22"/>
        </w:rPr>
        <w:t xml:space="preserve">PRAC izvjestitelj za </w:t>
      </w:r>
      <w:r>
        <w:rPr>
          <w:rFonts w:cstheme="minorHAnsi"/>
          <w:sz w:val="22"/>
          <w:szCs w:val="22"/>
        </w:rPr>
        <w:t xml:space="preserve">četiri </w:t>
      </w:r>
      <w:r w:rsidRPr="002F73B3">
        <w:rPr>
          <w:rFonts w:cstheme="minorHAnsi"/>
          <w:sz w:val="22"/>
          <w:szCs w:val="22"/>
        </w:rPr>
        <w:t>ocjen</w:t>
      </w:r>
      <w:r>
        <w:rPr>
          <w:rFonts w:cstheme="minorHAnsi"/>
          <w:sz w:val="22"/>
          <w:szCs w:val="22"/>
        </w:rPr>
        <w:t>e</w:t>
      </w:r>
      <w:r w:rsidRPr="002F73B3">
        <w:rPr>
          <w:rFonts w:cstheme="minorHAnsi"/>
          <w:sz w:val="22"/>
          <w:szCs w:val="22"/>
        </w:rPr>
        <w:t xml:space="preserve"> protokola neintervencijske studije za centralizirano</w:t>
      </w:r>
      <w:r w:rsidRPr="002F73B3">
        <w:rPr>
          <w:sz w:val="22"/>
          <w:szCs w:val="22"/>
        </w:rPr>
        <w:t xml:space="preserve"> odobren lijek Jyseleca (filgotinib) </w:t>
      </w:r>
    </w:p>
    <w:p w14:paraId="280431D0" w14:textId="77777777" w:rsidR="0085421A" w:rsidRPr="002F73B3" w:rsidRDefault="0085421A" w:rsidP="0085421A">
      <w:pPr>
        <w:pStyle w:val="ListParagraph"/>
        <w:numPr>
          <w:ilvl w:val="0"/>
          <w:numId w:val="18"/>
        </w:numPr>
        <w:rPr>
          <w:rFonts w:cstheme="minorHAnsi"/>
          <w:sz w:val="22"/>
          <w:szCs w:val="22"/>
        </w:rPr>
      </w:pPr>
      <w:r>
        <w:rPr>
          <w:rFonts w:cstheme="minorHAnsi"/>
          <w:sz w:val="22"/>
          <w:szCs w:val="22"/>
        </w:rPr>
        <w:t xml:space="preserve">PRAC izvjestitelj za ocjenu protokola neintervencijske studije za centralizirano odobren lijek </w:t>
      </w:r>
      <w:r w:rsidRPr="002F73B3">
        <w:rPr>
          <w:rFonts w:cstheme="minorHAnsi"/>
          <w:sz w:val="22"/>
          <w:szCs w:val="22"/>
        </w:rPr>
        <w:t>Ketoconazole HRA Pharma (ketokonazol</w:t>
      </w:r>
      <w:r>
        <w:rPr>
          <w:rFonts w:cstheme="minorHAnsi"/>
          <w:sz w:val="22"/>
          <w:szCs w:val="22"/>
        </w:rPr>
        <w:t>)</w:t>
      </w:r>
    </w:p>
    <w:p w14:paraId="43F7B9AD" w14:textId="77777777" w:rsidR="0085421A" w:rsidRPr="002F73B3" w:rsidRDefault="0085421A" w:rsidP="0085421A">
      <w:pPr>
        <w:pStyle w:val="ListParagraph"/>
        <w:numPr>
          <w:ilvl w:val="0"/>
          <w:numId w:val="18"/>
        </w:numPr>
        <w:rPr>
          <w:rFonts w:cstheme="minorHAnsi"/>
          <w:sz w:val="22"/>
          <w:szCs w:val="22"/>
        </w:rPr>
      </w:pPr>
      <w:r w:rsidRPr="002F73B3">
        <w:rPr>
          <w:sz w:val="22"/>
          <w:szCs w:val="22"/>
        </w:rPr>
        <w:t>PRAC izvjestitelj za ocjenu PSUR-a za centralizirano odobren lijek Kyprolis (carfilzomib)</w:t>
      </w:r>
    </w:p>
    <w:p w14:paraId="119AF5C5" w14:textId="77777777" w:rsidR="0085421A" w:rsidRPr="002F73B3" w:rsidRDefault="0085421A" w:rsidP="0085421A">
      <w:pPr>
        <w:pStyle w:val="ListParagraph"/>
        <w:numPr>
          <w:ilvl w:val="0"/>
          <w:numId w:val="18"/>
        </w:numPr>
        <w:rPr>
          <w:sz w:val="22"/>
          <w:szCs w:val="22"/>
        </w:rPr>
      </w:pPr>
      <w:r w:rsidRPr="002F73B3">
        <w:rPr>
          <w:sz w:val="22"/>
          <w:szCs w:val="22"/>
        </w:rPr>
        <w:t xml:space="preserve">PRAC izvjestitelj za </w:t>
      </w:r>
      <w:r>
        <w:rPr>
          <w:sz w:val="22"/>
          <w:szCs w:val="22"/>
        </w:rPr>
        <w:t xml:space="preserve">dvije </w:t>
      </w:r>
      <w:r w:rsidRPr="002F73B3">
        <w:rPr>
          <w:sz w:val="22"/>
          <w:szCs w:val="22"/>
        </w:rPr>
        <w:t>ocjen</w:t>
      </w:r>
      <w:r>
        <w:rPr>
          <w:sz w:val="22"/>
          <w:szCs w:val="22"/>
        </w:rPr>
        <w:t>e</w:t>
      </w:r>
      <w:r w:rsidRPr="002F73B3">
        <w:rPr>
          <w:sz w:val="22"/>
          <w:szCs w:val="22"/>
        </w:rPr>
        <w:t xml:space="preserve"> PSUR-a za centralizirano odobren lijek Inbrija (levodopa)</w:t>
      </w:r>
    </w:p>
    <w:p w14:paraId="00D34AD5" w14:textId="77777777" w:rsidR="0085421A" w:rsidRPr="002F73B3" w:rsidRDefault="0085421A" w:rsidP="0085421A">
      <w:pPr>
        <w:pStyle w:val="ListParagraph"/>
        <w:numPr>
          <w:ilvl w:val="0"/>
          <w:numId w:val="18"/>
        </w:numPr>
        <w:rPr>
          <w:rFonts w:cstheme="minorHAnsi"/>
          <w:sz w:val="22"/>
          <w:szCs w:val="22"/>
        </w:rPr>
      </w:pPr>
      <w:r w:rsidRPr="002F73B3">
        <w:rPr>
          <w:rFonts w:cstheme="minorHAnsi"/>
          <w:sz w:val="22"/>
          <w:szCs w:val="22"/>
        </w:rPr>
        <w:t>PRAC izvjestitelj za ocjenu PSUR-a za centralizirano odobren lijek Quofenix (delafloxacin)</w:t>
      </w:r>
    </w:p>
    <w:p w14:paraId="44EA6CB3" w14:textId="77777777" w:rsidR="0085421A" w:rsidRPr="002F73B3" w:rsidRDefault="0085421A" w:rsidP="0085421A">
      <w:pPr>
        <w:pStyle w:val="ListParagraph"/>
        <w:numPr>
          <w:ilvl w:val="0"/>
          <w:numId w:val="18"/>
        </w:numPr>
        <w:rPr>
          <w:rFonts w:cstheme="minorHAnsi"/>
          <w:sz w:val="22"/>
          <w:szCs w:val="22"/>
        </w:rPr>
      </w:pPr>
      <w:r w:rsidRPr="002F73B3">
        <w:rPr>
          <w:rFonts w:cstheme="minorHAnsi"/>
          <w:sz w:val="22"/>
          <w:szCs w:val="22"/>
        </w:rPr>
        <w:t>PRAC izvjestitelj za ocjenu PSUR-a za centralizirano odobren lijek Odomzo (sonidegib)</w:t>
      </w:r>
    </w:p>
    <w:p w14:paraId="7058E605" w14:textId="77777777" w:rsidR="0085421A" w:rsidRPr="002F73B3" w:rsidRDefault="0085421A" w:rsidP="0085421A">
      <w:pPr>
        <w:pStyle w:val="ListParagraph"/>
        <w:numPr>
          <w:ilvl w:val="0"/>
          <w:numId w:val="18"/>
        </w:numPr>
        <w:rPr>
          <w:rFonts w:cstheme="minorHAnsi"/>
          <w:sz w:val="22"/>
          <w:szCs w:val="22"/>
        </w:rPr>
      </w:pPr>
      <w:r w:rsidRPr="002F73B3">
        <w:rPr>
          <w:rFonts w:cstheme="minorHAnsi"/>
          <w:sz w:val="22"/>
          <w:szCs w:val="22"/>
        </w:rPr>
        <w:t>PRAC izvjestitelj za</w:t>
      </w:r>
      <w:r>
        <w:rPr>
          <w:rFonts w:cstheme="minorHAnsi"/>
          <w:sz w:val="22"/>
          <w:szCs w:val="22"/>
        </w:rPr>
        <w:t xml:space="preserve"> dvije</w:t>
      </w:r>
      <w:r w:rsidRPr="002F73B3">
        <w:rPr>
          <w:rFonts w:cstheme="minorHAnsi"/>
          <w:sz w:val="22"/>
          <w:szCs w:val="22"/>
        </w:rPr>
        <w:t xml:space="preserve"> ocjen</w:t>
      </w:r>
      <w:r>
        <w:rPr>
          <w:rFonts w:cstheme="minorHAnsi"/>
          <w:sz w:val="22"/>
          <w:szCs w:val="22"/>
        </w:rPr>
        <w:t>e</w:t>
      </w:r>
      <w:r w:rsidRPr="002F73B3">
        <w:rPr>
          <w:rFonts w:cstheme="minorHAnsi"/>
          <w:sz w:val="22"/>
          <w:szCs w:val="22"/>
        </w:rPr>
        <w:t xml:space="preserve"> PSUR-a za centralizirano odobren lijek Rinvoq (upadacitinib)</w:t>
      </w:r>
    </w:p>
    <w:p w14:paraId="1D7D2EB3" w14:textId="77777777" w:rsidR="0085421A" w:rsidRPr="002F73B3" w:rsidRDefault="0085421A" w:rsidP="0085421A">
      <w:pPr>
        <w:pStyle w:val="ListParagraph"/>
        <w:numPr>
          <w:ilvl w:val="0"/>
          <w:numId w:val="18"/>
        </w:numPr>
        <w:rPr>
          <w:rFonts w:cstheme="minorHAnsi"/>
          <w:sz w:val="22"/>
          <w:szCs w:val="22"/>
        </w:rPr>
      </w:pPr>
      <w:r w:rsidRPr="002F73B3">
        <w:rPr>
          <w:rFonts w:cstheme="minorHAnsi"/>
          <w:sz w:val="22"/>
          <w:szCs w:val="22"/>
        </w:rPr>
        <w:t>PRAC izvjestitelj za ocjenu PSUR-a za nacionalno odobrene lijekove koje sadrže pilokarpin kao djelatnu tvar</w:t>
      </w:r>
    </w:p>
    <w:p w14:paraId="66755D9F" w14:textId="77777777" w:rsidR="0085421A" w:rsidRPr="002F73B3" w:rsidRDefault="0085421A" w:rsidP="0085421A">
      <w:pPr>
        <w:pStyle w:val="ListParagraph"/>
        <w:numPr>
          <w:ilvl w:val="0"/>
          <w:numId w:val="18"/>
        </w:numPr>
        <w:rPr>
          <w:rFonts w:cstheme="minorHAnsi"/>
          <w:sz w:val="22"/>
          <w:szCs w:val="22"/>
        </w:rPr>
      </w:pPr>
      <w:r w:rsidRPr="002F73B3">
        <w:rPr>
          <w:rFonts w:eastAsiaTheme="minorHAnsi" w:cstheme="minorHAnsi"/>
          <w:sz w:val="22"/>
          <w:szCs w:val="22"/>
        </w:rPr>
        <w:t>PRAC izvjestitelj za ocjenu plana upravljanja rizicima (RMP) u centraliziranom postupku davanja odobrenja za odobren lijek Talvey (talquetamab)</w:t>
      </w:r>
    </w:p>
    <w:p w14:paraId="3F957960" w14:textId="77777777" w:rsidR="0085421A" w:rsidRPr="002F73B3" w:rsidRDefault="0085421A" w:rsidP="0085421A">
      <w:pPr>
        <w:pStyle w:val="ListParagraph"/>
        <w:numPr>
          <w:ilvl w:val="0"/>
          <w:numId w:val="18"/>
        </w:numPr>
        <w:rPr>
          <w:rFonts w:cstheme="minorHAnsi"/>
          <w:sz w:val="22"/>
          <w:szCs w:val="22"/>
        </w:rPr>
      </w:pPr>
      <w:r w:rsidRPr="002F73B3">
        <w:rPr>
          <w:rFonts w:cstheme="minorHAnsi"/>
          <w:sz w:val="22"/>
          <w:szCs w:val="22"/>
        </w:rPr>
        <w:t>PRAC izvjestitelj za</w:t>
      </w:r>
      <w:r>
        <w:rPr>
          <w:rFonts w:cstheme="minorHAnsi"/>
          <w:sz w:val="22"/>
          <w:szCs w:val="22"/>
        </w:rPr>
        <w:t xml:space="preserve"> dvije </w:t>
      </w:r>
      <w:r w:rsidRPr="002F73B3">
        <w:rPr>
          <w:rFonts w:cstheme="minorHAnsi"/>
          <w:sz w:val="22"/>
          <w:szCs w:val="22"/>
        </w:rPr>
        <w:t>ocjen</w:t>
      </w:r>
      <w:r>
        <w:rPr>
          <w:rFonts w:cstheme="minorHAnsi"/>
          <w:sz w:val="22"/>
          <w:szCs w:val="22"/>
        </w:rPr>
        <w:t>e</w:t>
      </w:r>
      <w:r w:rsidRPr="002F73B3">
        <w:rPr>
          <w:rFonts w:cstheme="minorHAnsi"/>
          <w:sz w:val="22"/>
          <w:szCs w:val="22"/>
        </w:rPr>
        <w:t xml:space="preserve"> PSUR-a za centralizirano odobren lijek Cibinqo (abrocitinib)</w:t>
      </w:r>
    </w:p>
    <w:p w14:paraId="645E1ED5" w14:textId="77777777" w:rsidR="0085421A" w:rsidRPr="002F73B3" w:rsidRDefault="0085421A" w:rsidP="0085421A">
      <w:pPr>
        <w:pStyle w:val="ListParagraph"/>
        <w:numPr>
          <w:ilvl w:val="0"/>
          <w:numId w:val="18"/>
        </w:numPr>
        <w:rPr>
          <w:rFonts w:cstheme="minorHAnsi"/>
          <w:sz w:val="22"/>
          <w:szCs w:val="22"/>
        </w:rPr>
      </w:pPr>
      <w:r w:rsidRPr="002F73B3">
        <w:rPr>
          <w:rFonts w:cstheme="minorHAnsi"/>
          <w:sz w:val="22"/>
          <w:szCs w:val="22"/>
        </w:rPr>
        <w:t>PRAC izvjestitelj za</w:t>
      </w:r>
      <w:r>
        <w:rPr>
          <w:rFonts w:cstheme="minorHAnsi"/>
          <w:sz w:val="22"/>
          <w:szCs w:val="22"/>
        </w:rPr>
        <w:t xml:space="preserve"> dvije</w:t>
      </w:r>
      <w:r w:rsidRPr="002F73B3">
        <w:rPr>
          <w:rFonts w:cstheme="minorHAnsi"/>
          <w:sz w:val="22"/>
          <w:szCs w:val="22"/>
        </w:rPr>
        <w:t xml:space="preserve"> ocjen</w:t>
      </w:r>
      <w:r>
        <w:rPr>
          <w:rFonts w:cstheme="minorHAnsi"/>
          <w:sz w:val="22"/>
          <w:szCs w:val="22"/>
        </w:rPr>
        <w:t>e</w:t>
      </w:r>
      <w:r w:rsidRPr="002F73B3">
        <w:rPr>
          <w:rFonts w:cstheme="minorHAnsi"/>
          <w:sz w:val="22"/>
          <w:szCs w:val="22"/>
        </w:rPr>
        <w:t xml:space="preserve"> PSUR-a za centralizirano odobren lijek Jyseleca (filgotinib)</w:t>
      </w:r>
    </w:p>
    <w:p w14:paraId="09D1ABBF" w14:textId="77777777" w:rsidR="0085421A" w:rsidRPr="002F73B3" w:rsidRDefault="0085421A" w:rsidP="0085421A">
      <w:pPr>
        <w:pStyle w:val="ListParagraph"/>
        <w:numPr>
          <w:ilvl w:val="0"/>
          <w:numId w:val="18"/>
        </w:numPr>
        <w:rPr>
          <w:rFonts w:cstheme="minorHAnsi"/>
          <w:sz w:val="22"/>
          <w:szCs w:val="22"/>
        </w:rPr>
      </w:pPr>
      <w:r w:rsidRPr="002F73B3">
        <w:rPr>
          <w:rFonts w:cstheme="minorHAnsi"/>
          <w:sz w:val="22"/>
          <w:szCs w:val="22"/>
        </w:rPr>
        <w:t>PRAC izvjestitelj za</w:t>
      </w:r>
      <w:r>
        <w:rPr>
          <w:rFonts w:cstheme="minorHAnsi"/>
          <w:sz w:val="22"/>
          <w:szCs w:val="22"/>
        </w:rPr>
        <w:t xml:space="preserve"> dvije</w:t>
      </w:r>
      <w:r w:rsidRPr="002F73B3">
        <w:rPr>
          <w:rFonts w:cstheme="minorHAnsi"/>
          <w:sz w:val="22"/>
          <w:szCs w:val="22"/>
        </w:rPr>
        <w:t xml:space="preserve"> ocjen</w:t>
      </w:r>
      <w:r>
        <w:rPr>
          <w:rFonts w:cstheme="minorHAnsi"/>
          <w:sz w:val="22"/>
          <w:szCs w:val="22"/>
        </w:rPr>
        <w:t>e</w:t>
      </w:r>
      <w:r w:rsidRPr="002F73B3">
        <w:rPr>
          <w:rFonts w:cstheme="minorHAnsi"/>
          <w:sz w:val="22"/>
          <w:szCs w:val="22"/>
        </w:rPr>
        <w:t xml:space="preserve"> PSUR-a za centralizirano odobren lijek Lorviqua (lorlatinib)</w:t>
      </w:r>
    </w:p>
    <w:p w14:paraId="4BB6741C" w14:textId="77777777" w:rsidR="0085421A" w:rsidRPr="002F73B3" w:rsidRDefault="0085421A" w:rsidP="0085421A">
      <w:pPr>
        <w:pStyle w:val="ListParagraph"/>
        <w:numPr>
          <w:ilvl w:val="0"/>
          <w:numId w:val="18"/>
        </w:numPr>
        <w:rPr>
          <w:rFonts w:cstheme="minorHAnsi"/>
          <w:sz w:val="22"/>
          <w:szCs w:val="22"/>
        </w:rPr>
      </w:pPr>
      <w:r w:rsidRPr="002F73B3">
        <w:rPr>
          <w:rFonts w:cstheme="minorHAnsi"/>
          <w:sz w:val="22"/>
          <w:szCs w:val="22"/>
        </w:rPr>
        <w:t>PRAC izvjestitelj za</w:t>
      </w:r>
      <w:r>
        <w:rPr>
          <w:rFonts w:cstheme="minorHAnsi"/>
          <w:sz w:val="22"/>
          <w:szCs w:val="22"/>
        </w:rPr>
        <w:t xml:space="preserve"> dvije</w:t>
      </w:r>
      <w:r w:rsidRPr="002F73B3">
        <w:rPr>
          <w:rFonts w:cstheme="minorHAnsi"/>
          <w:sz w:val="22"/>
          <w:szCs w:val="22"/>
        </w:rPr>
        <w:t xml:space="preserve"> ocjen</w:t>
      </w:r>
      <w:r>
        <w:rPr>
          <w:rFonts w:cstheme="minorHAnsi"/>
          <w:sz w:val="22"/>
          <w:szCs w:val="22"/>
        </w:rPr>
        <w:t>e</w:t>
      </w:r>
      <w:r w:rsidRPr="002F73B3">
        <w:rPr>
          <w:rFonts w:cstheme="minorHAnsi"/>
          <w:sz w:val="22"/>
          <w:szCs w:val="22"/>
        </w:rPr>
        <w:t xml:space="preserve"> PSUR-a za centralizirano odobren lijek Copiktra (duvelisib)</w:t>
      </w:r>
    </w:p>
    <w:p w14:paraId="31913914" w14:textId="77777777" w:rsidR="0085421A" w:rsidRPr="002F73B3" w:rsidRDefault="0085421A" w:rsidP="0085421A">
      <w:pPr>
        <w:pStyle w:val="ListParagraph"/>
        <w:numPr>
          <w:ilvl w:val="0"/>
          <w:numId w:val="18"/>
        </w:numPr>
        <w:rPr>
          <w:rFonts w:cstheme="minorHAnsi"/>
          <w:sz w:val="22"/>
          <w:szCs w:val="22"/>
        </w:rPr>
      </w:pPr>
      <w:r w:rsidRPr="002F73B3">
        <w:rPr>
          <w:rFonts w:cstheme="minorHAnsi"/>
          <w:sz w:val="22"/>
          <w:szCs w:val="22"/>
        </w:rPr>
        <w:t>PRAC izvjestitelj za ocjenu PSUR-a za centralizirano odobren lijek Imbruvica (ibrutinib)</w:t>
      </w:r>
    </w:p>
    <w:p w14:paraId="2B47851D" w14:textId="77777777" w:rsidR="0085421A" w:rsidRPr="002F73B3" w:rsidRDefault="0085421A" w:rsidP="0085421A">
      <w:pPr>
        <w:pStyle w:val="ListParagraph"/>
        <w:numPr>
          <w:ilvl w:val="0"/>
          <w:numId w:val="18"/>
        </w:numPr>
        <w:rPr>
          <w:rFonts w:cstheme="minorHAnsi"/>
          <w:sz w:val="22"/>
          <w:szCs w:val="22"/>
        </w:rPr>
      </w:pPr>
      <w:r w:rsidRPr="002F73B3">
        <w:rPr>
          <w:rFonts w:cstheme="minorHAnsi"/>
          <w:sz w:val="22"/>
          <w:szCs w:val="22"/>
        </w:rPr>
        <w:t>PRAC izvjestitelj za ocjenu PSUR-a za centralizirano odobren lijek Calquence (acalabrutinib)</w:t>
      </w:r>
    </w:p>
    <w:p w14:paraId="71CA82FF" w14:textId="77777777" w:rsidR="0085421A" w:rsidRPr="002F73B3" w:rsidRDefault="0085421A" w:rsidP="0085421A">
      <w:pPr>
        <w:pStyle w:val="ListParagraph"/>
        <w:numPr>
          <w:ilvl w:val="0"/>
          <w:numId w:val="18"/>
        </w:numPr>
        <w:rPr>
          <w:rFonts w:cstheme="minorHAnsi"/>
          <w:sz w:val="22"/>
          <w:szCs w:val="22"/>
        </w:rPr>
      </w:pPr>
      <w:r w:rsidRPr="002F73B3">
        <w:rPr>
          <w:rFonts w:cstheme="minorHAnsi"/>
          <w:sz w:val="22"/>
          <w:szCs w:val="22"/>
        </w:rPr>
        <w:t>PRAC izvjestitelj za</w:t>
      </w:r>
      <w:r>
        <w:rPr>
          <w:rFonts w:cstheme="minorHAnsi"/>
          <w:sz w:val="22"/>
          <w:szCs w:val="22"/>
        </w:rPr>
        <w:t xml:space="preserve"> dvije</w:t>
      </w:r>
      <w:r w:rsidRPr="002F73B3">
        <w:rPr>
          <w:rFonts w:cstheme="minorHAnsi"/>
          <w:sz w:val="22"/>
          <w:szCs w:val="22"/>
        </w:rPr>
        <w:t xml:space="preserve"> ocjen</w:t>
      </w:r>
      <w:r>
        <w:rPr>
          <w:rFonts w:cstheme="minorHAnsi"/>
          <w:sz w:val="22"/>
          <w:szCs w:val="22"/>
        </w:rPr>
        <w:t>e</w:t>
      </w:r>
      <w:r w:rsidRPr="002F73B3">
        <w:rPr>
          <w:rFonts w:cstheme="minorHAnsi"/>
          <w:sz w:val="22"/>
          <w:szCs w:val="22"/>
        </w:rPr>
        <w:t xml:space="preserve"> PSUR-a za centralizirano odobren lijek Quinlock (ripretinib)</w:t>
      </w:r>
    </w:p>
    <w:p w14:paraId="01106C33" w14:textId="77777777" w:rsidR="0085421A" w:rsidRPr="002F73B3" w:rsidRDefault="0085421A" w:rsidP="0085421A">
      <w:pPr>
        <w:pStyle w:val="ListParagraph"/>
        <w:numPr>
          <w:ilvl w:val="0"/>
          <w:numId w:val="18"/>
        </w:numPr>
        <w:rPr>
          <w:rFonts w:cstheme="minorHAnsi"/>
          <w:sz w:val="22"/>
          <w:szCs w:val="22"/>
        </w:rPr>
      </w:pPr>
      <w:r w:rsidRPr="002F73B3">
        <w:rPr>
          <w:rFonts w:cstheme="minorHAnsi"/>
          <w:sz w:val="22"/>
          <w:szCs w:val="22"/>
        </w:rPr>
        <w:lastRenderedPageBreak/>
        <w:t>PRAC izvjestitelj za</w:t>
      </w:r>
      <w:r>
        <w:rPr>
          <w:rFonts w:cstheme="minorHAnsi"/>
          <w:sz w:val="22"/>
          <w:szCs w:val="22"/>
        </w:rPr>
        <w:t xml:space="preserve"> dvije</w:t>
      </w:r>
      <w:r w:rsidRPr="002F73B3">
        <w:rPr>
          <w:rFonts w:cstheme="minorHAnsi"/>
          <w:sz w:val="22"/>
          <w:szCs w:val="22"/>
        </w:rPr>
        <w:t xml:space="preserve"> ocjen</w:t>
      </w:r>
      <w:r>
        <w:rPr>
          <w:rFonts w:cstheme="minorHAnsi"/>
          <w:sz w:val="22"/>
          <w:szCs w:val="22"/>
        </w:rPr>
        <w:t>e</w:t>
      </w:r>
      <w:r w:rsidRPr="002F73B3">
        <w:rPr>
          <w:rFonts w:cstheme="minorHAnsi"/>
          <w:sz w:val="22"/>
          <w:szCs w:val="22"/>
        </w:rPr>
        <w:t xml:space="preserve"> PSUR-a za centralizirano odobren lijek Ofev (nintedanib)</w:t>
      </w:r>
    </w:p>
    <w:p w14:paraId="6E1381DE" w14:textId="77777777" w:rsidR="0085421A" w:rsidRDefault="0085421A" w:rsidP="0085421A">
      <w:pPr>
        <w:pStyle w:val="ListParagraph"/>
        <w:numPr>
          <w:ilvl w:val="0"/>
          <w:numId w:val="18"/>
        </w:numPr>
        <w:rPr>
          <w:rFonts w:cstheme="minorHAnsi"/>
          <w:sz w:val="22"/>
          <w:szCs w:val="22"/>
        </w:rPr>
      </w:pPr>
      <w:r w:rsidRPr="002F73B3">
        <w:rPr>
          <w:rFonts w:cstheme="minorHAnsi"/>
          <w:sz w:val="22"/>
          <w:szCs w:val="22"/>
        </w:rPr>
        <w:t>PRAC izvjestitelj za ocjenu PSUR-a za nacionalno odobrene lijekove koje sadrže fenoterol kao djelatnu tvar</w:t>
      </w:r>
    </w:p>
    <w:p w14:paraId="7D6A1B54" w14:textId="77777777" w:rsidR="0085421A" w:rsidRDefault="0085421A" w:rsidP="0085421A">
      <w:pPr>
        <w:pStyle w:val="ListParagraph"/>
        <w:numPr>
          <w:ilvl w:val="0"/>
          <w:numId w:val="18"/>
        </w:numPr>
        <w:rPr>
          <w:rFonts w:cstheme="minorHAnsi"/>
          <w:sz w:val="22"/>
          <w:szCs w:val="22"/>
        </w:rPr>
      </w:pPr>
      <w:r w:rsidRPr="002F73B3">
        <w:rPr>
          <w:rFonts w:cstheme="minorHAnsi"/>
          <w:sz w:val="22"/>
          <w:szCs w:val="22"/>
        </w:rPr>
        <w:t xml:space="preserve">PRAC izvjestitelj za ocjenu PSUR-a za nacionalno odobrene lijekove koje sadrže </w:t>
      </w:r>
      <w:r w:rsidRPr="00896807">
        <w:rPr>
          <w:rFonts w:eastAsiaTheme="minorHAnsi" w:cstheme="minorHAnsi"/>
          <w:sz w:val="22"/>
          <w:szCs w:val="22"/>
        </w:rPr>
        <w:t>hidroksikarbamid</w:t>
      </w:r>
      <w:r w:rsidRPr="002F73B3">
        <w:rPr>
          <w:rFonts w:cstheme="minorHAnsi"/>
          <w:sz w:val="22"/>
          <w:szCs w:val="22"/>
        </w:rPr>
        <w:t xml:space="preserve"> kao djelatnu tvar</w:t>
      </w:r>
    </w:p>
    <w:p w14:paraId="6AA770A8" w14:textId="77777777" w:rsidR="0085421A" w:rsidRDefault="0085421A" w:rsidP="0085421A">
      <w:pPr>
        <w:pStyle w:val="ListParagraph"/>
        <w:numPr>
          <w:ilvl w:val="0"/>
          <w:numId w:val="18"/>
        </w:numPr>
        <w:rPr>
          <w:rFonts w:cstheme="minorHAnsi"/>
          <w:sz w:val="22"/>
          <w:szCs w:val="22"/>
        </w:rPr>
      </w:pPr>
      <w:r w:rsidRPr="00B35FE5">
        <w:rPr>
          <w:rFonts w:cstheme="minorHAnsi"/>
          <w:sz w:val="22"/>
          <w:szCs w:val="22"/>
        </w:rPr>
        <w:t xml:space="preserve">PRAC izvjestitelj za ocjenu PSUR-a za nacionalno odobrene lijekove koje sadrže </w:t>
      </w:r>
      <w:r>
        <w:rPr>
          <w:rFonts w:cstheme="minorHAnsi"/>
          <w:sz w:val="22"/>
          <w:szCs w:val="22"/>
        </w:rPr>
        <w:t xml:space="preserve"> kobinaciju  djelatnih tvari </w:t>
      </w:r>
      <w:r w:rsidRPr="00B35FE5">
        <w:rPr>
          <w:rFonts w:cstheme="minorHAnsi"/>
          <w:sz w:val="22"/>
          <w:szCs w:val="22"/>
        </w:rPr>
        <w:t xml:space="preserve">Codeine camphosulphonate, sodium benzoate, codeine camphosulphonate, sulfogaiacol, grindelia </w:t>
      </w:r>
    </w:p>
    <w:p w14:paraId="3499C2B6" w14:textId="77777777" w:rsidR="0085421A" w:rsidRPr="004E1F21" w:rsidRDefault="0085421A" w:rsidP="0085421A">
      <w:pPr>
        <w:pStyle w:val="ListParagraph"/>
        <w:numPr>
          <w:ilvl w:val="0"/>
          <w:numId w:val="18"/>
        </w:numPr>
        <w:rPr>
          <w:rFonts w:cstheme="minorHAnsi"/>
          <w:sz w:val="22"/>
          <w:szCs w:val="22"/>
        </w:rPr>
      </w:pPr>
      <w:r w:rsidRPr="004E1F21">
        <w:rPr>
          <w:rFonts w:cstheme="minorHAnsi"/>
          <w:sz w:val="22"/>
          <w:szCs w:val="22"/>
        </w:rPr>
        <w:t xml:space="preserve">PRAC izvjestitelj za ocjenu PSUR-a za nacionalno odobrene lijekove koje sadrže  </w:t>
      </w:r>
      <w:r>
        <w:rPr>
          <w:rFonts w:cstheme="minorHAnsi"/>
          <w:sz w:val="22"/>
          <w:szCs w:val="22"/>
        </w:rPr>
        <w:t xml:space="preserve">kombinaciju djelatnih tvari Ipratropium, </w:t>
      </w:r>
      <w:r w:rsidRPr="004E1F21">
        <w:rPr>
          <w:rFonts w:cstheme="minorHAnsi"/>
          <w:sz w:val="22"/>
          <w:szCs w:val="22"/>
        </w:rPr>
        <w:t>salbutamol</w:t>
      </w:r>
    </w:p>
    <w:p w14:paraId="09CF8641" w14:textId="77777777" w:rsidR="0085421A" w:rsidRDefault="0085421A" w:rsidP="0085421A">
      <w:pPr>
        <w:pStyle w:val="ListParagraph"/>
        <w:numPr>
          <w:ilvl w:val="0"/>
          <w:numId w:val="18"/>
        </w:numPr>
        <w:rPr>
          <w:rFonts w:cstheme="minorHAnsi"/>
          <w:sz w:val="22"/>
          <w:szCs w:val="22"/>
        </w:rPr>
      </w:pPr>
      <w:r w:rsidRPr="002F73B3">
        <w:rPr>
          <w:rFonts w:cstheme="minorHAnsi"/>
          <w:sz w:val="22"/>
          <w:szCs w:val="22"/>
        </w:rPr>
        <w:t>PRAC izvjestitelj za ocjenu PSUR-a za nacionalno odobrene lijekove koje sadrže kombinaciju djelatnih tvari levodopa/karbidopa</w:t>
      </w:r>
    </w:p>
    <w:p w14:paraId="795E1FAF" w14:textId="77777777" w:rsidR="0085421A" w:rsidRDefault="0085421A" w:rsidP="0085421A">
      <w:pPr>
        <w:pStyle w:val="ListParagraph"/>
        <w:numPr>
          <w:ilvl w:val="0"/>
          <w:numId w:val="18"/>
        </w:numPr>
        <w:rPr>
          <w:rFonts w:cstheme="minorHAnsi"/>
          <w:sz w:val="22"/>
          <w:szCs w:val="22"/>
        </w:rPr>
      </w:pPr>
      <w:r w:rsidRPr="002F73B3">
        <w:rPr>
          <w:rFonts w:cstheme="minorHAnsi"/>
          <w:sz w:val="22"/>
          <w:szCs w:val="22"/>
        </w:rPr>
        <w:t>PRAC izvjestitelj za ocjenu PSUR-a za nacionalno odobrene lijekove koj</w:t>
      </w:r>
      <w:r>
        <w:rPr>
          <w:rFonts w:cstheme="minorHAnsi"/>
          <w:sz w:val="22"/>
          <w:szCs w:val="22"/>
        </w:rPr>
        <w:t>i sadrže beta alanin</w:t>
      </w:r>
    </w:p>
    <w:p w14:paraId="2AF285FF" w14:textId="77777777" w:rsidR="0085421A" w:rsidRPr="004E1F21" w:rsidRDefault="0085421A" w:rsidP="0085421A">
      <w:pPr>
        <w:pStyle w:val="ListParagraph"/>
        <w:numPr>
          <w:ilvl w:val="0"/>
          <w:numId w:val="18"/>
        </w:numPr>
        <w:rPr>
          <w:rFonts w:cstheme="minorHAnsi"/>
          <w:sz w:val="22"/>
          <w:szCs w:val="22"/>
        </w:rPr>
      </w:pPr>
      <w:r w:rsidRPr="002F73B3">
        <w:rPr>
          <w:rFonts w:cstheme="minorHAnsi"/>
          <w:sz w:val="22"/>
          <w:szCs w:val="22"/>
        </w:rPr>
        <w:t>PRAC izvjestitelj za ocjenu PSUR-a za nacionalno odobrene lijekove koj</w:t>
      </w:r>
      <w:r>
        <w:rPr>
          <w:rFonts w:cstheme="minorHAnsi"/>
          <w:sz w:val="22"/>
          <w:szCs w:val="22"/>
        </w:rPr>
        <w:t>i sadrže ofloksacin</w:t>
      </w:r>
    </w:p>
    <w:p w14:paraId="350B4035" w14:textId="77777777" w:rsidR="0085421A" w:rsidRPr="004E1F21" w:rsidRDefault="0085421A" w:rsidP="0085421A">
      <w:pPr>
        <w:pStyle w:val="ListParagraph"/>
        <w:numPr>
          <w:ilvl w:val="0"/>
          <w:numId w:val="18"/>
        </w:numPr>
        <w:rPr>
          <w:rFonts w:cstheme="minorHAnsi"/>
          <w:sz w:val="22"/>
          <w:szCs w:val="22"/>
        </w:rPr>
      </w:pPr>
      <w:r w:rsidRPr="002F73B3">
        <w:rPr>
          <w:rFonts w:cstheme="minorHAnsi"/>
          <w:sz w:val="22"/>
          <w:szCs w:val="22"/>
        </w:rPr>
        <w:t>PRAC izvjestitelj za ocjenu PSUR-a za nacionalno odobrene lijekove koj</w:t>
      </w:r>
      <w:r>
        <w:rPr>
          <w:rFonts w:cstheme="minorHAnsi"/>
          <w:sz w:val="22"/>
          <w:szCs w:val="22"/>
        </w:rPr>
        <w:t>i sadrže porfimer</w:t>
      </w:r>
    </w:p>
    <w:p w14:paraId="0BAB106B" w14:textId="77777777" w:rsidR="0085421A" w:rsidRPr="002F73B3" w:rsidRDefault="0085421A" w:rsidP="0085421A">
      <w:pPr>
        <w:pStyle w:val="ListParagraph"/>
        <w:rPr>
          <w:rFonts w:cstheme="minorHAnsi"/>
          <w:sz w:val="22"/>
          <w:szCs w:val="22"/>
        </w:rPr>
      </w:pPr>
    </w:p>
    <w:p w14:paraId="3CA18035" w14:textId="77777777" w:rsidR="0085421A" w:rsidRPr="002F73B3" w:rsidRDefault="0085421A" w:rsidP="0085421A">
      <w:pPr>
        <w:pStyle w:val="ListParagraph"/>
        <w:spacing w:before="0"/>
        <w:ind w:left="0"/>
        <w:jc w:val="both"/>
      </w:pPr>
      <w:r w:rsidRPr="002F73B3">
        <w:rPr>
          <w:sz w:val="22"/>
          <w:szCs w:val="22"/>
        </w:rPr>
        <w:t>Izvršenje natjecateljskih poslova pri</w:t>
      </w:r>
      <w:r w:rsidRPr="002F73B3">
        <w:t xml:space="preserve"> </w:t>
      </w:r>
      <w:r w:rsidRPr="002F73B3">
        <w:rPr>
          <w:sz w:val="22"/>
          <w:szCs w:val="22"/>
        </w:rPr>
        <w:t>PRAC-u prikazano je u Tablici 1. (R.br.10) i Privitku 4. (R.br.4).</w:t>
      </w:r>
    </w:p>
    <w:p w14:paraId="1AC058F5" w14:textId="77777777" w:rsidR="0085421A" w:rsidRPr="002F73B3" w:rsidRDefault="0085421A" w:rsidP="0085421A">
      <w:pPr>
        <w:pStyle w:val="ListParagraph"/>
        <w:spacing w:before="0"/>
        <w:ind w:left="0"/>
        <w:jc w:val="both"/>
        <w:rPr>
          <w:sz w:val="22"/>
          <w:szCs w:val="22"/>
        </w:rPr>
      </w:pPr>
      <w:r w:rsidRPr="002F73B3">
        <w:rPr>
          <w:sz w:val="22"/>
          <w:szCs w:val="22"/>
        </w:rPr>
        <w:t xml:space="preserve">Također, poslano je </w:t>
      </w:r>
      <w:r>
        <w:rPr>
          <w:sz w:val="22"/>
          <w:szCs w:val="22"/>
        </w:rPr>
        <w:t>61</w:t>
      </w:r>
      <w:r w:rsidRPr="002F73B3">
        <w:rPr>
          <w:sz w:val="22"/>
          <w:szCs w:val="22"/>
        </w:rPr>
        <w:t xml:space="preserve"> komentar </w:t>
      </w:r>
      <w:r>
        <w:rPr>
          <w:sz w:val="22"/>
          <w:szCs w:val="22"/>
        </w:rPr>
        <w:t>na</w:t>
      </w:r>
      <w:r w:rsidRPr="002F73B3">
        <w:rPr>
          <w:sz w:val="22"/>
          <w:szCs w:val="22"/>
        </w:rPr>
        <w:t xml:space="preserve"> predmete koji su bili raspravljani na PRAC-u, kao što su signali (</w:t>
      </w:r>
      <w:r>
        <w:rPr>
          <w:sz w:val="22"/>
          <w:szCs w:val="22"/>
        </w:rPr>
        <w:t>10)</w:t>
      </w:r>
      <w:r w:rsidRPr="002F73B3">
        <w:rPr>
          <w:sz w:val="22"/>
          <w:szCs w:val="22"/>
        </w:rPr>
        <w:t>, ocjene PSUR-a (</w:t>
      </w:r>
      <w:r>
        <w:rPr>
          <w:sz w:val="22"/>
          <w:szCs w:val="22"/>
        </w:rPr>
        <w:t>33</w:t>
      </w:r>
      <w:r w:rsidRPr="002F73B3">
        <w:rPr>
          <w:sz w:val="22"/>
          <w:szCs w:val="22"/>
        </w:rPr>
        <w:t>), ocjene RMP-a (</w:t>
      </w:r>
      <w:r>
        <w:rPr>
          <w:sz w:val="22"/>
          <w:szCs w:val="22"/>
        </w:rPr>
        <w:t>6</w:t>
      </w:r>
      <w:r w:rsidRPr="002F73B3">
        <w:rPr>
          <w:sz w:val="22"/>
          <w:szCs w:val="22"/>
        </w:rPr>
        <w:t>), ocjena u arbitražnom postupku (</w:t>
      </w:r>
      <w:r>
        <w:rPr>
          <w:sz w:val="22"/>
          <w:szCs w:val="22"/>
        </w:rPr>
        <w:t>5</w:t>
      </w:r>
      <w:r w:rsidRPr="002F73B3">
        <w:rPr>
          <w:sz w:val="22"/>
          <w:szCs w:val="22"/>
        </w:rPr>
        <w:t>) i ocjena protokola postautorizacijske neintervencijske studije (</w:t>
      </w:r>
      <w:r>
        <w:rPr>
          <w:sz w:val="22"/>
          <w:szCs w:val="22"/>
        </w:rPr>
        <w:t>7</w:t>
      </w:r>
      <w:r w:rsidRPr="002F73B3">
        <w:rPr>
          <w:sz w:val="22"/>
          <w:szCs w:val="22"/>
        </w:rPr>
        <w:t xml:space="preserve">), što je i prikazano u Izvršenju ostalih neprihodovnih farmakovigilancijskih aktivnosti u Tablici 8. </w:t>
      </w:r>
    </w:p>
    <w:p w14:paraId="60217177" w14:textId="77777777" w:rsidR="0085421A" w:rsidRPr="002F73B3" w:rsidRDefault="0085421A" w:rsidP="0085421A">
      <w:pPr>
        <w:rPr>
          <w:rFonts w:cstheme="minorHAnsi"/>
          <w:b/>
          <w:i/>
        </w:rPr>
      </w:pPr>
      <w:r w:rsidRPr="002F73B3">
        <w:rPr>
          <w:b/>
        </w:rPr>
        <w:t xml:space="preserve">B) Inspektorska radna skupina za farmakovigilanciju </w:t>
      </w:r>
      <w:r w:rsidRPr="002F73B3">
        <w:rPr>
          <w:rFonts w:cstheme="minorHAnsi"/>
          <w:b/>
        </w:rPr>
        <w:t>(</w:t>
      </w:r>
      <w:r w:rsidRPr="002F73B3">
        <w:rPr>
          <w:rFonts w:cstheme="minorHAnsi"/>
          <w:b/>
          <w:i/>
        </w:rPr>
        <w:t>The Pharmacovigilance Inspectors Working Group, PhV IWG PRAC subgroup</w:t>
      </w:r>
      <w:r w:rsidRPr="002F73B3">
        <w:rPr>
          <w:rFonts w:cstheme="minorHAnsi"/>
          <w:b/>
        </w:rPr>
        <w:t>)</w:t>
      </w:r>
    </w:p>
    <w:p w14:paraId="7E0AC07D" w14:textId="77777777" w:rsidR="0085421A" w:rsidRPr="002F73B3" w:rsidRDefault="0085421A" w:rsidP="0085421A">
      <w:pPr>
        <w:rPr>
          <w:rFonts w:cstheme="minorHAnsi"/>
          <w:b/>
          <w:i/>
        </w:rPr>
      </w:pPr>
    </w:p>
    <w:p w14:paraId="7D876894" w14:textId="77777777" w:rsidR="0085421A" w:rsidRPr="002F73B3" w:rsidRDefault="0085421A" w:rsidP="0085421A">
      <w:pPr>
        <w:spacing w:line="276" w:lineRule="auto"/>
        <w:jc w:val="both"/>
      </w:pPr>
      <w:r w:rsidRPr="002F73B3">
        <w:t>Inspektorska radna skupina za farmakovigilanciju</w:t>
      </w:r>
      <w:r w:rsidRPr="002F73B3">
        <w:rPr>
          <w:b/>
        </w:rPr>
        <w:t xml:space="preserve"> </w:t>
      </w:r>
      <w:r w:rsidRPr="002F73B3">
        <w:t xml:space="preserve">(PhV IWG) ima cilj olakšati razmjenu važnih informacija između farmakovigilancijskih inspekcija na području EU i ocjenitelja farmakovigilancijskih dokumenata. U radnoj skupini Hrvatska ima jednog predstavnika HALMED-a, koji Hrvatsku zastupa i u PRAC-u. </w:t>
      </w:r>
    </w:p>
    <w:p w14:paraId="4EC3E8A1" w14:textId="77777777" w:rsidR="0085421A" w:rsidRPr="002F73B3" w:rsidRDefault="0085421A" w:rsidP="0085421A">
      <w:pPr>
        <w:spacing w:line="276" w:lineRule="auto"/>
        <w:jc w:val="both"/>
      </w:pPr>
    </w:p>
    <w:p w14:paraId="4CC053DC" w14:textId="77777777" w:rsidR="0085421A" w:rsidRDefault="0085421A" w:rsidP="0085421A">
      <w:pPr>
        <w:spacing w:line="276" w:lineRule="auto"/>
        <w:jc w:val="both"/>
        <w:rPr>
          <w:rFonts w:eastAsia="Times New Roman" w:cstheme="minorHAnsi"/>
          <w:b/>
          <w:i/>
        </w:rPr>
      </w:pPr>
      <w:r w:rsidRPr="002F73B3">
        <w:rPr>
          <w:rFonts w:eastAsia="Times New Roman" w:cstheme="minorHAnsi"/>
          <w:b/>
        </w:rPr>
        <w:t>C) Europska mreža centara za farmakoepidemiologiju i farmakovigilanciju (</w:t>
      </w:r>
      <w:r w:rsidRPr="002F73B3">
        <w:rPr>
          <w:b/>
          <w:i/>
        </w:rPr>
        <w:t xml:space="preserve">The European Network of Centres for Pharmacoepidemiology and Pharmacovigilance, </w:t>
      </w:r>
      <w:r w:rsidRPr="002F73B3">
        <w:rPr>
          <w:rFonts w:eastAsia="Times New Roman" w:cstheme="minorHAnsi"/>
          <w:b/>
          <w:i/>
        </w:rPr>
        <w:t>ENCePP</w:t>
      </w:r>
      <w:r w:rsidRPr="002F73B3">
        <w:rPr>
          <w:rFonts w:eastAsia="Times New Roman" w:cstheme="minorHAnsi"/>
          <w:b/>
        </w:rPr>
        <w:t>)</w:t>
      </w:r>
    </w:p>
    <w:p w14:paraId="095E03EE" w14:textId="77777777" w:rsidR="0085421A" w:rsidRPr="003A659D" w:rsidRDefault="0085421A" w:rsidP="0085421A">
      <w:pPr>
        <w:spacing w:line="276" w:lineRule="auto"/>
        <w:jc w:val="both"/>
        <w:rPr>
          <w:rFonts w:eastAsia="Times New Roman" w:cstheme="minorHAnsi"/>
          <w:b/>
          <w:i/>
        </w:rPr>
      </w:pPr>
    </w:p>
    <w:p w14:paraId="76C96F3D" w14:textId="77777777" w:rsidR="0085421A" w:rsidRPr="002F73B3" w:rsidRDefault="0085421A" w:rsidP="0085421A">
      <w:pPr>
        <w:spacing w:after="240" w:line="276" w:lineRule="auto"/>
        <w:jc w:val="both"/>
        <w:rPr>
          <w:rFonts w:eastAsia="Times New Roman" w:cstheme="minorHAnsi"/>
        </w:rPr>
      </w:pPr>
      <w:r w:rsidRPr="002F73B3">
        <w:rPr>
          <w:rFonts w:eastAsia="Times New Roman" w:cstheme="minorHAnsi"/>
        </w:rPr>
        <w:t>Europska mreža centara za farmakoepidemiologiju i farmakovigilanciju</w:t>
      </w:r>
      <w:r w:rsidRPr="002F73B3">
        <w:rPr>
          <w:rFonts w:eastAsia="Times New Roman" w:cstheme="minorHAnsi"/>
          <w:i/>
        </w:rPr>
        <w:t xml:space="preserve"> </w:t>
      </w:r>
      <w:r w:rsidRPr="002F73B3">
        <w:rPr>
          <w:rFonts w:eastAsia="Times New Roman" w:cstheme="minorHAnsi"/>
        </w:rPr>
        <w:t xml:space="preserve">(ENCePP) je mreža koja okuplja više od 170 istraživačkih centara, postojećih suradnih organizacija i organizacija koje prikupljaju zdravstvene podatke, a čiji rad koordinira EMA. Cilj mreže je ojačati praćenje lijekova nakon njihovog stavljanja u promet potpomažući provođenje multicentričnih, neovisnih studija s fokusom na sigurnost primjene i omjer koristi i rizika primjene lijekova, korištenjem postojeće europske istraživačke ekspertize. Od 2014. godine HALMED je jedan od centara ENCePP-a. </w:t>
      </w:r>
    </w:p>
    <w:p w14:paraId="28BD76B1" w14:textId="77777777" w:rsidR="0085421A" w:rsidRPr="002F73B3" w:rsidRDefault="0085421A" w:rsidP="0085421A">
      <w:pPr>
        <w:spacing w:after="240" w:line="276" w:lineRule="auto"/>
        <w:jc w:val="both"/>
        <w:rPr>
          <w:rFonts w:eastAsia="Times New Roman" w:cstheme="minorHAnsi"/>
        </w:rPr>
      </w:pPr>
      <w:r w:rsidRPr="002F73B3">
        <w:rPr>
          <w:rFonts w:eastAsia="Times New Roman" w:cstheme="minorHAnsi"/>
        </w:rPr>
        <w:t>Podaci o sudjelovanju predstavnika HALMED-a na radnim sastancima povjerenstava i radnih skupina EMA-e u izvještajnom razdoblju prikazani su u Tablici br. 9.</w:t>
      </w:r>
    </w:p>
    <w:p w14:paraId="077F1DC6" w14:textId="77777777" w:rsidR="0085421A" w:rsidRPr="002F73B3" w:rsidRDefault="0085421A" w:rsidP="0085421A">
      <w:pPr>
        <w:pStyle w:val="Heading4"/>
      </w:pPr>
      <w:bookmarkStart w:id="133" w:name="_Toc530140522"/>
      <w:r w:rsidRPr="002F73B3">
        <w:t>2.2.12.2. Izvješće o radu HALMED-a u povjerenstvima i radnim skupinama HMA-a</w:t>
      </w:r>
      <w:bookmarkEnd w:id="133"/>
    </w:p>
    <w:p w14:paraId="32A5F49F" w14:textId="77777777" w:rsidR="0085421A" w:rsidRPr="002F73B3" w:rsidRDefault="0085421A" w:rsidP="0085421A">
      <w:pPr>
        <w:spacing w:before="120" w:after="240"/>
        <w:jc w:val="both"/>
        <w:rPr>
          <w:rFonts w:eastAsia="Times New Roman" w:cstheme="minorHAnsi"/>
          <w:b/>
          <w:i/>
        </w:rPr>
      </w:pPr>
      <w:r w:rsidRPr="002F73B3">
        <w:rPr>
          <w:rFonts w:eastAsia="Times New Roman" w:cstheme="minorHAnsi"/>
          <w:b/>
        </w:rPr>
        <w:t>A) Tim za upravljanje farmakovigilancijskim poslovima (</w:t>
      </w:r>
      <w:r w:rsidRPr="002F73B3">
        <w:rPr>
          <w:rFonts w:eastAsia="Times New Roman" w:cstheme="minorHAnsi"/>
          <w:b/>
          <w:i/>
        </w:rPr>
        <w:t>Pharmacovigilance Business Team, PBT</w:t>
      </w:r>
      <w:r w:rsidRPr="002F73B3">
        <w:rPr>
          <w:rFonts w:eastAsia="Times New Roman" w:cstheme="minorHAnsi"/>
          <w:b/>
        </w:rPr>
        <w:t xml:space="preserve">) </w:t>
      </w:r>
    </w:p>
    <w:p w14:paraId="23A63A60" w14:textId="77777777" w:rsidR="0085421A" w:rsidRPr="002F73B3" w:rsidRDefault="0085421A" w:rsidP="0085421A">
      <w:pPr>
        <w:spacing w:before="120" w:after="240" w:line="276" w:lineRule="auto"/>
        <w:jc w:val="both"/>
        <w:rPr>
          <w:rFonts w:eastAsia="Times New Roman" w:cstheme="minorHAnsi"/>
        </w:rPr>
      </w:pPr>
      <w:r w:rsidRPr="002F73B3">
        <w:rPr>
          <w:rFonts w:eastAsia="Times New Roman" w:cstheme="minorHAnsi"/>
        </w:rPr>
        <w:lastRenderedPageBreak/>
        <w:t xml:space="preserve">U 2016. godini HMA je usvojila novu strukturu upravljanja za europske farmakovigilancijske poslove. U novoj strukturi raspuštene su tzv. </w:t>
      </w:r>
      <w:r w:rsidRPr="002F73B3">
        <w:rPr>
          <w:rFonts w:eastAsia="Times New Roman" w:cstheme="minorHAnsi"/>
          <w:i/>
        </w:rPr>
        <w:t>Project and Maintenance Groups</w:t>
      </w:r>
      <w:r w:rsidRPr="002F73B3">
        <w:rPr>
          <w:rFonts w:eastAsia="Times New Roman" w:cstheme="minorHAnsi"/>
        </w:rPr>
        <w:t xml:space="preserve"> (PMG), a aktivnosti iz njihovog djelokruga rada nadzire PRAC u suradnji s CMDh-om, CHMP-om i CAT-om. Implementaciju i ključna operativna pitanja provodi Tim za upravljanje farmakovigilancijskim poslovima (</w:t>
      </w:r>
      <w:r w:rsidRPr="002F73B3">
        <w:rPr>
          <w:rFonts w:eastAsia="Times New Roman" w:cstheme="minorHAnsi"/>
          <w:i/>
        </w:rPr>
        <w:t>Pharmacovigilance Business Team, PBT</w:t>
      </w:r>
      <w:r w:rsidRPr="002F73B3">
        <w:rPr>
          <w:rFonts w:eastAsia="Times New Roman" w:cstheme="minorHAnsi"/>
        </w:rPr>
        <w:t xml:space="preserve">), u čijem radu sudjeluju sve države članice EU-a. </w:t>
      </w:r>
    </w:p>
    <w:p w14:paraId="3B1A3AB5" w14:textId="77777777" w:rsidR="0085421A" w:rsidRPr="002F73B3" w:rsidRDefault="0085421A" w:rsidP="0085421A">
      <w:pPr>
        <w:spacing w:before="120" w:after="240" w:line="276" w:lineRule="auto"/>
        <w:jc w:val="both"/>
        <w:rPr>
          <w:rFonts w:eastAsia="Times New Roman" w:cstheme="minorHAnsi"/>
          <w:b/>
          <w:iCs/>
        </w:rPr>
      </w:pPr>
      <w:r w:rsidRPr="002F73B3">
        <w:rPr>
          <w:rFonts w:eastAsia="Times New Roman" w:cstheme="minorHAnsi"/>
        </w:rPr>
        <w:t xml:space="preserve">U izvještajnom razdoblju HALMED je sudjelovao na </w:t>
      </w:r>
      <w:r>
        <w:rPr>
          <w:rFonts w:eastAsia="Times New Roman" w:cstheme="minorHAnsi"/>
        </w:rPr>
        <w:t>tri</w:t>
      </w:r>
      <w:r w:rsidRPr="002F73B3">
        <w:rPr>
          <w:rFonts w:eastAsia="Times New Roman" w:cstheme="minorHAnsi"/>
        </w:rPr>
        <w:t xml:space="preserve"> virtualn</w:t>
      </w:r>
      <w:r>
        <w:rPr>
          <w:rFonts w:eastAsia="Times New Roman" w:cstheme="minorHAnsi"/>
        </w:rPr>
        <w:t>a</w:t>
      </w:r>
      <w:r w:rsidRPr="002F73B3">
        <w:rPr>
          <w:rFonts w:eastAsia="Times New Roman" w:cstheme="minorHAnsi"/>
        </w:rPr>
        <w:t xml:space="preserve"> sastank</w:t>
      </w:r>
      <w:r>
        <w:rPr>
          <w:rFonts w:eastAsia="Times New Roman" w:cstheme="minorHAnsi"/>
        </w:rPr>
        <w:t>a</w:t>
      </w:r>
      <w:r w:rsidRPr="002F73B3">
        <w:rPr>
          <w:rFonts w:eastAsia="Times New Roman" w:cstheme="minorHAnsi"/>
        </w:rPr>
        <w:t>.</w:t>
      </w:r>
    </w:p>
    <w:p w14:paraId="784B16AE" w14:textId="77777777" w:rsidR="0085421A" w:rsidRPr="002F73B3" w:rsidRDefault="0085421A" w:rsidP="0085421A">
      <w:pPr>
        <w:spacing w:after="240"/>
        <w:jc w:val="both"/>
        <w:rPr>
          <w:rFonts w:eastAsia="Times New Roman" w:cstheme="minorHAnsi"/>
          <w:b/>
          <w:iCs/>
        </w:rPr>
      </w:pPr>
      <w:r w:rsidRPr="002F73B3">
        <w:rPr>
          <w:rFonts w:eastAsia="Times New Roman" w:cstheme="minorHAnsi"/>
          <w:b/>
          <w:iCs/>
        </w:rPr>
        <w:t>B) Projekt harmonizacije plana upravljanja rizicima (</w:t>
      </w:r>
      <w:r w:rsidRPr="002F73B3">
        <w:rPr>
          <w:rFonts w:eastAsia="Times New Roman" w:cstheme="minorHAnsi"/>
          <w:b/>
          <w:i/>
          <w:iCs/>
        </w:rPr>
        <w:t>Harmonisation of Risk Management Plan Project</w:t>
      </w:r>
      <w:r w:rsidRPr="002F73B3">
        <w:rPr>
          <w:rFonts w:eastAsia="Times New Roman" w:cstheme="minorHAnsi"/>
          <w:b/>
          <w:iCs/>
        </w:rPr>
        <w:t xml:space="preserve">, </w:t>
      </w:r>
      <w:r w:rsidRPr="002F73B3">
        <w:rPr>
          <w:rFonts w:eastAsia="Times New Roman" w:cstheme="minorHAnsi"/>
          <w:b/>
          <w:i/>
          <w:iCs/>
        </w:rPr>
        <w:t>HaRP</w:t>
      </w:r>
      <w:r w:rsidRPr="002F73B3">
        <w:rPr>
          <w:rFonts w:eastAsia="Times New Roman" w:cstheme="minorHAnsi"/>
          <w:b/>
          <w:iCs/>
        </w:rPr>
        <w:t>)</w:t>
      </w:r>
    </w:p>
    <w:p w14:paraId="73B204BF" w14:textId="77777777" w:rsidR="0085421A" w:rsidRPr="002F73B3" w:rsidRDefault="0085421A" w:rsidP="0085421A">
      <w:pPr>
        <w:spacing w:before="120" w:line="276" w:lineRule="auto"/>
        <w:jc w:val="both"/>
        <w:rPr>
          <w:rFonts w:eastAsia="Times New Roman" w:cstheme="minorHAnsi"/>
          <w:iCs/>
        </w:rPr>
      </w:pPr>
      <w:r w:rsidRPr="002F73B3">
        <w:rPr>
          <w:rFonts w:eastAsia="Times New Roman" w:cstheme="minorHAnsi"/>
          <w:iCs/>
        </w:rPr>
        <w:t xml:space="preserve">Projekt harmonizacije plana upravljanja rizicima je radna skupina sastavljena od predstavnika PRAC-a i CMDh-a, kao i farmakovigilancijskih ocjenitelja s ciljem harmonizacije rizika navedenih u dokumentu zvanom Plan upravljanja rizikom koji mora izrađivati svaki nositelj odobrenja prilikom predaje zahtjeva za odobravanjem lijeka. </w:t>
      </w:r>
    </w:p>
    <w:p w14:paraId="0F6D1730" w14:textId="77777777" w:rsidR="0085421A" w:rsidRPr="002F73B3" w:rsidRDefault="0085421A" w:rsidP="0085421A">
      <w:pPr>
        <w:spacing w:before="120" w:line="276" w:lineRule="auto"/>
        <w:jc w:val="both"/>
        <w:rPr>
          <w:rFonts w:eastAsia="Times New Roman" w:cstheme="minorHAnsi"/>
        </w:rPr>
      </w:pPr>
      <w:r w:rsidRPr="002F73B3">
        <w:rPr>
          <w:rFonts w:eastAsia="Times New Roman" w:cstheme="minorHAnsi"/>
        </w:rPr>
        <w:t xml:space="preserve">U izvještajnom razdoblju HALMED je sudjelovao na </w:t>
      </w:r>
      <w:r>
        <w:rPr>
          <w:rFonts w:eastAsia="Times New Roman" w:cstheme="minorHAnsi"/>
        </w:rPr>
        <w:t>četiri</w:t>
      </w:r>
      <w:r w:rsidRPr="002F73B3">
        <w:rPr>
          <w:rFonts w:eastAsia="Times New Roman" w:cstheme="minorHAnsi"/>
        </w:rPr>
        <w:t xml:space="preserve"> virtualn</w:t>
      </w:r>
      <w:r>
        <w:rPr>
          <w:rFonts w:eastAsia="Times New Roman" w:cstheme="minorHAnsi"/>
        </w:rPr>
        <w:t>a</w:t>
      </w:r>
      <w:r w:rsidRPr="002F73B3">
        <w:rPr>
          <w:rFonts w:eastAsia="Times New Roman" w:cstheme="minorHAnsi"/>
        </w:rPr>
        <w:t xml:space="preserve"> sastank</w:t>
      </w:r>
      <w:r>
        <w:rPr>
          <w:rFonts w:eastAsia="Times New Roman" w:cstheme="minorHAnsi"/>
        </w:rPr>
        <w:t>a</w:t>
      </w:r>
      <w:r w:rsidRPr="002F73B3">
        <w:rPr>
          <w:rFonts w:eastAsia="Times New Roman" w:cstheme="minorHAnsi"/>
        </w:rPr>
        <w:t xml:space="preserve">. </w:t>
      </w:r>
    </w:p>
    <w:p w14:paraId="671F5364" w14:textId="77777777" w:rsidR="0085421A" w:rsidRPr="002F73B3" w:rsidRDefault="0085421A" w:rsidP="0085421A">
      <w:pPr>
        <w:spacing w:after="240"/>
        <w:contextualSpacing/>
        <w:jc w:val="both"/>
        <w:rPr>
          <w:rFonts w:eastAsia="Times New Roman" w:cstheme="minorHAnsi"/>
          <w:b/>
          <w:iCs/>
        </w:rPr>
      </w:pPr>
    </w:p>
    <w:p w14:paraId="37CF240E" w14:textId="77777777" w:rsidR="0085421A" w:rsidRPr="002F73B3" w:rsidRDefault="0085421A" w:rsidP="0085421A">
      <w:pPr>
        <w:spacing w:after="240"/>
        <w:contextualSpacing/>
        <w:jc w:val="both"/>
        <w:rPr>
          <w:rFonts w:eastAsia="Times New Roman" w:cstheme="minorHAnsi"/>
          <w:b/>
          <w:i/>
          <w:iCs/>
        </w:rPr>
      </w:pPr>
      <w:r w:rsidRPr="002F73B3">
        <w:rPr>
          <w:rFonts w:eastAsia="Times New Roman" w:cstheme="minorHAnsi"/>
          <w:b/>
          <w:iCs/>
        </w:rPr>
        <w:t>C) Radna skupina za zajedničke farmakovigilancijske postupke (</w:t>
      </w:r>
      <w:r w:rsidRPr="002F73B3">
        <w:rPr>
          <w:rFonts w:eastAsia="Times New Roman" w:cstheme="minorHAnsi"/>
          <w:b/>
          <w:i/>
          <w:iCs/>
        </w:rPr>
        <w:t>Pharmacovigilance Work Sharing Procedures Working Party, PhV WSP WP</w:t>
      </w:r>
      <w:r w:rsidRPr="002F73B3">
        <w:rPr>
          <w:rFonts w:eastAsia="Times New Roman" w:cstheme="minorHAnsi"/>
          <w:b/>
          <w:iCs/>
        </w:rPr>
        <w:t>)</w:t>
      </w:r>
      <w:r w:rsidRPr="002F73B3">
        <w:rPr>
          <w:rFonts w:eastAsia="Times New Roman" w:cstheme="minorHAnsi"/>
          <w:b/>
          <w:i/>
          <w:iCs/>
        </w:rPr>
        <w:t>.</w:t>
      </w:r>
    </w:p>
    <w:p w14:paraId="20A7092D" w14:textId="77777777" w:rsidR="0085421A" w:rsidRPr="002F73B3" w:rsidRDefault="0085421A" w:rsidP="0085421A">
      <w:pPr>
        <w:spacing w:after="240"/>
        <w:ind w:left="719"/>
        <w:contextualSpacing/>
        <w:jc w:val="both"/>
        <w:rPr>
          <w:rFonts w:eastAsia="Times New Roman" w:cstheme="minorHAnsi"/>
          <w:b/>
          <w:iCs/>
        </w:rPr>
      </w:pPr>
    </w:p>
    <w:p w14:paraId="4317BFE4" w14:textId="77777777" w:rsidR="0085421A" w:rsidRPr="002F73B3" w:rsidRDefault="0085421A" w:rsidP="0085421A">
      <w:pPr>
        <w:spacing w:before="120" w:line="276" w:lineRule="auto"/>
        <w:jc w:val="both"/>
        <w:rPr>
          <w:rFonts w:eastAsia="Times New Roman" w:cstheme="minorHAnsi"/>
        </w:rPr>
      </w:pPr>
      <w:r w:rsidRPr="002F73B3">
        <w:rPr>
          <w:rFonts w:eastAsia="Times New Roman" w:cstheme="minorHAnsi"/>
          <w:iCs/>
        </w:rPr>
        <w:t xml:space="preserve">Radna skupina se sastoji od farmakovigilancijskih ocjenitelja te predstavnika PRAC-a i CMDh-a koja na redovitim telekonferencijskim sastancima raspravlja farmakovigilancijske teme od zajedničkog interesa za oba povjerenstva s ciljem postizanja dogovora i ujednačenog pristupa. </w:t>
      </w:r>
    </w:p>
    <w:p w14:paraId="01295EAE" w14:textId="77777777" w:rsidR="0085421A" w:rsidRDefault="0085421A" w:rsidP="0085421A">
      <w:pPr>
        <w:spacing w:before="120"/>
        <w:jc w:val="both"/>
        <w:rPr>
          <w:rFonts w:eastAsia="Times New Roman" w:cstheme="minorHAnsi"/>
          <w:b/>
        </w:rPr>
      </w:pPr>
      <w:bookmarkStart w:id="134" w:name="_Toc26534639"/>
      <w:bookmarkEnd w:id="82"/>
      <w:bookmarkEnd w:id="83"/>
      <w:r w:rsidRPr="002F73B3">
        <w:rPr>
          <w:rFonts w:eastAsia="Times New Roman" w:cstheme="minorHAnsi"/>
          <w:b/>
        </w:rPr>
        <w:t>D) Radna skupina za pregled upravljanja signalom (</w:t>
      </w:r>
      <w:r w:rsidRPr="002F73B3">
        <w:rPr>
          <w:rFonts w:eastAsia="Times New Roman" w:cstheme="minorHAnsi"/>
          <w:b/>
          <w:i/>
        </w:rPr>
        <w:t>The Signal Management Review Technical Working Group, SMART</w:t>
      </w:r>
      <w:r w:rsidRPr="002F73B3">
        <w:rPr>
          <w:rFonts w:eastAsia="Times New Roman" w:cstheme="minorHAnsi"/>
          <w:b/>
        </w:rPr>
        <w:t>)</w:t>
      </w:r>
    </w:p>
    <w:p w14:paraId="2B21EC50" w14:textId="77777777" w:rsidR="0085421A" w:rsidRPr="003A659D" w:rsidRDefault="0085421A" w:rsidP="0085421A">
      <w:pPr>
        <w:spacing w:before="120" w:line="276" w:lineRule="auto"/>
        <w:jc w:val="both"/>
        <w:rPr>
          <w:rFonts w:eastAsia="Times New Roman" w:cstheme="minorHAnsi"/>
          <w:b/>
        </w:rPr>
      </w:pPr>
      <w:r w:rsidRPr="002F73B3">
        <w:rPr>
          <w:rFonts w:eastAsia="Times New Roman" w:cstheme="minorHAnsi"/>
        </w:rPr>
        <w:t>Radna skupina za pregled upravljanja signalom sastavljena je od članova iz država članica EU-a i EMA-e s ciljem jačanja i pojednostavljenja procesa upravljanja signalom u EU. Podijeljena je u dvije radne podskupine, od kojih je jedna fokusirana na alate i procese upravljanja signalom (</w:t>
      </w:r>
      <w:r w:rsidRPr="002F73B3">
        <w:rPr>
          <w:rFonts w:eastAsia="Times New Roman" w:cstheme="minorHAnsi"/>
          <w:i/>
        </w:rPr>
        <w:t>SMART Processes</w:t>
      </w:r>
      <w:r w:rsidRPr="002F73B3">
        <w:rPr>
          <w:rFonts w:eastAsia="Times New Roman" w:cstheme="minorHAnsi"/>
        </w:rPr>
        <w:t>), a  druga na metodološke smjernice i metode detekcije signala (</w:t>
      </w:r>
      <w:r w:rsidRPr="002F73B3">
        <w:rPr>
          <w:rFonts w:eastAsia="Times New Roman" w:cstheme="minorHAnsi"/>
          <w:i/>
        </w:rPr>
        <w:t>SMART Methods</w:t>
      </w:r>
      <w:r w:rsidRPr="002F73B3">
        <w:rPr>
          <w:rFonts w:eastAsia="Times New Roman" w:cstheme="minorHAnsi"/>
        </w:rPr>
        <w:t xml:space="preserve">). </w:t>
      </w:r>
      <w:r w:rsidRPr="002F73B3">
        <w:rPr>
          <w:rFonts w:eastAsia="Times New Roman" w:cstheme="minorHAnsi"/>
          <w:i/>
        </w:rPr>
        <w:t>SMART</w:t>
      </w:r>
      <w:r w:rsidRPr="002F73B3">
        <w:rPr>
          <w:rFonts w:eastAsia="Times New Roman" w:cstheme="minorHAnsi"/>
        </w:rPr>
        <w:t xml:space="preserve"> skupina izvješće podnosi PRAC-u. Rad skupine odvija se putem virtualnih sastanaka. HALMED sudjeluje u radu podskupine </w:t>
      </w:r>
      <w:r w:rsidRPr="002F73B3">
        <w:rPr>
          <w:rFonts w:eastAsia="Times New Roman" w:cstheme="minorHAnsi"/>
          <w:i/>
        </w:rPr>
        <w:t>SMART Processes</w:t>
      </w:r>
      <w:r w:rsidRPr="002F73B3">
        <w:rPr>
          <w:rFonts w:eastAsia="Times New Roman" w:cstheme="minorHAnsi"/>
        </w:rPr>
        <w:t xml:space="preserve">. </w:t>
      </w:r>
    </w:p>
    <w:p w14:paraId="4F738E42" w14:textId="77777777" w:rsidR="0085421A" w:rsidRPr="002F73B3" w:rsidRDefault="0085421A" w:rsidP="0085421A">
      <w:pPr>
        <w:spacing w:before="120" w:line="276" w:lineRule="auto"/>
        <w:jc w:val="both"/>
        <w:rPr>
          <w:rFonts w:eastAsia="Times New Roman" w:cstheme="minorHAnsi"/>
        </w:rPr>
      </w:pPr>
      <w:r w:rsidRPr="002F73B3">
        <w:rPr>
          <w:rFonts w:eastAsia="Times New Roman" w:cstheme="minorHAnsi"/>
        </w:rPr>
        <w:t xml:space="preserve">U izvještajnom razdoblju HALMED je sudjelovao na </w:t>
      </w:r>
      <w:r>
        <w:rPr>
          <w:rFonts w:eastAsia="Times New Roman" w:cstheme="minorHAnsi"/>
        </w:rPr>
        <w:t>2</w:t>
      </w:r>
      <w:r w:rsidRPr="002F73B3">
        <w:rPr>
          <w:rFonts w:eastAsia="Times New Roman" w:cstheme="minorHAnsi"/>
        </w:rPr>
        <w:t xml:space="preserve"> virtualn</w:t>
      </w:r>
      <w:r>
        <w:rPr>
          <w:rFonts w:eastAsia="Times New Roman" w:cstheme="minorHAnsi"/>
        </w:rPr>
        <w:t>a</w:t>
      </w:r>
      <w:r w:rsidRPr="002F73B3">
        <w:rPr>
          <w:rFonts w:eastAsia="Times New Roman" w:cstheme="minorHAnsi"/>
        </w:rPr>
        <w:t xml:space="preserve"> sastank</w:t>
      </w:r>
      <w:r>
        <w:rPr>
          <w:rFonts w:eastAsia="Times New Roman" w:cstheme="minorHAnsi"/>
        </w:rPr>
        <w:t>a</w:t>
      </w:r>
      <w:r w:rsidRPr="002F73B3">
        <w:rPr>
          <w:rFonts w:eastAsia="Times New Roman" w:cstheme="minorHAnsi"/>
        </w:rPr>
        <w:t xml:space="preserve"> </w:t>
      </w:r>
      <w:r w:rsidRPr="002F73B3">
        <w:rPr>
          <w:rFonts w:eastAsia="Times New Roman" w:cstheme="minorHAnsi"/>
          <w:i/>
        </w:rPr>
        <w:t>SMART Processes</w:t>
      </w:r>
      <w:r w:rsidRPr="002F73B3">
        <w:rPr>
          <w:rFonts w:eastAsia="Times New Roman" w:cstheme="minorHAnsi"/>
        </w:rPr>
        <w:t xml:space="preserve"> radne podskupine.</w:t>
      </w:r>
    </w:p>
    <w:p w14:paraId="1F254D1D" w14:textId="77777777" w:rsidR="0085421A" w:rsidRPr="002F73B3" w:rsidRDefault="0085421A" w:rsidP="0085421A">
      <w:pPr>
        <w:spacing w:before="120"/>
        <w:jc w:val="both"/>
        <w:rPr>
          <w:rFonts w:eastAsia="Times New Roman" w:cstheme="minorHAnsi"/>
          <w:b/>
        </w:rPr>
      </w:pPr>
      <w:r w:rsidRPr="002F73B3">
        <w:rPr>
          <w:rFonts w:eastAsia="Times New Roman" w:cstheme="minorHAnsi"/>
          <w:b/>
        </w:rPr>
        <w:t>E) Radna skupina za koordinaciju kliničkih ispitivanja (</w:t>
      </w:r>
      <w:r w:rsidRPr="002F73B3">
        <w:rPr>
          <w:rFonts w:eastAsia="Times New Roman" w:cstheme="minorHAnsi"/>
          <w:b/>
          <w:i/>
        </w:rPr>
        <w:t>Clinical Trial Coordination Group, CTCG</w:t>
      </w:r>
      <w:r w:rsidRPr="002F73B3">
        <w:rPr>
          <w:rFonts w:eastAsia="Times New Roman" w:cstheme="minorHAnsi"/>
          <w:b/>
        </w:rPr>
        <w:t>)</w:t>
      </w:r>
    </w:p>
    <w:p w14:paraId="750C0622" w14:textId="77777777" w:rsidR="0085421A" w:rsidRPr="002F73B3" w:rsidRDefault="0085421A" w:rsidP="0085421A">
      <w:pPr>
        <w:spacing w:before="120" w:line="276" w:lineRule="auto"/>
        <w:jc w:val="both"/>
        <w:rPr>
          <w:rFonts w:eastAsia="Times New Roman" w:cstheme="minorHAnsi"/>
        </w:rPr>
      </w:pPr>
      <w:r w:rsidRPr="002F73B3">
        <w:rPr>
          <w:rFonts w:eastAsia="Times New Roman" w:cstheme="minorHAnsi"/>
        </w:rPr>
        <w:t xml:space="preserve">CTCG je radna skupina čiji je cilj harmonizacija i koordinacija procedura u  kliničkim ispitivanjima na području EU, podrška u implementaciji CTR (engl. </w:t>
      </w:r>
      <w:r w:rsidRPr="002F73B3">
        <w:rPr>
          <w:rFonts w:eastAsia="Times New Roman" w:cstheme="minorHAnsi"/>
          <w:i/>
        </w:rPr>
        <w:t>Clinical Trial Regulation</w:t>
      </w:r>
      <w:r w:rsidRPr="002F73B3">
        <w:rPr>
          <w:rFonts w:eastAsia="Times New Roman" w:cstheme="minorHAnsi"/>
        </w:rPr>
        <w:t xml:space="preserve">) u zemljama članicama te razmjena iskustava i rješavanje pitanja iz ovog područja. </w:t>
      </w:r>
    </w:p>
    <w:p w14:paraId="695433D2" w14:textId="77777777" w:rsidR="0085421A" w:rsidRPr="002F73B3" w:rsidRDefault="0085421A" w:rsidP="0085421A">
      <w:pPr>
        <w:spacing w:before="120" w:line="276" w:lineRule="auto"/>
        <w:jc w:val="both"/>
        <w:rPr>
          <w:rFonts w:eastAsia="Times New Roman" w:cstheme="minorHAnsi"/>
        </w:rPr>
      </w:pPr>
      <w:r w:rsidRPr="002F73B3">
        <w:rPr>
          <w:rFonts w:eastAsia="Times New Roman" w:cstheme="minorHAnsi"/>
        </w:rPr>
        <w:t xml:space="preserve">U izvještajnom razdoblju HALMED je sudjelovao na </w:t>
      </w:r>
      <w:r>
        <w:rPr>
          <w:rFonts w:eastAsia="Times New Roman" w:cstheme="minorHAnsi"/>
        </w:rPr>
        <w:t xml:space="preserve">šest </w:t>
      </w:r>
      <w:r w:rsidRPr="002F73B3">
        <w:rPr>
          <w:rFonts w:eastAsia="Times New Roman" w:cstheme="minorHAnsi"/>
        </w:rPr>
        <w:t>virtualn</w:t>
      </w:r>
      <w:r>
        <w:rPr>
          <w:rFonts w:eastAsia="Times New Roman" w:cstheme="minorHAnsi"/>
        </w:rPr>
        <w:t>ih</w:t>
      </w:r>
      <w:r w:rsidRPr="002F73B3">
        <w:rPr>
          <w:rFonts w:eastAsia="Times New Roman" w:cstheme="minorHAnsi"/>
        </w:rPr>
        <w:t xml:space="preserve"> sastan</w:t>
      </w:r>
      <w:r>
        <w:rPr>
          <w:rFonts w:eastAsia="Times New Roman" w:cstheme="minorHAnsi"/>
        </w:rPr>
        <w:t>a</w:t>
      </w:r>
      <w:r w:rsidRPr="002F73B3">
        <w:rPr>
          <w:rFonts w:eastAsia="Times New Roman" w:cstheme="minorHAnsi"/>
        </w:rPr>
        <w:t xml:space="preserve">ka </w:t>
      </w:r>
      <w:r>
        <w:rPr>
          <w:rFonts w:eastAsia="Times New Roman" w:cstheme="minorHAnsi"/>
        </w:rPr>
        <w:t xml:space="preserve">CTCG-a </w:t>
      </w:r>
      <w:r w:rsidRPr="002F73B3">
        <w:rPr>
          <w:rFonts w:eastAsia="Times New Roman" w:cstheme="minorHAnsi"/>
        </w:rPr>
        <w:t xml:space="preserve">i </w:t>
      </w:r>
      <w:r>
        <w:rPr>
          <w:rFonts w:eastAsia="Times New Roman" w:cstheme="minorHAnsi"/>
        </w:rPr>
        <w:t xml:space="preserve">četiri </w:t>
      </w:r>
      <w:r w:rsidRPr="002F73B3">
        <w:rPr>
          <w:rFonts w:eastAsia="Times New Roman" w:cstheme="minorHAnsi"/>
        </w:rPr>
        <w:t>sastank</w:t>
      </w:r>
      <w:r>
        <w:rPr>
          <w:rFonts w:eastAsia="Times New Roman" w:cstheme="minorHAnsi"/>
        </w:rPr>
        <w:t>a</w:t>
      </w:r>
      <w:r w:rsidRPr="002F73B3">
        <w:rPr>
          <w:rFonts w:eastAsia="Times New Roman" w:cstheme="minorHAnsi"/>
        </w:rPr>
        <w:t xml:space="preserve"> uživo</w:t>
      </w:r>
      <w:r>
        <w:rPr>
          <w:rFonts w:eastAsia="Times New Roman" w:cstheme="minorHAnsi"/>
        </w:rPr>
        <w:t>.</w:t>
      </w:r>
    </w:p>
    <w:p w14:paraId="5E54E7AA" w14:textId="77777777" w:rsidR="0085421A" w:rsidRPr="002F73B3" w:rsidRDefault="0085421A" w:rsidP="0085421A">
      <w:pPr>
        <w:spacing w:before="120" w:line="276" w:lineRule="auto"/>
        <w:jc w:val="both"/>
        <w:rPr>
          <w:rFonts w:eastAsia="Times New Roman" w:cstheme="minorHAnsi"/>
        </w:rPr>
      </w:pPr>
      <w:r w:rsidRPr="002F73B3">
        <w:rPr>
          <w:rFonts w:eastAsia="Times New Roman" w:cstheme="minorHAnsi"/>
        </w:rPr>
        <w:t>Podaci o sudjelovanju predstavnika HALMED-a na radnim sastancima povjerenstava i radnih skupina HMA u izvještajnom razdoblju prikazani su u Tablici br. 9.</w:t>
      </w:r>
    </w:p>
    <w:p w14:paraId="7A483F91" w14:textId="77777777" w:rsidR="0085421A" w:rsidRPr="002F73B3" w:rsidRDefault="0085421A" w:rsidP="0085421A"/>
    <w:p w14:paraId="40BBA393" w14:textId="77777777" w:rsidR="0085421A" w:rsidRPr="002F73B3" w:rsidRDefault="0085421A" w:rsidP="0085421A">
      <w:pPr>
        <w:pStyle w:val="Heading3"/>
      </w:pPr>
      <w:bookmarkStart w:id="135" w:name="_Toc165035460"/>
      <w:r w:rsidRPr="002F73B3">
        <w:lastRenderedPageBreak/>
        <w:t>2.2.13. Izvršenje prihodovnih poslova</w:t>
      </w:r>
      <w:bookmarkEnd w:id="134"/>
      <w:bookmarkEnd w:id="135"/>
      <w:r w:rsidRPr="002F73B3">
        <w:t xml:space="preserve"> </w:t>
      </w:r>
      <w:bookmarkStart w:id="136" w:name="_Toc530140524"/>
    </w:p>
    <w:p w14:paraId="797F08A7" w14:textId="77777777" w:rsidR="0085421A" w:rsidRDefault="0085421A" w:rsidP="0085421A">
      <w:pPr>
        <w:tabs>
          <w:tab w:val="center" w:pos="858"/>
          <w:tab w:val="center" w:pos="4320"/>
          <w:tab w:val="right" w:pos="8306"/>
          <w:tab w:val="right" w:pos="8640"/>
        </w:tabs>
        <w:spacing w:after="120"/>
        <w:jc w:val="both"/>
        <w:rPr>
          <w:rFonts w:ascii="Calibri" w:eastAsia="Times New Roman" w:hAnsi="Calibri" w:cs="Times New Roman"/>
          <w:b/>
          <w:bCs/>
          <w:lang w:eastAsia="hr-HR"/>
        </w:rPr>
      </w:pPr>
      <w:r w:rsidRPr="002F73B3">
        <w:rPr>
          <w:rFonts w:ascii="Calibri" w:eastAsia="Times New Roman" w:hAnsi="Calibri" w:cs="Times New Roman"/>
          <w:b/>
          <w:bCs/>
          <w:lang w:eastAsia="hr-HR"/>
        </w:rPr>
        <w:t>Tablica 7. Izvršenje prihodovnih farmakovigilancijskih usluga</w:t>
      </w:r>
    </w:p>
    <w:tbl>
      <w:tblPr>
        <w:tblW w:w="9305" w:type="dxa"/>
        <w:tblInd w:w="103" w:type="dxa"/>
        <w:tblLook w:val="04A0" w:firstRow="1" w:lastRow="0" w:firstColumn="1" w:lastColumn="0" w:noHBand="0" w:noVBand="1"/>
      </w:tblPr>
      <w:tblGrid>
        <w:gridCol w:w="714"/>
        <w:gridCol w:w="4253"/>
        <w:gridCol w:w="1559"/>
        <w:gridCol w:w="1504"/>
        <w:gridCol w:w="1275"/>
      </w:tblGrid>
      <w:tr w:rsidR="0085421A" w:rsidRPr="002F73B3" w14:paraId="2AE8524D" w14:textId="77777777" w:rsidTr="00BA499D">
        <w:trPr>
          <w:trHeight w:val="1016"/>
          <w:tblHeader/>
        </w:trPr>
        <w:tc>
          <w:tcPr>
            <w:tcW w:w="714" w:type="dxa"/>
            <w:tcBorders>
              <w:top w:val="single" w:sz="4" w:space="0" w:color="auto"/>
              <w:left w:val="single" w:sz="4" w:space="0" w:color="auto"/>
              <w:bottom w:val="single" w:sz="4" w:space="0" w:color="auto"/>
              <w:right w:val="single" w:sz="4" w:space="0" w:color="auto"/>
            </w:tcBorders>
            <w:shd w:val="clear" w:color="auto" w:fill="A3E7FF"/>
            <w:vAlign w:val="center"/>
            <w:hideMark/>
          </w:tcPr>
          <w:p w14:paraId="197BEF19" w14:textId="77777777" w:rsidR="0085421A" w:rsidRPr="002F73B3" w:rsidRDefault="0085421A" w:rsidP="00BA499D">
            <w:pPr>
              <w:spacing w:line="256" w:lineRule="auto"/>
              <w:jc w:val="center"/>
              <w:rPr>
                <w:rFonts w:cstheme="minorHAnsi"/>
                <w:b/>
                <w:bCs/>
                <w:sz w:val="18"/>
                <w:szCs w:val="18"/>
              </w:rPr>
            </w:pPr>
            <w:r w:rsidRPr="002F73B3">
              <w:rPr>
                <w:rFonts w:cstheme="minorHAnsi"/>
                <w:b/>
                <w:bCs/>
                <w:sz w:val="18"/>
                <w:szCs w:val="18"/>
              </w:rPr>
              <w:t>R.br.</w:t>
            </w:r>
          </w:p>
        </w:tc>
        <w:tc>
          <w:tcPr>
            <w:tcW w:w="4253" w:type="dxa"/>
            <w:tcBorders>
              <w:top w:val="single" w:sz="4" w:space="0" w:color="auto"/>
              <w:left w:val="nil"/>
              <w:bottom w:val="single" w:sz="4" w:space="0" w:color="auto"/>
              <w:right w:val="single" w:sz="4" w:space="0" w:color="auto"/>
            </w:tcBorders>
            <w:shd w:val="clear" w:color="auto" w:fill="A3E7FF"/>
            <w:vAlign w:val="center"/>
            <w:hideMark/>
          </w:tcPr>
          <w:p w14:paraId="42905272" w14:textId="77777777" w:rsidR="0085421A" w:rsidRPr="002F73B3" w:rsidRDefault="0085421A" w:rsidP="00BA499D">
            <w:pPr>
              <w:spacing w:line="256" w:lineRule="auto"/>
              <w:rPr>
                <w:rFonts w:cstheme="minorHAnsi"/>
                <w:b/>
                <w:bCs/>
                <w:sz w:val="18"/>
                <w:szCs w:val="18"/>
              </w:rPr>
            </w:pPr>
            <w:r w:rsidRPr="002F73B3">
              <w:rPr>
                <w:rFonts w:cstheme="minorHAnsi"/>
                <w:b/>
                <w:bCs/>
                <w:sz w:val="18"/>
                <w:szCs w:val="18"/>
              </w:rPr>
              <w:t>Naziv usluge</w:t>
            </w:r>
          </w:p>
        </w:tc>
        <w:tc>
          <w:tcPr>
            <w:tcW w:w="1559" w:type="dxa"/>
            <w:tcBorders>
              <w:top w:val="single" w:sz="4" w:space="0" w:color="auto"/>
              <w:left w:val="nil"/>
              <w:bottom w:val="single" w:sz="4" w:space="0" w:color="auto"/>
              <w:right w:val="single" w:sz="4" w:space="0" w:color="auto"/>
            </w:tcBorders>
            <w:shd w:val="clear" w:color="auto" w:fill="A3E7FF"/>
            <w:vAlign w:val="center"/>
            <w:hideMark/>
          </w:tcPr>
          <w:p w14:paraId="35B7BA61" w14:textId="77777777" w:rsidR="0085421A" w:rsidRPr="002F73B3" w:rsidRDefault="0085421A" w:rsidP="00BA499D">
            <w:pPr>
              <w:spacing w:line="256" w:lineRule="auto"/>
              <w:jc w:val="center"/>
              <w:rPr>
                <w:rFonts w:cstheme="minorHAnsi"/>
                <w:b/>
                <w:sz w:val="18"/>
                <w:szCs w:val="18"/>
              </w:rPr>
            </w:pPr>
            <w:r w:rsidRPr="002F73B3">
              <w:rPr>
                <w:rFonts w:cstheme="minorHAnsi"/>
                <w:b/>
                <w:sz w:val="18"/>
                <w:szCs w:val="18"/>
              </w:rPr>
              <w:t xml:space="preserve">Plan za </w:t>
            </w:r>
          </w:p>
          <w:p w14:paraId="6475E258" w14:textId="77777777" w:rsidR="0085421A" w:rsidRPr="002F73B3" w:rsidRDefault="0085421A" w:rsidP="00BA499D">
            <w:pPr>
              <w:spacing w:line="256" w:lineRule="auto"/>
              <w:jc w:val="center"/>
              <w:rPr>
                <w:rFonts w:cstheme="minorHAnsi"/>
                <w:b/>
                <w:bCs/>
                <w:sz w:val="18"/>
                <w:szCs w:val="18"/>
              </w:rPr>
            </w:pPr>
            <w:r w:rsidRPr="002F73B3">
              <w:rPr>
                <w:rFonts w:cstheme="minorHAnsi"/>
                <w:b/>
                <w:sz w:val="18"/>
                <w:szCs w:val="18"/>
              </w:rPr>
              <w:t xml:space="preserve">2023. </w:t>
            </w:r>
          </w:p>
        </w:tc>
        <w:tc>
          <w:tcPr>
            <w:tcW w:w="1504" w:type="dxa"/>
            <w:tcBorders>
              <w:top w:val="single" w:sz="4" w:space="0" w:color="auto"/>
              <w:left w:val="nil"/>
              <w:bottom w:val="single" w:sz="4" w:space="0" w:color="auto"/>
              <w:right w:val="single" w:sz="4" w:space="0" w:color="auto"/>
            </w:tcBorders>
            <w:shd w:val="clear" w:color="auto" w:fill="A3E7FF"/>
            <w:vAlign w:val="center"/>
            <w:hideMark/>
          </w:tcPr>
          <w:p w14:paraId="19793246" w14:textId="77777777" w:rsidR="0085421A" w:rsidRPr="002F73B3" w:rsidRDefault="0085421A" w:rsidP="00BA499D">
            <w:pPr>
              <w:spacing w:line="256" w:lineRule="auto"/>
              <w:jc w:val="center"/>
              <w:rPr>
                <w:rFonts w:cstheme="minorHAnsi"/>
                <w:b/>
                <w:bCs/>
                <w:sz w:val="18"/>
                <w:szCs w:val="18"/>
              </w:rPr>
            </w:pPr>
            <w:r w:rsidRPr="002F73B3">
              <w:rPr>
                <w:rFonts w:cstheme="minorHAnsi"/>
                <w:b/>
                <w:bCs/>
                <w:sz w:val="18"/>
                <w:szCs w:val="18"/>
              </w:rPr>
              <w:t>Izvršenje 01.01.-</w:t>
            </w:r>
            <w:r>
              <w:rPr>
                <w:rFonts w:cstheme="minorHAnsi"/>
                <w:b/>
                <w:bCs/>
                <w:sz w:val="18"/>
                <w:szCs w:val="18"/>
              </w:rPr>
              <w:t>31.12</w:t>
            </w:r>
            <w:r w:rsidRPr="002F73B3">
              <w:rPr>
                <w:rFonts w:cstheme="minorHAnsi"/>
                <w:b/>
                <w:bCs/>
                <w:sz w:val="18"/>
                <w:szCs w:val="18"/>
              </w:rPr>
              <w:t xml:space="preserve">.2023. </w:t>
            </w:r>
          </w:p>
        </w:tc>
        <w:tc>
          <w:tcPr>
            <w:tcW w:w="1275" w:type="dxa"/>
            <w:tcBorders>
              <w:top w:val="single" w:sz="4" w:space="0" w:color="auto"/>
              <w:left w:val="nil"/>
              <w:bottom w:val="single" w:sz="4" w:space="0" w:color="auto"/>
              <w:right w:val="single" w:sz="4" w:space="0" w:color="auto"/>
            </w:tcBorders>
            <w:shd w:val="clear" w:color="auto" w:fill="A3E7FF"/>
            <w:vAlign w:val="center"/>
            <w:hideMark/>
          </w:tcPr>
          <w:p w14:paraId="598A54E9" w14:textId="77777777" w:rsidR="0085421A" w:rsidRPr="002F73B3" w:rsidRDefault="0085421A" w:rsidP="00BA499D">
            <w:pPr>
              <w:spacing w:line="256" w:lineRule="auto"/>
              <w:jc w:val="center"/>
              <w:rPr>
                <w:rFonts w:cstheme="minorHAnsi"/>
                <w:b/>
                <w:bCs/>
                <w:sz w:val="18"/>
                <w:szCs w:val="18"/>
              </w:rPr>
            </w:pPr>
            <w:r w:rsidRPr="002F73B3">
              <w:rPr>
                <w:rFonts w:cstheme="minorHAnsi"/>
                <w:b/>
                <w:bCs/>
                <w:sz w:val="18"/>
                <w:szCs w:val="18"/>
              </w:rPr>
              <w:t>% izvršenja</w:t>
            </w:r>
          </w:p>
        </w:tc>
      </w:tr>
      <w:tr w:rsidR="0085421A" w:rsidRPr="002F73B3" w14:paraId="79B79AA0" w14:textId="77777777" w:rsidTr="00BA499D">
        <w:trPr>
          <w:trHeight w:val="142"/>
        </w:trPr>
        <w:tc>
          <w:tcPr>
            <w:tcW w:w="714" w:type="dxa"/>
            <w:tcBorders>
              <w:top w:val="nil"/>
              <w:left w:val="single" w:sz="4" w:space="0" w:color="auto"/>
              <w:bottom w:val="single" w:sz="4" w:space="0" w:color="auto"/>
              <w:right w:val="single" w:sz="4" w:space="0" w:color="auto"/>
            </w:tcBorders>
            <w:vAlign w:val="center"/>
            <w:hideMark/>
          </w:tcPr>
          <w:p w14:paraId="2DAA1DC7" w14:textId="77777777" w:rsidR="0085421A" w:rsidRPr="002F73B3" w:rsidRDefault="0085421A" w:rsidP="00BA499D">
            <w:pPr>
              <w:spacing w:line="256" w:lineRule="auto"/>
              <w:jc w:val="center"/>
              <w:rPr>
                <w:rFonts w:ascii="Calibri" w:eastAsia="Times New Roman" w:hAnsi="Calibri" w:cs="Calibri"/>
                <w:sz w:val="18"/>
                <w:szCs w:val="18"/>
                <w:lang w:eastAsia="hr-HR"/>
              </w:rPr>
            </w:pPr>
            <w:r w:rsidRPr="002F73B3">
              <w:rPr>
                <w:rFonts w:ascii="Calibri" w:eastAsia="Times New Roman" w:hAnsi="Calibri" w:cs="Calibri"/>
                <w:sz w:val="18"/>
                <w:szCs w:val="18"/>
                <w:lang w:eastAsia="hr-HR"/>
              </w:rPr>
              <w:t>1.</w:t>
            </w:r>
          </w:p>
        </w:tc>
        <w:tc>
          <w:tcPr>
            <w:tcW w:w="4253" w:type="dxa"/>
            <w:tcBorders>
              <w:top w:val="nil"/>
              <w:left w:val="nil"/>
              <w:bottom w:val="single" w:sz="4" w:space="0" w:color="auto"/>
              <w:right w:val="single" w:sz="4" w:space="0" w:color="auto"/>
            </w:tcBorders>
            <w:vAlign w:val="center"/>
            <w:hideMark/>
          </w:tcPr>
          <w:p w14:paraId="724531E8" w14:textId="77777777" w:rsidR="0085421A" w:rsidRPr="002F73B3" w:rsidRDefault="0085421A" w:rsidP="00BA499D">
            <w:pPr>
              <w:spacing w:line="256" w:lineRule="auto"/>
              <w:rPr>
                <w:rFonts w:ascii="Calibri" w:eastAsia="Times New Roman" w:hAnsi="Calibri" w:cs="Calibri"/>
                <w:sz w:val="18"/>
                <w:szCs w:val="18"/>
                <w:lang w:eastAsia="hr-HR"/>
              </w:rPr>
            </w:pPr>
            <w:r w:rsidRPr="002F73B3">
              <w:rPr>
                <w:rFonts w:ascii="Calibri" w:hAnsi="Calibri" w:cs="Calibri"/>
                <w:bCs/>
                <w:sz w:val="18"/>
                <w:szCs w:val="18"/>
              </w:rPr>
              <w:t>Ocjena</w:t>
            </w:r>
            <w:r w:rsidRPr="002F73B3">
              <w:rPr>
                <w:rFonts w:ascii="Calibri" w:eastAsia="Times New Roman" w:hAnsi="Calibri" w:cs="Calibri"/>
                <w:sz w:val="18"/>
                <w:szCs w:val="18"/>
                <w:lang w:eastAsia="hr-HR"/>
              </w:rPr>
              <w:t xml:space="preserve"> Periodičkog izvješća o neškodljivosti lijeka </w:t>
            </w:r>
          </w:p>
        </w:tc>
        <w:tc>
          <w:tcPr>
            <w:tcW w:w="1559" w:type="dxa"/>
            <w:tcBorders>
              <w:top w:val="nil"/>
              <w:left w:val="nil"/>
              <w:bottom w:val="single" w:sz="4" w:space="0" w:color="auto"/>
              <w:right w:val="single" w:sz="4" w:space="0" w:color="auto"/>
            </w:tcBorders>
            <w:noWrap/>
            <w:vAlign w:val="center"/>
          </w:tcPr>
          <w:p w14:paraId="63989095" w14:textId="77777777" w:rsidR="0085421A" w:rsidRPr="0027645D" w:rsidRDefault="0085421A" w:rsidP="00BA499D">
            <w:pPr>
              <w:jc w:val="center"/>
              <w:rPr>
                <w:bCs/>
                <w:sz w:val="18"/>
                <w:szCs w:val="18"/>
              </w:rPr>
            </w:pPr>
            <w:r w:rsidRPr="00C005E3">
              <w:rPr>
                <w:bCs/>
                <w:sz w:val="20"/>
                <w:szCs w:val="20"/>
              </w:rPr>
              <w:t>0</w:t>
            </w:r>
          </w:p>
        </w:tc>
        <w:tc>
          <w:tcPr>
            <w:tcW w:w="1504" w:type="dxa"/>
            <w:tcBorders>
              <w:top w:val="nil"/>
              <w:left w:val="nil"/>
              <w:bottom w:val="single" w:sz="4" w:space="0" w:color="auto"/>
              <w:right w:val="single" w:sz="4" w:space="0" w:color="auto"/>
            </w:tcBorders>
            <w:noWrap/>
            <w:vAlign w:val="center"/>
          </w:tcPr>
          <w:p w14:paraId="6EEF9558" w14:textId="77777777" w:rsidR="0085421A" w:rsidRPr="00290A39" w:rsidRDefault="0085421A" w:rsidP="00BA499D">
            <w:pPr>
              <w:jc w:val="center"/>
              <w:rPr>
                <w:bCs/>
                <w:sz w:val="18"/>
                <w:szCs w:val="18"/>
              </w:rPr>
            </w:pPr>
            <w:r w:rsidRPr="000B4EC1">
              <w:rPr>
                <w:bCs/>
                <w:sz w:val="20"/>
                <w:szCs w:val="20"/>
              </w:rPr>
              <w:t>0</w:t>
            </w:r>
          </w:p>
        </w:tc>
        <w:tc>
          <w:tcPr>
            <w:tcW w:w="1275" w:type="dxa"/>
            <w:tcBorders>
              <w:top w:val="nil"/>
              <w:left w:val="nil"/>
              <w:bottom w:val="single" w:sz="4" w:space="0" w:color="auto"/>
              <w:right w:val="single" w:sz="4" w:space="0" w:color="auto"/>
            </w:tcBorders>
            <w:noWrap/>
            <w:vAlign w:val="center"/>
          </w:tcPr>
          <w:p w14:paraId="78413C6A" w14:textId="77777777" w:rsidR="0085421A" w:rsidRPr="00290A39" w:rsidRDefault="0085421A" w:rsidP="00BA499D">
            <w:pPr>
              <w:jc w:val="center"/>
              <w:rPr>
                <w:sz w:val="18"/>
                <w:szCs w:val="18"/>
              </w:rPr>
            </w:pPr>
            <w:r>
              <w:rPr>
                <w:sz w:val="20"/>
                <w:szCs w:val="20"/>
              </w:rPr>
              <w:t>-</w:t>
            </w:r>
          </w:p>
        </w:tc>
      </w:tr>
      <w:tr w:rsidR="0085421A" w:rsidRPr="002F73B3" w14:paraId="6B1FBCAE" w14:textId="77777777" w:rsidTr="00BA499D">
        <w:trPr>
          <w:trHeight w:val="142"/>
        </w:trPr>
        <w:tc>
          <w:tcPr>
            <w:tcW w:w="714" w:type="dxa"/>
            <w:tcBorders>
              <w:top w:val="nil"/>
              <w:left w:val="single" w:sz="4" w:space="0" w:color="auto"/>
              <w:bottom w:val="single" w:sz="4" w:space="0" w:color="auto"/>
              <w:right w:val="single" w:sz="4" w:space="0" w:color="auto"/>
            </w:tcBorders>
            <w:vAlign w:val="center"/>
            <w:hideMark/>
          </w:tcPr>
          <w:p w14:paraId="13B3F087" w14:textId="77777777" w:rsidR="0085421A" w:rsidRPr="002F73B3" w:rsidRDefault="0085421A" w:rsidP="00BA499D">
            <w:pPr>
              <w:spacing w:line="256" w:lineRule="auto"/>
              <w:jc w:val="center"/>
              <w:rPr>
                <w:rFonts w:ascii="Calibri" w:eastAsia="Times New Roman" w:hAnsi="Calibri" w:cs="Calibri"/>
                <w:sz w:val="18"/>
                <w:szCs w:val="18"/>
                <w:lang w:eastAsia="hr-HR"/>
              </w:rPr>
            </w:pPr>
            <w:r w:rsidRPr="002F73B3">
              <w:rPr>
                <w:rFonts w:ascii="Calibri" w:eastAsia="Times New Roman" w:hAnsi="Calibri" w:cs="Calibri"/>
                <w:sz w:val="18"/>
                <w:szCs w:val="18"/>
                <w:lang w:eastAsia="hr-HR"/>
              </w:rPr>
              <w:t>2.</w:t>
            </w:r>
          </w:p>
        </w:tc>
        <w:tc>
          <w:tcPr>
            <w:tcW w:w="4253" w:type="dxa"/>
            <w:tcBorders>
              <w:top w:val="nil"/>
              <w:left w:val="nil"/>
              <w:bottom w:val="single" w:sz="4" w:space="0" w:color="auto"/>
              <w:right w:val="single" w:sz="4" w:space="0" w:color="auto"/>
            </w:tcBorders>
            <w:vAlign w:val="center"/>
            <w:hideMark/>
          </w:tcPr>
          <w:p w14:paraId="791F1D04" w14:textId="77777777" w:rsidR="0085421A" w:rsidRPr="002F73B3" w:rsidRDefault="0085421A" w:rsidP="00BA499D">
            <w:pPr>
              <w:spacing w:line="256" w:lineRule="auto"/>
              <w:rPr>
                <w:rFonts w:ascii="Calibri" w:eastAsia="Times New Roman" w:hAnsi="Calibri" w:cs="Calibri"/>
                <w:sz w:val="18"/>
                <w:szCs w:val="18"/>
                <w:lang w:eastAsia="hr-HR"/>
              </w:rPr>
            </w:pPr>
            <w:r w:rsidRPr="002F73B3">
              <w:rPr>
                <w:rFonts w:ascii="Calibri" w:eastAsia="Times New Roman" w:hAnsi="Calibri" w:cs="Calibri"/>
                <w:sz w:val="18"/>
                <w:szCs w:val="18"/>
                <w:lang w:eastAsia="hr-HR"/>
              </w:rPr>
              <w:t xml:space="preserve">Ocjena dodatnih mjera </w:t>
            </w:r>
            <w:r>
              <w:rPr>
                <w:rFonts w:ascii="Calibri" w:eastAsia="Times New Roman" w:hAnsi="Calibri" w:cs="Calibri"/>
                <w:sz w:val="18"/>
                <w:szCs w:val="18"/>
                <w:lang w:eastAsia="hr-HR"/>
              </w:rPr>
              <w:t>minimizacije</w:t>
            </w:r>
            <w:r w:rsidRPr="002F73B3">
              <w:rPr>
                <w:rFonts w:ascii="Calibri" w:eastAsia="Times New Roman" w:hAnsi="Calibri" w:cs="Calibri"/>
                <w:sz w:val="18"/>
                <w:szCs w:val="18"/>
                <w:lang w:eastAsia="hr-HR"/>
              </w:rPr>
              <w:t xml:space="preserve"> rizika (dMMR) </w:t>
            </w:r>
          </w:p>
        </w:tc>
        <w:tc>
          <w:tcPr>
            <w:tcW w:w="1559" w:type="dxa"/>
            <w:tcBorders>
              <w:top w:val="nil"/>
              <w:left w:val="nil"/>
              <w:bottom w:val="single" w:sz="4" w:space="0" w:color="auto"/>
              <w:right w:val="single" w:sz="4" w:space="0" w:color="auto"/>
            </w:tcBorders>
            <w:noWrap/>
            <w:vAlign w:val="center"/>
          </w:tcPr>
          <w:p w14:paraId="39A92893" w14:textId="77777777" w:rsidR="0085421A" w:rsidRPr="0027645D" w:rsidRDefault="0085421A" w:rsidP="00BA499D">
            <w:pPr>
              <w:jc w:val="center"/>
              <w:rPr>
                <w:bCs/>
                <w:sz w:val="18"/>
                <w:szCs w:val="18"/>
              </w:rPr>
            </w:pPr>
            <w:r w:rsidRPr="00C005E3">
              <w:rPr>
                <w:bCs/>
                <w:sz w:val="20"/>
                <w:szCs w:val="20"/>
              </w:rPr>
              <w:t>15</w:t>
            </w:r>
          </w:p>
        </w:tc>
        <w:tc>
          <w:tcPr>
            <w:tcW w:w="1504" w:type="dxa"/>
            <w:tcBorders>
              <w:top w:val="nil"/>
              <w:left w:val="nil"/>
              <w:bottom w:val="single" w:sz="4" w:space="0" w:color="auto"/>
              <w:right w:val="single" w:sz="4" w:space="0" w:color="auto"/>
            </w:tcBorders>
            <w:noWrap/>
            <w:vAlign w:val="center"/>
          </w:tcPr>
          <w:p w14:paraId="29866EA3" w14:textId="77777777" w:rsidR="0085421A" w:rsidRPr="00290A39" w:rsidRDefault="0085421A" w:rsidP="00BA499D">
            <w:pPr>
              <w:jc w:val="center"/>
              <w:rPr>
                <w:bCs/>
                <w:sz w:val="18"/>
                <w:szCs w:val="18"/>
              </w:rPr>
            </w:pPr>
            <w:r w:rsidRPr="000B4EC1">
              <w:rPr>
                <w:bCs/>
                <w:sz w:val="20"/>
                <w:szCs w:val="20"/>
              </w:rPr>
              <w:t>11</w:t>
            </w:r>
          </w:p>
        </w:tc>
        <w:tc>
          <w:tcPr>
            <w:tcW w:w="1275" w:type="dxa"/>
            <w:tcBorders>
              <w:top w:val="nil"/>
              <w:left w:val="nil"/>
              <w:bottom w:val="single" w:sz="4" w:space="0" w:color="auto"/>
              <w:right w:val="single" w:sz="4" w:space="0" w:color="auto"/>
            </w:tcBorders>
            <w:noWrap/>
            <w:vAlign w:val="center"/>
          </w:tcPr>
          <w:p w14:paraId="254F37E3" w14:textId="77777777" w:rsidR="0085421A" w:rsidRPr="00290A39" w:rsidRDefault="0085421A" w:rsidP="00BA499D">
            <w:pPr>
              <w:jc w:val="center"/>
              <w:rPr>
                <w:sz w:val="18"/>
                <w:szCs w:val="18"/>
              </w:rPr>
            </w:pPr>
            <w:r w:rsidRPr="00290A39">
              <w:rPr>
                <w:sz w:val="20"/>
                <w:szCs w:val="20"/>
              </w:rPr>
              <w:t>73%</w:t>
            </w:r>
          </w:p>
        </w:tc>
      </w:tr>
      <w:tr w:rsidR="0085421A" w:rsidRPr="002F73B3" w14:paraId="670DE5DC" w14:textId="77777777" w:rsidTr="00BA499D">
        <w:trPr>
          <w:trHeight w:val="142"/>
        </w:trPr>
        <w:tc>
          <w:tcPr>
            <w:tcW w:w="714" w:type="dxa"/>
            <w:tcBorders>
              <w:top w:val="nil"/>
              <w:left w:val="single" w:sz="4" w:space="0" w:color="auto"/>
              <w:bottom w:val="single" w:sz="4" w:space="0" w:color="auto"/>
              <w:right w:val="single" w:sz="4" w:space="0" w:color="auto"/>
            </w:tcBorders>
            <w:vAlign w:val="center"/>
            <w:hideMark/>
          </w:tcPr>
          <w:p w14:paraId="3B964869" w14:textId="77777777" w:rsidR="0085421A" w:rsidRPr="002F73B3" w:rsidRDefault="0085421A" w:rsidP="00BA499D">
            <w:pPr>
              <w:spacing w:line="256" w:lineRule="auto"/>
              <w:jc w:val="center"/>
              <w:rPr>
                <w:rFonts w:ascii="Calibri" w:eastAsia="Times New Roman" w:hAnsi="Calibri" w:cs="Calibri"/>
                <w:sz w:val="18"/>
                <w:szCs w:val="18"/>
                <w:lang w:eastAsia="hr-HR"/>
              </w:rPr>
            </w:pPr>
            <w:r w:rsidRPr="002F73B3">
              <w:rPr>
                <w:rFonts w:ascii="Calibri" w:eastAsia="Times New Roman" w:hAnsi="Calibri" w:cs="Calibri"/>
                <w:sz w:val="18"/>
                <w:szCs w:val="18"/>
                <w:lang w:eastAsia="hr-HR"/>
              </w:rPr>
              <w:t>3.</w:t>
            </w:r>
          </w:p>
        </w:tc>
        <w:tc>
          <w:tcPr>
            <w:tcW w:w="4253" w:type="dxa"/>
            <w:tcBorders>
              <w:top w:val="nil"/>
              <w:left w:val="nil"/>
              <w:bottom w:val="single" w:sz="4" w:space="0" w:color="auto"/>
              <w:right w:val="single" w:sz="4" w:space="0" w:color="auto"/>
            </w:tcBorders>
            <w:vAlign w:val="center"/>
            <w:hideMark/>
          </w:tcPr>
          <w:p w14:paraId="0F64BEE3" w14:textId="77777777" w:rsidR="0085421A" w:rsidRPr="002F73B3" w:rsidRDefault="0085421A" w:rsidP="00BA499D">
            <w:pPr>
              <w:spacing w:line="256" w:lineRule="auto"/>
              <w:rPr>
                <w:rFonts w:ascii="Calibri" w:eastAsia="Times New Roman" w:hAnsi="Calibri" w:cs="Calibri"/>
                <w:sz w:val="18"/>
                <w:szCs w:val="18"/>
                <w:lang w:eastAsia="hr-HR"/>
              </w:rPr>
            </w:pPr>
            <w:r w:rsidRPr="002F73B3">
              <w:rPr>
                <w:rFonts w:ascii="Calibri" w:eastAsia="Times New Roman" w:hAnsi="Calibri" w:cs="Calibri"/>
                <w:sz w:val="18"/>
                <w:szCs w:val="18"/>
                <w:lang w:eastAsia="hr-HR"/>
              </w:rPr>
              <w:t xml:space="preserve">Ocjena izmjene mjera </w:t>
            </w:r>
            <w:r>
              <w:rPr>
                <w:rFonts w:ascii="Calibri" w:eastAsia="Times New Roman" w:hAnsi="Calibri" w:cs="Calibri"/>
                <w:sz w:val="18"/>
                <w:szCs w:val="18"/>
                <w:lang w:eastAsia="hr-HR"/>
              </w:rPr>
              <w:t>minimizacije</w:t>
            </w:r>
            <w:r w:rsidRPr="002F73B3">
              <w:rPr>
                <w:rFonts w:ascii="Calibri" w:eastAsia="Times New Roman" w:hAnsi="Calibri" w:cs="Calibri"/>
                <w:sz w:val="18"/>
                <w:szCs w:val="18"/>
                <w:lang w:eastAsia="hr-HR"/>
              </w:rPr>
              <w:t xml:space="preserve"> rizika (dMMR)</w:t>
            </w:r>
          </w:p>
        </w:tc>
        <w:tc>
          <w:tcPr>
            <w:tcW w:w="1559" w:type="dxa"/>
            <w:tcBorders>
              <w:top w:val="nil"/>
              <w:left w:val="nil"/>
              <w:bottom w:val="single" w:sz="4" w:space="0" w:color="auto"/>
              <w:right w:val="single" w:sz="4" w:space="0" w:color="auto"/>
            </w:tcBorders>
            <w:noWrap/>
            <w:vAlign w:val="center"/>
          </w:tcPr>
          <w:p w14:paraId="26FBBCAB" w14:textId="77777777" w:rsidR="0085421A" w:rsidRPr="0027645D" w:rsidRDefault="0085421A" w:rsidP="00BA499D">
            <w:pPr>
              <w:jc w:val="center"/>
              <w:rPr>
                <w:bCs/>
                <w:sz w:val="18"/>
                <w:szCs w:val="18"/>
              </w:rPr>
            </w:pPr>
            <w:r w:rsidRPr="00C005E3">
              <w:rPr>
                <w:bCs/>
                <w:sz w:val="20"/>
                <w:szCs w:val="20"/>
              </w:rPr>
              <w:t>28</w:t>
            </w:r>
          </w:p>
        </w:tc>
        <w:tc>
          <w:tcPr>
            <w:tcW w:w="1504" w:type="dxa"/>
            <w:tcBorders>
              <w:top w:val="nil"/>
              <w:left w:val="nil"/>
              <w:bottom w:val="single" w:sz="4" w:space="0" w:color="auto"/>
              <w:right w:val="single" w:sz="4" w:space="0" w:color="auto"/>
            </w:tcBorders>
            <w:noWrap/>
            <w:vAlign w:val="center"/>
          </w:tcPr>
          <w:p w14:paraId="2281BA6C" w14:textId="77777777" w:rsidR="0085421A" w:rsidRPr="00290A39" w:rsidRDefault="0085421A" w:rsidP="00BA499D">
            <w:pPr>
              <w:jc w:val="center"/>
              <w:rPr>
                <w:bCs/>
                <w:sz w:val="18"/>
                <w:szCs w:val="18"/>
              </w:rPr>
            </w:pPr>
            <w:r w:rsidRPr="000B4EC1">
              <w:rPr>
                <w:bCs/>
                <w:sz w:val="20"/>
                <w:szCs w:val="20"/>
              </w:rPr>
              <w:t>28</w:t>
            </w:r>
          </w:p>
        </w:tc>
        <w:tc>
          <w:tcPr>
            <w:tcW w:w="1275" w:type="dxa"/>
            <w:tcBorders>
              <w:top w:val="nil"/>
              <w:left w:val="nil"/>
              <w:bottom w:val="single" w:sz="4" w:space="0" w:color="auto"/>
              <w:right w:val="single" w:sz="4" w:space="0" w:color="auto"/>
            </w:tcBorders>
            <w:noWrap/>
            <w:vAlign w:val="center"/>
          </w:tcPr>
          <w:p w14:paraId="65D993F4" w14:textId="77777777" w:rsidR="0085421A" w:rsidRPr="00290A39" w:rsidRDefault="0085421A" w:rsidP="00BA499D">
            <w:pPr>
              <w:jc w:val="center"/>
              <w:rPr>
                <w:sz w:val="18"/>
                <w:szCs w:val="18"/>
              </w:rPr>
            </w:pPr>
            <w:r w:rsidRPr="00290A39">
              <w:rPr>
                <w:sz w:val="20"/>
                <w:szCs w:val="20"/>
              </w:rPr>
              <w:t>100%</w:t>
            </w:r>
          </w:p>
        </w:tc>
      </w:tr>
      <w:tr w:rsidR="0085421A" w:rsidRPr="002F73B3" w14:paraId="15539746" w14:textId="77777777" w:rsidTr="00BA499D">
        <w:trPr>
          <w:trHeight w:val="142"/>
        </w:trPr>
        <w:tc>
          <w:tcPr>
            <w:tcW w:w="714" w:type="dxa"/>
            <w:tcBorders>
              <w:top w:val="nil"/>
              <w:left w:val="single" w:sz="4" w:space="0" w:color="auto"/>
              <w:bottom w:val="single" w:sz="4" w:space="0" w:color="auto"/>
              <w:right w:val="single" w:sz="4" w:space="0" w:color="auto"/>
            </w:tcBorders>
            <w:vAlign w:val="center"/>
            <w:hideMark/>
          </w:tcPr>
          <w:p w14:paraId="1B380A2E" w14:textId="77777777" w:rsidR="0085421A" w:rsidRPr="002F73B3" w:rsidRDefault="0085421A" w:rsidP="00BA499D">
            <w:pPr>
              <w:spacing w:line="256" w:lineRule="auto"/>
              <w:jc w:val="center"/>
              <w:rPr>
                <w:rFonts w:ascii="Calibri" w:eastAsia="Times New Roman" w:hAnsi="Calibri" w:cs="Calibri"/>
                <w:sz w:val="18"/>
                <w:szCs w:val="18"/>
                <w:lang w:eastAsia="hr-HR"/>
              </w:rPr>
            </w:pPr>
            <w:r w:rsidRPr="002F73B3">
              <w:rPr>
                <w:rFonts w:ascii="Calibri" w:eastAsia="Times New Roman" w:hAnsi="Calibri" w:cs="Calibri"/>
                <w:sz w:val="18"/>
                <w:szCs w:val="18"/>
                <w:lang w:eastAsia="hr-HR"/>
              </w:rPr>
              <w:t>4.</w:t>
            </w:r>
          </w:p>
        </w:tc>
        <w:tc>
          <w:tcPr>
            <w:tcW w:w="4253" w:type="dxa"/>
            <w:tcBorders>
              <w:top w:val="nil"/>
              <w:left w:val="nil"/>
              <w:bottom w:val="single" w:sz="4" w:space="0" w:color="auto"/>
              <w:right w:val="single" w:sz="4" w:space="0" w:color="auto"/>
            </w:tcBorders>
            <w:vAlign w:val="center"/>
            <w:hideMark/>
          </w:tcPr>
          <w:p w14:paraId="4FEB57B5" w14:textId="77777777" w:rsidR="0085421A" w:rsidRPr="002F73B3" w:rsidRDefault="0085421A" w:rsidP="00BA499D">
            <w:pPr>
              <w:spacing w:line="256" w:lineRule="auto"/>
              <w:rPr>
                <w:rFonts w:ascii="Calibri" w:eastAsia="Times New Roman" w:hAnsi="Calibri" w:cs="Calibri"/>
                <w:sz w:val="18"/>
                <w:szCs w:val="18"/>
                <w:lang w:eastAsia="hr-HR"/>
              </w:rPr>
            </w:pPr>
            <w:r w:rsidRPr="002F73B3">
              <w:rPr>
                <w:rFonts w:ascii="Calibri" w:eastAsia="Times New Roman" w:hAnsi="Calibri" w:cs="Calibri"/>
                <w:sz w:val="18"/>
                <w:szCs w:val="18"/>
                <w:lang w:eastAsia="hr-HR"/>
              </w:rPr>
              <w:t xml:space="preserve">Ocjena dodatnih mjera </w:t>
            </w:r>
            <w:r>
              <w:rPr>
                <w:rFonts w:ascii="Calibri" w:eastAsia="Times New Roman" w:hAnsi="Calibri" w:cs="Calibri"/>
                <w:sz w:val="18"/>
                <w:szCs w:val="18"/>
                <w:lang w:eastAsia="hr-HR"/>
              </w:rPr>
              <w:t>minimizacije</w:t>
            </w:r>
            <w:r w:rsidRPr="002F73B3">
              <w:rPr>
                <w:rFonts w:ascii="Calibri" w:eastAsia="Times New Roman" w:hAnsi="Calibri" w:cs="Calibri"/>
                <w:sz w:val="18"/>
                <w:szCs w:val="18"/>
                <w:lang w:eastAsia="hr-HR"/>
              </w:rPr>
              <w:t xml:space="preserve"> rizika (dMMR) za lijekove različitih nositelja odobrenja koji sadrži istu djelatnu tvar</w:t>
            </w:r>
          </w:p>
        </w:tc>
        <w:tc>
          <w:tcPr>
            <w:tcW w:w="1559" w:type="dxa"/>
            <w:tcBorders>
              <w:top w:val="nil"/>
              <w:left w:val="nil"/>
              <w:bottom w:val="single" w:sz="4" w:space="0" w:color="auto"/>
              <w:right w:val="single" w:sz="4" w:space="0" w:color="auto"/>
            </w:tcBorders>
            <w:noWrap/>
            <w:vAlign w:val="center"/>
          </w:tcPr>
          <w:p w14:paraId="1290A228" w14:textId="77777777" w:rsidR="0085421A" w:rsidRPr="0027645D" w:rsidRDefault="0085421A" w:rsidP="00BA499D">
            <w:pPr>
              <w:jc w:val="center"/>
              <w:rPr>
                <w:bCs/>
                <w:sz w:val="18"/>
                <w:szCs w:val="18"/>
              </w:rPr>
            </w:pPr>
            <w:r w:rsidRPr="00767E20">
              <w:rPr>
                <w:bCs/>
                <w:sz w:val="20"/>
                <w:szCs w:val="20"/>
              </w:rPr>
              <w:t>5</w:t>
            </w:r>
          </w:p>
        </w:tc>
        <w:tc>
          <w:tcPr>
            <w:tcW w:w="1504" w:type="dxa"/>
            <w:tcBorders>
              <w:top w:val="nil"/>
              <w:left w:val="nil"/>
              <w:bottom w:val="single" w:sz="4" w:space="0" w:color="auto"/>
              <w:right w:val="single" w:sz="4" w:space="0" w:color="auto"/>
            </w:tcBorders>
            <w:noWrap/>
            <w:vAlign w:val="center"/>
          </w:tcPr>
          <w:p w14:paraId="51A9A57B" w14:textId="77777777" w:rsidR="0085421A" w:rsidRPr="00290A39" w:rsidRDefault="0085421A" w:rsidP="00BA499D">
            <w:pPr>
              <w:jc w:val="center"/>
              <w:rPr>
                <w:bCs/>
                <w:sz w:val="18"/>
                <w:szCs w:val="18"/>
              </w:rPr>
            </w:pPr>
            <w:r w:rsidRPr="000B4EC1">
              <w:rPr>
                <w:bCs/>
                <w:sz w:val="20"/>
                <w:szCs w:val="20"/>
              </w:rPr>
              <w:t>18</w:t>
            </w:r>
          </w:p>
        </w:tc>
        <w:tc>
          <w:tcPr>
            <w:tcW w:w="1275" w:type="dxa"/>
            <w:tcBorders>
              <w:top w:val="nil"/>
              <w:left w:val="nil"/>
              <w:bottom w:val="single" w:sz="4" w:space="0" w:color="auto"/>
              <w:right w:val="single" w:sz="4" w:space="0" w:color="auto"/>
            </w:tcBorders>
            <w:noWrap/>
            <w:vAlign w:val="center"/>
          </w:tcPr>
          <w:p w14:paraId="743E4E6D" w14:textId="77777777" w:rsidR="0085421A" w:rsidRPr="00290A39" w:rsidRDefault="0085421A" w:rsidP="00BA499D">
            <w:pPr>
              <w:jc w:val="center"/>
              <w:rPr>
                <w:sz w:val="18"/>
                <w:szCs w:val="18"/>
              </w:rPr>
            </w:pPr>
            <w:r w:rsidRPr="00290A39">
              <w:rPr>
                <w:sz w:val="20"/>
                <w:szCs w:val="20"/>
              </w:rPr>
              <w:t>360%</w:t>
            </w:r>
          </w:p>
        </w:tc>
      </w:tr>
      <w:tr w:rsidR="0085421A" w:rsidRPr="002F73B3" w14:paraId="69B97025" w14:textId="77777777" w:rsidTr="00BA499D">
        <w:trPr>
          <w:trHeight w:val="142"/>
        </w:trPr>
        <w:tc>
          <w:tcPr>
            <w:tcW w:w="714" w:type="dxa"/>
            <w:tcBorders>
              <w:top w:val="nil"/>
              <w:left w:val="single" w:sz="4" w:space="0" w:color="auto"/>
              <w:bottom w:val="single" w:sz="4" w:space="0" w:color="auto"/>
              <w:right w:val="single" w:sz="4" w:space="0" w:color="auto"/>
            </w:tcBorders>
            <w:vAlign w:val="center"/>
            <w:hideMark/>
          </w:tcPr>
          <w:p w14:paraId="42DF0CA8" w14:textId="77777777" w:rsidR="0085421A" w:rsidRPr="002F73B3" w:rsidRDefault="0085421A" w:rsidP="00BA499D">
            <w:pPr>
              <w:spacing w:line="256" w:lineRule="auto"/>
              <w:jc w:val="center"/>
              <w:rPr>
                <w:rFonts w:ascii="Calibri" w:eastAsia="Times New Roman" w:hAnsi="Calibri" w:cs="Calibri"/>
                <w:sz w:val="18"/>
                <w:szCs w:val="18"/>
                <w:lang w:eastAsia="hr-HR"/>
              </w:rPr>
            </w:pPr>
            <w:r w:rsidRPr="002F73B3">
              <w:rPr>
                <w:rFonts w:ascii="Calibri" w:eastAsia="Times New Roman" w:hAnsi="Calibri" w:cs="Calibri"/>
                <w:sz w:val="18"/>
                <w:szCs w:val="18"/>
                <w:lang w:eastAsia="hr-HR"/>
              </w:rPr>
              <w:t>5.</w:t>
            </w:r>
          </w:p>
        </w:tc>
        <w:tc>
          <w:tcPr>
            <w:tcW w:w="4253" w:type="dxa"/>
            <w:tcBorders>
              <w:top w:val="nil"/>
              <w:left w:val="nil"/>
              <w:bottom w:val="single" w:sz="4" w:space="0" w:color="auto"/>
              <w:right w:val="single" w:sz="4" w:space="0" w:color="auto"/>
            </w:tcBorders>
            <w:vAlign w:val="center"/>
            <w:hideMark/>
          </w:tcPr>
          <w:p w14:paraId="01F553AA" w14:textId="77777777" w:rsidR="0085421A" w:rsidRPr="002F73B3" w:rsidRDefault="0085421A" w:rsidP="00BA499D">
            <w:pPr>
              <w:spacing w:line="256" w:lineRule="auto"/>
              <w:rPr>
                <w:rFonts w:ascii="Calibri" w:eastAsia="Times New Roman" w:hAnsi="Calibri" w:cs="Calibri"/>
                <w:sz w:val="18"/>
                <w:szCs w:val="18"/>
                <w:lang w:eastAsia="hr-HR"/>
              </w:rPr>
            </w:pPr>
            <w:r w:rsidRPr="002F73B3">
              <w:rPr>
                <w:rFonts w:ascii="Calibri" w:eastAsia="Times New Roman" w:hAnsi="Calibri" w:cs="Calibri"/>
                <w:sz w:val="18"/>
                <w:szCs w:val="18"/>
                <w:lang w:eastAsia="hr-HR"/>
              </w:rPr>
              <w:t xml:space="preserve">Ocjena izmjene dodatnih mjera </w:t>
            </w:r>
            <w:r>
              <w:rPr>
                <w:rFonts w:ascii="Calibri" w:eastAsia="Times New Roman" w:hAnsi="Calibri" w:cs="Calibri"/>
                <w:sz w:val="18"/>
                <w:szCs w:val="18"/>
                <w:lang w:eastAsia="hr-HR"/>
              </w:rPr>
              <w:t>minimizacije</w:t>
            </w:r>
            <w:r w:rsidRPr="002F73B3">
              <w:rPr>
                <w:rFonts w:ascii="Calibri" w:eastAsia="Times New Roman" w:hAnsi="Calibri" w:cs="Calibri"/>
                <w:sz w:val="18"/>
                <w:szCs w:val="18"/>
                <w:lang w:eastAsia="hr-HR"/>
              </w:rPr>
              <w:t xml:space="preserve"> rizika (dMMR) za lijekove različitih nositelja odobrenja koji sadrži istu djelatnu tvar</w:t>
            </w:r>
          </w:p>
        </w:tc>
        <w:tc>
          <w:tcPr>
            <w:tcW w:w="1559" w:type="dxa"/>
            <w:tcBorders>
              <w:top w:val="nil"/>
              <w:left w:val="nil"/>
              <w:bottom w:val="single" w:sz="4" w:space="0" w:color="auto"/>
              <w:right w:val="single" w:sz="4" w:space="0" w:color="auto"/>
            </w:tcBorders>
            <w:noWrap/>
            <w:vAlign w:val="center"/>
          </w:tcPr>
          <w:p w14:paraId="3B9750F0" w14:textId="77777777" w:rsidR="0085421A" w:rsidRPr="0027645D" w:rsidRDefault="0085421A" w:rsidP="00BA499D">
            <w:pPr>
              <w:jc w:val="center"/>
              <w:rPr>
                <w:bCs/>
                <w:sz w:val="18"/>
                <w:szCs w:val="18"/>
              </w:rPr>
            </w:pPr>
            <w:r w:rsidRPr="00767E20">
              <w:rPr>
                <w:bCs/>
                <w:sz w:val="20"/>
                <w:szCs w:val="20"/>
              </w:rPr>
              <w:t>2</w:t>
            </w:r>
          </w:p>
        </w:tc>
        <w:tc>
          <w:tcPr>
            <w:tcW w:w="1504" w:type="dxa"/>
            <w:tcBorders>
              <w:top w:val="nil"/>
              <w:left w:val="nil"/>
              <w:bottom w:val="single" w:sz="4" w:space="0" w:color="auto"/>
              <w:right w:val="single" w:sz="4" w:space="0" w:color="auto"/>
            </w:tcBorders>
            <w:noWrap/>
            <w:vAlign w:val="center"/>
          </w:tcPr>
          <w:p w14:paraId="3708D92A" w14:textId="77777777" w:rsidR="0085421A" w:rsidRPr="00290A39" w:rsidRDefault="0085421A" w:rsidP="00BA499D">
            <w:pPr>
              <w:jc w:val="center"/>
              <w:rPr>
                <w:bCs/>
                <w:sz w:val="18"/>
                <w:szCs w:val="18"/>
              </w:rPr>
            </w:pPr>
            <w:r w:rsidRPr="000B4EC1">
              <w:rPr>
                <w:bCs/>
                <w:sz w:val="20"/>
                <w:szCs w:val="20"/>
              </w:rPr>
              <w:t>2</w:t>
            </w:r>
          </w:p>
        </w:tc>
        <w:tc>
          <w:tcPr>
            <w:tcW w:w="1275" w:type="dxa"/>
            <w:tcBorders>
              <w:top w:val="nil"/>
              <w:left w:val="nil"/>
              <w:bottom w:val="single" w:sz="4" w:space="0" w:color="auto"/>
              <w:right w:val="single" w:sz="4" w:space="0" w:color="auto"/>
            </w:tcBorders>
            <w:noWrap/>
            <w:vAlign w:val="center"/>
          </w:tcPr>
          <w:p w14:paraId="697FDFCB" w14:textId="77777777" w:rsidR="0085421A" w:rsidRPr="00290A39" w:rsidRDefault="0085421A" w:rsidP="00BA499D">
            <w:pPr>
              <w:jc w:val="center"/>
              <w:rPr>
                <w:sz w:val="18"/>
                <w:szCs w:val="18"/>
              </w:rPr>
            </w:pPr>
            <w:r w:rsidRPr="00290A39">
              <w:rPr>
                <w:sz w:val="20"/>
                <w:szCs w:val="20"/>
              </w:rPr>
              <w:t>100%</w:t>
            </w:r>
          </w:p>
        </w:tc>
      </w:tr>
      <w:tr w:rsidR="0085421A" w:rsidRPr="002F73B3" w14:paraId="229F5073" w14:textId="77777777" w:rsidTr="00BA499D">
        <w:trPr>
          <w:trHeight w:val="142"/>
        </w:trPr>
        <w:tc>
          <w:tcPr>
            <w:tcW w:w="714" w:type="dxa"/>
            <w:tcBorders>
              <w:top w:val="nil"/>
              <w:left w:val="single" w:sz="4" w:space="0" w:color="auto"/>
              <w:bottom w:val="single" w:sz="4" w:space="0" w:color="auto"/>
              <w:right w:val="single" w:sz="4" w:space="0" w:color="auto"/>
            </w:tcBorders>
            <w:vAlign w:val="center"/>
            <w:hideMark/>
          </w:tcPr>
          <w:p w14:paraId="0A102FE2" w14:textId="77777777" w:rsidR="0085421A" w:rsidRPr="002F73B3" w:rsidRDefault="0085421A" w:rsidP="00BA499D">
            <w:pPr>
              <w:spacing w:line="256" w:lineRule="auto"/>
              <w:jc w:val="center"/>
              <w:rPr>
                <w:rFonts w:ascii="Calibri" w:eastAsia="Times New Roman" w:hAnsi="Calibri" w:cs="Calibri"/>
                <w:sz w:val="18"/>
                <w:szCs w:val="18"/>
                <w:lang w:eastAsia="hr-HR"/>
              </w:rPr>
            </w:pPr>
            <w:r w:rsidRPr="002F73B3">
              <w:rPr>
                <w:rFonts w:ascii="Calibri" w:eastAsia="Times New Roman" w:hAnsi="Calibri" w:cs="Calibri"/>
                <w:sz w:val="18"/>
                <w:szCs w:val="18"/>
                <w:lang w:eastAsia="hr-HR"/>
              </w:rPr>
              <w:t>6.</w:t>
            </w:r>
          </w:p>
        </w:tc>
        <w:tc>
          <w:tcPr>
            <w:tcW w:w="4253" w:type="dxa"/>
            <w:tcBorders>
              <w:top w:val="nil"/>
              <w:left w:val="nil"/>
              <w:bottom w:val="single" w:sz="4" w:space="0" w:color="auto"/>
              <w:right w:val="single" w:sz="4" w:space="0" w:color="auto"/>
            </w:tcBorders>
            <w:vAlign w:val="center"/>
            <w:hideMark/>
          </w:tcPr>
          <w:p w14:paraId="2A09AEEB" w14:textId="77777777" w:rsidR="0085421A" w:rsidRPr="002F73B3" w:rsidRDefault="0085421A" w:rsidP="00BA499D">
            <w:pPr>
              <w:spacing w:line="256" w:lineRule="auto"/>
              <w:rPr>
                <w:rFonts w:ascii="Calibri" w:eastAsia="Times New Roman" w:hAnsi="Calibri" w:cs="Calibri"/>
                <w:sz w:val="18"/>
                <w:szCs w:val="18"/>
                <w:lang w:eastAsia="hr-HR"/>
              </w:rPr>
            </w:pPr>
            <w:r w:rsidRPr="002F73B3">
              <w:rPr>
                <w:rFonts w:ascii="Calibri" w:eastAsia="Times New Roman" w:hAnsi="Calibri" w:cs="Calibri"/>
                <w:sz w:val="18"/>
                <w:szCs w:val="18"/>
                <w:lang w:eastAsia="hr-HR"/>
              </w:rPr>
              <w:t xml:space="preserve">Ocjena Godišnjeg zbirnog izvješća o sigurnosti   </w:t>
            </w:r>
          </w:p>
        </w:tc>
        <w:tc>
          <w:tcPr>
            <w:tcW w:w="1559" w:type="dxa"/>
            <w:tcBorders>
              <w:top w:val="nil"/>
              <w:left w:val="nil"/>
              <w:bottom w:val="single" w:sz="4" w:space="0" w:color="auto"/>
              <w:right w:val="single" w:sz="4" w:space="0" w:color="auto"/>
            </w:tcBorders>
            <w:noWrap/>
            <w:vAlign w:val="center"/>
          </w:tcPr>
          <w:p w14:paraId="50884197" w14:textId="77777777" w:rsidR="0085421A" w:rsidRPr="0027645D" w:rsidRDefault="0085421A" w:rsidP="00BA499D">
            <w:pPr>
              <w:jc w:val="center"/>
              <w:rPr>
                <w:bCs/>
                <w:sz w:val="18"/>
                <w:szCs w:val="18"/>
              </w:rPr>
            </w:pPr>
            <w:r w:rsidRPr="00767E20">
              <w:rPr>
                <w:bCs/>
                <w:sz w:val="20"/>
                <w:szCs w:val="20"/>
              </w:rPr>
              <w:t>55</w:t>
            </w:r>
          </w:p>
        </w:tc>
        <w:tc>
          <w:tcPr>
            <w:tcW w:w="1504" w:type="dxa"/>
            <w:tcBorders>
              <w:top w:val="nil"/>
              <w:left w:val="nil"/>
              <w:bottom w:val="single" w:sz="4" w:space="0" w:color="auto"/>
              <w:right w:val="single" w:sz="4" w:space="0" w:color="auto"/>
            </w:tcBorders>
            <w:noWrap/>
            <w:vAlign w:val="center"/>
          </w:tcPr>
          <w:p w14:paraId="16491DFE" w14:textId="77777777" w:rsidR="0085421A" w:rsidRPr="00290A39" w:rsidRDefault="0085421A" w:rsidP="00BA499D">
            <w:pPr>
              <w:jc w:val="center"/>
              <w:rPr>
                <w:bCs/>
                <w:sz w:val="18"/>
                <w:szCs w:val="18"/>
              </w:rPr>
            </w:pPr>
            <w:r w:rsidRPr="000B4EC1">
              <w:rPr>
                <w:bCs/>
                <w:sz w:val="20"/>
                <w:szCs w:val="20"/>
              </w:rPr>
              <w:t>13</w:t>
            </w:r>
            <w:r>
              <w:rPr>
                <w:bCs/>
                <w:sz w:val="20"/>
                <w:szCs w:val="20"/>
              </w:rPr>
              <w:t>2</w:t>
            </w:r>
          </w:p>
        </w:tc>
        <w:tc>
          <w:tcPr>
            <w:tcW w:w="1275" w:type="dxa"/>
            <w:tcBorders>
              <w:top w:val="nil"/>
              <w:left w:val="nil"/>
              <w:bottom w:val="single" w:sz="4" w:space="0" w:color="auto"/>
              <w:right w:val="single" w:sz="4" w:space="0" w:color="auto"/>
            </w:tcBorders>
            <w:noWrap/>
            <w:vAlign w:val="center"/>
          </w:tcPr>
          <w:p w14:paraId="0E104E7A" w14:textId="77777777" w:rsidR="0085421A" w:rsidRPr="00290A39" w:rsidRDefault="0085421A" w:rsidP="00BA499D">
            <w:pPr>
              <w:jc w:val="center"/>
              <w:rPr>
                <w:sz w:val="18"/>
                <w:szCs w:val="18"/>
              </w:rPr>
            </w:pPr>
            <w:r w:rsidRPr="00290A39">
              <w:rPr>
                <w:sz w:val="20"/>
                <w:szCs w:val="20"/>
              </w:rPr>
              <w:t>24</w:t>
            </w:r>
            <w:r>
              <w:rPr>
                <w:sz w:val="20"/>
                <w:szCs w:val="20"/>
              </w:rPr>
              <w:t>0</w:t>
            </w:r>
            <w:r w:rsidRPr="00290A39">
              <w:rPr>
                <w:sz w:val="20"/>
                <w:szCs w:val="20"/>
              </w:rPr>
              <w:t>%</w:t>
            </w:r>
          </w:p>
        </w:tc>
      </w:tr>
      <w:tr w:rsidR="0085421A" w:rsidRPr="002F73B3" w14:paraId="675E4263" w14:textId="77777777" w:rsidTr="00BA499D">
        <w:trPr>
          <w:trHeight w:val="142"/>
        </w:trPr>
        <w:tc>
          <w:tcPr>
            <w:tcW w:w="714" w:type="dxa"/>
            <w:tcBorders>
              <w:top w:val="nil"/>
              <w:left w:val="single" w:sz="4" w:space="0" w:color="auto"/>
              <w:bottom w:val="single" w:sz="4" w:space="0" w:color="auto"/>
              <w:right w:val="single" w:sz="4" w:space="0" w:color="auto"/>
            </w:tcBorders>
            <w:vAlign w:val="center"/>
            <w:hideMark/>
          </w:tcPr>
          <w:p w14:paraId="54DE131C" w14:textId="77777777" w:rsidR="0085421A" w:rsidRPr="002F73B3" w:rsidRDefault="0085421A" w:rsidP="00BA499D">
            <w:pPr>
              <w:spacing w:line="256" w:lineRule="auto"/>
              <w:jc w:val="center"/>
              <w:rPr>
                <w:rFonts w:ascii="Calibri" w:eastAsia="Times New Roman" w:hAnsi="Calibri" w:cs="Calibri"/>
                <w:sz w:val="18"/>
                <w:szCs w:val="18"/>
                <w:lang w:eastAsia="hr-HR"/>
              </w:rPr>
            </w:pPr>
            <w:r w:rsidRPr="002F73B3">
              <w:rPr>
                <w:rFonts w:ascii="Calibri" w:eastAsia="Times New Roman" w:hAnsi="Calibri" w:cs="Calibri"/>
                <w:sz w:val="18"/>
                <w:szCs w:val="18"/>
                <w:lang w:eastAsia="hr-HR"/>
              </w:rPr>
              <w:t>7.</w:t>
            </w:r>
          </w:p>
        </w:tc>
        <w:tc>
          <w:tcPr>
            <w:tcW w:w="4253" w:type="dxa"/>
            <w:tcBorders>
              <w:top w:val="nil"/>
              <w:left w:val="nil"/>
              <w:bottom w:val="single" w:sz="4" w:space="0" w:color="auto"/>
              <w:right w:val="single" w:sz="4" w:space="0" w:color="auto"/>
            </w:tcBorders>
            <w:vAlign w:val="center"/>
            <w:hideMark/>
          </w:tcPr>
          <w:p w14:paraId="668FF003" w14:textId="77777777" w:rsidR="0085421A" w:rsidRPr="002F73B3" w:rsidRDefault="0085421A" w:rsidP="00BA499D">
            <w:pPr>
              <w:spacing w:line="256" w:lineRule="auto"/>
              <w:rPr>
                <w:rFonts w:ascii="Calibri" w:eastAsia="Times New Roman" w:hAnsi="Calibri" w:cs="Calibri"/>
                <w:sz w:val="18"/>
                <w:szCs w:val="18"/>
                <w:lang w:eastAsia="hr-HR"/>
              </w:rPr>
            </w:pPr>
            <w:r w:rsidRPr="002F73B3">
              <w:rPr>
                <w:rFonts w:ascii="Calibri" w:eastAsia="Times New Roman" w:hAnsi="Calibri" w:cs="Calibri"/>
                <w:sz w:val="18"/>
                <w:szCs w:val="18"/>
                <w:lang w:eastAsia="hr-HR"/>
              </w:rPr>
              <w:t>Davanje mišljenja Agencije za lijekove i medicinske proizvode za provođenje neintervencijskog ispitivanja lijekova</w:t>
            </w:r>
          </w:p>
        </w:tc>
        <w:tc>
          <w:tcPr>
            <w:tcW w:w="1559" w:type="dxa"/>
            <w:tcBorders>
              <w:top w:val="nil"/>
              <w:left w:val="nil"/>
              <w:bottom w:val="single" w:sz="4" w:space="0" w:color="auto"/>
              <w:right w:val="single" w:sz="4" w:space="0" w:color="auto"/>
            </w:tcBorders>
            <w:noWrap/>
            <w:vAlign w:val="center"/>
          </w:tcPr>
          <w:p w14:paraId="3AF790EF" w14:textId="77777777" w:rsidR="0085421A" w:rsidRPr="0027645D" w:rsidRDefault="0085421A" w:rsidP="00BA499D">
            <w:pPr>
              <w:jc w:val="center"/>
              <w:rPr>
                <w:bCs/>
                <w:sz w:val="18"/>
                <w:szCs w:val="18"/>
              </w:rPr>
            </w:pPr>
            <w:r w:rsidRPr="00767E20">
              <w:rPr>
                <w:bCs/>
                <w:sz w:val="20"/>
                <w:szCs w:val="20"/>
              </w:rPr>
              <w:t>3</w:t>
            </w:r>
          </w:p>
        </w:tc>
        <w:tc>
          <w:tcPr>
            <w:tcW w:w="1504" w:type="dxa"/>
            <w:tcBorders>
              <w:top w:val="nil"/>
              <w:left w:val="nil"/>
              <w:bottom w:val="single" w:sz="4" w:space="0" w:color="auto"/>
              <w:right w:val="single" w:sz="4" w:space="0" w:color="auto"/>
            </w:tcBorders>
            <w:noWrap/>
            <w:vAlign w:val="center"/>
          </w:tcPr>
          <w:p w14:paraId="4680059A" w14:textId="77777777" w:rsidR="0085421A" w:rsidRPr="00290A39" w:rsidRDefault="0085421A" w:rsidP="00BA499D">
            <w:pPr>
              <w:jc w:val="center"/>
              <w:rPr>
                <w:bCs/>
                <w:sz w:val="18"/>
                <w:szCs w:val="18"/>
              </w:rPr>
            </w:pPr>
            <w:r w:rsidRPr="000B4EC1">
              <w:rPr>
                <w:bCs/>
                <w:sz w:val="20"/>
                <w:szCs w:val="20"/>
              </w:rPr>
              <w:t>4</w:t>
            </w:r>
          </w:p>
        </w:tc>
        <w:tc>
          <w:tcPr>
            <w:tcW w:w="1275" w:type="dxa"/>
            <w:tcBorders>
              <w:top w:val="nil"/>
              <w:left w:val="nil"/>
              <w:bottom w:val="single" w:sz="4" w:space="0" w:color="auto"/>
              <w:right w:val="single" w:sz="4" w:space="0" w:color="auto"/>
            </w:tcBorders>
            <w:noWrap/>
            <w:vAlign w:val="center"/>
          </w:tcPr>
          <w:p w14:paraId="3863CA8D" w14:textId="77777777" w:rsidR="0085421A" w:rsidRPr="00290A39" w:rsidRDefault="0085421A" w:rsidP="00BA499D">
            <w:pPr>
              <w:jc w:val="center"/>
              <w:rPr>
                <w:sz w:val="18"/>
                <w:szCs w:val="18"/>
              </w:rPr>
            </w:pPr>
            <w:r w:rsidRPr="00290A39">
              <w:rPr>
                <w:sz w:val="20"/>
                <w:szCs w:val="20"/>
              </w:rPr>
              <w:t>133%</w:t>
            </w:r>
          </w:p>
        </w:tc>
      </w:tr>
      <w:tr w:rsidR="0085421A" w:rsidRPr="002F73B3" w14:paraId="601EC7C4" w14:textId="77777777" w:rsidTr="00BA499D">
        <w:trPr>
          <w:trHeight w:val="142"/>
        </w:trPr>
        <w:tc>
          <w:tcPr>
            <w:tcW w:w="714" w:type="dxa"/>
            <w:tcBorders>
              <w:top w:val="nil"/>
              <w:left w:val="single" w:sz="4" w:space="0" w:color="auto"/>
              <w:bottom w:val="single" w:sz="4" w:space="0" w:color="auto"/>
              <w:right w:val="single" w:sz="4" w:space="0" w:color="auto"/>
            </w:tcBorders>
            <w:vAlign w:val="center"/>
            <w:hideMark/>
          </w:tcPr>
          <w:p w14:paraId="2625AE87" w14:textId="77777777" w:rsidR="0085421A" w:rsidRPr="002F73B3" w:rsidRDefault="0085421A" w:rsidP="00BA499D">
            <w:pPr>
              <w:spacing w:line="256" w:lineRule="auto"/>
              <w:jc w:val="center"/>
              <w:rPr>
                <w:rFonts w:ascii="Calibri" w:eastAsia="Times New Roman" w:hAnsi="Calibri" w:cs="Calibri"/>
                <w:sz w:val="18"/>
                <w:szCs w:val="18"/>
                <w:lang w:eastAsia="hr-HR"/>
              </w:rPr>
            </w:pPr>
            <w:r w:rsidRPr="002F73B3">
              <w:rPr>
                <w:rFonts w:ascii="Calibri" w:eastAsia="Times New Roman" w:hAnsi="Calibri" w:cs="Calibri"/>
                <w:sz w:val="18"/>
                <w:szCs w:val="18"/>
                <w:lang w:eastAsia="hr-HR"/>
              </w:rPr>
              <w:t>8.</w:t>
            </w:r>
          </w:p>
        </w:tc>
        <w:tc>
          <w:tcPr>
            <w:tcW w:w="4253" w:type="dxa"/>
            <w:tcBorders>
              <w:top w:val="nil"/>
              <w:left w:val="nil"/>
              <w:bottom w:val="single" w:sz="4" w:space="0" w:color="auto"/>
              <w:right w:val="single" w:sz="4" w:space="0" w:color="auto"/>
            </w:tcBorders>
            <w:vAlign w:val="center"/>
            <w:hideMark/>
          </w:tcPr>
          <w:p w14:paraId="0EA52D5D" w14:textId="77777777" w:rsidR="0085421A" w:rsidRPr="002F73B3" w:rsidRDefault="0085421A" w:rsidP="00BA499D">
            <w:pPr>
              <w:spacing w:line="256" w:lineRule="auto"/>
              <w:rPr>
                <w:rFonts w:ascii="Calibri" w:eastAsia="Times New Roman" w:hAnsi="Calibri" w:cs="Calibri"/>
                <w:sz w:val="18"/>
                <w:szCs w:val="18"/>
                <w:lang w:eastAsia="hr-HR"/>
              </w:rPr>
            </w:pPr>
            <w:r w:rsidRPr="002F73B3">
              <w:rPr>
                <w:rFonts w:ascii="Calibri" w:eastAsia="Times New Roman" w:hAnsi="Calibri" w:cs="Calibri"/>
                <w:sz w:val="18"/>
                <w:szCs w:val="18"/>
                <w:lang w:eastAsia="hr-HR"/>
              </w:rPr>
              <w:t>Veće izmjene i dodaci neintervencijskom ispitivanju lijekova</w:t>
            </w:r>
          </w:p>
        </w:tc>
        <w:tc>
          <w:tcPr>
            <w:tcW w:w="1559" w:type="dxa"/>
            <w:tcBorders>
              <w:top w:val="nil"/>
              <w:left w:val="nil"/>
              <w:bottom w:val="single" w:sz="4" w:space="0" w:color="auto"/>
              <w:right w:val="single" w:sz="4" w:space="0" w:color="auto"/>
            </w:tcBorders>
            <w:noWrap/>
            <w:vAlign w:val="center"/>
          </w:tcPr>
          <w:p w14:paraId="71CA04BA" w14:textId="77777777" w:rsidR="0085421A" w:rsidRPr="0027645D" w:rsidRDefault="0085421A" w:rsidP="00BA499D">
            <w:pPr>
              <w:jc w:val="center"/>
              <w:rPr>
                <w:bCs/>
                <w:sz w:val="18"/>
                <w:szCs w:val="18"/>
              </w:rPr>
            </w:pPr>
            <w:r w:rsidRPr="00767E20">
              <w:rPr>
                <w:bCs/>
                <w:sz w:val="20"/>
                <w:szCs w:val="20"/>
              </w:rPr>
              <w:t>2</w:t>
            </w:r>
          </w:p>
        </w:tc>
        <w:tc>
          <w:tcPr>
            <w:tcW w:w="1504" w:type="dxa"/>
            <w:tcBorders>
              <w:top w:val="nil"/>
              <w:left w:val="nil"/>
              <w:bottom w:val="single" w:sz="4" w:space="0" w:color="auto"/>
              <w:right w:val="single" w:sz="4" w:space="0" w:color="auto"/>
            </w:tcBorders>
            <w:noWrap/>
            <w:vAlign w:val="center"/>
          </w:tcPr>
          <w:p w14:paraId="6E243965" w14:textId="77777777" w:rsidR="0085421A" w:rsidRPr="00290A39" w:rsidRDefault="0085421A" w:rsidP="00BA499D">
            <w:pPr>
              <w:jc w:val="center"/>
              <w:rPr>
                <w:bCs/>
                <w:sz w:val="18"/>
                <w:szCs w:val="18"/>
              </w:rPr>
            </w:pPr>
            <w:r w:rsidRPr="000B4EC1">
              <w:rPr>
                <w:bCs/>
                <w:sz w:val="20"/>
                <w:szCs w:val="20"/>
              </w:rPr>
              <w:t>3</w:t>
            </w:r>
          </w:p>
        </w:tc>
        <w:tc>
          <w:tcPr>
            <w:tcW w:w="1275" w:type="dxa"/>
            <w:tcBorders>
              <w:top w:val="nil"/>
              <w:left w:val="nil"/>
              <w:bottom w:val="single" w:sz="4" w:space="0" w:color="auto"/>
              <w:right w:val="single" w:sz="4" w:space="0" w:color="auto"/>
            </w:tcBorders>
            <w:noWrap/>
            <w:vAlign w:val="center"/>
          </w:tcPr>
          <w:p w14:paraId="7EBAD232" w14:textId="77777777" w:rsidR="0085421A" w:rsidRPr="00290A39" w:rsidRDefault="0085421A" w:rsidP="00BA499D">
            <w:pPr>
              <w:jc w:val="center"/>
              <w:rPr>
                <w:sz w:val="18"/>
                <w:szCs w:val="18"/>
              </w:rPr>
            </w:pPr>
            <w:r w:rsidRPr="00290A39">
              <w:rPr>
                <w:sz w:val="20"/>
                <w:szCs w:val="20"/>
              </w:rPr>
              <w:t>150%</w:t>
            </w:r>
          </w:p>
        </w:tc>
      </w:tr>
      <w:tr w:rsidR="0085421A" w:rsidRPr="002F73B3" w14:paraId="02373B1A" w14:textId="77777777" w:rsidTr="00BA499D">
        <w:trPr>
          <w:trHeight w:val="142"/>
        </w:trPr>
        <w:tc>
          <w:tcPr>
            <w:tcW w:w="714" w:type="dxa"/>
            <w:tcBorders>
              <w:top w:val="nil"/>
              <w:left w:val="single" w:sz="4" w:space="0" w:color="auto"/>
              <w:bottom w:val="single" w:sz="4" w:space="0" w:color="auto"/>
              <w:right w:val="single" w:sz="4" w:space="0" w:color="auto"/>
            </w:tcBorders>
            <w:vAlign w:val="center"/>
            <w:hideMark/>
          </w:tcPr>
          <w:p w14:paraId="17E290EF" w14:textId="77777777" w:rsidR="0085421A" w:rsidRPr="002F73B3" w:rsidRDefault="0085421A" w:rsidP="00BA499D">
            <w:pPr>
              <w:spacing w:line="256" w:lineRule="auto"/>
              <w:jc w:val="center"/>
              <w:rPr>
                <w:rFonts w:ascii="Calibri" w:eastAsia="Times New Roman" w:hAnsi="Calibri" w:cs="Calibri"/>
                <w:sz w:val="18"/>
                <w:szCs w:val="18"/>
                <w:lang w:eastAsia="hr-HR"/>
              </w:rPr>
            </w:pPr>
            <w:r w:rsidRPr="002F73B3">
              <w:rPr>
                <w:rFonts w:ascii="Calibri" w:eastAsia="Times New Roman" w:hAnsi="Calibri" w:cs="Calibri"/>
                <w:sz w:val="18"/>
                <w:szCs w:val="18"/>
                <w:lang w:eastAsia="hr-HR"/>
              </w:rPr>
              <w:t>9.</w:t>
            </w:r>
          </w:p>
        </w:tc>
        <w:tc>
          <w:tcPr>
            <w:tcW w:w="4253" w:type="dxa"/>
            <w:tcBorders>
              <w:top w:val="nil"/>
              <w:left w:val="nil"/>
              <w:bottom w:val="single" w:sz="4" w:space="0" w:color="auto"/>
              <w:right w:val="single" w:sz="4" w:space="0" w:color="auto"/>
            </w:tcBorders>
            <w:vAlign w:val="center"/>
            <w:hideMark/>
          </w:tcPr>
          <w:p w14:paraId="69DED56C" w14:textId="77777777" w:rsidR="0085421A" w:rsidRPr="002F73B3" w:rsidRDefault="0085421A" w:rsidP="00BA499D">
            <w:pPr>
              <w:spacing w:line="256" w:lineRule="auto"/>
              <w:rPr>
                <w:rFonts w:ascii="Calibri" w:eastAsia="Times New Roman" w:hAnsi="Calibri" w:cs="Calibri"/>
                <w:sz w:val="18"/>
                <w:szCs w:val="18"/>
                <w:lang w:eastAsia="hr-HR"/>
              </w:rPr>
            </w:pPr>
            <w:r w:rsidRPr="002F73B3">
              <w:rPr>
                <w:rFonts w:ascii="Calibri" w:eastAsia="Times New Roman" w:hAnsi="Calibri" w:cs="Calibri"/>
                <w:sz w:val="18"/>
                <w:szCs w:val="18"/>
                <w:lang w:eastAsia="hr-HR"/>
              </w:rPr>
              <w:t>Manje administrativne izmjene i dodaci neintervencijskom ispitivanju lijekova, dodatni ispitivački centri i izmjene glavnih ispitivača</w:t>
            </w:r>
          </w:p>
        </w:tc>
        <w:tc>
          <w:tcPr>
            <w:tcW w:w="1559" w:type="dxa"/>
            <w:tcBorders>
              <w:top w:val="nil"/>
              <w:left w:val="nil"/>
              <w:bottom w:val="single" w:sz="4" w:space="0" w:color="auto"/>
              <w:right w:val="single" w:sz="4" w:space="0" w:color="auto"/>
            </w:tcBorders>
            <w:noWrap/>
            <w:vAlign w:val="center"/>
          </w:tcPr>
          <w:p w14:paraId="24AE7DB5" w14:textId="77777777" w:rsidR="0085421A" w:rsidRPr="0027645D" w:rsidRDefault="0085421A" w:rsidP="00BA499D">
            <w:pPr>
              <w:jc w:val="center"/>
              <w:rPr>
                <w:bCs/>
                <w:sz w:val="18"/>
                <w:szCs w:val="18"/>
              </w:rPr>
            </w:pPr>
            <w:r w:rsidRPr="00767E20">
              <w:rPr>
                <w:bCs/>
                <w:sz w:val="20"/>
                <w:szCs w:val="20"/>
              </w:rPr>
              <w:t>1</w:t>
            </w:r>
          </w:p>
        </w:tc>
        <w:tc>
          <w:tcPr>
            <w:tcW w:w="1504" w:type="dxa"/>
            <w:tcBorders>
              <w:top w:val="nil"/>
              <w:left w:val="nil"/>
              <w:bottom w:val="single" w:sz="4" w:space="0" w:color="auto"/>
              <w:right w:val="single" w:sz="4" w:space="0" w:color="auto"/>
            </w:tcBorders>
            <w:noWrap/>
            <w:vAlign w:val="center"/>
          </w:tcPr>
          <w:p w14:paraId="55194AB1" w14:textId="77777777" w:rsidR="0085421A" w:rsidRPr="00290A39" w:rsidRDefault="0085421A" w:rsidP="00BA499D">
            <w:pPr>
              <w:jc w:val="center"/>
              <w:rPr>
                <w:bCs/>
                <w:sz w:val="18"/>
                <w:szCs w:val="18"/>
              </w:rPr>
            </w:pPr>
            <w:r w:rsidRPr="000B4EC1">
              <w:rPr>
                <w:bCs/>
                <w:sz w:val="20"/>
                <w:szCs w:val="20"/>
              </w:rPr>
              <w:t>2</w:t>
            </w:r>
          </w:p>
        </w:tc>
        <w:tc>
          <w:tcPr>
            <w:tcW w:w="1275" w:type="dxa"/>
            <w:tcBorders>
              <w:top w:val="nil"/>
              <w:left w:val="nil"/>
              <w:bottom w:val="single" w:sz="4" w:space="0" w:color="auto"/>
              <w:right w:val="single" w:sz="4" w:space="0" w:color="auto"/>
            </w:tcBorders>
            <w:noWrap/>
            <w:vAlign w:val="center"/>
          </w:tcPr>
          <w:p w14:paraId="46533C25" w14:textId="77777777" w:rsidR="0085421A" w:rsidRPr="00290A39" w:rsidRDefault="0085421A" w:rsidP="00BA499D">
            <w:pPr>
              <w:jc w:val="center"/>
              <w:rPr>
                <w:sz w:val="18"/>
                <w:szCs w:val="18"/>
              </w:rPr>
            </w:pPr>
            <w:r w:rsidRPr="00290A39">
              <w:rPr>
                <w:sz w:val="20"/>
                <w:szCs w:val="20"/>
              </w:rPr>
              <w:t>200%</w:t>
            </w:r>
          </w:p>
        </w:tc>
      </w:tr>
      <w:tr w:rsidR="0085421A" w:rsidRPr="002F73B3" w14:paraId="0258AE8C" w14:textId="77777777" w:rsidTr="00BA499D">
        <w:trPr>
          <w:trHeight w:val="142"/>
        </w:trPr>
        <w:tc>
          <w:tcPr>
            <w:tcW w:w="714" w:type="dxa"/>
            <w:tcBorders>
              <w:top w:val="nil"/>
              <w:left w:val="single" w:sz="4" w:space="0" w:color="auto"/>
              <w:bottom w:val="single" w:sz="4" w:space="0" w:color="auto"/>
              <w:right w:val="single" w:sz="4" w:space="0" w:color="auto"/>
            </w:tcBorders>
            <w:vAlign w:val="center"/>
          </w:tcPr>
          <w:p w14:paraId="1BE2F7E4" w14:textId="77777777" w:rsidR="0085421A" w:rsidRPr="002F73B3" w:rsidRDefault="0085421A" w:rsidP="00BA499D">
            <w:pPr>
              <w:spacing w:line="256" w:lineRule="auto"/>
              <w:jc w:val="center"/>
              <w:rPr>
                <w:rFonts w:ascii="Calibri" w:eastAsia="Times New Roman" w:hAnsi="Calibri" w:cs="Calibri"/>
                <w:sz w:val="18"/>
                <w:szCs w:val="18"/>
                <w:lang w:eastAsia="hr-HR"/>
              </w:rPr>
            </w:pPr>
            <w:r w:rsidRPr="002F73B3">
              <w:rPr>
                <w:rFonts w:ascii="Calibri" w:eastAsia="Times New Roman" w:hAnsi="Calibri" w:cs="Calibri"/>
                <w:sz w:val="18"/>
                <w:szCs w:val="18"/>
                <w:lang w:eastAsia="hr-HR"/>
              </w:rPr>
              <w:t xml:space="preserve">10. </w:t>
            </w:r>
          </w:p>
        </w:tc>
        <w:tc>
          <w:tcPr>
            <w:tcW w:w="4253" w:type="dxa"/>
            <w:tcBorders>
              <w:top w:val="nil"/>
              <w:left w:val="nil"/>
              <w:bottom w:val="single" w:sz="4" w:space="0" w:color="auto"/>
              <w:right w:val="single" w:sz="4" w:space="0" w:color="auto"/>
            </w:tcBorders>
            <w:vAlign w:val="center"/>
          </w:tcPr>
          <w:p w14:paraId="6D4C9615" w14:textId="77777777" w:rsidR="0085421A" w:rsidRPr="002F73B3" w:rsidRDefault="0085421A" w:rsidP="00BA499D">
            <w:pPr>
              <w:spacing w:line="256" w:lineRule="auto"/>
              <w:rPr>
                <w:rFonts w:ascii="Calibri" w:eastAsia="Times New Roman" w:hAnsi="Calibri" w:cs="Calibri"/>
                <w:sz w:val="18"/>
                <w:szCs w:val="18"/>
                <w:lang w:eastAsia="hr-HR"/>
              </w:rPr>
            </w:pPr>
            <w:r w:rsidRPr="002F73B3">
              <w:rPr>
                <w:rFonts w:ascii="Calibri" w:eastAsia="Times New Roman" w:hAnsi="Calibri" w:cs="Calibri"/>
                <w:sz w:val="18"/>
                <w:szCs w:val="18"/>
                <w:lang w:eastAsia="hr-HR"/>
              </w:rPr>
              <w:t>Ocjena sigurnosti u kliničkim ispitivanjima (sAMS)</w:t>
            </w:r>
          </w:p>
        </w:tc>
        <w:tc>
          <w:tcPr>
            <w:tcW w:w="1559" w:type="dxa"/>
            <w:tcBorders>
              <w:top w:val="nil"/>
              <w:left w:val="nil"/>
              <w:bottom w:val="single" w:sz="4" w:space="0" w:color="auto"/>
              <w:right w:val="single" w:sz="4" w:space="0" w:color="auto"/>
            </w:tcBorders>
            <w:noWrap/>
            <w:vAlign w:val="center"/>
          </w:tcPr>
          <w:p w14:paraId="2E269393" w14:textId="77777777" w:rsidR="0085421A" w:rsidRPr="0027645D" w:rsidRDefault="0085421A" w:rsidP="00BA499D">
            <w:pPr>
              <w:jc w:val="center"/>
              <w:rPr>
                <w:bCs/>
                <w:sz w:val="18"/>
                <w:szCs w:val="18"/>
              </w:rPr>
            </w:pPr>
            <w:r w:rsidRPr="00767E20">
              <w:rPr>
                <w:bCs/>
                <w:sz w:val="20"/>
                <w:szCs w:val="20"/>
              </w:rPr>
              <w:t>5</w:t>
            </w:r>
          </w:p>
        </w:tc>
        <w:tc>
          <w:tcPr>
            <w:tcW w:w="1504" w:type="dxa"/>
            <w:tcBorders>
              <w:top w:val="nil"/>
              <w:left w:val="nil"/>
              <w:bottom w:val="single" w:sz="4" w:space="0" w:color="auto"/>
              <w:right w:val="single" w:sz="4" w:space="0" w:color="auto"/>
            </w:tcBorders>
            <w:noWrap/>
            <w:vAlign w:val="center"/>
          </w:tcPr>
          <w:p w14:paraId="18F83044" w14:textId="77777777" w:rsidR="0085421A" w:rsidRPr="00290A39" w:rsidRDefault="0085421A" w:rsidP="00BA499D">
            <w:pPr>
              <w:jc w:val="center"/>
              <w:rPr>
                <w:bCs/>
                <w:sz w:val="18"/>
                <w:szCs w:val="18"/>
              </w:rPr>
            </w:pPr>
            <w:r>
              <w:rPr>
                <w:bCs/>
                <w:sz w:val="20"/>
                <w:szCs w:val="20"/>
              </w:rPr>
              <w:t>3</w:t>
            </w:r>
          </w:p>
        </w:tc>
        <w:tc>
          <w:tcPr>
            <w:tcW w:w="1275" w:type="dxa"/>
            <w:tcBorders>
              <w:top w:val="nil"/>
              <w:left w:val="nil"/>
              <w:bottom w:val="single" w:sz="4" w:space="0" w:color="auto"/>
              <w:right w:val="single" w:sz="4" w:space="0" w:color="auto"/>
            </w:tcBorders>
            <w:noWrap/>
            <w:vAlign w:val="center"/>
          </w:tcPr>
          <w:p w14:paraId="04606D95" w14:textId="77777777" w:rsidR="0085421A" w:rsidRPr="00290A39" w:rsidRDefault="0085421A" w:rsidP="00BA499D">
            <w:pPr>
              <w:jc w:val="center"/>
              <w:rPr>
                <w:sz w:val="18"/>
                <w:szCs w:val="18"/>
              </w:rPr>
            </w:pPr>
            <w:r>
              <w:rPr>
                <w:sz w:val="20"/>
                <w:szCs w:val="20"/>
              </w:rPr>
              <w:t>6</w:t>
            </w:r>
            <w:r w:rsidRPr="00290A39">
              <w:rPr>
                <w:sz w:val="20"/>
                <w:szCs w:val="20"/>
              </w:rPr>
              <w:t>0%</w:t>
            </w:r>
          </w:p>
        </w:tc>
      </w:tr>
      <w:tr w:rsidR="0085421A" w:rsidRPr="002F73B3" w14:paraId="3F177270" w14:textId="77777777" w:rsidTr="00BA499D">
        <w:trPr>
          <w:trHeight w:val="142"/>
        </w:trPr>
        <w:tc>
          <w:tcPr>
            <w:tcW w:w="714" w:type="dxa"/>
            <w:tcBorders>
              <w:top w:val="nil"/>
              <w:left w:val="single" w:sz="4" w:space="0" w:color="auto"/>
              <w:bottom w:val="single" w:sz="4" w:space="0" w:color="auto"/>
              <w:right w:val="single" w:sz="4" w:space="0" w:color="auto"/>
            </w:tcBorders>
            <w:vAlign w:val="center"/>
          </w:tcPr>
          <w:p w14:paraId="1F2CD3EE" w14:textId="77777777" w:rsidR="0085421A" w:rsidRPr="002F73B3" w:rsidRDefault="0085421A" w:rsidP="00BA499D">
            <w:pPr>
              <w:spacing w:line="256" w:lineRule="auto"/>
              <w:jc w:val="center"/>
              <w:rPr>
                <w:rFonts w:ascii="Calibri" w:eastAsia="Times New Roman" w:hAnsi="Calibri" w:cs="Calibri"/>
                <w:sz w:val="18"/>
                <w:szCs w:val="18"/>
                <w:lang w:eastAsia="hr-HR"/>
              </w:rPr>
            </w:pPr>
            <w:r w:rsidRPr="002F73B3">
              <w:rPr>
                <w:rFonts w:ascii="Calibri" w:eastAsia="Times New Roman" w:hAnsi="Calibri" w:cs="Calibri"/>
                <w:sz w:val="18"/>
                <w:szCs w:val="18"/>
                <w:lang w:eastAsia="hr-HR"/>
              </w:rPr>
              <w:t>11.</w:t>
            </w:r>
          </w:p>
        </w:tc>
        <w:tc>
          <w:tcPr>
            <w:tcW w:w="4253" w:type="dxa"/>
            <w:tcBorders>
              <w:top w:val="nil"/>
              <w:left w:val="nil"/>
              <w:bottom w:val="single" w:sz="4" w:space="0" w:color="auto"/>
              <w:right w:val="single" w:sz="4" w:space="0" w:color="auto"/>
            </w:tcBorders>
            <w:vAlign w:val="center"/>
          </w:tcPr>
          <w:p w14:paraId="15CB053E" w14:textId="77777777" w:rsidR="0085421A" w:rsidRPr="002F73B3" w:rsidRDefault="0085421A" w:rsidP="00BA499D">
            <w:pPr>
              <w:spacing w:line="256" w:lineRule="auto"/>
              <w:rPr>
                <w:rFonts w:ascii="Calibri" w:eastAsia="Times New Roman" w:hAnsi="Calibri" w:cs="Calibri"/>
                <w:sz w:val="18"/>
                <w:szCs w:val="18"/>
                <w:lang w:eastAsia="hr-HR"/>
              </w:rPr>
            </w:pPr>
            <w:r w:rsidRPr="002F73B3">
              <w:rPr>
                <w:rFonts w:ascii="Calibri" w:eastAsia="Times New Roman" w:hAnsi="Calibri" w:cs="Calibri"/>
                <w:sz w:val="18"/>
                <w:szCs w:val="18"/>
                <w:lang w:eastAsia="hr-HR"/>
              </w:rPr>
              <w:t>Ocjena sigurnosti u kliničkim ispitivanjima (sAMS) za djelatnu tvar uključenu u klinička ispitivanja različitih sponzora</w:t>
            </w:r>
          </w:p>
        </w:tc>
        <w:tc>
          <w:tcPr>
            <w:tcW w:w="1559" w:type="dxa"/>
            <w:tcBorders>
              <w:top w:val="nil"/>
              <w:left w:val="nil"/>
              <w:bottom w:val="single" w:sz="4" w:space="0" w:color="auto"/>
              <w:right w:val="single" w:sz="4" w:space="0" w:color="auto"/>
            </w:tcBorders>
            <w:noWrap/>
            <w:vAlign w:val="center"/>
          </w:tcPr>
          <w:p w14:paraId="2894D359" w14:textId="77777777" w:rsidR="0085421A" w:rsidRPr="0027645D" w:rsidRDefault="0085421A" w:rsidP="00BA499D">
            <w:pPr>
              <w:jc w:val="center"/>
              <w:rPr>
                <w:bCs/>
                <w:sz w:val="18"/>
                <w:szCs w:val="18"/>
              </w:rPr>
            </w:pPr>
            <w:r w:rsidRPr="00767E20">
              <w:rPr>
                <w:bCs/>
                <w:sz w:val="20"/>
                <w:szCs w:val="20"/>
              </w:rPr>
              <w:t>0</w:t>
            </w:r>
          </w:p>
        </w:tc>
        <w:tc>
          <w:tcPr>
            <w:tcW w:w="1504" w:type="dxa"/>
            <w:tcBorders>
              <w:top w:val="nil"/>
              <w:left w:val="nil"/>
              <w:bottom w:val="single" w:sz="4" w:space="0" w:color="auto"/>
              <w:right w:val="single" w:sz="4" w:space="0" w:color="auto"/>
            </w:tcBorders>
            <w:noWrap/>
            <w:vAlign w:val="center"/>
          </w:tcPr>
          <w:p w14:paraId="707CBD2B" w14:textId="77777777" w:rsidR="0085421A" w:rsidRPr="00290A39" w:rsidRDefault="0085421A" w:rsidP="00BA499D">
            <w:pPr>
              <w:jc w:val="center"/>
              <w:rPr>
                <w:bCs/>
                <w:sz w:val="18"/>
                <w:szCs w:val="18"/>
              </w:rPr>
            </w:pPr>
            <w:r w:rsidRPr="000B4EC1">
              <w:rPr>
                <w:bCs/>
                <w:sz w:val="20"/>
                <w:szCs w:val="20"/>
              </w:rPr>
              <w:t>0</w:t>
            </w:r>
          </w:p>
        </w:tc>
        <w:tc>
          <w:tcPr>
            <w:tcW w:w="1275" w:type="dxa"/>
            <w:tcBorders>
              <w:top w:val="nil"/>
              <w:left w:val="nil"/>
              <w:bottom w:val="single" w:sz="4" w:space="0" w:color="auto"/>
              <w:right w:val="single" w:sz="4" w:space="0" w:color="auto"/>
            </w:tcBorders>
            <w:noWrap/>
            <w:vAlign w:val="center"/>
          </w:tcPr>
          <w:p w14:paraId="7C721187" w14:textId="77777777" w:rsidR="0085421A" w:rsidRPr="00290A39" w:rsidRDefault="0085421A" w:rsidP="00BA499D">
            <w:pPr>
              <w:jc w:val="center"/>
              <w:rPr>
                <w:sz w:val="18"/>
                <w:szCs w:val="18"/>
              </w:rPr>
            </w:pPr>
            <w:r>
              <w:rPr>
                <w:sz w:val="20"/>
                <w:szCs w:val="20"/>
              </w:rPr>
              <w:t>-</w:t>
            </w:r>
          </w:p>
        </w:tc>
      </w:tr>
      <w:tr w:rsidR="0085421A" w:rsidRPr="002F73B3" w14:paraId="4F13EA30" w14:textId="77777777" w:rsidTr="00BA499D">
        <w:trPr>
          <w:trHeight w:val="194"/>
        </w:trPr>
        <w:tc>
          <w:tcPr>
            <w:tcW w:w="4967" w:type="dxa"/>
            <w:gridSpan w:val="2"/>
            <w:tcBorders>
              <w:top w:val="single" w:sz="4" w:space="0" w:color="auto"/>
              <w:left w:val="single" w:sz="4" w:space="0" w:color="auto"/>
              <w:bottom w:val="single" w:sz="4" w:space="0" w:color="auto"/>
              <w:right w:val="single" w:sz="4" w:space="0" w:color="000000"/>
            </w:tcBorders>
            <w:shd w:val="clear" w:color="auto" w:fill="BFBFBF"/>
            <w:noWrap/>
            <w:vAlign w:val="bottom"/>
            <w:hideMark/>
          </w:tcPr>
          <w:p w14:paraId="018DF90D" w14:textId="77777777" w:rsidR="0085421A" w:rsidRPr="002F73B3" w:rsidRDefault="0085421A" w:rsidP="00BA499D">
            <w:pPr>
              <w:spacing w:line="256" w:lineRule="auto"/>
              <w:rPr>
                <w:rFonts w:eastAsia="Times New Roman" w:cstheme="minorHAnsi"/>
                <w:b/>
                <w:sz w:val="20"/>
                <w:szCs w:val="20"/>
                <w:lang w:eastAsia="hr-HR"/>
              </w:rPr>
            </w:pPr>
            <w:r w:rsidRPr="002F73B3">
              <w:rPr>
                <w:rFonts w:eastAsia="Times New Roman" w:cstheme="minorHAnsi"/>
                <w:b/>
                <w:sz w:val="20"/>
                <w:szCs w:val="20"/>
                <w:lang w:eastAsia="hr-HR"/>
              </w:rPr>
              <w:t>UKUPNO:</w:t>
            </w:r>
          </w:p>
        </w:tc>
        <w:tc>
          <w:tcPr>
            <w:tcW w:w="1559" w:type="dxa"/>
            <w:tcBorders>
              <w:top w:val="nil"/>
              <w:left w:val="nil"/>
              <w:bottom w:val="single" w:sz="4" w:space="0" w:color="auto"/>
              <w:right w:val="single" w:sz="4" w:space="0" w:color="auto"/>
            </w:tcBorders>
            <w:shd w:val="clear" w:color="auto" w:fill="BFBFBF"/>
            <w:noWrap/>
            <w:vAlign w:val="center"/>
          </w:tcPr>
          <w:p w14:paraId="3E980A57" w14:textId="77777777" w:rsidR="0085421A" w:rsidRPr="002F73B3" w:rsidRDefault="0085421A" w:rsidP="00BA499D">
            <w:pPr>
              <w:jc w:val="center"/>
              <w:rPr>
                <w:b/>
                <w:bCs/>
                <w:sz w:val="20"/>
                <w:szCs w:val="20"/>
              </w:rPr>
            </w:pPr>
            <w:r w:rsidRPr="002F73B3">
              <w:rPr>
                <w:b/>
                <w:bCs/>
                <w:sz w:val="20"/>
                <w:szCs w:val="20"/>
              </w:rPr>
              <w:t>116</w:t>
            </w:r>
          </w:p>
        </w:tc>
        <w:tc>
          <w:tcPr>
            <w:tcW w:w="1504" w:type="dxa"/>
            <w:tcBorders>
              <w:top w:val="nil"/>
              <w:left w:val="nil"/>
              <w:bottom w:val="single" w:sz="4" w:space="0" w:color="auto"/>
              <w:right w:val="single" w:sz="4" w:space="0" w:color="auto"/>
            </w:tcBorders>
            <w:shd w:val="clear" w:color="auto" w:fill="BFBFBF"/>
            <w:noWrap/>
            <w:vAlign w:val="center"/>
          </w:tcPr>
          <w:p w14:paraId="69D1824C" w14:textId="77777777" w:rsidR="0085421A" w:rsidRPr="002F73B3" w:rsidRDefault="0085421A" w:rsidP="00BA499D">
            <w:pPr>
              <w:jc w:val="center"/>
              <w:rPr>
                <w:b/>
                <w:bCs/>
                <w:sz w:val="20"/>
                <w:szCs w:val="20"/>
              </w:rPr>
            </w:pPr>
            <w:r>
              <w:rPr>
                <w:b/>
                <w:bCs/>
                <w:sz w:val="20"/>
                <w:szCs w:val="20"/>
              </w:rPr>
              <w:t>203</w:t>
            </w:r>
          </w:p>
        </w:tc>
        <w:tc>
          <w:tcPr>
            <w:tcW w:w="1275" w:type="dxa"/>
            <w:tcBorders>
              <w:top w:val="nil"/>
              <w:left w:val="nil"/>
              <w:bottom w:val="single" w:sz="4" w:space="0" w:color="auto"/>
              <w:right w:val="single" w:sz="4" w:space="0" w:color="auto"/>
            </w:tcBorders>
            <w:shd w:val="clear" w:color="auto" w:fill="BFBFBF"/>
            <w:noWrap/>
            <w:vAlign w:val="center"/>
          </w:tcPr>
          <w:p w14:paraId="258088FC" w14:textId="77777777" w:rsidR="0085421A" w:rsidRPr="00290A39" w:rsidRDefault="0085421A" w:rsidP="00BA499D">
            <w:pPr>
              <w:jc w:val="center"/>
              <w:rPr>
                <w:b/>
                <w:sz w:val="20"/>
                <w:szCs w:val="20"/>
              </w:rPr>
            </w:pPr>
            <w:r w:rsidRPr="000B4EC1">
              <w:rPr>
                <w:b/>
                <w:sz w:val="20"/>
                <w:szCs w:val="20"/>
              </w:rPr>
              <w:t>17</w:t>
            </w:r>
            <w:r>
              <w:rPr>
                <w:b/>
                <w:sz w:val="20"/>
                <w:szCs w:val="20"/>
              </w:rPr>
              <w:t>5</w:t>
            </w:r>
            <w:r w:rsidRPr="000B4EC1">
              <w:rPr>
                <w:b/>
                <w:sz w:val="20"/>
                <w:szCs w:val="20"/>
              </w:rPr>
              <w:t>%</w:t>
            </w:r>
          </w:p>
        </w:tc>
      </w:tr>
    </w:tbl>
    <w:p w14:paraId="4A0C0795" w14:textId="77777777" w:rsidR="0085421A" w:rsidRPr="002F73B3" w:rsidRDefault="0085421A" w:rsidP="0085421A">
      <w:pPr>
        <w:spacing w:after="200" w:line="276" w:lineRule="auto"/>
      </w:pPr>
    </w:p>
    <w:p w14:paraId="4A8BB84B" w14:textId="77777777" w:rsidR="0085421A" w:rsidRPr="002F73B3" w:rsidRDefault="0085421A" w:rsidP="0085421A">
      <w:pPr>
        <w:pStyle w:val="Heading3"/>
      </w:pPr>
      <w:bookmarkStart w:id="137" w:name="_Toc26534640"/>
      <w:bookmarkStart w:id="138" w:name="_Toc165035461"/>
      <w:r w:rsidRPr="002F73B3">
        <w:t>2.2.14. Izvršenje neprihodovnih poslova</w:t>
      </w:r>
      <w:bookmarkEnd w:id="136"/>
      <w:bookmarkEnd w:id="137"/>
      <w:bookmarkEnd w:id="138"/>
      <w:r w:rsidRPr="002F73B3">
        <w:t xml:space="preserve"> </w:t>
      </w:r>
    </w:p>
    <w:p w14:paraId="6D29F4ED" w14:textId="77777777" w:rsidR="0085421A" w:rsidRPr="002F73B3" w:rsidRDefault="0085421A" w:rsidP="0085421A">
      <w:pPr>
        <w:tabs>
          <w:tab w:val="center" w:pos="858"/>
          <w:tab w:val="center" w:pos="4320"/>
          <w:tab w:val="right" w:pos="8306"/>
          <w:tab w:val="right" w:pos="8640"/>
        </w:tabs>
        <w:spacing w:after="120"/>
        <w:jc w:val="both"/>
        <w:rPr>
          <w:rFonts w:ascii="Calibri" w:eastAsia="Times New Roman" w:hAnsi="Calibri" w:cs="Times New Roman"/>
          <w:b/>
          <w:bCs/>
          <w:lang w:eastAsia="hr-HR"/>
        </w:rPr>
      </w:pPr>
      <w:r w:rsidRPr="002F73B3">
        <w:rPr>
          <w:rFonts w:eastAsia="Times New Roman" w:cstheme="minorHAnsi"/>
          <w:b/>
          <w:bCs/>
          <w:lang w:eastAsia="hr-HR"/>
        </w:rPr>
        <w:t xml:space="preserve">Tablica 8. Izvršenje neprihodovnih </w:t>
      </w:r>
      <w:r w:rsidRPr="002F73B3">
        <w:rPr>
          <w:rFonts w:ascii="Calibri" w:eastAsia="Times New Roman" w:hAnsi="Calibri" w:cs="Times New Roman"/>
          <w:b/>
          <w:bCs/>
          <w:lang w:eastAsia="hr-HR"/>
        </w:rPr>
        <w:t>farmakovigilancijskih usluga</w:t>
      </w: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3948"/>
        <w:gridCol w:w="1748"/>
        <w:gridCol w:w="1609"/>
        <w:gridCol w:w="1171"/>
      </w:tblGrid>
      <w:tr w:rsidR="0085421A" w:rsidRPr="002F73B3" w14:paraId="293A1DA5" w14:textId="77777777" w:rsidTr="00BA499D">
        <w:trPr>
          <w:trHeight w:val="227"/>
          <w:tblHeader/>
        </w:trPr>
        <w:tc>
          <w:tcPr>
            <w:tcW w:w="485" w:type="pct"/>
            <w:tcBorders>
              <w:top w:val="single" w:sz="4" w:space="0" w:color="auto"/>
              <w:left w:val="single" w:sz="4" w:space="0" w:color="auto"/>
              <w:bottom w:val="single" w:sz="4" w:space="0" w:color="auto"/>
              <w:right w:val="single" w:sz="4" w:space="0" w:color="auto"/>
            </w:tcBorders>
            <w:shd w:val="clear" w:color="auto" w:fill="A3E7FF"/>
            <w:vAlign w:val="center"/>
            <w:hideMark/>
          </w:tcPr>
          <w:p w14:paraId="7DA62693" w14:textId="77777777" w:rsidR="0085421A" w:rsidRPr="002F73B3" w:rsidRDefault="0085421A" w:rsidP="00BA499D">
            <w:pPr>
              <w:jc w:val="center"/>
              <w:rPr>
                <w:rFonts w:eastAsia="Times New Roman" w:cs="Times New Roman"/>
                <w:b/>
                <w:bCs/>
                <w:color w:val="1A1A1A"/>
                <w:sz w:val="18"/>
                <w:szCs w:val="18"/>
                <w:lang w:eastAsia="hr-HR"/>
              </w:rPr>
            </w:pPr>
            <w:r w:rsidRPr="002F73B3">
              <w:rPr>
                <w:rFonts w:eastAsia="Times New Roman" w:cs="Times New Roman"/>
                <w:b/>
                <w:bCs/>
                <w:color w:val="1A1A1A"/>
                <w:sz w:val="18"/>
                <w:szCs w:val="18"/>
                <w:lang w:eastAsia="hr-HR"/>
              </w:rPr>
              <w:t>R.br.</w:t>
            </w:r>
          </w:p>
        </w:tc>
        <w:tc>
          <w:tcPr>
            <w:tcW w:w="2103" w:type="pct"/>
            <w:tcBorders>
              <w:top w:val="single" w:sz="4" w:space="0" w:color="auto"/>
              <w:left w:val="single" w:sz="4" w:space="0" w:color="auto"/>
              <w:bottom w:val="single" w:sz="4" w:space="0" w:color="auto"/>
              <w:right w:val="single" w:sz="4" w:space="0" w:color="auto"/>
            </w:tcBorders>
            <w:shd w:val="clear" w:color="auto" w:fill="A3E7FF"/>
            <w:vAlign w:val="center"/>
            <w:hideMark/>
          </w:tcPr>
          <w:p w14:paraId="6A22C69E" w14:textId="77777777" w:rsidR="0085421A" w:rsidRPr="002F73B3" w:rsidRDefault="0085421A" w:rsidP="00BA499D">
            <w:pPr>
              <w:rPr>
                <w:rFonts w:eastAsia="Times New Roman" w:cs="Times New Roman"/>
                <w:b/>
                <w:bCs/>
                <w:color w:val="1A1A1A"/>
                <w:sz w:val="18"/>
                <w:szCs w:val="18"/>
                <w:lang w:eastAsia="hr-HR"/>
              </w:rPr>
            </w:pPr>
            <w:r w:rsidRPr="002F73B3">
              <w:rPr>
                <w:rFonts w:eastAsia="Times New Roman" w:cs="Times New Roman"/>
                <w:b/>
                <w:bCs/>
                <w:color w:val="1A1A1A"/>
                <w:sz w:val="18"/>
                <w:szCs w:val="18"/>
                <w:lang w:eastAsia="hr-HR"/>
              </w:rPr>
              <w:t>Naziv usluge</w:t>
            </w:r>
          </w:p>
        </w:tc>
        <w:tc>
          <w:tcPr>
            <w:tcW w:w="931" w:type="pct"/>
            <w:tcBorders>
              <w:top w:val="single" w:sz="4" w:space="0" w:color="auto"/>
              <w:left w:val="single" w:sz="4" w:space="0" w:color="auto"/>
              <w:bottom w:val="single" w:sz="4" w:space="0" w:color="auto"/>
              <w:right w:val="single" w:sz="4" w:space="0" w:color="auto"/>
            </w:tcBorders>
            <w:shd w:val="clear" w:color="auto" w:fill="A3E7FF"/>
            <w:vAlign w:val="center"/>
          </w:tcPr>
          <w:p w14:paraId="532A86EB" w14:textId="77777777" w:rsidR="0085421A" w:rsidRPr="002F73B3" w:rsidRDefault="0085421A" w:rsidP="00BA499D">
            <w:pPr>
              <w:jc w:val="center"/>
              <w:rPr>
                <w:rFonts w:eastAsia="Times New Roman" w:cs="Times New Roman"/>
                <w:b/>
                <w:color w:val="000000"/>
                <w:sz w:val="18"/>
                <w:szCs w:val="18"/>
                <w:lang w:eastAsia="hr-HR"/>
              </w:rPr>
            </w:pPr>
            <w:r w:rsidRPr="002F73B3">
              <w:rPr>
                <w:b/>
                <w:color w:val="000000"/>
                <w:sz w:val="18"/>
                <w:szCs w:val="18"/>
                <w:lang w:eastAsia="hr-HR"/>
              </w:rPr>
              <w:t xml:space="preserve">Plan za </w:t>
            </w:r>
            <w:r w:rsidRPr="002F73B3">
              <w:rPr>
                <w:b/>
                <w:sz w:val="18"/>
                <w:szCs w:val="18"/>
                <w:lang w:eastAsia="hr-HR"/>
              </w:rPr>
              <w:t>2023.</w:t>
            </w:r>
            <w:r w:rsidRPr="002F73B3">
              <w:rPr>
                <w:b/>
                <w:color w:val="000000"/>
                <w:sz w:val="18"/>
                <w:szCs w:val="18"/>
                <w:lang w:eastAsia="hr-HR"/>
              </w:rPr>
              <w:t xml:space="preserve"> godinu</w:t>
            </w:r>
          </w:p>
        </w:tc>
        <w:tc>
          <w:tcPr>
            <w:tcW w:w="857" w:type="pct"/>
            <w:tcBorders>
              <w:top w:val="single" w:sz="4" w:space="0" w:color="auto"/>
              <w:left w:val="single" w:sz="4" w:space="0" w:color="auto"/>
              <w:bottom w:val="single" w:sz="4" w:space="0" w:color="auto"/>
              <w:right w:val="single" w:sz="4" w:space="0" w:color="auto"/>
            </w:tcBorders>
            <w:shd w:val="clear" w:color="auto" w:fill="A3E7FF"/>
          </w:tcPr>
          <w:p w14:paraId="2186D850" w14:textId="77777777" w:rsidR="0085421A" w:rsidRPr="002F73B3" w:rsidRDefault="0085421A" w:rsidP="00BA499D">
            <w:pPr>
              <w:jc w:val="center"/>
              <w:rPr>
                <w:rFonts w:eastAsia="Times New Roman" w:cs="Times New Roman"/>
                <w:b/>
                <w:color w:val="000000"/>
                <w:sz w:val="18"/>
                <w:szCs w:val="18"/>
                <w:lang w:eastAsia="hr-HR"/>
              </w:rPr>
            </w:pPr>
            <w:r w:rsidRPr="002F73B3">
              <w:rPr>
                <w:rFonts w:eastAsia="Times New Roman" w:cs="Times New Roman"/>
                <w:b/>
                <w:color w:val="000000"/>
                <w:sz w:val="18"/>
                <w:szCs w:val="18"/>
                <w:lang w:eastAsia="hr-HR"/>
              </w:rPr>
              <w:t>Izvršenje 01.01.-</w:t>
            </w:r>
            <w:r>
              <w:rPr>
                <w:rFonts w:eastAsia="Times New Roman" w:cs="Times New Roman"/>
                <w:b/>
                <w:color w:val="000000"/>
                <w:sz w:val="18"/>
                <w:szCs w:val="18"/>
                <w:lang w:eastAsia="hr-HR"/>
              </w:rPr>
              <w:t>31.12</w:t>
            </w:r>
            <w:r w:rsidRPr="002F73B3">
              <w:rPr>
                <w:rFonts w:eastAsia="Times New Roman" w:cs="Times New Roman"/>
                <w:b/>
                <w:color w:val="000000"/>
                <w:sz w:val="18"/>
                <w:szCs w:val="18"/>
                <w:lang w:eastAsia="hr-HR"/>
              </w:rPr>
              <w:t>.2023.</w:t>
            </w:r>
          </w:p>
        </w:tc>
        <w:tc>
          <w:tcPr>
            <w:tcW w:w="624" w:type="pct"/>
            <w:tcBorders>
              <w:top w:val="single" w:sz="4" w:space="0" w:color="auto"/>
              <w:left w:val="single" w:sz="4" w:space="0" w:color="auto"/>
              <w:bottom w:val="single" w:sz="4" w:space="0" w:color="auto"/>
              <w:right w:val="single" w:sz="4" w:space="0" w:color="auto"/>
            </w:tcBorders>
            <w:shd w:val="clear" w:color="auto" w:fill="A3E7FF"/>
          </w:tcPr>
          <w:p w14:paraId="4D2540F7" w14:textId="77777777" w:rsidR="0085421A" w:rsidRPr="002F73B3" w:rsidRDefault="0085421A" w:rsidP="00BA499D">
            <w:pPr>
              <w:jc w:val="center"/>
              <w:rPr>
                <w:rFonts w:eastAsia="Times New Roman" w:cs="Times New Roman"/>
                <w:b/>
                <w:color w:val="000000"/>
                <w:sz w:val="18"/>
                <w:szCs w:val="18"/>
                <w:lang w:eastAsia="hr-HR"/>
              </w:rPr>
            </w:pPr>
            <w:r w:rsidRPr="002F73B3">
              <w:rPr>
                <w:rFonts w:eastAsia="Times New Roman" w:cs="Times New Roman"/>
                <w:b/>
                <w:color w:val="000000"/>
                <w:sz w:val="18"/>
                <w:szCs w:val="18"/>
                <w:lang w:eastAsia="hr-HR"/>
              </w:rPr>
              <w:t>% izvršenja</w:t>
            </w:r>
          </w:p>
        </w:tc>
      </w:tr>
      <w:tr w:rsidR="0085421A" w:rsidRPr="002F73B3" w14:paraId="08BBB58D" w14:textId="77777777" w:rsidTr="00BA499D">
        <w:trPr>
          <w:trHeight w:val="227"/>
        </w:trPr>
        <w:tc>
          <w:tcPr>
            <w:tcW w:w="485" w:type="pct"/>
            <w:tcBorders>
              <w:top w:val="single" w:sz="4" w:space="0" w:color="auto"/>
              <w:left w:val="single" w:sz="4" w:space="0" w:color="auto"/>
              <w:bottom w:val="single" w:sz="4" w:space="0" w:color="auto"/>
              <w:right w:val="single" w:sz="4" w:space="0" w:color="auto"/>
            </w:tcBorders>
            <w:vAlign w:val="center"/>
            <w:hideMark/>
          </w:tcPr>
          <w:p w14:paraId="35901B95" w14:textId="77777777" w:rsidR="0085421A" w:rsidRPr="002F73B3" w:rsidRDefault="0085421A" w:rsidP="00BA499D">
            <w:pPr>
              <w:pStyle w:val="NoSpacing"/>
              <w:numPr>
                <w:ilvl w:val="0"/>
                <w:numId w:val="17"/>
              </w:numPr>
              <w:spacing w:line="276" w:lineRule="auto"/>
              <w:ind w:left="720"/>
              <w:jc w:val="center"/>
              <w:rPr>
                <w:rFonts w:eastAsia="Times New Roman" w:cs="Times New Roman"/>
                <w:sz w:val="18"/>
                <w:szCs w:val="18"/>
              </w:rPr>
            </w:pPr>
          </w:p>
        </w:tc>
        <w:tc>
          <w:tcPr>
            <w:tcW w:w="2103" w:type="pct"/>
            <w:tcBorders>
              <w:top w:val="single" w:sz="4" w:space="0" w:color="auto"/>
              <w:left w:val="single" w:sz="4" w:space="0" w:color="auto"/>
              <w:bottom w:val="single" w:sz="4" w:space="0" w:color="auto"/>
              <w:right w:val="single" w:sz="4" w:space="0" w:color="auto"/>
            </w:tcBorders>
            <w:vAlign w:val="center"/>
            <w:hideMark/>
          </w:tcPr>
          <w:p w14:paraId="747EF865" w14:textId="77777777" w:rsidR="0085421A" w:rsidRPr="002F73B3" w:rsidRDefault="0085421A" w:rsidP="00BA499D">
            <w:pPr>
              <w:pStyle w:val="NoSpacing"/>
              <w:spacing w:line="276" w:lineRule="auto"/>
              <w:rPr>
                <w:rFonts w:eastAsia="Times New Roman" w:cs="Times New Roman"/>
                <w:sz w:val="18"/>
                <w:szCs w:val="18"/>
              </w:rPr>
            </w:pPr>
            <w:r w:rsidRPr="002F73B3">
              <w:rPr>
                <w:rFonts w:eastAsia="Times New Roman" w:cs="Times New Roman"/>
                <w:sz w:val="18"/>
                <w:szCs w:val="18"/>
              </w:rPr>
              <w:t>Obrada prijava sumnji na nuspojave iz prometa i kliničkih ispitivanja</w:t>
            </w:r>
          </w:p>
        </w:tc>
        <w:tc>
          <w:tcPr>
            <w:tcW w:w="931" w:type="pct"/>
            <w:tcBorders>
              <w:top w:val="single" w:sz="4" w:space="0" w:color="auto"/>
              <w:left w:val="single" w:sz="4" w:space="0" w:color="auto"/>
              <w:bottom w:val="single" w:sz="4" w:space="0" w:color="auto"/>
              <w:right w:val="single" w:sz="4" w:space="0" w:color="auto"/>
            </w:tcBorders>
            <w:vAlign w:val="center"/>
          </w:tcPr>
          <w:p w14:paraId="460C2FA8" w14:textId="77777777" w:rsidR="0085421A" w:rsidRPr="002F73B3" w:rsidRDefault="0085421A" w:rsidP="00BA499D">
            <w:pPr>
              <w:jc w:val="center"/>
              <w:rPr>
                <w:rFonts w:cs="Times New Roman"/>
                <w:bCs/>
                <w:sz w:val="18"/>
                <w:szCs w:val="18"/>
              </w:rPr>
            </w:pPr>
            <w:r w:rsidRPr="002F73B3">
              <w:rPr>
                <w:color w:val="1A1A1A"/>
                <w:sz w:val="18"/>
                <w:szCs w:val="18"/>
                <w:lang w:eastAsia="hr-HR"/>
              </w:rPr>
              <w:t>3500</w:t>
            </w:r>
            <w:r>
              <w:rPr>
                <w:color w:val="1A1A1A"/>
                <w:sz w:val="18"/>
                <w:szCs w:val="18"/>
                <w:lang w:eastAsia="hr-HR"/>
              </w:rPr>
              <w:t>*</w:t>
            </w:r>
          </w:p>
        </w:tc>
        <w:tc>
          <w:tcPr>
            <w:tcW w:w="857" w:type="pct"/>
            <w:tcBorders>
              <w:top w:val="single" w:sz="4" w:space="0" w:color="auto"/>
              <w:left w:val="single" w:sz="4" w:space="0" w:color="auto"/>
              <w:bottom w:val="single" w:sz="4" w:space="0" w:color="auto"/>
              <w:right w:val="single" w:sz="4" w:space="0" w:color="auto"/>
            </w:tcBorders>
            <w:vAlign w:val="center"/>
          </w:tcPr>
          <w:p w14:paraId="5C8D0856" w14:textId="77777777" w:rsidR="0085421A" w:rsidRPr="002F73B3" w:rsidRDefault="0085421A" w:rsidP="00BA499D">
            <w:pPr>
              <w:jc w:val="center"/>
              <w:rPr>
                <w:rFonts w:cs="Times New Roman"/>
                <w:bCs/>
                <w:sz w:val="18"/>
                <w:szCs w:val="18"/>
              </w:rPr>
            </w:pPr>
            <w:r>
              <w:rPr>
                <w:rFonts w:cs="Times New Roman"/>
                <w:bCs/>
                <w:sz w:val="18"/>
                <w:szCs w:val="18"/>
              </w:rPr>
              <w:t>2521</w:t>
            </w:r>
          </w:p>
        </w:tc>
        <w:tc>
          <w:tcPr>
            <w:tcW w:w="624" w:type="pct"/>
            <w:tcBorders>
              <w:top w:val="single" w:sz="4" w:space="0" w:color="auto"/>
              <w:left w:val="single" w:sz="4" w:space="0" w:color="auto"/>
              <w:bottom w:val="single" w:sz="4" w:space="0" w:color="auto"/>
              <w:right w:val="single" w:sz="4" w:space="0" w:color="auto"/>
            </w:tcBorders>
            <w:vAlign w:val="center"/>
          </w:tcPr>
          <w:p w14:paraId="2985AFF3" w14:textId="77777777" w:rsidR="0085421A" w:rsidRPr="002F73B3" w:rsidRDefault="0085421A" w:rsidP="00BA499D">
            <w:pPr>
              <w:jc w:val="center"/>
              <w:rPr>
                <w:rFonts w:cs="Times New Roman"/>
                <w:bCs/>
                <w:sz w:val="18"/>
                <w:szCs w:val="18"/>
              </w:rPr>
            </w:pPr>
            <w:r>
              <w:rPr>
                <w:rFonts w:cs="Times New Roman"/>
                <w:bCs/>
                <w:sz w:val="18"/>
                <w:szCs w:val="18"/>
              </w:rPr>
              <w:t>72</w:t>
            </w:r>
            <w:r w:rsidRPr="002F73B3">
              <w:rPr>
                <w:rFonts w:cs="Times New Roman"/>
                <w:bCs/>
                <w:sz w:val="18"/>
                <w:szCs w:val="18"/>
              </w:rPr>
              <w:t>%</w:t>
            </w:r>
          </w:p>
        </w:tc>
      </w:tr>
      <w:tr w:rsidR="0085421A" w:rsidRPr="002F73B3" w14:paraId="6B392520" w14:textId="77777777" w:rsidTr="00BA499D">
        <w:trPr>
          <w:trHeight w:val="227"/>
        </w:trPr>
        <w:tc>
          <w:tcPr>
            <w:tcW w:w="485" w:type="pct"/>
            <w:tcBorders>
              <w:top w:val="single" w:sz="4" w:space="0" w:color="auto"/>
              <w:left w:val="single" w:sz="4" w:space="0" w:color="auto"/>
              <w:bottom w:val="single" w:sz="4" w:space="0" w:color="auto"/>
              <w:right w:val="single" w:sz="4" w:space="0" w:color="auto"/>
            </w:tcBorders>
            <w:vAlign w:val="center"/>
            <w:hideMark/>
          </w:tcPr>
          <w:p w14:paraId="2430A583" w14:textId="77777777" w:rsidR="0085421A" w:rsidRPr="002F73B3" w:rsidRDefault="0085421A" w:rsidP="00BA499D">
            <w:pPr>
              <w:pStyle w:val="NoSpacing"/>
              <w:numPr>
                <w:ilvl w:val="0"/>
                <w:numId w:val="17"/>
              </w:numPr>
              <w:spacing w:line="276" w:lineRule="auto"/>
              <w:ind w:left="720"/>
              <w:jc w:val="center"/>
              <w:rPr>
                <w:rFonts w:eastAsia="Times New Roman" w:cs="Times New Roman"/>
                <w:sz w:val="18"/>
                <w:szCs w:val="18"/>
              </w:rPr>
            </w:pPr>
          </w:p>
        </w:tc>
        <w:tc>
          <w:tcPr>
            <w:tcW w:w="2103" w:type="pct"/>
            <w:tcBorders>
              <w:top w:val="single" w:sz="4" w:space="0" w:color="auto"/>
              <w:left w:val="single" w:sz="4" w:space="0" w:color="auto"/>
              <w:bottom w:val="single" w:sz="4" w:space="0" w:color="auto"/>
              <w:right w:val="single" w:sz="4" w:space="0" w:color="auto"/>
            </w:tcBorders>
            <w:vAlign w:val="center"/>
            <w:hideMark/>
          </w:tcPr>
          <w:p w14:paraId="794A4A69" w14:textId="77777777" w:rsidR="0085421A" w:rsidRPr="002F73B3" w:rsidRDefault="0085421A" w:rsidP="00BA499D">
            <w:pPr>
              <w:pStyle w:val="NoSpacing"/>
              <w:spacing w:line="276" w:lineRule="auto"/>
              <w:rPr>
                <w:rFonts w:eastAsia="Times New Roman" w:cs="Times New Roman"/>
                <w:sz w:val="18"/>
                <w:szCs w:val="18"/>
              </w:rPr>
            </w:pPr>
            <w:r w:rsidRPr="002F73B3">
              <w:rPr>
                <w:rFonts w:eastAsia="Times New Roman" w:cs="Times New Roman"/>
                <w:sz w:val="18"/>
                <w:szCs w:val="18"/>
              </w:rPr>
              <w:t>Odobravanje QPPV-a i njegova zamjenika</w:t>
            </w:r>
          </w:p>
        </w:tc>
        <w:tc>
          <w:tcPr>
            <w:tcW w:w="931" w:type="pct"/>
            <w:tcBorders>
              <w:top w:val="single" w:sz="4" w:space="0" w:color="auto"/>
              <w:left w:val="single" w:sz="4" w:space="0" w:color="auto"/>
              <w:bottom w:val="single" w:sz="4" w:space="0" w:color="auto"/>
              <w:right w:val="single" w:sz="4" w:space="0" w:color="auto"/>
            </w:tcBorders>
            <w:vAlign w:val="center"/>
          </w:tcPr>
          <w:p w14:paraId="32158459" w14:textId="77777777" w:rsidR="0085421A" w:rsidRPr="002F73B3" w:rsidRDefault="0085421A" w:rsidP="00BA499D">
            <w:pPr>
              <w:jc w:val="center"/>
              <w:rPr>
                <w:rFonts w:cs="Times New Roman"/>
                <w:bCs/>
                <w:sz w:val="18"/>
                <w:szCs w:val="18"/>
              </w:rPr>
            </w:pPr>
            <w:r w:rsidRPr="002F73B3">
              <w:rPr>
                <w:color w:val="1A1A1A"/>
                <w:sz w:val="18"/>
                <w:szCs w:val="18"/>
                <w:lang w:eastAsia="hr-HR"/>
              </w:rPr>
              <w:t>100</w:t>
            </w:r>
          </w:p>
        </w:tc>
        <w:tc>
          <w:tcPr>
            <w:tcW w:w="857" w:type="pct"/>
            <w:tcBorders>
              <w:top w:val="single" w:sz="4" w:space="0" w:color="auto"/>
              <w:left w:val="single" w:sz="4" w:space="0" w:color="auto"/>
              <w:bottom w:val="single" w:sz="4" w:space="0" w:color="auto"/>
              <w:right w:val="single" w:sz="4" w:space="0" w:color="auto"/>
            </w:tcBorders>
          </w:tcPr>
          <w:p w14:paraId="7E831AE0" w14:textId="77777777" w:rsidR="0085421A" w:rsidRPr="002F73B3" w:rsidRDefault="0085421A" w:rsidP="00BA499D">
            <w:pPr>
              <w:jc w:val="center"/>
              <w:rPr>
                <w:rFonts w:cs="Times New Roman"/>
                <w:bCs/>
                <w:sz w:val="18"/>
                <w:szCs w:val="18"/>
              </w:rPr>
            </w:pPr>
            <w:r>
              <w:rPr>
                <w:rFonts w:cs="Times New Roman"/>
                <w:bCs/>
                <w:sz w:val="18"/>
                <w:szCs w:val="18"/>
              </w:rPr>
              <w:t>194</w:t>
            </w:r>
          </w:p>
        </w:tc>
        <w:tc>
          <w:tcPr>
            <w:tcW w:w="624" w:type="pct"/>
            <w:tcBorders>
              <w:top w:val="single" w:sz="4" w:space="0" w:color="auto"/>
              <w:left w:val="single" w:sz="4" w:space="0" w:color="auto"/>
              <w:bottom w:val="single" w:sz="4" w:space="0" w:color="auto"/>
              <w:right w:val="single" w:sz="4" w:space="0" w:color="auto"/>
            </w:tcBorders>
          </w:tcPr>
          <w:p w14:paraId="06AB0DB2" w14:textId="77777777" w:rsidR="0085421A" w:rsidRPr="002F73B3" w:rsidRDefault="0085421A" w:rsidP="00BA499D">
            <w:pPr>
              <w:jc w:val="center"/>
              <w:rPr>
                <w:rFonts w:cs="Times New Roman"/>
                <w:bCs/>
                <w:sz w:val="18"/>
                <w:szCs w:val="18"/>
              </w:rPr>
            </w:pPr>
            <w:r>
              <w:rPr>
                <w:rFonts w:cs="Times New Roman"/>
                <w:bCs/>
                <w:sz w:val="18"/>
                <w:szCs w:val="18"/>
              </w:rPr>
              <w:t>132</w:t>
            </w:r>
            <w:r w:rsidRPr="002F73B3">
              <w:rPr>
                <w:rFonts w:cs="Times New Roman"/>
                <w:bCs/>
                <w:sz w:val="18"/>
                <w:szCs w:val="18"/>
              </w:rPr>
              <w:t>%</w:t>
            </w:r>
          </w:p>
        </w:tc>
      </w:tr>
      <w:tr w:rsidR="0085421A" w:rsidRPr="002F73B3" w14:paraId="42C19B37" w14:textId="77777777" w:rsidTr="00BA499D">
        <w:trPr>
          <w:trHeight w:val="227"/>
        </w:trPr>
        <w:tc>
          <w:tcPr>
            <w:tcW w:w="485" w:type="pct"/>
            <w:tcBorders>
              <w:top w:val="single" w:sz="4" w:space="0" w:color="auto"/>
              <w:left w:val="single" w:sz="4" w:space="0" w:color="auto"/>
              <w:bottom w:val="single" w:sz="4" w:space="0" w:color="auto"/>
              <w:right w:val="single" w:sz="4" w:space="0" w:color="auto"/>
            </w:tcBorders>
            <w:vAlign w:val="center"/>
            <w:hideMark/>
          </w:tcPr>
          <w:p w14:paraId="0A523710" w14:textId="77777777" w:rsidR="0085421A" w:rsidRPr="002F73B3" w:rsidRDefault="0085421A" w:rsidP="00BA499D">
            <w:pPr>
              <w:pStyle w:val="NoSpacing"/>
              <w:numPr>
                <w:ilvl w:val="0"/>
                <w:numId w:val="17"/>
              </w:numPr>
              <w:spacing w:line="276" w:lineRule="auto"/>
              <w:ind w:left="720"/>
              <w:jc w:val="center"/>
              <w:rPr>
                <w:rFonts w:eastAsia="Times New Roman" w:cs="Times New Roman"/>
                <w:sz w:val="18"/>
                <w:szCs w:val="18"/>
              </w:rPr>
            </w:pPr>
          </w:p>
        </w:tc>
        <w:tc>
          <w:tcPr>
            <w:tcW w:w="2103" w:type="pct"/>
            <w:tcBorders>
              <w:top w:val="single" w:sz="4" w:space="0" w:color="auto"/>
              <w:left w:val="single" w:sz="4" w:space="0" w:color="auto"/>
              <w:bottom w:val="single" w:sz="4" w:space="0" w:color="auto"/>
              <w:right w:val="single" w:sz="4" w:space="0" w:color="auto"/>
            </w:tcBorders>
            <w:vAlign w:val="center"/>
            <w:hideMark/>
          </w:tcPr>
          <w:p w14:paraId="0F170CCC" w14:textId="77777777" w:rsidR="0085421A" w:rsidRPr="002F73B3" w:rsidRDefault="0085421A" w:rsidP="00BA499D">
            <w:pPr>
              <w:pStyle w:val="NoSpacing"/>
              <w:spacing w:line="276" w:lineRule="auto"/>
              <w:rPr>
                <w:rFonts w:eastAsia="Times New Roman" w:cs="Times New Roman"/>
                <w:sz w:val="18"/>
                <w:szCs w:val="18"/>
              </w:rPr>
            </w:pPr>
            <w:r w:rsidRPr="002F73B3">
              <w:rPr>
                <w:rFonts w:eastAsia="Times New Roman" w:cs="Times New Roman"/>
                <w:sz w:val="18"/>
                <w:szCs w:val="18"/>
              </w:rPr>
              <w:t>Odgovor na NUI</w:t>
            </w:r>
          </w:p>
        </w:tc>
        <w:tc>
          <w:tcPr>
            <w:tcW w:w="931" w:type="pct"/>
            <w:tcBorders>
              <w:top w:val="single" w:sz="4" w:space="0" w:color="auto"/>
              <w:left w:val="single" w:sz="4" w:space="0" w:color="auto"/>
              <w:bottom w:val="single" w:sz="4" w:space="0" w:color="auto"/>
              <w:right w:val="single" w:sz="4" w:space="0" w:color="auto"/>
            </w:tcBorders>
            <w:vAlign w:val="center"/>
          </w:tcPr>
          <w:p w14:paraId="0252B97E" w14:textId="77777777" w:rsidR="0085421A" w:rsidRPr="002F73B3" w:rsidRDefault="0085421A" w:rsidP="00BA499D">
            <w:pPr>
              <w:jc w:val="center"/>
              <w:rPr>
                <w:rFonts w:cs="Times New Roman"/>
                <w:bCs/>
                <w:sz w:val="18"/>
                <w:szCs w:val="18"/>
              </w:rPr>
            </w:pPr>
            <w:r w:rsidRPr="002F73B3">
              <w:rPr>
                <w:color w:val="1A1A1A"/>
                <w:sz w:val="18"/>
                <w:szCs w:val="18"/>
                <w:lang w:eastAsia="hr-HR"/>
              </w:rPr>
              <w:t>12</w:t>
            </w:r>
          </w:p>
        </w:tc>
        <w:tc>
          <w:tcPr>
            <w:tcW w:w="857" w:type="pct"/>
            <w:tcBorders>
              <w:top w:val="single" w:sz="4" w:space="0" w:color="auto"/>
              <w:left w:val="single" w:sz="4" w:space="0" w:color="auto"/>
              <w:bottom w:val="single" w:sz="4" w:space="0" w:color="auto"/>
              <w:right w:val="single" w:sz="4" w:space="0" w:color="auto"/>
            </w:tcBorders>
          </w:tcPr>
          <w:p w14:paraId="3AA2BFE9" w14:textId="77777777" w:rsidR="0085421A" w:rsidRPr="002F73B3" w:rsidRDefault="0085421A" w:rsidP="00BA499D">
            <w:pPr>
              <w:jc w:val="center"/>
              <w:rPr>
                <w:rFonts w:cs="Times New Roman"/>
                <w:bCs/>
                <w:sz w:val="18"/>
                <w:szCs w:val="18"/>
              </w:rPr>
            </w:pPr>
            <w:r>
              <w:rPr>
                <w:rFonts w:cs="Times New Roman"/>
                <w:bCs/>
                <w:sz w:val="18"/>
                <w:szCs w:val="18"/>
              </w:rPr>
              <w:t>22</w:t>
            </w:r>
          </w:p>
        </w:tc>
        <w:tc>
          <w:tcPr>
            <w:tcW w:w="624" w:type="pct"/>
            <w:tcBorders>
              <w:top w:val="single" w:sz="4" w:space="0" w:color="auto"/>
              <w:left w:val="single" w:sz="4" w:space="0" w:color="auto"/>
              <w:bottom w:val="single" w:sz="4" w:space="0" w:color="auto"/>
              <w:right w:val="single" w:sz="4" w:space="0" w:color="auto"/>
            </w:tcBorders>
          </w:tcPr>
          <w:p w14:paraId="10A91CC6" w14:textId="77777777" w:rsidR="0085421A" w:rsidRPr="002F73B3" w:rsidRDefault="0085421A" w:rsidP="00BA499D">
            <w:pPr>
              <w:jc w:val="center"/>
              <w:rPr>
                <w:rFonts w:cs="Times New Roman"/>
                <w:bCs/>
                <w:sz w:val="18"/>
                <w:szCs w:val="18"/>
              </w:rPr>
            </w:pPr>
            <w:r>
              <w:rPr>
                <w:rFonts w:cs="Times New Roman"/>
                <w:bCs/>
                <w:sz w:val="18"/>
                <w:szCs w:val="18"/>
              </w:rPr>
              <w:t>183</w:t>
            </w:r>
            <w:r w:rsidRPr="002F73B3">
              <w:rPr>
                <w:rFonts w:cs="Times New Roman"/>
                <w:bCs/>
                <w:sz w:val="18"/>
                <w:szCs w:val="18"/>
              </w:rPr>
              <w:t>%</w:t>
            </w:r>
          </w:p>
        </w:tc>
      </w:tr>
      <w:tr w:rsidR="0085421A" w:rsidRPr="002F73B3" w14:paraId="312085FE" w14:textId="77777777" w:rsidTr="00BA499D">
        <w:trPr>
          <w:trHeight w:val="227"/>
        </w:trPr>
        <w:tc>
          <w:tcPr>
            <w:tcW w:w="485" w:type="pct"/>
            <w:tcBorders>
              <w:top w:val="single" w:sz="4" w:space="0" w:color="auto"/>
              <w:left w:val="single" w:sz="4" w:space="0" w:color="auto"/>
              <w:bottom w:val="single" w:sz="4" w:space="0" w:color="auto"/>
              <w:right w:val="single" w:sz="4" w:space="0" w:color="auto"/>
            </w:tcBorders>
            <w:vAlign w:val="center"/>
            <w:hideMark/>
          </w:tcPr>
          <w:p w14:paraId="186C6B2B" w14:textId="77777777" w:rsidR="0085421A" w:rsidRPr="002F73B3" w:rsidRDefault="0085421A" w:rsidP="00BA499D">
            <w:pPr>
              <w:pStyle w:val="NoSpacing"/>
              <w:numPr>
                <w:ilvl w:val="0"/>
                <w:numId w:val="17"/>
              </w:numPr>
              <w:spacing w:line="276" w:lineRule="auto"/>
              <w:ind w:left="720"/>
              <w:jc w:val="center"/>
              <w:rPr>
                <w:rFonts w:eastAsia="Times New Roman" w:cs="Times New Roman"/>
                <w:sz w:val="18"/>
                <w:szCs w:val="18"/>
              </w:rPr>
            </w:pPr>
          </w:p>
        </w:tc>
        <w:tc>
          <w:tcPr>
            <w:tcW w:w="2103" w:type="pct"/>
            <w:tcBorders>
              <w:top w:val="single" w:sz="4" w:space="0" w:color="auto"/>
              <w:left w:val="single" w:sz="4" w:space="0" w:color="auto"/>
              <w:bottom w:val="single" w:sz="4" w:space="0" w:color="auto"/>
              <w:right w:val="single" w:sz="4" w:space="0" w:color="auto"/>
            </w:tcBorders>
            <w:vAlign w:val="center"/>
            <w:hideMark/>
          </w:tcPr>
          <w:p w14:paraId="12581077" w14:textId="77777777" w:rsidR="0085421A" w:rsidRPr="002F73B3" w:rsidRDefault="0085421A" w:rsidP="00BA499D">
            <w:pPr>
              <w:pStyle w:val="NoSpacing"/>
              <w:spacing w:line="276" w:lineRule="auto"/>
              <w:rPr>
                <w:rFonts w:eastAsia="Times New Roman" w:cs="Times New Roman"/>
                <w:sz w:val="18"/>
                <w:szCs w:val="18"/>
              </w:rPr>
            </w:pPr>
            <w:r w:rsidRPr="002F73B3">
              <w:rPr>
                <w:rFonts w:eastAsia="Times New Roman" w:cs="Times New Roman"/>
                <w:sz w:val="18"/>
                <w:szCs w:val="18"/>
              </w:rPr>
              <w:t>Pokretanje NUI-ja</w:t>
            </w:r>
          </w:p>
        </w:tc>
        <w:tc>
          <w:tcPr>
            <w:tcW w:w="931" w:type="pct"/>
            <w:tcBorders>
              <w:top w:val="single" w:sz="4" w:space="0" w:color="auto"/>
              <w:left w:val="single" w:sz="4" w:space="0" w:color="auto"/>
              <w:bottom w:val="single" w:sz="4" w:space="0" w:color="auto"/>
              <w:right w:val="single" w:sz="4" w:space="0" w:color="auto"/>
            </w:tcBorders>
            <w:vAlign w:val="center"/>
          </w:tcPr>
          <w:p w14:paraId="577C4F6A" w14:textId="77777777" w:rsidR="0085421A" w:rsidRPr="002F73B3" w:rsidRDefault="0085421A" w:rsidP="00BA499D">
            <w:pPr>
              <w:jc w:val="center"/>
              <w:rPr>
                <w:rFonts w:cs="Times New Roman"/>
                <w:bCs/>
                <w:sz w:val="18"/>
                <w:szCs w:val="18"/>
              </w:rPr>
            </w:pPr>
            <w:r w:rsidRPr="002F73B3">
              <w:rPr>
                <w:color w:val="1A1A1A"/>
                <w:sz w:val="18"/>
                <w:szCs w:val="18"/>
                <w:lang w:eastAsia="hr-HR"/>
              </w:rPr>
              <w:t>0</w:t>
            </w:r>
          </w:p>
        </w:tc>
        <w:tc>
          <w:tcPr>
            <w:tcW w:w="857" w:type="pct"/>
            <w:tcBorders>
              <w:top w:val="single" w:sz="4" w:space="0" w:color="auto"/>
              <w:left w:val="single" w:sz="4" w:space="0" w:color="auto"/>
              <w:bottom w:val="single" w:sz="4" w:space="0" w:color="auto"/>
              <w:right w:val="single" w:sz="4" w:space="0" w:color="auto"/>
            </w:tcBorders>
          </w:tcPr>
          <w:p w14:paraId="56FF7976" w14:textId="77777777" w:rsidR="0085421A" w:rsidRPr="002F73B3" w:rsidRDefault="0085421A" w:rsidP="00BA499D">
            <w:pPr>
              <w:jc w:val="center"/>
              <w:rPr>
                <w:rFonts w:cs="Times New Roman"/>
                <w:bCs/>
                <w:sz w:val="18"/>
                <w:szCs w:val="18"/>
              </w:rPr>
            </w:pPr>
            <w:r w:rsidRPr="002F73B3">
              <w:rPr>
                <w:rFonts w:cs="Times New Roman"/>
                <w:bCs/>
                <w:sz w:val="18"/>
                <w:szCs w:val="18"/>
              </w:rPr>
              <w:t>0</w:t>
            </w:r>
          </w:p>
        </w:tc>
        <w:tc>
          <w:tcPr>
            <w:tcW w:w="624" w:type="pct"/>
            <w:tcBorders>
              <w:top w:val="single" w:sz="4" w:space="0" w:color="auto"/>
              <w:left w:val="single" w:sz="4" w:space="0" w:color="auto"/>
              <w:bottom w:val="single" w:sz="4" w:space="0" w:color="auto"/>
              <w:right w:val="single" w:sz="4" w:space="0" w:color="auto"/>
            </w:tcBorders>
          </w:tcPr>
          <w:p w14:paraId="21E3898C" w14:textId="77777777" w:rsidR="0085421A" w:rsidRPr="002F73B3" w:rsidRDefault="0085421A" w:rsidP="00BA499D">
            <w:pPr>
              <w:jc w:val="center"/>
              <w:rPr>
                <w:rFonts w:cs="Times New Roman"/>
                <w:bCs/>
                <w:sz w:val="18"/>
                <w:szCs w:val="18"/>
              </w:rPr>
            </w:pPr>
            <w:r>
              <w:rPr>
                <w:rFonts w:cs="Times New Roman"/>
                <w:bCs/>
                <w:sz w:val="18"/>
                <w:szCs w:val="18"/>
              </w:rPr>
              <w:t>-</w:t>
            </w:r>
          </w:p>
        </w:tc>
      </w:tr>
      <w:tr w:rsidR="0085421A" w:rsidRPr="002F73B3" w14:paraId="0091121C" w14:textId="77777777" w:rsidTr="00BA499D">
        <w:trPr>
          <w:trHeight w:val="227"/>
        </w:trPr>
        <w:tc>
          <w:tcPr>
            <w:tcW w:w="485" w:type="pct"/>
            <w:tcBorders>
              <w:top w:val="single" w:sz="4" w:space="0" w:color="auto"/>
              <w:left w:val="single" w:sz="4" w:space="0" w:color="auto"/>
              <w:bottom w:val="single" w:sz="4" w:space="0" w:color="auto"/>
              <w:right w:val="single" w:sz="4" w:space="0" w:color="auto"/>
            </w:tcBorders>
            <w:vAlign w:val="center"/>
            <w:hideMark/>
          </w:tcPr>
          <w:p w14:paraId="47C13BB6" w14:textId="77777777" w:rsidR="0085421A" w:rsidRPr="002F73B3" w:rsidRDefault="0085421A" w:rsidP="00BA499D">
            <w:pPr>
              <w:pStyle w:val="NoSpacing"/>
              <w:numPr>
                <w:ilvl w:val="0"/>
                <w:numId w:val="17"/>
              </w:numPr>
              <w:spacing w:line="276" w:lineRule="auto"/>
              <w:ind w:left="720"/>
              <w:jc w:val="center"/>
              <w:rPr>
                <w:rFonts w:eastAsia="Times New Roman" w:cs="Times New Roman"/>
                <w:sz w:val="18"/>
                <w:szCs w:val="18"/>
              </w:rPr>
            </w:pPr>
          </w:p>
        </w:tc>
        <w:tc>
          <w:tcPr>
            <w:tcW w:w="2103" w:type="pct"/>
            <w:tcBorders>
              <w:top w:val="single" w:sz="4" w:space="0" w:color="auto"/>
              <w:left w:val="single" w:sz="4" w:space="0" w:color="auto"/>
              <w:bottom w:val="single" w:sz="4" w:space="0" w:color="auto"/>
              <w:right w:val="single" w:sz="4" w:space="0" w:color="auto"/>
            </w:tcBorders>
            <w:vAlign w:val="center"/>
            <w:hideMark/>
          </w:tcPr>
          <w:p w14:paraId="5B1C982C" w14:textId="77777777" w:rsidR="0085421A" w:rsidRPr="002F73B3" w:rsidRDefault="0085421A" w:rsidP="00BA499D">
            <w:pPr>
              <w:pStyle w:val="NoSpacing"/>
              <w:spacing w:line="276" w:lineRule="auto"/>
              <w:rPr>
                <w:rFonts w:eastAsia="Times New Roman" w:cs="Times New Roman"/>
                <w:sz w:val="18"/>
                <w:szCs w:val="18"/>
              </w:rPr>
            </w:pPr>
            <w:r w:rsidRPr="002F73B3">
              <w:rPr>
                <w:rFonts w:eastAsia="Times New Roman" w:cs="Times New Roman"/>
                <w:sz w:val="18"/>
                <w:szCs w:val="18"/>
              </w:rPr>
              <w:t>Pisma zdravstvenim radnicima (DHPC)</w:t>
            </w:r>
          </w:p>
        </w:tc>
        <w:tc>
          <w:tcPr>
            <w:tcW w:w="931" w:type="pct"/>
            <w:tcBorders>
              <w:top w:val="single" w:sz="4" w:space="0" w:color="auto"/>
              <w:left w:val="single" w:sz="4" w:space="0" w:color="auto"/>
              <w:bottom w:val="single" w:sz="4" w:space="0" w:color="auto"/>
              <w:right w:val="single" w:sz="4" w:space="0" w:color="auto"/>
            </w:tcBorders>
            <w:vAlign w:val="center"/>
          </w:tcPr>
          <w:p w14:paraId="7306AEC4" w14:textId="77777777" w:rsidR="0085421A" w:rsidRPr="002F73B3" w:rsidRDefault="0085421A" w:rsidP="00BA499D">
            <w:pPr>
              <w:jc w:val="center"/>
              <w:rPr>
                <w:rFonts w:cs="Times New Roman"/>
                <w:bCs/>
                <w:sz w:val="18"/>
                <w:szCs w:val="18"/>
              </w:rPr>
            </w:pPr>
            <w:r w:rsidRPr="002F73B3">
              <w:rPr>
                <w:color w:val="1A1A1A"/>
                <w:sz w:val="18"/>
                <w:szCs w:val="18"/>
                <w:lang w:eastAsia="hr-HR"/>
              </w:rPr>
              <w:t>10</w:t>
            </w:r>
          </w:p>
        </w:tc>
        <w:tc>
          <w:tcPr>
            <w:tcW w:w="857" w:type="pct"/>
            <w:tcBorders>
              <w:top w:val="single" w:sz="4" w:space="0" w:color="auto"/>
              <w:left w:val="single" w:sz="4" w:space="0" w:color="auto"/>
              <w:bottom w:val="single" w:sz="4" w:space="0" w:color="auto"/>
              <w:right w:val="single" w:sz="4" w:space="0" w:color="auto"/>
            </w:tcBorders>
          </w:tcPr>
          <w:p w14:paraId="626B8CC9" w14:textId="77777777" w:rsidR="0085421A" w:rsidRPr="002F73B3" w:rsidRDefault="0085421A" w:rsidP="00BA499D">
            <w:pPr>
              <w:jc w:val="center"/>
              <w:rPr>
                <w:rFonts w:cs="Times New Roman"/>
                <w:bCs/>
                <w:sz w:val="18"/>
                <w:szCs w:val="18"/>
              </w:rPr>
            </w:pPr>
            <w:r>
              <w:rPr>
                <w:rFonts w:cs="Times New Roman"/>
                <w:bCs/>
                <w:sz w:val="18"/>
                <w:szCs w:val="18"/>
              </w:rPr>
              <w:t>15</w:t>
            </w:r>
          </w:p>
        </w:tc>
        <w:tc>
          <w:tcPr>
            <w:tcW w:w="624" w:type="pct"/>
            <w:tcBorders>
              <w:top w:val="single" w:sz="4" w:space="0" w:color="auto"/>
              <w:left w:val="single" w:sz="4" w:space="0" w:color="auto"/>
              <w:bottom w:val="single" w:sz="4" w:space="0" w:color="auto"/>
              <w:right w:val="single" w:sz="4" w:space="0" w:color="auto"/>
            </w:tcBorders>
          </w:tcPr>
          <w:p w14:paraId="5304F753" w14:textId="77777777" w:rsidR="0085421A" w:rsidRPr="002F73B3" w:rsidRDefault="0085421A" w:rsidP="00BA499D">
            <w:pPr>
              <w:jc w:val="center"/>
              <w:rPr>
                <w:rFonts w:cs="Times New Roman"/>
                <w:bCs/>
                <w:sz w:val="18"/>
                <w:szCs w:val="18"/>
              </w:rPr>
            </w:pPr>
            <w:r>
              <w:rPr>
                <w:rFonts w:cs="Times New Roman"/>
                <w:bCs/>
                <w:sz w:val="18"/>
                <w:szCs w:val="18"/>
              </w:rPr>
              <w:t>150</w:t>
            </w:r>
            <w:r w:rsidRPr="002F73B3">
              <w:rPr>
                <w:rFonts w:cs="Times New Roman"/>
                <w:bCs/>
                <w:sz w:val="18"/>
                <w:szCs w:val="18"/>
              </w:rPr>
              <w:t>%</w:t>
            </w:r>
          </w:p>
        </w:tc>
      </w:tr>
      <w:tr w:rsidR="0085421A" w:rsidRPr="002F73B3" w14:paraId="29CF0EFA" w14:textId="77777777" w:rsidTr="00BA499D">
        <w:trPr>
          <w:trHeight w:val="322"/>
        </w:trPr>
        <w:tc>
          <w:tcPr>
            <w:tcW w:w="485" w:type="pct"/>
            <w:tcBorders>
              <w:top w:val="single" w:sz="4" w:space="0" w:color="auto"/>
              <w:left w:val="single" w:sz="4" w:space="0" w:color="auto"/>
              <w:bottom w:val="single" w:sz="4" w:space="0" w:color="auto"/>
              <w:right w:val="single" w:sz="4" w:space="0" w:color="auto"/>
            </w:tcBorders>
            <w:vAlign w:val="center"/>
            <w:hideMark/>
          </w:tcPr>
          <w:p w14:paraId="58705F50" w14:textId="77777777" w:rsidR="0085421A" w:rsidRPr="002F73B3" w:rsidRDefault="0085421A" w:rsidP="00BA499D">
            <w:pPr>
              <w:pStyle w:val="NoSpacing"/>
              <w:numPr>
                <w:ilvl w:val="0"/>
                <w:numId w:val="17"/>
              </w:numPr>
              <w:spacing w:line="276" w:lineRule="auto"/>
              <w:ind w:left="720"/>
              <w:jc w:val="center"/>
              <w:rPr>
                <w:rFonts w:eastAsia="Times New Roman" w:cs="Times New Roman"/>
                <w:sz w:val="18"/>
                <w:szCs w:val="18"/>
              </w:rPr>
            </w:pPr>
          </w:p>
        </w:tc>
        <w:tc>
          <w:tcPr>
            <w:tcW w:w="2103" w:type="pct"/>
            <w:tcBorders>
              <w:top w:val="single" w:sz="4" w:space="0" w:color="auto"/>
              <w:left w:val="single" w:sz="4" w:space="0" w:color="auto"/>
              <w:bottom w:val="single" w:sz="4" w:space="0" w:color="auto"/>
              <w:right w:val="single" w:sz="4" w:space="0" w:color="auto"/>
            </w:tcBorders>
            <w:vAlign w:val="center"/>
            <w:hideMark/>
          </w:tcPr>
          <w:p w14:paraId="6A05612B" w14:textId="77777777" w:rsidR="0085421A" w:rsidRPr="002F73B3" w:rsidRDefault="0085421A" w:rsidP="00BA499D">
            <w:pPr>
              <w:pStyle w:val="NoSpacing"/>
              <w:spacing w:line="276" w:lineRule="auto"/>
              <w:rPr>
                <w:rFonts w:eastAsia="Times New Roman" w:cs="Times New Roman"/>
                <w:sz w:val="18"/>
                <w:szCs w:val="18"/>
              </w:rPr>
            </w:pPr>
            <w:r w:rsidRPr="002F73B3">
              <w:rPr>
                <w:rFonts w:eastAsia="Times New Roman" w:cs="Times New Roman"/>
                <w:sz w:val="18"/>
                <w:szCs w:val="18"/>
              </w:rPr>
              <w:t>Priprema teksta novosti o sigurnosti primjene lijekova za internetske stranice HALMED-a</w:t>
            </w:r>
          </w:p>
        </w:tc>
        <w:tc>
          <w:tcPr>
            <w:tcW w:w="931" w:type="pct"/>
            <w:tcBorders>
              <w:top w:val="single" w:sz="4" w:space="0" w:color="auto"/>
              <w:left w:val="single" w:sz="4" w:space="0" w:color="auto"/>
              <w:bottom w:val="single" w:sz="4" w:space="0" w:color="auto"/>
              <w:right w:val="single" w:sz="4" w:space="0" w:color="auto"/>
            </w:tcBorders>
            <w:vAlign w:val="center"/>
          </w:tcPr>
          <w:p w14:paraId="6B6DA382" w14:textId="77777777" w:rsidR="0085421A" w:rsidRPr="002F73B3" w:rsidRDefault="0085421A" w:rsidP="00BA499D">
            <w:pPr>
              <w:jc w:val="center"/>
              <w:rPr>
                <w:rFonts w:cs="Times New Roman"/>
                <w:bCs/>
                <w:sz w:val="18"/>
                <w:szCs w:val="18"/>
              </w:rPr>
            </w:pPr>
            <w:r w:rsidRPr="002F73B3">
              <w:rPr>
                <w:color w:val="1A1A1A"/>
                <w:sz w:val="18"/>
                <w:szCs w:val="18"/>
                <w:lang w:eastAsia="hr-HR"/>
              </w:rPr>
              <w:t>25</w:t>
            </w:r>
          </w:p>
        </w:tc>
        <w:tc>
          <w:tcPr>
            <w:tcW w:w="857" w:type="pct"/>
            <w:tcBorders>
              <w:top w:val="single" w:sz="4" w:space="0" w:color="auto"/>
              <w:left w:val="single" w:sz="4" w:space="0" w:color="auto"/>
              <w:bottom w:val="single" w:sz="4" w:space="0" w:color="auto"/>
              <w:right w:val="single" w:sz="4" w:space="0" w:color="auto"/>
            </w:tcBorders>
            <w:vAlign w:val="center"/>
          </w:tcPr>
          <w:p w14:paraId="682699DA" w14:textId="77777777" w:rsidR="0085421A" w:rsidRPr="002F73B3" w:rsidRDefault="0085421A" w:rsidP="00BA499D">
            <w:pPr>
              <w:jc w:val="center"/>
              <w:rPr>
                <w:rFonts w:cs="Times New Roman"/>
                <w:bCs/>
                <w:sz w:val="18"/>
                <w:szCs w:val="18"/>
              </w:rPr>
            </w:pPr>
            <w:r>
              <w:rPr>
                <w:rFonts w:cs="Times New Roman"/>
                <w:bCs/>
                <w:sz w:val="18"/>
                <w:szCs w:val="18"/>
              </w:rPr>
              <w:t>38</w:t>
            </w:r>
          </w:p>
        </w:tc>
        <w:tc>
          <w:tcPr>
            <w:tcW w:w="624" w:type="pct"/>
            <w:tcBorders>
              <w:top w:val="single" w:sz="4" w:space="0" w:color="auto"/>
              <w:left w:val="single" w:sz="4" w:space="0" w:color="auto"/>
              <w:bottom w:val="single" w:sz="4" w:space="0" w:color="auto"/>
              <w:right w:val="single" w:sz="4" w:space="0" w:color="auto"/>
            </w:tcBorders>
            <w:vAlign w:val="center"/>
          </w:tcPr>
          <w:p w14:paraId="2BE92221" w14:textId="77777777" w:rsidR="0085421A" w:rsidRPr="002F73B3" w:rsidRDefault="0085421A" w:rsidP="00BA499D">
            <w:pPr>
              <w:jc w:val="center"/>
              <w:rPr>
                <w:rFonts w:cs="Times New Roman"/>
                <w:bCs/>
                <w:sz w:val="18"/>
                <w:szCs w:val="18"/>
              </w:rPr>
            </w:pPr>
            <w:r>
              <w:rPr>
                <w:rFonts w:cs="Times New Roman"/>
                <w:bCs/>
                <w:sz w:val="18"/>
                <w:szCs w:val="18"/>
              </w:rPr>
              <w:t>152</w:t>
            </w:r>
            <w:r w:rsidRPr="002F73B3">
              <w:rPr>
                <w:rFonts w:cs="Times New Roman"/>
                <w:bCs/>
                <w:sz w:val="18"/>
                <w:szCs w:val="18"/>
              </w:rPr>
              <w:t>%</w:t>
            </w:r>
          </w:p>
        </w:tc>
      </w:tr>
      <w:tr w:rsidR="0085421A" w:rsidRPr="002F73B3" w14:paraId="03350AD8" w14:textId="77777777" w:rsidTr="00BA499D">
        <w:trPr>
          <w:trHeight w:val="227"/>
        </w:trPr>
        <w:tc>
          <w:tcPr>
            <w:tcW w:w="485" w:type="pct"/>
            <w:tcBorders>
              <w:top w:val="single" w:sz="4" w:space="0" w:color="auto"/>
              <w:left w:val="single" w:sz="4" w:space="0" w:color="auto"/>
              <w:bottom w:val="single" w:sz="4" w:space="0" w:color="auto"/>
              <w:right w:val="single" w:sz="4" w:space="0" w:color="auto"/>
            </w:tcBorders>
            <w:vAlign w:val="center"/>
            <w:hideMark/>
          </w:tcPr>
          <w:p w14:paraId="077E4F23" w14:textId="77777777" w:rsidR="0085421A" w:rsidRPr="002F73B3" w:rsidRDefault="0085421A" w:rsidP="00BA499D">
            <w:pPr>
              <w:pStyle w:val="NoSpacing"/>
              <w:numPr>
                <w:ilvl w:val="0"/>
                <w:numId w:val="17"/>
              </w:numPr>
              <w:spacing w:line="276" w:lineRule="auto"/>
              <w:ind w:left="720"/>
              <w:jc w:val="center"/>
              <w:rPr>
                <w:rFonts w:eastAsia="Times New Roman" w:cs="Times New Roman"/>
                <w:sz w:val="18"/>
                <w:szCs w:val="18"/>
              </w:rPr>
            </w:pPr>
          </w:p>
        </w:tc>
        <w:tc>
          <w:tcPr>
            <w:tcW w:w="2103" w:type="pct"/>
            <w:tcBorders>
              <w:top w:val="single" w:sz="4" w:space="0" w:color="auto"/>
              <w:left w:val="single" w:sz="4" w:space="0" w:color="auto"/>
              <w:bottom w:val="single" w:sz="4" w:space="0" w:color="auto"/>
              <w:right w:val="single" w:sz="4" w:space="0" w:color="auto"/>
            </w:tcBorders>
            <w:vAlign w:val="center"/>
            <w:hideMark/>
          </w:tcPr>
          <w:p w14:paraId="13AE9BAD" w14:textId="77777777" w:rsidR="0085421A" w:rsidRPr="002F73B3" w:rsidRDefault="0085421A" w:rsidP="00BA499D">
            <w:pPr>
              <w:pStyle w:val="NoSpacing"/>
              <w:spacing w:line="276" w:lineRule="auto"/>
              <w:rPr>
                <w:rFonts w:eastAsia="Times New Roman" w:cs="Times New Roman"/>
                <w:sz w:val="18"/>
                <w:szCs w:val="18"/>
              </w:rPr>
            </w:pPr>
            <w:r w:rsidRPr="002F73B3">
              <w:rPr>
                <w:rFonts w:eastAsia="Times New Roman" w:cs="Times New Roman"/>
                <w:sz w:val="18"/>
                <w:szCs w:val="18"/>
              </w:rPr>
              <w:t>Odgovori na upite o sigurnosti primjene lijekova</w:t>
            </w:r>
          </w:p>
        </w:tc>
        <w:tc>
          <w:tcPr>
            <w:tcW w:w="931" w:type="pct"/>
            <w:tcBorders>
              <w:top w:val="single" w:sz="4" w:space="0" w:color="auto"/>
              <w:left w:val="single" w:sz="4" w:space="0" w:color="auto"/>
              <w:bottom w:val="single" w:sz="4" w:space="0" w:color="auto"/>
              <w:right w:val="single" w:sz="4" w:space="0" w:color="auto"/>
            </w:tcBorders>
            <w:vAlign w:val="center"/>
          </w:tcPr>
          <w:p w14:paraId="2C970AE6" w14:textId="77777777" w:rsidR="0085421A" w:rsidRPr="002F73B3" w:rsidRDefault="0085421A" w:rsidP="00BA499D">
            <w:pPr>
              <w:jc w:val="center"/>
              <w:rPr>
                <w:rFonts w:cs="Times New Roman"/>
                <w:bCs/>
                <w:sz w:val="18"/>
                <w:szCs w:val="18"/>
              </w:rPr>
            </w:pPr>
            <w:r w:rsidRPr="002F73B3">
              <w:rPr>
                <w:color w:val="1A1A1A"/>
                <w:sz w:val="18"/>
                <w:szCs w:val="18"/>
                <w:lang w:eastAsia="hr-HR"/>
              </w:rPr>
              <w:t>110</w:t>
            </w:r>
          </w:p>
        </w:tc>
        <w:tc>
          <w:tcPr>
            <w:tcW w:w="857" w:type="pct"/>
            <w:tcBorders>
              <w:top w:val="single" w:sz="4" w:space="0" w:color="auto"/>
              <w:left w:val="single" w:sz="4" w:space="0" w:color="auto"/>
              <w:bottom w:val="single" w:sz="4" w:space="0" w:color="auto"/>
              <w:right w:val="single" w:sz="4" w:space="0" w:color="auto"/>
            </w:tcBorders>
            <w:vAlign w:val="center"/>
          </w:tcPr>
          <w:p w14:paraId="3989E53C" w14:textId="77777777" w:rsidR="0085421A" w:rsidRPr="002F73B3" w:rsidRDefault="0085421A" w:rsidP="00BA499D">
            <w:pPr>
              <w:jc w:val="center"/>
              <w:rPr>
                <w:rFonts w:cs="Times New Roman"/>
                <w:bCs/>
                <w:sz w:val="18"/>
                <w:szCs w:val="18"/>
              </w:rPr>
            </w:pPr>
            <w:r>
              <w:rPr>
                <w:rFonts w:cs="Times New Roman"/>
                <w:bCs/>
                <w:sz w:val="18"/>
                <w:szCs w:val="18"/>
              </w:rPr>
              <w:t>56</w:t>
            </w:r>
          </w:p>
        </w:tc>
        <w:tc>
          <w:tcPr>
            <w:tcW w:w="624" w:type="pct"/>
            <w:tcBorders>
              <w:top w:val="single" w:sz="4" w:space="0" w:color="auto"/>
              <w:left w:val="single" w:sz="4" w:space="0" w:color="auto"/>
              <w:bottom w:val="single" w:sz="4" w:space="0" w:color="auto"/>
              <w:right w:val="single" w:sz="4" w:space="0" w:color="auto"/>
            </w:tcBorders>
            <w:vAlign w:val="center"/>
          </w:tcPr>
          <w:p w14:paraId="7A2BF3CD" w14:textId="77777777" w:rsidR="0085421A" w:rsidRPr="002F73B3" w:rsidRDefault="0085421A" w:rsidP="00BA499D">
            <w:pPr>
              <w:jc w:val="center"/>
              <w:rPr>
                <w:rFonts w:cs="Times New Roman"/>
                <w:bCs/>
                <w:sz w:val="18"/>
                <w:szCs w:val="18"/>
              </w:rPr>
            </w:pPr>
            <w:r>
              <w:rPr>
                <w:rFonts w:cs="Times New Roman"/>
                <w:bCs/>
                <w:sz w:val="18"/>
                <w:szCs w:val="18"/>
              </w:rPr>
              <w:t>51</w:t>
            </w:r>
            <w:r w:rsidRPr="002F73B3">
              <w:rPr>
                <w:rFonts w:cs="Times New Roman"/>
                <w:bCs/>
                <w:sz w:val="18"/>
                <w:szCs w:val="18"/>
              </w:rPr>
              <w:t>%</w:t>
            </w:r>
          </w:p>
        </w:tc>
      </w:tr>
      <w:tr w:rsidR="0085421A" w:rsidRPr="002F73B3" w14:paraId="5435958D" w14:textId="77777777" w:rsidTr="00BA499D">
        <w:trPr>
          <w:trHeight w:val="227"/>
        </w:trPr>
        <w:tc>
          <w:tcPr>
            <w:tcW w:w="485" w:type="pct"/>
            <w:tcBorders>
              <w:top w:val="single" w:sz="4" w:space="0" w:color="auto"/>
              <w:left w:val="single" w:sz="4" w:space="0" w:color="auto"/>
              <w:bottom w:val="single" w:sz="4" w:space="0" w:color="auto"/>
              <w:right w:val="single" w:sz="4" w:space="0" w:color="auto"/>
            </w:tcBorders>
            <w:vAlign w:val="center"/>
            <w:hideMark/>
          </w:tcPr>
          <w:p w14:paraId="24EDAE40" w14:textId="77777777" w:rsidR="0085421A" w:rsidRPr="002F73B3" w:rsidRDefault="0085421A" w:rsidP="00BA499D">
            <w:pPr>
              <w:pStyle w:val="NoSpacing"/>
              <w:numPr>
                <w:ilvl w:val="0"/>
                <w:numId w:val="17"/>
              </w:numPr>
              <w:spacing w:line="276" w:lineRule="auto"/>
              <w:ind w:left="720"/>
              <w:jc w:val="center"/>
              <w:rPr>
                <w:rFonts w:eastAsia="Times New Roman" w:cs="Times New Roman"/>
                <w:sz w:val="18"/>
                <w:szCs w:val="18"/>
              </w:rPr>
            </w:pPr>
          </w:p>
        </w:tc>
        <w:tc>
          <w:tcPr>
            <w:tcW w:w="2103" w:type="pct"/>
            <w:tcBorders>
              <w:top w:val="single" w:sz="4" w:space="0" w:color="auto"/>
              <w:left w:val="single" w:sz="4" w:space="0" w:color="auto"/>
              <w:bottom w:val="single" w:sz="4" w:space="0" w:color="auto"/>
              <w:right w:val="single" w:sz="4" w:space="0" w:color="auto"/>
            </w:tcBorders>
            <w:vAlign w:val="center"/>
            <w:hideMark/>
          </w:tcPr>
          <w:p w14:paraId="4D42A66B" w14:textId="77777777" w:rsidR="0085421A" w:rsidRPr="002F73B3" w:rsidRDefault="0085421A" w:rsidP="00BA499D">
            <w:pPr>
              <w:pStyle w:val="NoSpacing"/>
              <w:spacing w:line="276" w:lineRule="auto"/>
              <w:rPr>
                <w:rFonts w:eastAsia="Times New Roman" w:cs="Times New Roman"/>
                <w:sz w:val="18"/>
                <w:szCs w:val="18"/>
              </w:rPr>
            </w:pPr>
            <w:r w:rsidRPr="002F73B3">
              <w:rPr>
                <w:rFonts w:eastAsia="Times New Roman" w:cs="Times New Roman"/>
                <w:sz w:val="18"/>
                <w:szCs w:val="18"/>
              </w:rPr>
              <w:t>Priprema stručnog dijela odgovora na upite o sigurnosti primjene lijekova zaprimljene u Uredu za odnose s javnošću</w:t>
            </w:r>
          </w:p>
        </w:tc>
        <w:tc>
          <w:tcPr>
            <w:tcW w:w="931" w:type="pct"/>
            <w:tcBorders>
              <w:top w:val="single" w:sz="4" w:space="0" w:color="auto"/>
              <w:left w:val="single" w:sz="4" w:space="0" w:color="auto"/>
              <w:bottom w:val="single" w:sz="4" w:space="0" w:color="auto"/>
              <w:right w:val="single" w:sz="4" w:space="0" w:color="auto"/>
            </w:tcBorders>
            <w:vAlign w:val="center"/>
          </w:tcPr>
          <w:p w14:paraId="10F72733" w14:textId="77777777" w:rsidR="0085421A" w:rsidRPr="002F73B3" w:rsidRDefault="0085421A" w:rsidP="00BA499D">
            <w:pPr>
              <w:jc w:val="center"/>
              <w:rPr>
                <w:rFonts w:cs="Times New Roman"/>
                <w:bCs/>
                <w:sz w:val="18"/>
                <w:szCs w:val="18"/>
              </w:rPr>
            </w:pPr>
            <w:r w:rsidRPr="002F73B3">
              <w:rPr>
                <w:color w:val="1A1A1A"/>
                <w:sz w:val="18"/>
                <w:szCs w:val="18"/>
                <w:lang w:eastAsia="hr-HR"/>
              </w:rPr>
              <w:t>10</w:t>
            </w:r>
          </w:p>
        </w:tc>
        <w:tc>
          <w:tcPr>
            <w:tcW w:w="857" w:type="pct"/>
            <w:tcBorders>
              <w:top w:val="single" w:sz="4" w:space="0" w:color="auto"/>
              <w:left w:val="single" w:sz="4" w:space="0" w:color="auto"/>
              <w:bottom w:val="single" w:sz="4" w:space="0" w:color="auto"/>
              <w:right w:val="single" w:sz="4" w:space="0" w:color="auto"/>
            </w:tcBorders>
            <w:vAlign w:val="center"/>
          </w:tcPr>
          <w:p w14:paraId="74A77836" w14:textId="77777777" w:rsidR="0085421A" w:rsidRPr="002F73B3" w:rsidRDefault="0085421A" w:rsidP="00BA499D">
            <w:pPr>
              <w:jc w:val="center"/>
              <w:rPr>
                <w:rFonts w:cs="Times New Roman"/>
                <w:bCs/>
                <w:sz w:val="18"/>
                <w:szCs w:val="18"/>
              </w:rPr>
            </w:pPr>
            <w:r>
              <w:rPr>
                <w:rFonts w:cs="Times New Roman"/>
                <w:bCs/>
                <w:sz w:val="18"/>
                <w:szCs w:val="18"/>
              </w:rPr>
              <w:t>30</w:t>
            </w:r>
          </w:p>
        </w:tc>
        <w:tc>
          <w:tcPr>
            <w:tcW w:w="624" w:type="pct"/>
            <w:tcBorders>
              <w:top w:val="single" w:sz="4" w:space="0" w:color="auto"/>
              <w:left w:val="single" w:sz="4" w:space="0" w:color="auto"/>
              <w:bottom w:val="single" w:sz="4" w:space="0" w:color="auto"/>
              <w:right w:val="single" w:sz="4" w:space="0" w:color="auto"/>
            </w:tcBorders>
            <w:vAlign w:val="center"/>
          </w:tcPr>
          <w:p w14:paraId="57BBA1A8" w14:textId="77777777" w:rsidR="0085421A" w:rsidRPr="002F73B3" w:rsidRDefault="0085421A" w:rsidP="00BA499D">
            <w:pPr>
              <w:jc w:val="center"/>
              <w:rPr>
                <w:rFonts w:cs="Times New Roman"/>
                <w:bCs/>
                <w:sz w:val="18"/>
                <w:szCs w:val="18"/>
              </w:rPr>
            </w:pPr>
            <w:r>
              <w:rPr>
                <w:rFonts w:cs="Times New Roman"/>
                <w:bCs/>
                <w:sz w:val="18"/>
                <w:szCs w:val="18"/>
              </w:rPr>
              <w:t>300</w:t>
            </w:r>
            <w:r w:rsidRPr="002F73B3">
              <w:rPr>
                <w:rFonts w:cs="Times New Roman"/>
                <w:bCs/>
                <w:sz w:val="18"/>
                <w:szCs w:val="18"/>
              </w:rPr>
              <w:t>%</w:t>
            </w:r>
          </w:p>
        </w:tc>
      </w:tr>
      <w:tr w:rsidR="0085421A" w:rsidRPr="002F73B3" w14:paraId="0E311D59" w14:textId="77777777" w:rsidTr="00BA499D">
        <w:trPr>
          <w:trHeight w:val="227"/>
        </w:trPr>
        <w:tc>
          <w:tcPr>
            <w:tcW w:w="485" w:type="pct"/>
            <w:tcBorders>
              <w:top w:val="single" w:sz="4" w:space="0" w:color="auto"/>
              <w:left w:val="single" w:sz="4" w:space="0" w:color="auto"/>
              <w:bottom w:val="single" w:sz="4" w:space="0" w:color="auto"/>
              <w:right w:val="single" w:sz="4" w:space="0" w:color="auto"/>
            </w:tcBorders>
            <w:vAlign w:val="center"/>
            <w:hideMark/>
          </w:tcPr>
          <w:p w14:paraId="26B7352A" w14:textId="77777777" w:rsidR="0085421A" w:rsidRPr="002F73B3" w:rsidRDefault="0085421A" w:rsidP="00BA499D">
            <w:pPr>
              <w:pStyle w:val="NoSpacing"/>
              <w:numPr>
                <w:ilvl w:val="0"/>
                <w:numId w:val="17"/>
              </w:numPr>
              <w:spacing w:line="276" w:lineRule="auto"/>
              <w:ind w:left="720"/>
              <w:jc w:val="center"/>
              <w:rPr>
                <w:rFonts w:eastAsia="Times New Roman" w:cs="Times New Roman"/>
                <w:sz w:val="18"/>
                <w:szCs w:val="18"/>
              </w:rPr>
            </w:pPr>
          </w:p>
        </w:tc>
        <w:tc>
          <w:tcPr>
            <w:tcW w:w="2103" w:type="pct"/>
            <w:tcBorders>
              <w:top w:val="single" w:sz="4" w:space="0" w:color="auto"/>
              <w:left w:val="single" w:sz="4" w:space="0" w:color="auto"/>
              <w:bottom w:val="single" w:sz="4" w:space="0" w:color="auto"/>
              <w:right w:val="single" w:sz="4" w:space="0" w:color="auto"/>
            </w:tcBorders>
            <w:vAlign w:val="center"/>
            <w:hideMark/>
          </w:tcPr>
          <w:p w14:paraId="5D7F5829" w14:textId="77777777" w:rsidR="0085421A" w:rsidRPr="002F73B3" w:rsidRDefault="0085421A" w:rsidP="00BA499D">
            <w:pPr>
              <w:pStyle w:val="NoSpacing"/>
              <w:spacing w:line="276" w:lineRule="auto"/>
              <w:rPr>
                <w:rFonts w:eastAsia="Times New Roman" w:cs="Times New Roman"/>
                <w:sz w:val="18"/>
                <w:szCs w:val="18"/>
              </w:rPr>
            </w:pPr>
            <w:r w:rsidRPr="002F73B3">
              <w:rPr>
                <w:rFonts w:eastAsia="Times New Roman" w:cs="Times New Roman"/>
                <w:sz w:val="18"/>
                <w:szCs w:val="18"/>
              </w:rPr>
              <w:t>Detekcija i ocjena signala djelatnih tvari, LMS</w:t>
            </w:r>
          </w:p>
        </w:tc>
        <w:tc>
          <w:tcPr>
            <w:tcW w:w="931" w:type="pct"/>
            <w:tcBorders>
              <w:top w:val="single" w:sz="4" w:space="0" w:color="auto"/>
              <w:left w:val="single" w:sz="4" w:space="0" w:color="auto"/>
              <w:bottom w:val="single" w:sz="4" w:space="0" w:color="auto"/>
              <w:right w:val="single" w:sz="4" w:space="0" w:color="auto"/>
            </w:tcBorders>
            <w:vAlign w:val="center"/>
          </w:tcPr>
          <w:p w14:paraId="7965F6CE" w14:textId="77777777" w:rsidR="0085421A" w:rsidRPr="002F73B3" w:rsidRDefault="0085421A" w:rsidP="00BA499D">
            <w:pPr>
              <w:jc w:val="center"/>
              <w:rPr>
                <w:rFonts w:cs="Times New Roman"/>
                <w:bCs/>
                <w:sz w:val="18"/>
                <w:szCs w:val="18"/>
              </w:rPr>
            </w:pPr>
            <w:r w:rsidRPr="002F73B3">
              <w:rPr>
                <w:color w:val="1A1A1A"/>
                <w:sz w:val="18"/>
                <w:szCs w:val="18"/>
                <w:lang w:eastAsia="hr-HR"/>
              </w:rPr>
              <w:t>36</w:t>
            </w:r>
          </w:p>
        </w:tc>
        <w:tc>
          <w:tcPr>
            <w:tcW w:w="857" w:type="pct"/>
            <w:tcBorders>
              <w:top w:val="single" w:sz="4" w:space="0" w:color="auto"/>
              <w:left w:val="single" w:sz="4" w:space="0" w:color="auto"/>
              <w:bottom w:val="single" w:sz="4" w:space="0" w:color="auto"/>
              <w:right w:val="single" w:sz="4" w:space="0" w:color="auto"/>
            </w:tcBorders>
            <w:vAlign w:val="center"/>
          </w:tcPr>
          <w:p w14:paraId="57BA3BD7" w14:textId="77777777" w:rsidR="0085421A" w:rsidRPr="002F73B3" w:rsidRDefault="0085421A" w:rsidP="00BA499D">
            <w:pPr>
              <w:jc w:val="center"/>
              <w:rPr>
                <w:rFonts w:cs="Times New Roman"/>
                <w:bCs/>
                <w:sz w:val="18"/>
                <w:szCs w:val="18"/>
              </w:rPr>
            </w:pPr>
            <w:r>
              <w:rPr>
                <w:rFonts w:cs="Times New Roman"/>
                <w:bCs/>
                <w:sz w:val="18"/>
                <w:szCs w:val="18"/>
              </w:rPr>
              <w:t>58</w:t>
            </w:r>
          </w:p>
        </w:tc>
        <w:tc>
          <w:tcPr>
            <w:tcW w:w="624" w:type="pct"/>
            <w:tcBorders>
              <w:top w:val="single" w:sz="4" w:space="0" w:color="auto"/>
              <w:left w:val="single" w:sz="4" w:space="0" w:color="auto"/>
              <w:bottom w:val="single" w:sz="4" w:space="0" w:color="auto"/>
              <w:right w:val="single" w:sz="4" w:space="0" w:color="auto"/>
            </w:tcBorders>
            <w:vAlign w:val="center"/>
          </w:tcPr>
          <w:p w14:paraId="1E967C73" w14:textId="77777777" w:rsidR="0085421A" w:rsidRPr="002F73B3" w:rsidRDefault="0085421A" w:rsidP="00BA499D">
            <w:pPr>
              <w:jc w:val="center"/>
              <w:rPr>
                <w:rFonts w:cs="Times New Roman"/>
                <w:bCs/>
                <w:sz w:val="18"/>
                <w:szCs w:val="18"/>
              </w:rPr>
            </w:pPr>
            <w:r>
              <w:rPr>
                <w:rFonts w:cs="Times New Roman"/>
                <w:bCs/>
                <w:sz w:val="18"/>
                <w:szCs w:val="18"/>
              </w:rPr>
              <w:t>161</w:t>
            </w:r>
            <w:r w:rsidRPr="002F73B3">
              <w:rPr>
                <w:rFonts w:cs="Times New Roman"/>
                <w:bCs/>
                <w:sz w:val="18"/>
                <w:szCs w:val="18"/>
              </w:rPr>
              <w:t>%</w:t>
            </w:r>
          </w:p>
        </w:tc>
      </w:tr>
      <w:tr w:rsidR="0085421A" w:rsidRPr="002F73B3" w14:paraId="7166E7DE" w14:textId="77777777" w:rsidTr="00BA499D">
        <w:trPr>
          <w:trHeight w:val="227"/>
        </w:trPr>
        <w:tc>
          <w:tcPr>
            <w:tcW w:w="485" w:type="pct"/>
            <w:tcBorders>
              <w:top w:val="single" w:sz="4" w:space="0" w:color="auto"/>
              <w:left w:val="single" w:sz="4" w:space="0" w:color="auto"/>
              <w:bottom w:val="single" w:sz="4" w:space="0" w:color="auto"/>
              <w:right w:val="single" w:sz="4" w:space="0" w:color="auto"/>
            </w:tcBorders>
            <w:vAlign w:val="center"/>
          </w:tcPr>
          <w:p w14:paraId="0D3FA372" w14:textId="77777777" w:rsidR="0085421A" w:rsidRPr="002F73B3" w:rsidRDefault="0085421A" w:rsidP="00BA499D">
            <w:pPr>
              <w:pStyle w:val="NoSpacing"/>
              <w:numPr>
                <w:ilvl w:val="0"/>
                <w:numId w:val="17"/>
              </w:numPr>
              <w:spacing w:line="276" w:lineRule="auto"/>
              <w:ind w:left="720"/>
              <w:jc w:val="center"/>
              <w:rPr>
                <w:rFonts w:eastAsia="Times New Roman" w:cs="Times New Roman"/>
                <w:sz w:val="18"/>
                <w:szCs w:val="18"/>
              </w:rPr>
            </w:pPr>
          </w:p>
        </w:tc>
        <w:tc>
          <w:tcPr>
            <w:tcW w:w="2103" w:type="pct"/>
            <w:tcBorders>
              <w:top w:val="single" w:sz="4" w:space="0" w:color="auto"/>
              <w:left w:val="single" w:sz="4" w:space="0" w:color="auto"/>
              <w:bottom w:val="single" w:sz="4" w:space="0" w:color="auto"/>
              <w:right w:val="single" w:sz="4" w:space="0" w:color="auto"/>
            </w:tcBorders>
            <w:vAlign w:val="center"/>
          </w:tcPr>
          <w:p w14:paraId="5D6E0429" w14:textId="77777777" w:rsidR="0085421A" w:rsidRPr="002F73B3" w:rsidRDefault="0085421A" w:rsidP="00BA499D">
            <w:pPr>
              <w:pStyle w:val="NoSpacing"/>
              <w:spacing w:line="276" w:lineRule="auto"/>
              <w:rPr>
                <w:rFonts w:eastAsia="Times New Roman" w:cs="Times New Roman"/>
                <w:sz w:val="18"/>
                <w:szCs w:val="18"/>
              </w:rPr>
            </w:pPr>
            <w:r w:rsidRPr="002F73B3">
              <w:rPr>
                <w:rFonts w:eastAsia="Times New Roman" w:cs="Times New Roman"/>
                <w:sz w:val="18"/>
                <w:szCs w:val="18"/>
              </w:rPr>
              <w:t>Komentari na ocjene u okviru europskih procedura</w:t>
            </w:r>
          </w:p>
        </w:tc>
        <w:tc>
          <w:tcPr>
            <w:tcW w:w="931" w:type="pct"/>
            <w:tcBorders>
              <w:top w:val="single" w:sz="4" w:space="0" w:color="auto"/>
              <w:left w:val="single" w:sz="4" w:space="0" w:color="auto"/>
              <w:bottom w:val="single" w:sz="4" w:space="0" w:color="auto"/>
              <w:right w:val="single" w:sz="4" w:space="0" w:color="auto"/>
            </w:tcBorders>
            <w:vAlign w:val="center"/>
          </w:tcPr>
          <w:p w14:paraId="60A27820" w14:textId="77777777" w:rsidR="0085421A" w:rsidRPr="002F73B3" w:rsidRDefault="0085421A" w:rsidP="00BA499D">
            <w:pPr>
              <w:jc w:val="center"/>
              <w:rPr>
                <w:rFonts w:cs="Times New Roman"/>
                <w:bCs/>
                <w:sz w:val="18"/>
                <w:szCs w:val="18"/>
              </w:rPr>
            </w:pPr>
            <w:r w:rsidRPr="002F73B3">
              <w:rPr>
                <w:color w:val="1A1A1A"/>
                <w:sz w:val="18"/>
                <w:szCs w:val="18"/>
                <w:lang w:eastAsia="hr-HR"/>
              </w:rPr>
              <w:t>15</w:t>
            </w:r>
          </w:p>
        </w:tc>
        <w:tc>
          <w:tcPr>
            <w:tcW w:w="857" w:type="pct"/>
            <w:tcBorders>
              <w:top w:val="single" w:sz="4" w:space="0" w:color="auto"/>
              <w:left w:val="single" w:sz="4" w:space="0" w:color="auto"/>
              <w:bottom w:val="single" w:sz="4" w:space="0" w:color="auto"/>
              <w:right w:val="single" w:sz="4" w:space="0" w:color="auto"/>
            </w:tcBorders>
            <w:vAlign w:val="center"/>
          </w:tcPr>
          <w:p w14:paraId="53E75EA8" w14:textId="77777777" w:rsidR="0085421A" w:rsidRPr="002F73B3" w:rsidRDefault="0085421A" w:rsidP="00BA499D">
            <w:pPr>
              <w:jc w:val="center"/>
              <w:rPr>
                <w:rFonts w:cs="Times New Roman"/>
                <w:bCs/>
                <w:sz w:val="18"/>
                <w:szCs w:val="18"/>
              </w:rPr>
            </w:pPr>
            <w:r>
              <w:rPr>
                <w:rFonts w:cs="Times New Roman"/>
                <w:bCs/>
                <w:sz w:val="18"/>
                <w:szCs w:val="18"/>
              </w:rPr>
              <w:t>45</w:t>
            </w:r>
          </w:p>
        </w:tc>
        <w:tc>
          <w:tcPr>
            <w:tcW w:w="624" w:type="pct"/>
            <w:tcBorders>
              <w:top w:val="single" w:sz="4" w:space="0" w:color="auto"/>
              <w:left w:val="single" w:sz="4" w:space="0" w:color="auto"/>
              <w:bottom w:val="single" w:sz="4" w:space="0" w:color="auto"/>
              <w:right w:val="single" w:sz="4" w:space="0" w:color="auto"/>
            </w:tcBorders>
            <w:vAlign w:val="center"/>
          </w:tcPr>
          <w:p w14:paraId="6E27369C" w14:textId="77777777" w:rsidR="0085421A" w:rsidRPr="002F73B3" w:rsidRDefault="0085421A" w:rsidP="00BA499D">
            <w:pPr>
              <w:jc w:val="center"/>
              <w:rPr>
                <w:rFonts w:cs="Times New Roman"/>
                <w:bCs/>
                <w:sz w:val="18"/>
                <w:szCs w:val="18"/>
              </w:rPr>
            </w:pPr>
            <w:r>
              <w:rPr>
                <w:rFonts w:cs="Times New Roman"/>
                <w:bCs/>
                <w:sz w:val="18"/>
                <w:szCs w:val="18"/>
              </w:rPr>
              <w:t>300</w:t>
            </w:r>
            <w:r w:rsidRPr="002F73B3">
              <w:rPr>
                <w:rFonts w:cs="Times New Roman"/>
                <w:bCs/>
                <w:sz w:val="18"/>
                <w:szCs w:val="18"/>
              </w:rPr>
              <w:t>%</w:t>
            </w:r>
          </w:p>
        </w:tc>
      </w:tr>
      <w:tr w:rsidR="0085421A" w:rsidRPr="002F73B3" w14:paraId="45165412" w14:textId="77777777" w:rsidTr="00BA499D">
        <w:trPr>
          <w:trHeight w:val="227"/>
        </w:trPr>
        <w:tc>
          <w:tcPr>
            <w:tcW w:w="485" w:type="pct"/>
            <w:tcBorders>
              <w:top w:val="single" w:sz="4" w:space="0" w:color="auto"/>
              <w:left w:val="single" w:sz="4" w:space="0" w:color="auto"/>
              <w:bottom w:val="single" w:sz="4" w:space="0" w:color="auto"/>
              <w:right w:val="single" w:sz="4" w:space="0" w:color="auto"/>
            </w:tcBorders>
            <w:vAlign w:val="center"/>
            <w:hideMark/>
          </w:tcPr>
          <w:p w14:paraId="13DA30C1" w14:textId="77777777" w:rsidR="0085421A" w:rsidRPr="002F73B3" w:rsidRDefault="0085421A" w:rsidP="00BA499D">
            <w:pPr>
              <w:pStyle w:val="NoSpacing"/>
              <w:numPr>
                <w:ilvl w:val="0"/>
                <w:numId w:val="17"/>
              </w:numPr>
              <w:spacing w:line="276" w:lineRule="auto"/>
              <w:ind w:left="720"/>
              <w:jc w:val="center"/>
              <w:rPr>
                <w:rFonts w:eastAsia="Times New Roman" w:cs="Times New Roman"/>
                <w:sz w:val="18"/>
                <w:szCs w:val="18"/>
              </w:rPr>
            </w:pPr>
          </w:p>
        </w:tc>
        <w:tc>
          <w:tcPr>
            <w:tcW w:w="2103" w:type="pct"/>
            <w:tcBorders>
              <w:top w:val="single" w:sz="4" w:space="0" w:color="auto"/>
              <w:left w:val="single" w:sz="4" w:space="0" w:color="auto"/>
              <w:bottom w:val="single" w:sz="4" w:space="0" w:color="auto"/>
              <w:right w:val="single" w:sz="4" w:space="0" w:color="auto"/>
            </w:tcBorders>
            <w:vAlign w:val="center"/>
            <w:hideMark/>
          </w:tcPr>
          <w:p w14:paraId="348D0E64" w14:textId="77777777" w:rsidR="0085421A" w:rsidRPr="002F73B3" w:rsidRDefault="0085421A" w:rsidP="00BA499D">
            <w:pPr>
              <w:pStyle w:val="NoSpacing"/>
              <w:spacing w:line="276" w:lineRule="auto"/>
              <w:rPr>
                <w:rFonts w:eastAsia="Times New Roman" w:cs="Times New Roman"/>
                <w:sz w:val="18"/>
                <w:szCs w:val="18"/>
              </w:rPr>
            </w:pPr>
            <w:r w:rsidRPr="002F73B3">
              <w:rPr>
                <w:rFonts w:eastAsia="Times New Roman" w:cs="Times New Roman"/>
                <w:sz w:val="18"/>
                <w:szCs w:val="18"/>
              </w:rPr>
              <w:t>Praćenje i ocjena signala djelatnih tvari, PRAC</w:t>
            </w:r>
          </w:p>
        </w:tc>
        <w:tc>
          <w:tcPr>
            <w:tcW w:w="931" w:type="pct"/>
            <w:tcBorders>
              <w:top w:val="single" w:sz="4" w:space="0" w:color="auto"/>
              <w:left w:val="single" w:sz="4" w:space="0" w:color="auto"/>
              <w:bottom w:val="single" w:sz="4" w:space="0" w:color="auto"/>
              <w:right w:val="single" w:sz="4" w:space="0" w:color="auto"/>
            </w:tcBorders>
            <w:vAlign w:val="center"/>
          </w:tcPr>
          <w:p w14:paraId="226DE799" w14:textId="77777777" w:rsidR="0085421A" w:rsidRPr="002F73B3" w:rsidRDefault="0085421A" w:rsidP="00BA499D">
            <w:pPr>
              <w:jc w:val="center"/>
              <w:rPr>
                <w:rFonts w:cs="Times New Roman"/>
                <w:bCs/>
                <w:sz w:val="18"/>
                <w:szCs w:val="18"/>
              </w:rPr>
            </w:pPr>
            <w:r w:rsidRPr="002F73B3">
              <w:rPr>
                <w:color w:val="1A1A1A"/>
                <w:sz w:val="18"/>
                <w:szCs w:val="18"/>
                <w:lang w:eastAsia="hr-HR"/>
              </w:rPr>
              <w:t>6</w:t>
            </w:r>
          </w:p>
        </w:tc>
        <w:tc>
          <w:tcPr>
            <w:tcW w:w="857" w:type="pct"/>
            <w:tcBorders>
              <w:top w:val="single" w:sz="4" w:space="0" w:color="auto"/>
              <w:left w:val="single" w:sz="4" w:space="0" w:color="auto"/>
              <w:bottom w:val="single" w:sz="4" w:space="0" w:color="auto"/>
              <w:right w:val="single" w:sz="4" w:space="0" w:color="auto"/>
            </w:tcBorders>
            <w:vAlign w:val="center"/>
          </w:tcPr>
          <w:p w14:paraId="6D5AA72E" w14:textId="77777777" w:rsidR="0085421A" w:rsidRPr="002F73B3" w:rsidRDefault="0085421A" w:rsidP="00BA499D">
            <w:pPr>
              <w:jc w:val="center"/>
              <w:rPr>
                <w:rFonts w:cs="Times New Roman"/>
                <w:bCs/>
                <w:sz w:val="18"/>
                <w:szCs w:val="18"/>
              </w:rPr>
            </w:pPr>
            <w:r w:rsidRPr="002F73B3">
              <w:rPr>
                <w:rFonts w:cs="Times New Roman"/>
                <w:bCs/>
                <w:sz w:val="18"/>
                <w:szCs w:val="18"/>
              </w:rPr>
              <w:t>6</w:t>
            </w:r>
          </w:p>
        </w:tc>
        <w:tc>
          <w:tcPr>
            <w:tcW w:w="624" w:type="pct"/>
            <w:tcBorders>
              <w:top w:val="single" w:sz="4" w:space="0" w:color="auto"/>
              <w:left w:val="single" w:sz="4" w:space="0" w:color="auto"/>
              <w:bottom w:val="single" w:sz="4" w:space="0" w:color="auto"/>
              <w:right w:val="single" w:sz="4" w:space="0" w:color="auto"/>
            </w:tcBorders>
            <w:vAlign w:val="center"/>
          </w:tcPr>
          <w:p w14:paraId="49CC7E4E" w14:textId="77777777" w:rsidR="0085421A" w:rsidRPr="002F73B3" w:rsidRDefault="0085421A" w:rsidP="00BA499D">
            <w:pPr>
              <w:jc w:val="center"/>
              <w:rPr>
                <w:rFonts w:cs="Times New Roman"/>
                <w:bCs/>
                <w:sz w:val="18"/>
                <w:szCs w:val="18"/>
              </w:rPr>
            </w:pPr>
            <w:r w:rsidRPr="002F73B3">
              <w:rPr>
                <w:rFonts w:cs="Times New Roman"/>
                <w:bCs/>
                <w:sz w:val="18"/>
                <w:szCs w:val="18"/>
              </w:rPr>
              <w:t>100%</w:t>
            </w:r>
          </w:p>
        </w:tc>
      </w:tr>
      <w:tr w:rsidR="0085421A" w:rsidRPr="002F73B3" w14:paraId="0FC0548C" w14:textId="77777777" w:rsidTr="00BA499D">
        <w:trPr>
          <w:trHeight w:val="227"/>
        </w:trPr>
        <w:tc>
          <w:tcPr>
            <w:tcW w:w="485" w:type="pct"/>
            <w:tcBorders>
              <w:top w:val="single" w:sz="4" w:space="0" w:color="auto"/>
              <w:left w:val="single" w:sz="4" w:space="0" w:color="auto"/>
              <w:bottom w:val="single" w:sz="4" w:space="0" w:color="auto"/>
              <w:right w:val="single" w:sz="4" w:space="0" w:color="auto"/>
            </w:tcBorders>
            <w:vAlign w:val="center"/>
            <w:hideMark/>
          </w:tcPr>
          <w:p w14:paraId="04A4194C" w14:textId="77777777" w:rsidR="0085421A" w:rsidRPr="002F73B3" w:rsidRDefault="0085421A" w:rsidP="00BA499D">
            <w:pPr>
              <w:pStyle w:val="NoSpacing"/>
              <w:numPr>
                <w:ilvl w:val="0"/>
                <w:numId w:val="17"/>
              </w:numPr>
              <w:spacing w:line="276" w:lineRule="auto"/>
              <w:ind w:left="720"/>
              <w:jc w:val="center"/>
              <w:rPr>
                <w:rFonts w:eastAsia="Times New Roman" w:cs="Times New Roman"/>
                <w:sz w:val="18"/>
                <w:szCs w:val="18"/>
              </w:rPr>
            </w:pPr>
          </w:p>
        </w:tc>
        <w:tc>
          <w:tcPr>
            <w:tcW w:w="2103" w:type="pct"/>
            <w:tcBorders>
              <w:top w:val="single" w:sz="4" w:space="0" w:color="auto"/>
              <w:left w:val="single" w:sz="4" w:space="0" w:color="auto"/>
              <w:bottom w:val="single" w:sz="4" w:space="0" w:color="auto"/>
              <w:right w:val="single" w:sz="4" w:space="0" w:color="auto"/>
            </w:tcBorders>
            <w:vAlign w:val="center"/>
            <w:hideMark/>
          </w:tcPr>
          <w:p w14:paraId="266B3B86" w14:textId="77777777" w:rsidR="0085421A" w:rsidRPr="002F73B3" w:rsidRDefault="0085421A" w:rsidP="00BA499D">
            <w:pPr>
              <w:pStyle w:val="NoSpacing"/>
              <w:spacing w:line="276" w:lineRule="auto"/>
              <w:rPr>
                <w:rFonts w:eastAsia="Times New Roman" w:cs="Times New Roman"/>
                <w:sz w:val="18"/>
                <w:szCs w:val="18"/>
              </w:rPr>
            </w:pPr>
            <w:r w:rsidRPr="002F73B3">
              <w:rPr>
                <w:rFonts w:eastAsia="Times New Roman" w:cs="Times New Roman"/>
                <w:sz w:val="18"/>
                <w:szCs w:val="18"/>
              </w:rPr>
              <w:t>Održavanje sjednica Povjerenstva za sigurnost primjene lijekova</w:t>
            </w:r>
          </w:p>
        </w:tc>
        <w:tc>
          <w:tcPr>
            <w:tcW w:w="931" w:type="pct"/>
            <w:tcBorders>
              <w:top w:val="single" w:sz="4" w:space="0" w:color="auto"/>
              <w:left w:val="single" w:sz="4" w:space="0" w:color="auto"/>
              <w:bottom w:val="single" w:sz="4" w:space="0" w:color="auto"/>
              <w:right w:val="single" w:sz="4" w:space="0" w:color="auto"/>
            </w:tcBorders>
            <w:vAlign w:val="center"/>
          </w:tcPr>
          <w:p w14:paraId="7AD73F05" w14:textId="77777777" w:rsidR="0085421A" w:rsidRPr="002F73B3" w:rsidRDefault="0085421A" w:rsidP="00BA499D">
            <w:pPr>
              <w:jc w:val="center"/>
              <w:rPr>
                <w:rFonts w:cs="Times New Roman"/>
                <w:bCs/>
                <w:sz w:val="18"/>
                <w:szCs w:val="18"/>
              </w:rPr>
            </w:pPr>
            <w:r w:rsidRPr="002F73B3">
              <w:rPr>
                <w:color w:val="1A1A1A"/>
                <w:sz w:val="18"/>
                <w:szCs w:val="18"/>
                <w:lang w:eastAsia="hr-HR"/>
              </w:rPr>
              <w:t>5</w:t>
            </w:r>
          </w:p>
        </w:tc>
        <w:tc>
          <w:tcPr>
            <w:tcW w:w="857" w:type="pct"/>
            <w:tcBorders>
              <w:top w:val="single" w:sz="4" w:space="0" w:color="auto"/>
              <w:left w:val="single" w:sz="4" w:space="0" w:color="auto"/>
              <w:bottom w:val="single" w:sz="4" w:space="0" w:color="auto"/>
              <w:right w:val="single" w:sz="4" w:space="0" w:color="auto"/>
            </w:tcBorders>
            <w:vAlign w:val="center"/>
          </w:tcPr>
          <w:p w14:paraId="2E999DA0" w14:textId="77777777" w:rsidR="0085421A" w:rsidRPr="002F73B3" w:rsidRDefault="0085421A" w:rsidP="00BA499D">
            <w:pPr>
              <w:jc w:val="center"/>
              <w:rPr>
                <w:rFonts w:cs="Times New Roman"/>
                <w:bCs/>
                <w:sz w:val="18"/>
                <w:szCs w:val="18"/>
              </w:rPr>
            </w:pPr>
            <w:r>
              <w:rPr>
                <w:rFonts w:cs="Times New Roman"/>
                <w:bCs/>
                <w:sz w:val="18"/>
                <w:szCs w:val="18"/>
              </w:rPr>
              <w:t>5</w:t>
            </w:r>
          </w:p>
        </w:tc>
        <w:tc>
          <w:tcPr>
            <w:tcW w:w="624" w:type="pct"/>
            <w:tcBorders>
              <w:top w:val="single" w:sz="4" w:space="0" w:color="auto"/>
              <w:left w:val="single" w:sz="4" w:space="0" w:color="auto"/>
              <w:bottom w:val="single" w:sz="4" w:space="0" w:color="auto"/>
              <w:right w:val="single" w:sz="4" w:space="0" w:color="auto"/>
            </w:tcBorders>
            <w:vAlign w:val="center"/>
          </w:tcPr>
          <w:p w14:paraId="5640D1E0" w14:textId="77777777" w:rsidR="0085421A" w:rsidRPr="002F73B3" w:rsidRDefault="0085421A" w:rsidP="00BA499D">
            <w:pPr>
              <w:jc w:val="center"/>
              <w:rPr>
                <w:rFonts w:cs="Times New Roman"/>
                <w:bCs/>
                <w:sz w:val="18"/>
                <w:szCs w:val="18"/>
              </w:rPr>
            </w:pPr>
            <w:r>
              <w:rPr>
                <w:rFonts w:cs="Times New Roman"/>
                <w:bCs/>
                <w:sz w:val="18"/>
                <w:szCs w:val="18"/>
              </w:rPr>
              <w:t>100</w:t>
            </w:r>
            <w:r w:rsidRPr="002F73B3">
              <w:rPr>
                <w:rFonts w:cs="Times New Roman"/>
                <w:bCs/>
                <w:sz w:val="18"/>
                <w:szCs w:val="18"/>
              </w:rPr>
              <w:t>%</w:t>
            </w:r>
          </w:p>
        </w:tc>
      </w:tr>
      <w:tr w:rsidR="0085421A" w:rsidRPr="002F73B3" w14:paraId="0528F7F1" w14:textId="77777777" w:rsidTr="00BA499D">
        <w:trPr>
          <w:trHeight w:val="227"/>
        </w:trPr>
        <w:tc>
          <w:tcPr>
            <w:tcW w:w="485" w:type="pct"/>
            <w:tcBorders>
              <w:top w:val="single" w:sz="4" w:space="0" w:color="auto"/>
              <w:left w:val="single" w:sz="4" w:space="0" w:color="auto"/>
              <w:bottom w:val="single" w:sz="4" w:space="0" w:color="auto"/>
              <w:right w:val="single" w:sz="4" w:space="0" w:color="auto"/>
            </w:tcBorders>
            <w:vAlign w:val="center"/>
            <w:hideMark/>
          </w:tcPr>
          <w:p w14:paraId="60782DFD" w14:textId="77777777" w:rsidR="0085421A" w:rsidRPr="002F73B3" w:rsidRDefault="0085421A" w:rsidP="00BA499D">
            <w:pPr>
              <w:pStyle w:val="NoSpacing"/>
              <w:numPr>
                <w:ilvl w:val="0"/>
                <w:numId w:val="17"/>
              </w:numPr>
              <w:spacing w:line="276" w:lineRule="auto"/>
              <w:ind w:left="720"/>
              <w:jc w:val="center"/>
              <w:rPr>
                <w:rFonts w:eastAsia="Times New Roman" w:cs="Times New Roman"/>
                <w:sz w:val="18"/>
                <w:szCs w:val="18"/>
              </w:rPr>
            </w:pPr>
          </w:p>
        </w:tc>
        <w:tc>
          <w:tcPr>
            <w:tcW w:w="2103" w:type="pct"/>
            <w:tcBorders>
              <w:top w:val="single" w:sz="4" w:space="0" w:color="auto"/>
              <w:left w:val="single" w:sz="4" w:space="0" w:color="auto"/>
              <w:bottom w:val="single" w:sz="4" w:space="0" w:color="auto"/>
              <w:right w:val="single" w:sz="4" w:space="0" w:color="auto"/>
            </w:tcBorders>
            <w:vAlign w:val="center"/>
            <w:hideMark/>
          </w:tcPr>
          <w:p w14:paraId="7D892669" w14:textId="77777777" w:rsidR="0085421A" w:rsidRPr="002F73B3" w:rsidRDefault="0085421A" w:rsidP="00BA499D">
            <w:pPr>
              <w:pStyle w:val="NoSpacing"/>
              <w:spacing w:line="276" w:lineRule="auto"/>
              <w:rPr>
                <w:rFonts w:eastAsia="Times New Roman" w:cs="Times New Roman"/>
                <w:sz w:val="18"/>
                <w:szCs w:val="18"/>
              </w:rPr>
            </w:pPr>
            <w:r w:rsidRPr="002F73B3">
              <w:rPr>
                <w:rFonts w:eastAsia="Times New Roman" w:cs="Times New Roman"/>
                <w:sz w:val="18"/>
                <w:szCs w:val="18"/>
              </w:rPr>
              <w:t xml:space="preserve">Farmakovigilancijski nadzor </w:t>
            </w:r>
          </w:p>
        </w:tc>
        <w:tc>
          <w:tcPr>
            <w:tcW w:w="931" w:type="pct"/>
            <w:tcBorders>
              <w:top w:val="single" w:sz="4" w:space="0" w:color="auto"/>
              <w:left w:val="single" w:sz="4" w:space="0" w:color="auto"/>
              <w:bottom w:val="single" w:sz="4" w:space="0" w:color="auto"/>
              <w:right w:val="single" w:sz="4" w:space="0" w:color="auto"/>
            </w:tcBorders>
            <w:vAlign w:val="center"/>
          </w:tcPr>
          <w:p w14:paraId="119392BE" w14:textId="77777777" w:rsidR="0085421A" w:rsidRPr="002F73B3" w:rsidRDefault="0085421A" w:rsidP="00BA499D">
            <w:pPr>
              <w:jc w:val="center"/>
              <w:rPr>
                <w:rFonts w:cs="Times New Roman"/>
                <w:bCs/>
                <w:sz w:val="18"/>
                <w:szCs w:val="18"/>
              </w:rPr>
            </w:pPr>
            <w:r w:rsidRPr="002F73B3">
              <w:rPr>
                <w:color w:val="1A1A1A"/>
                <w:sz w:val="18"/>
                <w:szCs w:val="18"/>
                <w:lang w:eastAsia="hr-HR"/>
              </w:rPr>
              <w:t>1</w:t>
            </w:r>
          </w:p>
        </w:tc>
        <w:tc>
          <w:tcPr>
            <w:tcW w:w="857" w:type="pct"/>
            <w:tcBorders>
              <w:top w:val="single" w:sz="4" w:space="0" w:color="auto"/>
              <w:left w:val="single" w:sz="4" w:space="0" w:color="auto"/>
              <w:bottom w:val="single" w:sz="4" w:space="0" w:color="auto"/>
              <w:right w:val="single" w:sz="4" w:space="0" w:color="auto"/>
            </w:tcBorders>
            <w:vAlign w:val="center"/>
          </w:tcPr>
          <w:p w14:paraId="65713B98" w14:textId="77777777" w:rsidR="0085421A" w:rsidRPr="002F73B3" w:rsidRDefault="0085421A" w:rsidP="00BA499D">
            <w:pPr>
              <w:jc w:val="center"/>
              <w:rPr>
                <w:rFonts w:cs="Times New Roman"/>
                <w:bCs/>
                <w:sz w:val="18"/>
                <w:szCs w:val="18"/>
              </w:rPr>
            </w:pPr>
            <w:r w:rsidRPr="002F73B3">
              <w:rPr>
                <w:rFonts w:cs="Times New Roman"/>
                <w:bCs/>
                <w:sz w:val="18"/>
                <w:szCs w:val="18"/>
              </w:rPr>
              <w:t>0</w:t>
            </w:r>
          </w:p>
        </w:tc>
        <w:tc>
          <w:tcPr>
            <w:tcW w:w="624" w:type="pct"/>
            <w:tcBorders>
              <w:top w:val="single" w:sz="4" w:space="0" w:color="auto"/>
              <w:left w:val="single" w:sz="4" w:space="0" w:color="auto"/>
              <w:bottom w:val="single" w:sz="4" w:space="0" w:color="auto"/>
              <w:right w:val="single" w:sz="4" w:space="0" w:color="auto"/>
            </w:tcBorders>
            <w:vAlign w:val="center"/>
          </w:tcPr>
          <w:p w14:paraId="44081561" w14:textId="77777777" w:rsidR="0085421A" w:rsidRPr="002F73B3" w:rsidRDefault="0085421A" w:rsidP="00BA499D">
            <w:pPr>
              <w:jc w:val="center"/>
              <w:rPr>
                <w:rFonts w:cs="Times New Roman"/>
                <w:bCs/>
                <w:sz w:val="18"/>
                <w:szCs w:val="18"/>
              </w:rPr>
            </w:pPr>
            <w:r w:rsidRPr="002F73B3">
              <w:rPr>
                <w:rFonts w:cs="Times New Roman"/>
                <w:bCs/>
                <w:sz w:val="18"/>
                <w:szCs w:val="18"/>
              </w:rPr>
              <w:t>0</w:t>
            </w:r>
            <w:r>
              <w:rPr>
                <w:rFonts w:cs="Times New Roman"/>
                <w:bCs/>
                <w:sz w:val="18"/>
                <w:szCs w:val="18"/>
              </w:rPr>
              <w:t>%</w:t>
            </w:r>
          </w:p>
        </w:tc>
      </w:tr>
      <w:tr w:rsidR="0085421A" w:rsidRPr="002F73B3" w14:paraId="2B67152E" w14:textId="77777777" w:rsidTr="00BA499D">
        <w:trPr>
          <w:trHeight w:val="227"/>
        </w:trPr>
        <w:tc>
          <w:tcPr>
            <w:tcW w:w="485" w:type="pct"/>
            <w:tcBorders>
              <w:top w:val="single" w:sz="4" w:space="0" w:color="auto"/>
              <w:left w:val="single" w:sz="4" w:space="0" w:color="auto"/>
              <w:bottom w:val="single" w:sz="4" w:space="0" w:color="auto"/>
              <w:right w:val="single" w:sz="4" w:space="0" w:color="auto"/>
            </w:tcBorders>
            <w:vAlign w:val="center"/>
            <w:hideMark/>
          </w:tcPr>
          <w:p w14:paraId="0FBC99E4" w14:textId="77777777" w:rsidR="0085421A" w:rsidRPr="002F73B3" w:rsidRDefault="0085421A" w:rsidP="00BA499D">
            <w:pPr>
              <w:pStyle w:val="NoSpacing"/>
              <w:numPr>
                <w:ilvl w:val="0"/>
                <w:numId w:val="17"/>
              </w:numPr>
              <w:spacing w:line="276" w:lineRule="auto"/>
              <w:ind w:left="720"/>
              <w:jc w:val="center"/>
              <w:rPr>
                <w:rFonts w:eastAsia="Times New Roman" w:cs="Times New Roman"/>
                <w:sz w:val="18"/>
                <w:szCs w:val="18"/>
              </w:rPr>
            </w:pPr>
          </w:p>
        </w:tc>
        <w:tc>
          <w:tcPr>
            <w:tcW w:w="2103" w:type="pct"/>
            <w:tcBorders>
              <w:top w:val="single" w:sz="4" w:space="0" w:color="auto"/>
              <w:left w:val="single" w:sz="4" w:space="0" w:color="auto"/>
              <w:bottom w:val="single" w:sz="4" w:space="0" w:color="auto"/>
              <w:right w:val="single" w:sz="4" w:space="0" w:color="auto"/>
            </w:tcBorders>
            <w:vAlign w:val="center"/>
            <w:hideMark/>
          </w:tcPr>
          <w:p w14:paraId="5168824A" w14:textId="77777777" w:rsidR="0085421A" w:rsidRPr="002F73B3" w:rsidRDefault="0085421A" w:rsidP="00BA499D">
            <w:pPr>
              <w:pStyle w:val="NoSpacing"/>
              <w:spacing w:line="276" w:lineRule="auto"/>
              <w:rPr>
                <w:rFonts w:eastAsia="Times New Roman" w:cs="Times New Roman"/>
                <w:sz w:val="18"/>
                <w:szCs w:val="18"/>
              </w:rPr>
            </w:pPr>
            <w:r w:rsidRPr="002F73B3">
              <w:rPr>
                <w:rFonts w:eastAsia="Times New Roman" w:cs="Times New Roman"/>
                <w:sz w:val="18"/>
                <w:szCs w:val="18"/>
              </w:rPr>
              <w:t>Evidencije prijavitelja nuspojava</w:t>
            </w:r>
          </w:p>
        </w:tc>
        <w:tc>
          <w:tcPr>
            <w:tcW w:w="931" w:type="pct"/>
            <w:tcBorders>
              <w:top w:val="single" w:sz="4" w:space="0" w:color="auto"/>
              <w:left w:val="single" w:sz="4" w:space="0" w:color="auto"/>
              <w:bottom w:val="single" w:sz="4" w:space="0" w:color="auto"/>
              <w:right w:val="single" w:sz="4" w:space="0" w:color="auto"/>
            </w:tcBorders>
            <w:vAlign w:val="center"/>
          </w:tcPr>
          <w:p w14:paraId="315B2F25" w14:textId="77777777" w:rsidR="0085421A" w:rsidRPr="002F73B3" w:rsidRDefault="0085421A" w:rsidP="00BA499D">
            <w:pPr>
              <w:jc w:val="center"/>
              <w:rPr>
                <w:rFonts w:cs="Times New Roman"/>
                <w:bCs/>
                <w:sz w:val="18"/>
                <w:szCs w:val="18"/>
              </w:rPr>
            </w:pPr>
            <w:r w:rsidRPr="002F73B3">
              <w:rPr>
                <w:color w:val="1A1A1A"/>
                <w:sz w:val="18"/>
                <w:szCs w:val="18"/>
                <w:lang w:eastAsia="hr-HR"/>
              </w:rPr>
              <w:t>100%</w:t>
            </w:r>
            <w:r>
              <w:rPr>
                <w:color w:val="1A1A1A"/>
                <w:sz w:val="18"/>
                <w:szCs w:val="18"/>
                <w:lang w:eastAsia="hr-HR"/>
              </w:rPr>
              <w:t>*</w:t>
            </w:r>
            <w:r w:rsidRPr="002F73B3">
              <w:rPr>
                <w:color w:val="1A1A1A"/>
                <w:sz w:val="18"/>
                <w:szCs w:val="18"/>
                <w:lang w:eastAsia="hr-HR"/>
              </w:rPr>
              <w:t>*</w:t>
            </w:r>
          </w:p>
        </w:tc>
        <w:tc>
          <w:tcPr>
            <w:tcW w:w="857" w:type="pct"/>
            <w:tcBorders>
              <w:top w:val="single" w:sz="4" w:space="0" w:color="auto"/>
              <w:left w:val="single" w:sz="4" w:space="0" w:color="auto"/>
              <w:bottom w:val="single" w:sz="4" w:space="0" w:color="auto"/>
              <w:right w:val="single" w:sz="4" w:space="0" w:color="auto"/>
            </w:tcBorders>
          </w:tcPr>
          <w:p w14:paraId="122C6540" w14:textId="77777777" w:rsidR="0085421A" w:rsidRPr="002F73B3" w:rsidRDefault="0085421A" w:rsidP="00BA499D">
            <w:pPr>
              <w:jc w:val="center"/>
              <w:rPr>
                <w:rFonts w:cs="Times New Roman"/>
                <w:bCs/>
                <w:sz w:val="18"/>
                <w:szCs w:val="18"/>
              </w:rPr>
            </w:pPr>
            <w:r w:rsidRPr="002F73B3">
              <w:rPr>
                <w:rFonts w:cs="Times New Roman"/>
                <w:bCs/>
                <w:sz w:val="18"/>
                <w:szCs w:val="18"/>
              </w:rPr>
              <w:t>100%</w:t>
            </w:r>
          </w:p>
        </w:tc>
        <w:tc>
          <w:tcPr>
            <w:tcW w:w="624" w:type="pct"/>
            <w:tcBorders>
              <w:top w:val="single" w:sz="4" w:space="0" w:color="auto"/>
              <w:left w:val="single" w:sz="4" w:space="0" w:color="auto"/>
              <w:bottom w:val="single" w:sz="4" w:space="0" w:color="auto"/>
              <w:right w:val="single" w:sz="4" w:space="0" w:color="auto"/>
            </w:tcBorders>
          </w:tcPr>
          <w:p w14:paraId="4C3514AD" w14:textId="77777777" w:rsidR="0085421A" w:rsidRPr="002F73B3" w:rsidRDefault="0085421A" w:rsidP="00BA499D">
            <w:pPr>
              <w:jc w:val="center"/>
              <w:rPr>
                <w:rFonts w:cs="Times New Roman"/>
                <w:bCs/>
                <w:sz w:val="18"/>
                <w:szCs w:val="18"/>
              </w:rPr>
            </w:pPr>
            <w:r w:rsidRPr="002F73B3">
              <w:rPr>
                <w:rFonts w:cs="Times New Roman"/>
                <w:bCs/>
                <w:sz w:val="18"/>
                <w:szCs w:val="18"/>
              </w:rPr>
              <w:t>100%</w:t>
            </w:r>
          </w:p>
        </w:tc>
      </w:tr>
      <w:tr w:rsidR="0085421A" w:rsidRPr="002F73B3" w14:paraId="4326B0D8" w14:textId="77777777" w:rsidTr="00BA499D">
        <w:trPr>
          <w:trHeight w:val="316"/>
        </w:trPr>
        <w:tc>
          <w:tcPr>
            <w:tcW w:w="2588" w:type="pct"/>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CA44181" w14:textId="77777777" w:rsidR="0085421A" w:rsidRPr="002F73B3" w:rsidRDefault="0085421A" w:rsidP="00BA499D">
            <w:pPr>
              <w:pStyle w:val="NoSpacing"/>
              <w:spacing w:line="276" w:lineRule="auto"/>
              <w:rPr>
                <w:rFonts w:eastAsia="Times New Roman" w:cs="Times New Roman"/>
                <w:b/>
                <w:sz w:val="18"/>
                <w:szCs w:val="18"/>
                <w:lang w:eastAsia="hr-HR"/>
              </w:rPr>
            </w:pPr>
            <w:r w:rsidRPr="002F73B3">
              <w:rPr>
                <w:rFonts w:eastAsia="Times New Roman" w:cs="Times New Roman"/>
                <w:b/>
                <w:sz w:val="18"/>
                <w:szCs w:val="18"/>
                <w:lang w:eastAsia="hr-HR"/>
              </w:rPr>
              <w:t>UKUPNO:</w:t>
            </w:r>
          </w:p>
        </w:tc>
        <w:tc>
          <w:tcPr>
            <w:tcW w:w="931" w:type="pct"/>
            <w:tcBorders>
              <w:top w:val="single" w:sz="4" w:space="0" w:color="auto"/>
              <w:left w:val="single" w:sz="4" w:space="0" w:color="auto"/>
              <w:bottom w:val="single" w:sz="4" w:space="0" w:color="auto"/>
              <w:right w:val="single" w:sz="4" w:space="0" w:color="auto"/>
            </w:tcBorders>
            <w:shd w:val="clear" w:color="auto" w:fill="BFBFBF"/>
          </w:tcPr>
          <w:p w14:paraId="3471C9C1" w14:textId="77777777" w:rsidR="0085421A" w:rsidRPr="002F73B3" w:rsidRDefault="0085421A" w:rsidP="00BA499D">
            <w:pPr>
              <w:pStyle w:val="NoSpacing"/>
              <w:spacing w:line="276" w:lineRule="auto"/>
              <w:jc w:val="center"/>
              <w:rPr>
                <w:rFonts w:cs="Times New Roman"/>
                <w:b/>
                <w:sz w:val="18"/>
                <w:szCs w:val="18"/>
              </w:rPr>
            </w:pPr>
            <w:r w:rsidRPr="002F73B3">
              <w:rPr>
                <w:rFonts w:cs="Times New Roman"/>
                <w:b/>
                <w:sz w:val="18"/>
                <w:szCs w:val="18"/>
              </w:rPr>
              <w:t>3830</w:t>
            </w:r>
          </w:p>
        </w:tc>
        <w:tc>
          <w:tcPr>
            <w:tcW w:w="857" w:type="pct"/>
            <w:tcBorders>
              <w:top w:val="single" w:sz="4" w:space="0" w:color="auto"/>
              <w:left w:val="single" w:sz="4" w:space="0" w:color="auto"/>
              <w:bottom w:val="single" w:sz="4" w:space="0" w:color="auto"/>
              <w:right w:val="single" w:sz="4" w:space="0" w:color="auto"/>
            </w:tcBorders>
            <w:shd w:val="clear" w:color="auto" w:fill="BFBFBF"/>
            <w:vAlign w:val="center"/>
          </w:tcPr>
          <w:p w14:paraId="0C55CD6E" w14:textId="77777777" w:rsidR="0085421A" w:rsidRPr="002F73B3" w:rsidRDefault="0085421A" w:rsidP="00BA499D">
            <w:pPr>
              <w:pStyle w:val="NoSpacing"/>
              <w:spacing w:line="276" w:lineRule="auto"/>
              <w:jc w:val="center"/>
              <w:rPr>
                <w:rFonts w:cs="Times New Roman"/>
                <w:b/>
                <w:sz w:val="18"/>
                <w:szCs w:val="18"/>
              </w:rPr>
            </w:pPr>
            <w:r>
              <w:rPr>
                <w:rFonts w:cs="Times New Roman"/>
                <w:b/>
                <w:sz w:val="18"/>
                <w:szCs w:val="18"/>
              </w:rPr>
              <w:t>2990</w:t>
            </w:r>
          </w:p>
        </w:tc>
        <w:tc>
          <w:tcPr>
            <w:tcW w:w="624" w:type="pct"/>
            <w:tcBorders>
              <w:top w:val="single" w:sz="4" w:space="0" w:color="auto"/>
              <w:left w:val="single" w:sz="4" w:space="0" w:color="auto"/>
              <w:bottom w:val="single" w:sz="4" w:space="0" w:color="auto"/>
              <w:right w:val="single" w:sz="4" w:space="0" w:color="auto"/>
            </w:tcBorders>
            <w:shd w:val="clear" w:color="auto" w:fill="BFBFBF"/>
            <w:vAlign w:val="center"/>
          </w:tcPr>
          <w:p w14:paraId="52B6A00B" w14:textId="77777777" w:rsidR="0085421A" w:rsidRPr="002F73B3" w:rsidRDefault="0085421A" w:rsidP="00BA499D">
            <w:pPr>
              <w:pStyle w:val="NoSpacing"/>
              <w:spacing w:line="276" w:lineRule="auto"/>
              <w:jc w:val="center"/>
              <w:rPr>
                <w:rFonts w:cs="Times New Roman"/>
                <w:b/>
                <w:sz w:val="18"/>
                <w:szCs w:val="18"/>
              </w:rPr>
            </w:pPr>
            <w:r>
              <w:rPr>
                <w:rFonts w:cs="Times New Roman"/>
                <w:b/>
                <w:sz w:val="18"/>
                <w:szCs w:val="18"/>
              </w:rPr>
              <w:t>78</w:t>
            </w:r>
            <w:r w:rsidRPr="002F73B3">
              <w:rPr>
                <w:rFonts w:cs="Times New Roman"/>
                <w:b/>
                <w:sz w:val="18"/>
                <w:szCs w:val="18"/>
              </w:rPr>
              <w:t>%</w:t>
            </w:r>
          </w:p>
        </w:tc>
      </w:tr>
    </w:tbl>
    <w:p w14:paraId="3E5B290F" w14:textId="77777777" w:rsidR="0085421A" w:rsidRDefault="0085421A" w:rsidP="0085421A">
      <w:pPr>
        <w:tabs>
          <w:tab w:val="center" w:pos="858"/>
          <w:tab w:val="center" w:pos="4320"/>
          <w:tab w:val="right" w:pos="8306"/>
          <w:tab w:val="right" w:pos="8640"/>
        </w:tabs>
        <w:jc w:val="both"/>
        <w:rPr>
          <w:rFonts w:eastAsia="Times New Roman" w:cstheme="minorHAnsi"/>
          <w:bCs/>
          <w:color w:val="1D1B11"/>
          <w:sz w:val="20"/>
          <w:szCs w:val="20"/>
          <w:lang w:eastAsia="hr-HR"/>
        </w:rPr>
      </w:pPr>
      <w:r>
        <w:rPr>
          <w:rFonts w:eastAsia="Times New Roman" w:cstheme="minorHAnsi"/>
          <w:bCs/>
          <w:color w:val="1D1B11"/>
          <w:sz w:val="20"/>
          <w:szCs w:val="20"/>
          <w:lang w:eastAsia="hr-HR"/>
        </w:rPr>
        <w:t xml:space="preserve">*Sve zaprimljene prijave sumnji na nuspojave su obrađene, ocjenjene i </w:t>
      </w:r>
      <w:r w:rsidRPr="00CD72D0">
        <w:rPr>
          <w:rFonts w:eastAsia="Times New Roman" w:cstheme="minorHAnsi"/>
          <w:bCs/>
          <w:color w:val="1D1B11"/>
          <w:sz w:val="20"/>
          <w:szCs w:val="20"/>
          <w:lang w:eastAsia="hr-HR"/>
        </w:rPr>
        <w:t>prosljeđ</w:t>
      </w:r>
      <w:r>
        <w:rPr>
          <w:rFonts w:eastAsia="Times New Roman" w:cstheme="minorHAnsi"/>
          <w:bCs/>
          <w:color w:val="1D1B11"/>
          <w:sz w:val="20"/>
          <w:szCs w:val="20"/>
          <w:lang w:eastAsia="hr-HR"/>
        </w:rPr>
        <w:t>en</w:t>
      </w:r>
      <w:r w:rsidRPr="00CD72D0">
        <w:rPr>
          <w:rFonts w:eastAsia="Times New Roman" w:cstheme="minorHAnsi"/>
          <w:bCs/>
          <w:color w:val="1D1B11"/>
          <w:sz w:val="20"/>
          <w:szCs w:val="20"/>
          <w:lang w:eastAsia="hr-HR"/>
        </w:rPr>
        <w:t>e u središnju bazu nuspojava EU (EudraVigilance) i u bazu nuspojava Svjetske zdravstvene organizacije (VigiBase).</w:t>
      </w:r>
    </w:p>
    <w:p w14:paraId="4A42EF14" w14:textId="77777777" w:rsidR="0085421A" w:rsidRPr="002F73B3" w:rsidRDefault="0085421A" w:rsidP="0085421A">
      <w:pPr>
        <w:tabs>
          <w:tab w:val="center" w:pos="858"/>
          <w:tab w:val="center" w:pos="4320"/>
          <w:tab w:val="right" w:pos="8306"/>
          <w:tab w:val="right" w:pos="8640"/>
        </w:tabs>
        <w:spacing w:after="120"/>
        <w:jc w:val="both"/>
        <w:rPr>
          <w:rFonts w:eastAsia="Times New Roman" w:cstheme="minorHAnsi"/>
          <w:b/>
          <w:bCs/>
          <w:color w:val="1D1B11"/>
          <w:lang w:eastAsia="hr-HR"/>
        </w:rPr>
      </w:pPr>
      <w:r w:rsidRPr="002F73B3">
        <w:rPr>
          <w:rFonts w:eastAsia="Times New Roman" w:cstheme="minorHAnsi"/>
          <w:bCs/>
          <w:color w:val="1D1B11"/>
          <w:sz w:val="20"/>
          <w:szCs w:val="20"/>
          <w:lang w:eastAsia="hr-HR"/>
        </w:rPr>
        <w:t>*</w:t>
      </w:r>
      <w:r>
        <w:rPr>
          <w:rFonts w:eastAsia="Times New Roman" w:cstheme="minorHAnsi"/>
          <w:bCs/>
          <w:color w:val="1D1B11"/>
          <w:sz w:val="20"/>
          <w:szCs w:val="20"/>
          <w:lang w:eastAsia="hr-HR"/>
        </w:rPr>
        <w:t>*</w:t>
      </w:r>
      <w:r w:rsidRPr="002F73B3">
        <w:rPr>
          <w:rFonts w:eastAsia="Times New Roman" w:cstheme="minorHAnsi"/>
          <w:bCs/>
          <w:color w:val="1D1B11"/>
          <w:sz w:val="20"/>
          <w:szCs w:val="20"/>
          <w:lang w:eastAsia="hr-HR"/>
        </w:rPr>
        <w:t>Svi zdravstveni radnici (liječnici i farmaceuti) koji su prijavili sumnju na nuspojavu su evidentirani.</w:t>
      </w:r>
    </w:p>
    <w:p w14:paraId="04DAA8D0" w14:textId="77777777" w:rsidR="0085421A" w:rsidRDefault="0085421A" w:rsidP="0085421A">
      <w:pPr>
        <w:tabs>
          <w:tab w:val="center" w:pos="858"/>
          <w:tab w:val="center" w:pos="4320"/>
          <w:tab w:val="right" w:pos="8306"/>
          <w:tab w:val="right" w:pos="8640"/>
        </w:tabs>
        <w:spacing w:after="120"/>
        <w:jc w:val="both"/>
        <w:rPr>
          <w:rFonts w:eastAsia="Times New Roman" w:cstheme="minorHAnsi"/>
          <w:b/>
          <w:bCs/>
          <w:color w:val="1D1B11"/>
          <w:lang w:eastAsia="hr-HR"/>
        </w:rPr>
      </w:pPr>
    </w:p>
    <w:p w14:paraId="538ADF2B" w14:textId="77777777" w:rsidR="0085421A" w:rsidRPr="002F73B3" w:rsidRDefault="0085421A" w:rsidP="0085421A">
      <w:pPr>
        <w:tabs>
          <w:tab w:val="center" w:pos="858"/>
          <w:tab w:val="center" w:pos="4320"/>
          <w:tab w:val="right" w:pos="8306"/>
          <w:tab w:val="right" w:pos="8640"/>
        </w:tabs>
        <w:spacing w:after="120"/>
        <w:jc w:val="both"/>
        <w:rPr>
          <w:rFonts w:eastAsia="Times New Roman" w:cstheme="minorHAnsi"/>
          <w:b/>
          <w:bCs/>
          <w:color w:val="1D1B11"/>
          <w:lang w:eastAsia="hr-HR"/>
        </w:rPr>
      </w:pPr>
      <w:r w:rsidRPr="002F73B3">
        <w:rPr>
          <w:rFonts w:eastAsia="Times New Roman" w:cstheme="minorHAnsi"/>
          <w:b/>
          <w:bCs/>
          <w:color w:val="1D1B11"/>
          <w:lang w:eastAsia="hr-HR"/>
        </w:rPr>
        <w:t>Tablica 9. Sudjelovanja na radnim sastancima u europskim poslovima farmakovigilancije</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5284"/>
        <w:gridCol w:w="1933"/>
        <w:gridCol w:w="1629"/>
      </w:tblGrid>
      <w:tr w:rsidR="0085421A" w:rsidRPr="002F73B3" w14:paraId="67334A4C" w14:textId="77777777" w:rsidTr="00BA499D">
        <w:trPr>
          <w:trHeight w:val="227"/>
          <w:tblHeader/>
        </w:trPr>
        <w:tc>
          <w:tcPr>
            <w:tcW w:w="341" w:type="pct"/>
            <w:tcBorders>
              <w:top w:val="single" w:sz="4" w:space="0" w:color="auto"/>
              <w:left w:val="single" w:sz="4" w:space="0" w:color="auto"/>
              <w:bottom w:val="single" w:sz="4" w:space="0" w:color="auto"/>
              <w:right w:val="single" w:sz="4" w:space="0" w:color="auto"/>
            </w:tcBorders>
            <w:shd w:val="clear" w:color="auto" w:fill="A3E7FF"/>
            <w:vAlign w:val="center"/>
            <w:hideMark/>
          </w:tcPr>
          <w:p w14:paraId="11A069E3" w14:textId="77777777" w:rsidR="0085421A" w:rsidRPr="002F73B3" w:rsidRDefault="0085421A" w:rsidP="00BA499D">
            <w:pPr>
              <w:jc w:val="center"/>
              <w:rPr>
                <w:rFonts w:eastAsia="Times New Roman" w:cs="Times New Roman"/>
                <w:b/>
                <w:bCs/>
                <w:color w:val="1A1A1A"/>
                <w:sz w:val="18"/>
                <w:szCs w:val="18"/>
                <w:lang w:eastAsia="hr-HR"/>
              </w:rPr>
            </w:pPr>
            <w:r w:rsidRPr="002F73B3">
              <w:rPr>
                <w:rFonts w:eastAsia="Times New Roman" w:cs="Times New Roman"/>
                <w:b/>
                <w:bCs/>
                <w:color w:val="1A1A1A"/>
                <w:sz w:val="18"/>
                <w:szCs w:val="18"/>
                <w:lang w:eastAsia="hr-HR"/>
              </w:rPr>
              <w:t>R.br.</w:t>
            </w:r>
          </w:p>
        </w:tc>
        <w:tc>
          <w:tcPr>
            <w:tcW w:w="2783" w:type="pct"/>
            <w:tcBorders>
              <w:top w:val="single" w:sz="4" w:space="0" w:color="auto"/>
              <w:left w:val="single" w:sz="4" w:space="0" w:color="auto"/>
              <w:bottom w:val="single" w:sz="4" w:space="0" w:color="auto"/>
              <w:right w:val="single" w:sz="4" w:space="0" w:color="auto"/>
            </w:tcBorders>
            <w:shd w:val="clear" w:color="auto" w:fill="A3E7FF"/>
            <w:vAlign w:val="center"/>
            <w:hideMark/>
          </w:tcPr>
          <w:p w14:paraId="520AE734" w14:textId="77777777" w:rsidR="0085421A" w:rsidRPr="002F73B3" w:rsidRDefault="0085421A" w:rsidP="00BA499D">
            <w:pPr>
              <w:rPr>
                <w:rFonts w:eastAsia="Times New Roman" w:cs="Times New Roman"/>
                <w:b/>
                <w:bCs/>
                <w:color w:val="1A1A1A"/>
                <w:sz w:val="18"/>
                <w:szCs w:val="18"/>
                <w:lang w:eastAsia="hr-HR"/>
              </w:rPr>
            </w:pPr>
          </w:p>
          <w:p w14:paraId="0754A982" w14:textId="77777777" w:rsidR="0085421A" w:rsidRPr="002F73B3" w:rsidRDefault="0085421A" w:rsidP="00BA499D">
            <w:pPr>
              <w:rPr>
                <w:rFonts w:eastAsia="Times New Roman" w:cs="Times New Roman"/>
                <w:b/>
                <w:bCs/>
                <w:color w:val="1A1A1A"/>
                <w:sz w:val="18"/>
                <w:szCs w:val="18"/>
                <w:lang w:eastAsia="hr-HR"/>
              </w:rPr>
            </w:pPr>
            <w:r w:rsidRPr="002F73B3">
              <w:rPr>
                <w:rFonts w:eastAsia="Times New Roman" w:cs="Times New Roman"/>
                <w:b/>
                <w:bCs/>
                <w:color w:val="1A1A1A"/>
                <w:sz w:val="18"/>
                <w:szCs w:val="18"/>
                <w:lang w:eastAsia="hr-HR"/>
              </w:rPr>
              <w:t xml:space="preserve">Naziv povjerenstva/radne skupine/ odbora </w:t>
            </w:r>
          </w:p>
          <w:p w14:paraId="55F79E1E" w14:textId="77777777" w:rsidR="0085421A" w:rsidRPr="002F73B3" w:rsidRDefault="0085421A" w:rsidP="00BA499D">
            <w:pPr>
              <w:rPr>
                <w:rFonts w:eastAsia="Times New Roman" w:cs="Times New Roman"/>
                <w:b/>
                <w:bCs/>
                <w:color w:val="1A1A1A"/>
                <w:sz w:val="18"/>
                <w:szCs w:val="18"/>
                <w:lang w:eastAsia="hr-HR"/>
              </w:rPr>
            </w:pPr>
          </w:p>
        </w:tc>
        <w:tc>
          <w:tcPr>
            <w:tcW w:w="1018" w:type="pct"/>
            <w:tcBorders>
              <w:top w:val="single" w:sz="4" w:space="0" w:color="auto"/>
              <w:left w:val="single" w:sz="4" w:space="0" w:color="auto"/>
              <w:bottom w:val="single" w:sz="4" w:space="0" w:color="auto"/>
              <w:right w:val="single" w:sz="4" w:space="0" w:color="auto"/>
            </w:tcBorders>
            <w:shd w:val="clear" w:color="auto" w:fill="A3E7FF"/>
            <w:vAlign w:val="center"/>
          </w:tcPr>
          <w:p w14:paraId="1779C017" w14:textId="77777777" w:rsidR="0085421A" w:rsidRPr="002F73B3" w:rsidRDefault="0085421A" w:rsidP="00BA499D">
            <w:pPr>
              <w:jc w:val="center"/>
              <w:rPr>
                <w:rFonts w:eastAsia="Times New Roman" w:cs="Times New Roman"/>
                <w:b/>
                <w:color w:val="000000"/>
                <w:sz w:val="18"/>
                <w:szCs w:val="18"/>
                <w:lang w:eastAsia="hr-HR"/>
              </w:rPr>
            </w:pPr>
            <w:r w:rsidRPr="002F73B3">
              <w:rPr>
                <w:b/>
                <w:sz w:val="18"/>
                <w:szCs w:val="18"/>
                <w:lang w:eastAsia="hr-HR"/>
              </w:rPr>
              <w:t>Plan za 2023. godinu</w:t>
            </w:r>
          </w:p>
        </w:tc>
        <w:tc>
          <w:tcPr>
            <w:tcW w:w="858" w:type="pct"/>
            <w:tcBorders>
              <w:top w:val="single" w:sz="4" w:space="0" w:color="auto"/>
              <w:left w:val="single" w:sz="4" w:space="0" w:color="auto"/>
              <w:bottom w:val="single" w:sz="4" w:space="0" w:color="auto"/>
              <w:right w:val="single" w:sz="4" w:space="0" w:color="auto"/>
            </w:tcBorders>
            <w:shd w:val="clear" w:color="auto" w:fill="A3E7FF"/>
          </w:tcPr>
          <w:p w14:paraId="34CAE801" w14:textId="77777777" w:rsidR="0085421A" w:rsidRPr="002F73B3" w:rsidRDefault="0085421A" w:rsidP="00BA499D">
            <w:pPr>
              <w:jc w:val="center"/>
              <w:rPr>
                <w:rFonts w:eastAsia="Times New Roman" w:cs="Times New Roman"/>
                <w:b/>
                <w:color w:val="000000"/>
                <w:sz w:val="18"/>
                <w:szCs w:val="18"/>
                <w:lang w:eastAsia="hr-HR"/>
              </w:rPr>
            </w:pPr>
            <w:r w:rsidRPr="002F73B3">
              <w:rPr>
                <w:rFonts w:eastAsia="Times New Roman" w:cs="Times New Roman"/>
                <w:b/>
                <w:color w:val="000000"/>
                <w:sz w:val="18"/>
                <w:szCs w:val="18"/>
                <w:lang w:eastAsia="hr-HR"/>
              </w:rPr>
              <w:t>Izvršenje 01.01.-3</w:t>
            </w:r>
            <w:r>
              <w:rPr>
                <w:rFonts w:eastAsia="Times New Roman" w:cs="Times New Roman"/>
                <w:b/>
                <w:color w:val="000000"/>
                <w:sz w:val="18"/>
                <w:szCs w:val="18"/>
                <w:lang w:eastAsia="hr-HR"/>
              </w:rPr>
              <w:t>1</w:t>
            </w:r>
            <w:r w:rsidRPr="002F73B3">
              <w:rPr>
                <w:rFonts w:eastAsia="Times New Roman" w:cs="Times New Roman"/>
                <w:b/>
                <w:color w:val="000000"/>
                <w:sz w:val="18"/>
                <w:szCs w:val="18"/>
                <w:lang w:eastAsia="hr-HR"/>
              </w:rPr>
              <w:t>.</w:t>
            </w:r>
            <w:r>
              <w:rPr>
                <w:rFonts w:eastAsia="Times New Roman" w:cs="Times New Roman"/>
                <w:b/>
                <w:color w:val="000000"/>
                <w:sz w:val="18"/>
                <w:szCs w:val="18"/>
                <w:lang w:eastAsia="hr-HR"/>
              </w:rPr>
              <w:t>12</w:t>
            </w:r>
            <w:r w:rsidRPr="002F73B3">
              <w:rPr>
                <w:rFonts w:eastAsia="Times New Roman" w:cs="Times New Roman"/>
                <w:b/>
                <w:color w:val="000000"/>
                <w:sz w:val="18"/>
                <w:szCs w:val="18"/>
                <w:lang w:eastAsia="hr-HR"/>
              </w:rPr>
              <w:t>.2023.</w:t>
            </w:r>
          </w:p>
        </w:tc>
      </w:tr>
      <w:tr w:rsidR="0085421A" w:rsidRPr="002F73B3" w14:paraId="43634E87" w14:textId="77777777" w:rsidTr="00BA499D">
        <w:trPr>
          <w:trHeight w:val="227"/>
        </w:trPr>
        <w:tc>
          <w:tcPr>
            <w:tcW w:w="341" w:type="pct"/>
            <w:tcBorders>
              <w:top w:val="single" w:sz="4" w:space="0" w:color="auto"/>
              <w:left w:val="single" w:sz="4" w:space="0" w:color="auto"/>
              <w:bottom w:val="single" w:sz="4" w:space="0" w:color="auto"/>
              <w:right w:val="single" w:sz="4" w:space="0" w:color="auto"/>
            </w:tcBorders>
            <w:vAlign w:val="center"/>
            <w:hideMark/>
          </w:tcPr>
          <w:p w14:paraId="35B640F1" w14:textId="77777777" w:rsidR="0085421A" w:rsidRPr="002F73B3" w:rsidRDefault="0085421A" w:rsidP="00BA499D">
            <w:pPr>
              <w:pStyle w:val="NoSpacing"/>
              <w:spacing w:line="276" w:lineRule="auto"/>
              <w:jc w:val="center"/>
              <w:rPr>
                <w:rFonts w:eastAsia="Times New Roman" w:cs="Times New Roman"/>
                <w:sz w:val="18"/>
                <w:szCs w:val="18"/>
              </w:rPr>
            </w:pPr>
            <w:r w:rsidRPr="002F73B3">
              <w:rPr>
                <w:rFonts w:eastAsia="Times New Roman" w:cs="Times New Roman"/>
                <w:sz w:val="18"/>
                <w:szCs w:val="18"/>
              </w:rPr>
              <w:t>1.</w:t>
            </w:r>
          </w:p>
        </w:tc>
        <w:tc>
          <w:tcPr>
            <w:tcW w:w="2783" w:type="pct"/>
            <w:tcBorders>
              <w:top w:val="single" w:sz="4" w:space="0" w:color="auto"/>
              <w:left w:val="single" w:sz="4" w:space="0" w:color="auto"/>
              <w:bottom w:val="single" w:sz="4" w:space="0" w:color="auto"/>
              <w:right w:val="single" w:sz="4" w:space="0" w:color="auto"/>
            </w:tcBorders>
            <w:vAlign w:val="center"/>
            <w:hideMark/>
          </w:tcPr>
          <w:p w14:paraId="2BE636A4" w14:textId="77777777" w:rsidR="0085421A" w:rsidRPr="002F73B3" w:rsidRDefault="0085421A" w:rsidP="00BA499D">
            <w:pPr>
              <w:pStyle w:val="NoSpacing"/>
              <w:spacing w:line="276" w:lineRule="auto"/>
              <w:rPr>
                <w:rFonts w:eastAsia="Times New Roman" w:cs="Times New Roman"/>
                <w:sz w:val="18"/>
                <w:szCs w:val="18"/>
              </w:rPr>
            </w:pPr>
            <w:r w:rsidRPr="002F73B3">
              <w:rPr>
                <w:rFonts w:eastAsia="Times New Roman" w:cs="Times New Roman"/>
                <w:sz w:val="18"/>
                <w:szCs w:val="18"/>
              </w:rPr>
              <w:t>Povjerenstvo za ocjenu rizika na području farmakovigilancije (PRAC)</w:t>
            </w:r>
          </w:p>
        </w:tc>
        <w:tc>
          <w:tcPr>
            <w:tcW w:w="1018" w:type="pct"/>
            <w:tcBorders>
              <w:top w:val="single" w:sz="4" w:space="0" w:color="auto"/>
              <w:left w:val="single" w:sz="4" w:space="0" w:color="auto"/>
              <w:bottom w:val="single" w:sz="4" w:space="0" w:color="auto"/>
              <w:right w:val="single" w:sz="4" w:space="0" w:color="auto"/>
            </w:tcBorders>
            <w:vAlign w:val="center"/>
          </w:tcPr>
          <w:p w14:paraId="39CB0A4B" w14:textId="77777777" w:rsidR="0085421A" w:rsidRPr="002F73B3" w:rsidRDefault="0085421A" w:rsidP="00BA499D">
            <w:pPr>
              <w:jc w:val="center"/>
              <w:rPr>
                <w:rFonts w:cs="Times New Roman"/>
                <w:bCs/>
                <w:sz w:val="18"/>
                <w:szCs w:val="18"/>
              </w:rPr>
            </w:pPr>
            <w:r w:rsidRPr="002F73B3">
              <w:rPr>
                <w:rFonts w:cs="Times New Roman"/>
                <w:bCs/>
                <w:sz w:val="18"/>
                <w:szCs w:val="18"/>
              </w:rPr>
              <w:t>12</w:t>
            </w:r>
          </w:p>
        </w:tc>
        <w:tc>
          <w:tcPr>
            <w:tcW w:w="858" w:type="pct"/>
            <w:tcBorders>
              <w:top w:val="single" w:sz="4" w:space="0" w:color="auto"/>
              <w:left w:val="single" w:sz="4" w:space="0" w:color="auto"/>
              <w:bottom w:val="single" w:sz="4" w:space="0" w:color="auto"/>
              <w:right w:val="single" w:sz="4" w:space="0" w:color="auto"/>
            </w:tcBorders>
            <w:vAlign w:val="center"/>
          </w:tcPr>
          <w:p w14:paraId="3D56BB7C" w14:textId="77777777" w:rsidR="0085421A" w:rsidRPr="002F73B3" w:rsidRDefault="0085421A" w:rsidP="00BA499D">
            <w:pPr>
              <w:jc w:val="center"/>
              <w:rPr>
                <w:rFonts w:cs="Times New Roman"/>
                <w:bCs/>
                <w:sz w:val="18"/>
                <w:szCs w:val="18"/>
              </w:rPr>
            </w:pPr>
            <w:r>
              <w:rPr>
                <w:rFonts w:cs="Times New Roman"/>
                <w:bCs/>
                <w:sz w:val="18"/>
                <w:szCs w:val="18"/>
              </w:rPr>
              <w:t>12</w:t>
            </w:r>
          </w:p>
        </w:tc>
      </w:tr>
      <w:tr w:rsidR="0085421A" w:rsidRPr="002F73B3" w14:paraId="32B30056" w14:textId="77777777" w:rsidTr="00BA499D">
        <w:trPr>
          <w:trHeight w:val="227"/>
        </w:trPr>
        <w:tc>
          <w:tcPr>
            <w:tcW w:w="341" w:type="pct"/>
            <w:tcBorders>
              <w:top w:val="single" w:sz="4" w:space="0" w:color="auto"/>
              <w:left w:val="single" w:sz="4" w:space="0" w:color="auto"/>
              <w:bottom w:val="single" w:sz="4" w:space="0" w:color="auto"/>
              <w:right w:val="single" w:sz="4" w:space="0" w:color="auto"/>
            </w:tcBorders>
            <w:vAlign w:val="center"/>
            <w:hideMark/>
          </w:tcPr>
          <w:p w14:paraId="53C859A6" w14:textId="77777777" w:rsidR="0085421A" w:rsidRPr="002F73B3" w:rsidRDefault="0085421A" w:rsidP="00BA499D">
            <w:pPr>
              <w:pStyle w:val="NoSpacing"/>
              <w:spacing w:line="276" w:lineRule="auto"/>
              <w:jc w:val="center"/>
              <w:rPr>
                <w:rFonts w:eastAsia="Times New Roman" w:cs="Times New Roman"/>
                <w:sz w:val="18"/>
                <w:szCs w:val="18"/>
              </w:rPr>
            </w:pPr>
            <w:r w:rsidRPr="002F73B3">
              <w:rPr>
                <w:rFonts w:eastAsia="Times New Roman" w:cs="Times New Roman"/>
                <w:sz w:val="18"/>
                <w:szCs w:val="18"/>
              </w:rPr>
              <w:t>2.</w:t>
            </w:r>
          </w:p>
        </w:tc>
        <w:tc>
          <w:tcPr>
            <w:tcW w:w="2783" w:type="pct"/>
            <w:tcBorders>
              <w:top w:val="single" w:sz="4" w:space="0" w:color="auto"/>
              <w:left w:val="single" w:sz="4" w:space="0" w:color="auto"/>
              <w:bottom w:val="single" w:sz="4" w:space="0" w:color="auto"/>
              <w:right w:val="single" w:sz="4" w:space="0" w:color="auto"/>
            </w:tcBorders>
            <w:vAlign w:val="center"/>
            <w:hideMark/>
          </w:tcPr>
          <w:p w14:paraId="48240F85" w14:textId="77777777" w:rsidR="0085421A" w:rsidRPr="002F73B3" w:rsidRDefault="0085421A" w:rsidP="00BA499D">
            <w:pPr>
              <w:pStyle w:val="NoSpacing"/>
              <w:spacing w:line="276" w:lineRule="auto"/>
              <w:rPr>
                <w:rFonts w:eastAsia="Times New Roman" w:cs="Times New Roman"/>
                <w:sz w:val="18"/>
                <w:szCs w:val="18"/>
              </w:rPr>
            </w:pPr>
            <w:r w:rsidRPr="002F73B3">
              <w:rPr>
                <w:rFonts w:eastAsia="Times New Roman" w:cs="Times New Roman"/>
                <w:sz w:val="18"/>
                <w:szCs w:val="18"/>
              </w:rPr>
              <w:t>Europska mreža centara za farmakoepidemiologiju i farmakovigilanciju (ENCePP)</w:t>
            </w:r>
          </w:p>
        </w:tc>
        <w:tc>
          <w:tcPr>
            <w:tcW w:w="1018" w:type="pct"/>
            <w:tcBorders>
              <w:top w:val="single" w:sz="4" w:space="0" w:color="auto"/>
              <w:left w:val="single" w:sz="4" w:space="0" w:color="auto"/>
              <w:bottom w:val="single" w:sz="4" w:space="0" w:color="auto"/>
              <w:right w:val="single" w:sz="4" w:space="0" w:color="auto"/>
            </w:tcBorders>
            <w:vAlign w:val="center"/>
          </w:tcPr>
          <w:p w14:paraId="2A742F78" w14:textId="77777777" w:rsidR="0085421A" w:rsidRPr="002F73B3" w:rsidRDefault="0085421A" w:rsidP="00BA499D">
            <w:pPr>
              <w:jc w:val="center"/>
              <w:rPr>
                <w:rFonts w:cs="Times New Roman"/>
                <w:bCs/>
                <w:sz w:val="18"/>
                <w:szCs w:val="18"/>
              </w:rPr>
            </w:pPr>
            <w:r w:rsidRPr="002F73B3">
              <w:rPr>
                <w:rFonts w:cs="Times New Roman"/>
                <w:bCs/>
                <w:sz w:val="18"/>
                <w:szCs w:val="18"/>
              </w:rPr>
              <w:t>1</w:t>
            </w:r>
          </w:p>
        </w:tc>
        <w:tc>
          <w:tcPr>
            <w:tcW w:w="858" w:type="pct"/>
            <w:tcBorders>
              <w:top w:val="single" w:sz="4" w:space="0" w:color="auto"/>
              <w:left w:val="single" w:sz="4" w:space="0" w:color="auto"/>
              <w:bottom w:val="single" w:sz="4" w:space="0" w:color="auto"/>
              <w:right w:val="single" w:sz="4" w:space="0" w:color="auto"/>
            </w:tcBorders>
            <w:vAlign w:val="center"/>
          </w:tcPr>
          <w:p w14:paraId="464DD361" w14:textId="77777777" w:rsidR="0085421A" w:rsidRPr="002F73B3" w:rsidRDefault="0085421A" w:rsidP="00BA499D">
            <w:pPr>
              <w:jc w:val="center"/>
              <w:rPr>
                <w:rFonts w:cs="Times New Roman"/>
                <w:bCs/>
                <w:sz w:val="18"/>
                <w:szCs w:val="18"/>
              </w:rPr>
            </w:pPr>
            <w:r w:rsidRPr="002F73B3">
              <w:rPr>
                <w:rFonts w:cs="Times New Roman"/>
                <w:bCs/>
                <w:sz w:val="18"/>
                <w:szCs w:val="18"/>
              </w:rPr>
              <w:t>0</w:t>
            </w:r>
          </w:p>
        </w:tc>
      </w:tr>
      <w:tr w:rsidR="0085421A" w:rsidRPr="002F73B3" w14:paraId="722CFFAE" w14:textId="77777777" w:rsidTr="00BA499D">
        <w:trPr>
          <w:trHeight w:val="227"/>
        </w:trPr>
        <w:tc>
          <w:tcPr>
            <w:tcW w:w="341" w:type="pct"/>
            <w:tcBorders>
              <w:top w:val="single" w:sz="4" w:space="0" w:color="auto"/>
              <w:left w:val="single" w:sz="4" w:space="0" w:color="auto"/>
              <w:bottom w:val="single" w:sz="4" w:space="0" w:color="auto"/>
              <w:right w:val="single" w:sz="4" w:space="0" w:color="auto"/>
            </w:tcBorders>
            <w:vAlign w:val="center"/>
            <w:hideMark/>
          </w:tcPr>
          <w:p w14:paraId="1820C3C1" w14:textId="77777777" w:rsidR="0085421A" w:rsidRPr="002F73B3" w:rsidRDefault="0085421A" w:rsidP="00BA499D">
            <w:pPr>
              <w:pStyle w:val="NoSpacing"/>
              <w:spacing w:line="276" w:lineRule="auto"/>
              <w:jc w:val="center"/>
              <w:rPr>
                <w:rFonts w:eastAsia="Times New Roman" w:cs="Times New Roman"/>
                <w:sz w:val="18"/>
                <w:szCs w:val="18"/>
              </w:rPr>
            </w:pPr>
            <w:r w:rsidRPr="002F73B3">
              <w:rPr>
                <w:rFonts w:eastAsia="Times New Roman" w:cs="Times New Roman"/>
                <w:sz w:val="18"/>
                <w:szCs w:val="18"/>
              </w:rPr>
              <w:t>3.</w:t>
            </w:r>
          </w:p>
        </w:tc>
        <w:tc>
          <w:tcPr>
            <w:tcW w:w="2783" w:type="pct"/>
            <w:tcBorders>
              <w:top w:val="single" w:sz="4" w:space="0" w:color="auto"/>
              <w:left w:val="single" w:sz="4" w:space="0" w:color="auto"/>
              <w:bottom w:val="single" w:sz="4" w:space="0" w:color="auto"/>
              <w:right w:val="single" w:sz="4" w:space="0" w:color="auto"/>
            </w:tcBorders>
            <w:vAlign w:val="center"/>
            <w:hideMark/>
          </w:tcPr>
          <w:p w14:paraId="3C0274CB" w14:textId="77777777" w:rsidR="0085421A" w:rsidRPr="002F73B3" w:rsidRDefault="0085421A" w:rsidP="00BA499D">
            <w:pPr>
              <w:pStyle w:val="NoSpacing"/>
              <w:spacing w:line="276" w:lineRule="auto"/>
              <w:rPr>
                <w:rFonts w:eastAsia="Times New Roman" w:cs="Times New Roman"/>
                <w:sz w:val="18"/>
                <w:szCs w:val="18"/>
              </w:rPr>
            </w:pPr>
            <w:r w:rsidRPr="002F73B3">
              <w:rPr>
                <w:rFonts w:eastAsia="Times New Roman" w:cs="Times New Roman"/>
                <w:sz w:val="18"/>
                <w:szCs w:val="18"/>
              </w:rPr>
              <w:t>Tim za upravljanje farmakovigilancijskim poslovima (PBT)</w:t>
            </w:r>
          </w:p>
        </w:tc>
        <w:tc>
          <w:tcPr>
            <w:tcW w:w="1018" w:type="pct"/>
            <w:tcBorders>
              <w:top w:val="single" w:sz="4" w:space="0" w:color="auto"/>
              <w:left w:val="single" w:sz="4" w:space="0" w:color="auto"/>
              <w:bottom w:val="single" w:sz="4" w:space="0" w:color="auto"/>
              <w:right w:val="single" w:sz="4" w:space="0" w:color="auto"/>
            </w:tcBorders>
            <w:vAlign w:val="center"/>
          </w:tcPr>
          <w:p w14:paraId="454753A2" w14:textId="77777777" w:rsidR="0085421A" w:rsidRPr="002F73B3" w:rsidRDefault="0085421A" w:rsidP="00BA499D">
            <w:pPr>
              <w:jc w:val="center"/>
              <w:rPr>
                <w:rFonts w:cs="Times New Roman"/>
                <w:bCs/>
                <w:sz w:val="18"/>
                <w:szCs w:val="18"/>
              </w:rPr>
            </w:pPr>
            <w:r w:rsidRPr="002F73B3">
              <w:rPr>
                <w:rFonts w:cs="Times New Roman"/>
                <w:bCs/>
                <w:sz w:val="18"/>
                <w:szCs w:val="18"/>
              </w:rPr>
              <w:t>3</w:t>
            </w:r>
          </w:p>
        </w:tc>
        <w:tc>
          <w:tcPr>
            <w:tcW w:w="858" w:type="pct"/>
            <w:tcBorders>
              <w:top w:val="single" w:sz="4" w:space="0" w:color="auto"/>
              <w:left w:val="single" w:sz="4" w:space="0" w:color="auto"/>
              <w:bottom w:val="single" w:sz="4" w:space="0" w:color="auto"/>
              <w:right w:val="single" w:sz="4" w:space="0" w:color="auto"/>
            </w:tcBorders>
          </w:tcPr>
          <w:p w14:paraId="5C60370E" w14:textId="77777777" w:rsidR="0085421A" w:rsidRPr="002F73B3" w:rsidRDefault="0085421A" w:rsidP="00BA499D">
            <w:pPr>
              <w:jc w:val="center"/>
              <w:rPr>
                <w:rFonts w:cs="Times New Roman"/>
                <w:bCs/>
                <w:sz w:val="18"/>
                <w:szCs w:val="18"/>
              </w:rPr>
            </w:pPr>
            <w:r w:rsidRPr="002F73B3">
              <w:rPr>
                <w:rFonts w:cs="Times New Roman"/>
                <w:bCs/>
                <w:sz w:val="18"/>
                <w:szCs w:val="18"/>
              </w:rPr>
              <w:t>1</w:t>
            </w:r>
          </w:p>
        </w:tc>
      </w:tr>
      <w:tr w:rsidR="0085421A" w:rsidRPr="002F73B3" w14:paraId="7DBC8684" w14:textId="77777777" w:rsidTr="00BA499D">
        <w:trPr>
          <w:trHeight w:val="227"/>
        </w:trPr>
        <w:tc>
          <w:tcPr>
            <w:tcW w:w="341" w:type="pct"/>
            <w:tcBorders>
              <w:top w:val="single" w:sz="4" w:space="0" w:color="auto"/>
              <w:left w:val="single" w:sz="4" w:space="0" w:color="auto"/>
              <w:bottom w:val="single" w:sz="4" w:space="0" w:color="auto"/>
              <w:right w:val="single" w:sz="4" w:space="0" w:color="auto"/>
            </w:tcBorders>
            <w:vAlign w:val="center"/>
          </w:tcPr>
          <w:p w14:paraId="4359B01F" w14:textId="77777777" w:rsidR="0085421A" w:rsidRPr="002F73B3" w:rsidRDefault="0085421A" w:rsidP="00BA499D">
            <w:pPr>
              <w:pStyle w:val="NoSpacing"/>
              <w:spacing w:line="276" w:lineRule="auto"/>
              <w:jc w:val="center"/>
              <w:rPr>
                <w:rFonts w:eastAsia="Times New Roman" w:cs="Times New Roman"/>
                <w:sz w:val="18"/>
                <w:szCs w:val="18"/>
              </w:rPr>
            </w:pPr>
            <w:r w:rsidRPr="002F73B3">
              <w:rPr>
                <w:rFonts w:eastAsia="Times New Roman" w:cs="Times New Roman"/>
                <w:sz w:val="18"/>
                <w:szCs w:val="18"/>
              </w:rPr>
              <w:t>4.</w:t>
            </w:r>
          </w:p>
        </w:tc>
        <w:tc>
          <w:tcPr>
            <w:tcW w:w="2783" w:type="pct"/>
            <w:tcBorders>
              <w:top w:val="single" w:sz="4" w:space="0" w:color="auto"/>
              <w:left w:val="single" w:sz="4" w:space="0" w:color="auto"/>
              <w:bottom w:val="single" w:sz="4" w:space="0" w:color="auto"/>
              <w:right w:val="single" w:sz="4" w:space="0" w:color="auto"/>
            </w:tcBorders>
            <w:vAlign w:val="center"/>
          </w:tcPr>
          <w:p w14:paraId="62C65D1E" w14:textId="77777777" w:rsidR="0085421A" w:rsidRPr="002F73B3" w:rsidRDefault="0085421A" w:rsidP="00BA499D">
            <w:pPr>
              <w:pStyle w:val="NoSpacing"/>
              <w:spacing w:line="276" w:lineRule="auto"/>
              <w:rPr>
                <w:rFonts w:eastAsia="Times New Roman" w:cs="Times New Roman"/>
                <w:sz w:val="18"/>
                <w:szCs w:val="18"/>
              </w:rPr>
            </w:pPr>
            <w:r w:rsidRPr="002F73B3">
              <w:rPr>
                <w:rFonts w:eastAsia="Times New Roman" w:cs="Times New Roman"/>
                <w:sz w:val="18"/>
                <w:szCs w:val="18"/>
              </w:rPr>
              <w:t>Projekt harmonizacije plana upravljanja rizicima (HaRP)</w:t>
            </w:r>
          </w:p>
        </w:tc>
        <w:tc>
          <w:tcPr>
            <w:tcW w:w="1018" w:type="pct"/>
            <w:tcBorders>
              <w:top w:val="single" w:sz="4" w:space="0" w:color="auto"/>
              <w:left w:val="single" w:sz="4" w:space="0" w:color="auto"/>
              <w:bottom w:val="single" w:sz="4" w:space="0" w:color="auto"/>
              <w:right w:val="single" w:sz="4" w:space="0" w:color="auto"/>
            </w:tcBorders>
            <w:vAlign w:val="center"/>
          </w:tcPr>
          <w:p w14:paraId="6EEF2927" w14:textId="77777777" w:rsidR="0085421A" w:rsidRPr="002F73B3" w:rsidRDefault="0085421A" w:rsidP="00BA499D">
            <w:pPr>
              <w:jc w:val="center"/>
              <w:rPr>
                <w:rFonts w:cs="Times New Roman"/>
                <w:bCs/>
                <w:sz w:val="18"/>
                <w:szCs w:val="18"/>
              </w:rPr>
            </w:pPr>
            <w:r w:rsidRPr="002F73B3">
              <w:rPr>
                <w:rFonts w:cs="Times New Roman"/>
                <w:bCs/>
                <w:sz w:val="18"/>
                <w:szCs w:val="18"/>
              </w:rPr>
              <w:t>4</w:t>
            </w:r>
          </w:p>
        </w:tc>
        <w:tc>
          <w:tcPr>
            <w:tcW w:w="858" w:type="pct"/>
            <w:tcBorders>
              <w:top w:val="single" w:sz="4" w:space="0" w:color="auto"/>
              <w:left w:val="single" w:sz="4" w:space="0" w:color="auto"/>
              <w:bottom w:val="single" w:sz="4" w:space="0" w:color="auto"/>
              <w:right w:val="single" w:sz="4" w:space="0" w:color="auto"/>
            </w:tcBorders>
          </w:tcPr>
          <w:p w14:paraId="680AB487" w14:textId="77777777" w:rsidR="0085421A" w:rsidRPr="002F73B3" w:rsidRDefault="0085421A" w:rsidP="00BA499D">
            <w:pPr>
              <w:jc w:val="center"/>
              <w:rPr>
                <w:rFonts w:cs="Times New Roman"/>
                <w:bCs/>
                <w:sz w:val="18"/>
                <w:szCs w:val="18"/>
              </w:rPr>
            </w:pPr>
            <w:r>
              <w:rPr>
                <w:rFonts w:cs="Times New Roman"/>
                <w:bCs/>
                <w:sz w:val="18"/>
                <w:szCs w:val="18"/>
              </w:rPr>
              <w:t>4</w:t>
            </w:r>
          </w:p>
        </w:tc>
      </w:tr>
      <w:tr w:rsidR="0085421A" w:rsidRPr="002F73B3" w14:paraId="31ED6734" w14:textId="77777777" w:rsidTr="00BA499D">
        <w:trPr>
          <w:trHeight w:val="227"/>
        </w:trPr>
        <w:tc>
          <w:tcPr>
            <w:tcW w:w="341" w:type="pct"/>
            <w:tcBorders>
              <w:top w:val="single" w:sz="4" w:space="0" w:color="auto"/>
              <w:left w:val="single" w:sz="4" w:space="0" w:color="auto"/>
              <w:bottom w:val="single" w:sz="4" w:space="0" w:color="auto"/>
              <w:right w:val="single" w:sz="4" w:space="0" w:color="auto"/>
            </w:tcBorders>
            <w:vAlign w:val="center"/>
          </w:tcPr>
          <w:p w14:paraId="4481703C" w14:textId="77777777" w:rsidR="0085421A" w:rsidRPr="002F73B3" w:rsidRDefault="0085421A" w:rsidP="00BA499D">
            <w:pPr>
              <w:pStyle w:val="NoSpacing"/>
              <w:spacing w:line="276" w:lineRule="auto"/>
              <w:jc w:val="center"/>
              <w:rPr>
                <w:rFonts w:eastAsia="Times New Roman" w:cs="Times New Roman"/>
                <w:sz w:val="18"/>
                <w:szCs w:val="18"/>
              </w:rPr>
            </w:pPr>
            <w:r w:rsidRPr="002F73B3">
              <w:rPr>
                <w:rFonts w:eastAsia="Times New Roman" w:cs="Times New Roman"/>
                <w:sz w:val="18"/>
                <w:szCs w:val="18"/>
              </w:rPr>
              <w:t>5.</w:t>
            </w:r>
          </w:p>
        </w:tc>
        <w:tc>
          <w:tcPr>
            <w:tcW w:w="2783" w:type="pct"/>
            <w:tcBorders>
              <w:top w:val="single" w:sz="4" w:space="0" w:color="auto"/>
              <w:left w:val="single" w:sz="4" w:space="0" w:color="auto"/>
              <w:bottom w:val="single" w:sz="4" w:space="0" w:color="auto"/>
              <w:right w:val="single" w:sz="4" w:space="0" w:color="auto"/>
            </w:tcBorders>
            <w:vAlign w:val="center"/>
          </w:tcPr>
          <w:p w14:paraId="34BB986C" w14:textId="77777777" w:rsidR="0085421A" w:rsidRPr="002F73B3" w:rsidRDefault="0085421A" w:rsidP="00BA499D">
            <w:pPr>
              <w:pStyle w:val="NoSpacing"/>
              <w:spacing w:line="276" w:lineRule="auto"/>
              <w:rPr>
                <w:rFonts w:eastAsia="Times New Roman" w:cs="Times New Roman"/>
                <w:sz w:val="18"/>
                <w:szCs w:val="18"/>
              </w:rPr>
            </w:pPr>
            <w:r w:rsidRPr="002F73B3">
              <w:rPr>
                <w:rFonts w:eastAsia="Times New Roman" w:cs="Times New Roman"/>
                <w:sz w:val="18"/>
                <w:szCs w:val="18"/>
              </w:rPr>
              <w:t>Radna skupina za zajedničke farmakovigilancijske postupke (PhVWP)</w:t>
            </w:r>
          </w:p>
        </w:tc>
        <w:tc>
          <w:tcPr>
            <w:tcW w:w="1018" w:type="pct"/>
            <w:tcBorders>
              <w:top w:val="single" w:sz="4" w:space="0" w:color="auto"/>
              <w:left w:val="single" w:sz="4" w:space="0" w:color="auto"/>
              <w:bottom w:val="single" w:sz="4" w:space="0" w:color="auto"/>
              <w:right w:val="single" w:sz="4" w:space="0" w:color="auto"/>
            </w:tcBorders>
            <w:vAlign w:val="center"/>
          </w:tcPr>
          <w:p w14:paraId="1BD32CEC" w14:textId="77777777" w:rsidR="0085421A" w:rsidRPr="002F73B3" w:rsidRDefault="0085421A" w:rsidP="00BA499D">
            <w:pPr>
              <w:jc w:val="center"/>
              <w:rPr>
                <w:rFonts w:cs="Times New Roman"/>
                <w:bCs/>
                <w:sz w:val="18"/>
                <w:szCs w:val="18"/>
              </w:rPr>
            </w:pPr>
            <w:r w:rsidRPr="002F73B3">
              <w:rPr>
                <w:rFonts w:cs="Times New Roman"/>
                <w:bCs/>
                <w:sz w:val="18"/>
                <w:szCs w:val="18"/>
              </w:rPr>
              <w:t>1</w:t>
            </w:r>
          </w:p>
        </w:tc>
        <w:tc>
          <w:tcPr>
            <w:tcW w:w="858" w:type="pct"/>
            <w:tcBorders>
              <w:top w:val="single" w:sz="4" w:space="0" w:color="auto"/>
              <w:left w:val="single" w:sz="4" w:space="0" w:color="auto"/>
              <w:bottom w:val="single" w:sz="4" w:space="0" w:color="auto"/>
              <w:right w:val="single" w:sz="4" w:space="0" w:color="auto"/>
            </w:tcBorders>
            <w:vAlign w:val="center"/>
          </w:tcPr>
          <w:p w14:paraId="0F6F0A5E" w14:textId="77777777" w:rsidR="0085421A" w:rsidRPr="002F73B3" w:rsidRDefault="0085421A" w:rsidP="00BA499D">
            <w:pPr>
              <w:jc w:val="center"/>
              <w:rPr>
                <w:rFonts w:cs="Times New Roman"/>
                <w:bCs/>
                <w:sz w:val="18"/>
                <w:szCs w:val="18"/>
              </w:rPr>
            </w:pPr>
            <w:r w:rsidRPr="002F73B3">
              <w:rPr>
                <w:rFonts w:cs="Times New Roman"/>
                <w:bCs/>
                <w:sz w:val="18"/>
                <w:szCs w:val="18"/>
              </w:rPr>
              <w:t>0</w:t>
            </w:r>
          </w:p>
        </w:tc>
      </w:tr>
      <w:tr w:rsidR="0085421A" w:rsidRPr="002F73B3" w14:paraId="64ED806E" w14:textId="77777777" w:rsidTr="00BA499D">
        <w:trPr>
          <w:trHeight w:val="227"/>
        </w:trPr>
        <w:tc>
          <w:tcPr>
            <w:tcW w:w="341" w:type="pct"/>
            <w:tcBorders>
              <w:top w:val="single" w:sz="4" w:space="0" w:color="auto"/>
              <w:left w:val="single" w:sz="4" w:space="0" w:color="auto"/>
              <w:bottom w:val="single" w:sz="4" w:space="0" w:color="auto"/>
              <w:right w:val="single" w:sz="4" w:space="0" w:color="auto"/>
            </w:tcBorders>
            <w:vAlign w:val="center"/>
          </w:tcPr>
          <w:p w14:paraId="7B9D126C" w14:textId="77777777" w:rsidR="0085421A" w:rsidRPr="002F73B3" w:rsidRDefault="0085421A" w:rsidP="00BA499D">
            <w:pPr>
              <w:pStyle w:val="NoSpacing"/>
              <w:spacing w:line="276" w:lineRule="auto"/>
              <w:jc w:val="center"/>
              <w:rPr>
                <w:rFonts w:eastAsia="Times New Roman" w:cs="Times New Roman"/>
                <w:sz w:val="18"/>
                <w:szCs w:val="18"/>
              </w:rPr>
            </w:pPr>
            <w:r w:rsidRPr="002F73B3">
              <w:rPr>
                <w:rFonts w:eastAsia="Times New Roman" w:cs="Times New Roman"/>
                <w:sz w:val="18"/>
                <w:szCs w:val="18"/>
              </w:rPr>
              <w:t>6.</w:t>
            </w:r>
          </w:p>
        </w:tc>
        <w:tc>
          <w:tcPr>
            <w:tcW w:w="2783" w:type="pct"/>
            <w:tcBorders>
              <w:top w:val="single" w:sz="4" w:space="0" w:color="auto"/>
              <w:left w:val="single" w:sz="4" w:space="0" w:color="auto"/>
              <w:bottom w:val="single" w:sz="4" w:space="0" w:color="auto"/>
              <w:right w:val="single" w:sz="4" w:space="0" w:color="auto"/>
            </w:tcBorders>
            <w:vAlign w:val="center"/>
          </w:tcPr>
          <w:p w14:paraId="53D8C5F3" w14:textId="77777777" w:rsidR="0085421A" w:rsidRPr="002F73B3" w:rsidRDefault="0085421A" w:rsidP="00BA499D">
            <w:pPr>
              <w:pStyle w:val="NoSpacing"/>
              <w:spacing w:line="276" w:lineRule="auto"/>
              <w:rPr>
                <w:rFonts w:eastAsia="Times New Roman" w:cs="Times New Roman"/>
                <w:sz w:val="18"/>
                <w:szCs w:val="18"/>
              </w:rPr>
            </w:pPr>
            <w:r w:rsidRPr="002F73B3">
              <w:rPr>
                <w:rFonts w:eastAsia="Times New Roman" w:cs="Times New Roman"/>
                <w:sz w:val="18"/>
                <w:szCs w:val="18"/>
              </w:rPr>
              <w:t>Radna skupina za pregled upravljanja signalom (SMART)</w:t>
            </w:r>
          </w:p>
        </w:tc>
        <w:tc>
          <w:tcPr>
            <w:tcW w:w="1018" w:type="pct"/>
            <w:tcBorders>
              <w:top w:val="single" w:sz="4" w:space="0" w:color="auto"/>
              <w:left w:val="single" w:sz="4" w:space="0" w:color="auto"/>
              <w:bottom w:val="single" w:sz="4" w:space="0" w:color="auto"/>
              <w:right w:val="single" w:sz="4" w:space="0" w:color="auto"/>
            </w:tcBorders>
            <w:vAlign w:val="center"/>
          </w:tcPr>
          <w:p w14:paraId="3E2ED9EA" w14:textId="77777777" w:rsidR="0085421A" w:rsidRPr="002F73B3" w:rsidRDefault="0085421A" w:rsidP="00BA499D">
            <w:pPr>
              <w:jc w:val="center"/>
              <w:rPr>
                <w:rFonts w:cs="Times New Roman"/>
                <w:bCs/>
                <w:sz w:val="18"/>
                <w:szCs w:val="18"/>
              </w:rPr>
            </w:pPr>
            <w:r w:rsidRPr="002F73B3">
              <w:rPr>
                <w:rFonts w:cs="Times New Roman"/>
                <w:bCs/>
                <w:sz w:val="18"/>
                <w:szCs w:val="18"/>
              </w:rPr>
              <w:t>3</w:t>
            </w:r>
          </w:p>
        </w:tc>
        <w:tc>
          <w:tcPr>
            <w:tcW w:w="858" w:type="pct"/>
            <w:tcBorders>
              <w:top w:val="single" w:sz="4" w:space="0" w:color="auto"/>
              <w:left w:val="single" w:sz="4" w:space="0" w:color="auto"/>
              <w:bottom w:val="single" w:sz="4" w:space="0" w:color="auto"/>
              <w:right w:val="single" w:sz="4" w:space="0" w:color="auto"/>
            </w:tcBorders>
          </w:tcPr>
          <w:p w14:paraId="266AA94C" w14:textId="77777777" w:rsidR="0085421A" w:rsidRPr="002F73B3" w:rsidRDefault="0085421A" w:rsidP="00BA499D">
            <w:pPr>
              <w:jc w:val="center"/>
              <w:rPr>
                <w:rFonts w:cs="Times New Roman"/>
                <w:bCs/>
                <w:sz w:val="18"/>
                <w:szCs w:val="18"/>
              </w:rPr>
            </w:pPr>
            <w:r>
              <w:rPr>
                <w:rFonts w:cs="Times New Roman"/>
                <w:bCs/>
                <w:sz w:val="18"/>
                <w:szCs w:val="18"/>
              </w:rPr>
              <w:t>2</w:t>
            </w:r>
          </w:p>
        </w:tc>
      </w:tr>
      <w:tr w:rsidR="0085421A" w:rsidRPr="002F73B3" w14:paraId="087725F3" w14:textId="77777777" w:rsidTr="00BA499D">
        <w:trPr>
          <w:trHeight w:val="227"/>
        </w:trPr>
        <w:tc>
          <w:tcPr>
            <w:tcW w:w="341" w:type="pct"/>
            <w:tcBorders>
              <w:top w:val="single" w:sz="4" w:space="0" w:color="auto"/>
              <w:left w:val="single" w:sz="4" w:space="0" w:color="auto"/>
              <w:bottom w:val="single" w:sz="4" w:space="0" w:color="auto"/>
              <w:right w:val="single" w:sz="4" w:space="0" w:color="auto"/>
            </w:tcBorders>
            <w:vAlign w:val="center"/>
          </w:tcPr>
          <w:p w14:paraId="0664E22B" w14:textId="77777777" w:rsidR="0085421A" w:rsidRPr="002F73B3" w:rsidRDefault="0085421A" w:rsidP="00BA499D">
            <w:pPr>
              <w:pStyle w:val="NoSpacing"/>
              <w:spacing w:line="276" w:lineRule="auto"/>
              <w:jc w:val="center"/>
              <w:rPr>
                <w:rFonts w:eastAsia="Times New Roman" w:cs="Times New Roman"/>
                <w:sz w:val="18"/>
                <w:szCs w:val="18"/>
              </w:rPr>
            </w:pPr>
            <w:r w:rsidRPr="002F73B3">
              <w:rPr>
                <w:rFonts w:eastAsia="Times New Roman" w:cs="Times New Roman"/>
                <w:sz w:val="18"/>
                <w:szCs w:val="18"/>
              </w:rPr>
              <w:t>7.</w:t>
            </w:r>
          </w:p>
        </w:tc>
        <w:tc>
          <w:tcPr>
            <w:tcW w:w="2783" w:type="pct"/>
            <w:tcBorders>
              <w:top w:val="single" w:sz="4" w:space="0" w:color="auto"/>
              <w:left w:val="single" w:sz="4" w:space="0" w:color="auto"/>
              <w:bottom w:val="single" w:sz="4" w:space="0" w:color="auto"/>
              <w:right w:val="single" w:sz="4" w:space="0" w:color="auto"/>
            </w:tcBorders>
            <w:vAlign w:val="center"/>
          </w:tcPr>
          <w:p w14:paraId="674535CE" w14:textId="77777777" w:rsidR="0085421A" w:rsidRPr="002F73B3" w:rsidRDefault="0085421A" w:rsidP="00BA499D">
            <w:pPr>
              <w:pStyle w:val="NoSpacing"/>
              <w:spacing w:line="276" w:lineRule="auto"/>
              <w:rPr>
                <w:rFonts w:eastAsia="Times New Roman" w:cs="Times New Roman"/>
                <w:sz w:val="18"/>
                <w:szCs w:val="18"/>
              </w:rPr>
            </w:pPr>
            <w:r w:rsidRPr="002F73B3">
              <w:rPr>
                <w:rFonts w:eastAsia="Times New Roman" w:cs="Times New Roman"/>
                <w:sz w:val="18"/>
                <w:szCs w:val="18"/>
              </w:rPr>
              <w:t>Radna skupina za koordinaciju kliničkih ispitivanja(CTCG)</w:t>
            </w:r>
          </w:p>
        </w:tc>
        <w:tc>
          <w:tcPr>
            <w:tcW w:w="1018" w:type="pct"/>
            <w:tcBorders>
              <w:top w:val="single" w:sz="4" w:space="0" w:color="auto"/>
              <w:left w:val="single" w:sz="4" w:space="0" w:color="auto"/>
              <w:bottom w:val="single" w:sz="4" w:space="0" w:color="auto"/>
              <w:right w:val="single" w:sz="4" w:space="0" w:color="auto"/>
            </w:tcBorders>
            <w:vAlign w:val="center"/>
          </w:tcPr>
          <w:p w14:paraId="652E03CA" w14:textId="77777777" w:rsidR="0085421A" w:rsidRPr="002F73B3" w:rsidRDefault="0085421A" w:rsidP="00BA499D">
            <w:pPr>
              <w:jc w:val="center"/>
              <w:rPr>
                <w:rFonts w:cs="Times New Roman"/>
                <w:bCs/>
                <w:sz w:val="18"/>
                <w:szCs w:val="18"/>
              </w:rPr>
            </w:pPr>
            <w:r w:rsidRPr="002F73B3">
              <w:rPr>
                <w:rFonts w:cs="Times New Roman"/>
                <w:bCs/>
                <w:sz w:val="18"/>
                <w:szCs w:val="18"/>
              </w:rPr>
              <w:t>8</w:t>
            </w:r>
          </w:p>
        </w:tc>
        <w:tc>
          <w:tcPr>
            <w:tcW w:w="858" w:type="pct"/>
            <w:tcBorders>
              <w:top w:val="single" w:sz="4" w:space="0" w:color="auto"/>
              <w:left w:val="single" w:sz="4" w:space="0" w:color="auto"/>
              <w:bottom w:val="single" w:sz="4" w:space="0" w:color="auto"/>
              <w:right w:val="single" w:sz="4" w:space="0" w:color="auto"/>
            </w:tcBorders>
          </w:tcPr>
          <w:p w14:paraId="31544210" w14:textId="77777777" w:rsidR="0085421A" w:rsidRPr="002F73B3" w:rsidRDefault="0085421A" w:rsidP="00BA499D">
            <w:pPr>
              <w:jc w:val="center"/>
              <w:rPr>
                <w:rFonts w:cs="Times New Roman"/>
                <w:bCs/>
                <w:sz w:val="18"/>
                <w:szCs w:val="18"/>
              </w:rPr>
            </w:pPr>
            <w:r>
              <w:rPr>
                <w:rFonts w:cs="Times New Roman"/>
                <w:bCs/>
                <w:sz w:val="18"/>
                <w:szCs w:val="18"/>
              </w:rPr>
              <w:t>10</w:t>
            </w:r>
          </w:p>
        </w:tc>
      </w:tr>
      <w:tr w:rsidR="0085421A" w:rsidRPr="002F73B3" w14:paraId="77891C15" w14:textId="77777777" w:rsidTr="00BA499D">
        <w:trPr>
          <w:trHeight w:val="227"/>
        </w:trPr>
        <w:tc>
          <w:tcPr>
            <w:tcW w:w="341" w:type="pct"/>
            <w:tcBorders>
              <w:top w:val="single" w:sz="4" w:space="0" w:color="auto"/>
              <w:left w:val="single" w:sz="4" w:space="0" w:color="auto"/>
              <w:bottom w:val="single" w:sz="4" w:space="0" w:color="auto"/>
              <w:right w:val="single" w:sz="4" w:space="0" w:color="auto"/>
            </w:tcBorders>
            <w:vAlign w:val="center"/>
          </w:tcPr>
          <w:p w14:paraId="5DF78F5A" w14:textId="77777777" w:rsidR="0085421A" w:rsidRPr="002F73B3" w:rsidRDefault="0085421A" w:rsidP="00BA499D">
            <w:pPr>
              <w:pStyle w:val="NoSpacing"/>
              <w:spacing w:line="276" w:lineRule="auto"/>
              <w:jc w:val="center"/>
              <w:rPr>
                <w:rFonts w:eastAsia="Times New Roman" w:cs="Times New Roman"/>
                <w:sz w:val="18"/>
                <w:szCs w:val="18"/>
              </w:rPr>
            </w:pPr>
            <w:r w:rsidRPr="002F73B3">
              <w:rPr>
                <w:rFonts w:eastAsia="Times New Roman" w:cs="Times New Roman"/>
                <w:sz w:val="18"/>
                <w:szCs w:val="18"/>
              </w:rPr>
              <w:t xml:space="preserve">8. </w:t>
            </w:r>
          </w:p>
        </w:tc>
        <w:tc>
          <w:tcPr>
            <w:tcW w:w="2783" w:type="pct"/>
            <w:tcBorders>
              <w:top w:val="single" w:sz="4" w:space="0" w:color="auto"/>
              <w:left w:val="single" w:sz="4" w:space="0" w:color="auto"/>
              <w:bottom w:val="single" w:sz="4" w:space="0" w:color="auto"/>
              <w:right w:val="single" w:sz="4" w:space="0" w:color="auto"/>
            </w:tcBorders>
            <w:vAlign w:val="center"/>
          </w:tcPr>
          <w:p w14:paraId="7D4352BF" w14:textId="77777777" w:rsidR="0085421A" w:rsidRPr="002F73B3" w:rsidRDefault="0085421A" w:rsidP="00BA499D">
            <w:pPr>
              <w:pStyle w:val="NoSpacing"/>
              <w:spacing w:line="276" w:lineRule="auto"/>
              <w:rPr>
                <w:rFonts w:eastAsia="Times New Roman" w:cs="Times New Roman"/>
                <w:sz w:val="18"/>
                <w:szCs w:val="18"/>
              </w:rPr>
            </w:pPr>
            <w:r w:rsidRPr="002F73B3">
              <w:rPr>
                <w:rFonts w:eastAsia="Times New Roman" w:cs="Times New Roman"/>
                <w:sz w:val="18"/>
                <w:szCs w:val="18"/>
              </w:rPr>
              <w:t>Inspektorska radna skupina za farmakovigilanciju (PRAC IWG)</w:t>
            </w:r>
          </w:p>
        </w:tc>
        <w:tc>
          <w:tcPr>
            <w:tcW w:w="1018" w:type="pct"/>
            <w:tcBorders>
              <w:top w:val="single" w:sz="4" w:space="0" w:color="auto"/>
              <w:left w:val="single" w:sz="4" w:space="0" w:color="auto"/>
              <w:bottom w:val="single" w:sz="4" w:space="0" w:color="auto"/>
              <w:right w:val="single" w:sz="4" w:space="0" w:color="auto"/>
            </w:tcBorders>
            <w:vAlign w:val="center"/>
          </w:tcPr>
          <w:p w14:paraId="1ACA6E89" w14:textId="77777777" w:rsidR="0085421A" w:rsidRPr="002F73B3" w:rsidDel="002A0E79" w:rsidRDefault="0085421A" w:rsidP="00BA499D">
            <w:pPr>
              <w:jc w:val="center"/>
              <w:rPr>
                <w:rFonts w:cs="Times New Roman"/>
                <w:bCs/>
                <w:sz w:val="18"/>
                <w:szCs w:val="18"/>
              </w:rPr>
            </w:pPr>
            <w:r w:rsidRPr="002F73B3">
              <w:rPr>
                <w:rFonts w:cs="Times New Roman"/>
                <w:bCs/>
                <w:sz w:val="18"/>
                <w:szCs w:val="18"/>
              </w:rPr>
              <w:t>0</w:t>
            </w:r>
          </w:p>
        </w:tc>
        <w:tc>
          <w:tcPr>
            <w:tcW w:w="858" w:type="pct"/>
            <w:tcBorders>
              <w:top w:val="single" w:sz="4" w:space="0" w:color="auto"/>
              <w:left w:val="single" w:sz="4" w:space="0" w:color="auto"/>
              <w:bottom w:val="single" w:sz="4" w:space="0" w:color="auto"/>
              <w:right w:val="single" w:sz="4" w:space="0" w:color="auto"/>
            </w:tcBorders>
          </w:tcPr>
          <w:p w14:paraId="62FF4F11" w14:textId="77777777" w:rsidR="0085421A" w:rsidRPr="002F73B3" w:rsidRDefault="0085421A" w:rsidP="00BA499D">
            <w:pPr>
              <w:jc w:val="center"/>
              <w:rPr>
                <w:rFonts w:cs="Times New Roman"/>
                <w:bCs/>
                <w:sz w:val="18"/>
                <w:szCs w:val="18"/>
              </w:rPr>
            </w:pPr>
            <w:r w:rsidRPr="002F73B3">
              <w:rPr>
                <w:rFonts w:cs="Times New Roman"/>
                <w:bCs/>
                <w:sz w:val="18"/>
                <w:szCs w:val="18"/>
              </w:rPr>
              <w:t>0</w:t>
            </w:r>
          </w:p>
        </w:tc>
      </w:tr>
      <w:tr w:rsidR="0085421A" w:rsidRPr="002F73B3" w14:paraId="560C1513" w14:textId="77777777" w:rsidTr="00BA499D">
        <w:trPr>
          <w:trHeight w:val="227"/>
        </w:trPr>
        <w:tc>
          <w:tcPr>
            <w:tcW w:w="341" w:type="pct"/>
            <w:tcBorders>
              <w:top w:val="single" w:sz="4" w:space="0" w:color="auto"/>
              <w:left w:val="single" w:sz="4" w:space="0" w:color="auto"/>
              <w:bottom w:val="single" w:sz="4" w:space="0" w:color="auto"/>
              <w:right w:val="single" w:sz="4" w:space="0" w:color="auto"/>
            </w:tcBorders>
            <w:vAlign w:val="center"/>
          </w:tcPr>
          <w:p w14:paraId="62075AD2" w14:textId="77777777" w:rsidR="0085421A" w:rsidRPr="002F73B3" w:rsidRDefault="0085421A" w:rsidP="00BA499D">
            <w:pPr>
              <w:pStyle w:val="NoSpacing"/>
              <w:spacing w:line="276" w:lineRule="auto"/>
              <w:jc w:val="center"/>
              <w:rPr>
                <w:rFonts w:eastAsia="Times New Roman" w:cs="Times New Roman"/>
                <w:sz w:val="18"/>
                <w:szCs w:val="18"/>
              </w:rPr>
            </w:pPr>
            <w:r w:rsidRPr="002F73B3">
              <w:rPr>
                <w:rFonts w:eastAsia="Times New Roman" w:cs="Times New Roman"/>
                <w:sz w:val="18"/>
                <w:szCs w:val="18"/>
              </w:rPr>
              <w:t>9</w:t>
            </w:r>
          </w:p>
        </w:tc>
        <w:tc>
          <w:tcPr>
            <w:tcW w:w="2783" w:type="pct"/>
            <w:tcBorders>
              <w:top w:val="single" w:sz="4" w:space="0" w:color="auto"/>
              <w:left w:val="single" w:sz="4" w:space="0" w:color="auto"/>
              <w:bottom w:val="single" w:sz="4" w:space="0" w:color="auto"/>
              <w:right w:val="single" w:sz="4" w:space="0" w:color="auto"/>
            </w:tcBorders>
            <w:vAlign w:val="center"/>
          </w:tcPr>
          <w:p w14:paraId="4F341A9B" w14:textId="77777777" w:rsidR="0085421A" w:rsidRPr="002F73B3" w:rsidRDefault="0085421A" w:rsidP="00BA499D">
            <w:pPr>
              <w:pStyle w:val="NoSpacing"/>
              <w:spacing w:line="276" w:lineRule="auto"/>
              <w:rPr>
                <w:rFonts w:eastAsia="Times New Roman" w:cs="Times New Roman"/>
                <w:sz w:val="18"/>
                <w:szCs w:val="18"/>
              </w:rPr>
            </w:pPr>
            <w:r w:rsidRPr="002F73B3">
              <w:rPr>
                <w:rFonts w:eastAsia="Times New Roman" w:cs="Times New Roman"/>
                <w:sz w:val="18"/>
                <w:szCs w:val="18"/>
              </w:rPr>
              <w:t>Radna skupina stručnjaka za klinička ispitivanja (CTEG)</w:t>
            </w:r>
          </w:p>
        </w:tc>
        <w:tc>
          <w:tcPr>
            <w:tcW w:w="1018" w:type="pct"/>
            <w:tcBorders>
              <w:top w:val="single" w:sz="4" w:space="0" w:color="auto"/>
              <w:left w:val="single" w:sz="4" w:space="0" w:color="auto"/>
              <w:bottom w:val="single" w:sz="4" w:space="0" w:color="auto"/>
              <w:right w:val="single" w:sz="4" w:space="0" w:color="auto"/>
            </w:tcBorders>
            <w:vAlign w:val="center"/>
          </w:tcPr>
          <w:p w14:paraId="1CED90DD" w14:textId="77777777" w:rsidR="0085421A" w:rsidRPr="002F73B3" w:rsidRDefault="0085421A" w:rsidP="00BA499D">
            <w:pPr>
              <w:jc w:val="center"/>
              <w:rPr>
                <w:rFonts w:cs="Times New Roman"/>
                <w:bCs/>
                <w:sz w:val="18"/>
                <w:szCs w:val="18"/>
              </w:rPr>
            </w:pPr>
            <w:r w:rsidRPr="002F73B3">
              <w:rPr>
                <w:rFonts w:cs="Times New Roman"/>
                <w:bCs/>
                <w:sz w:val="18"/>
                <w:szCs w:val="18"/>
              </w:rPr>
              <w:t>3</w:t>
            </w:r>
          </w:p>
        </w:tc>
        <w:tc>
          <w:tcPr>
            <w:tcW w:w="858" w:type="pct"/>
            <w:tcBorders>
              <w:top w:val="single" w:sz="4" w:space="0" w:color="auto"/>
              <w:left w:val="single" w:sz="4" w:space="0" w:color="auto"/>
              <w:bottom w:val="single" w:sz="4" w:space="0" w:color="auto"/>
              <w:right w:val="single" w:sz="4" w:space="0" w:color="auto"/>
            </w:tcBorders>
          </w:tcPr>
          <w:p w14:paraId="60DB3EFB" w14:textId="77777777" w:rsidR="0085421A" w:rsidRPr="002F73B3" w:rsidRDefault="0085421A" w:rsidP="00BA499D">
            <w:pPr>
              <w:jc w:val="center"/>
              <w:rPr>
                <w:rFonts w:cs="Times New Roman"/>
                <w:bCs/>
                <w:sz w:val="18"/>
                <w:szCs w:val="18"/>
              </w:rPr>
            </w:pPr>
            <w:r w:rsidRPr="002F73B3">
              <w:rPr>
                <w:rFonts w:cs="Times New Roman"/>
                <w:bCs/>
                <w:sz w:val="18"/>
                <w:szCs w:val="18"/>
              </w:rPr>
              <w:t>0</w:t>
            </w:r>
          </w:p>
        </w:tc>
      </w:tr>
      <w:tr w:rsidR="0085421A" w14:paraId="3659581F" w14:textId="77777777" w:rsidTr="00BA499D">
        <w:trPr>
          <w:trHeight w:val="316"/>
        </w:trPr>
        <w:tc>
          <w:tcPr>
            <w:tcW w:w="3124" w:type="pct"/>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8915757" w14:textId="77777777" w:rsidR="0085421A" w:rsidRPr="002F73B3" w:rsidRDefault="0085421A" w:rsidP="00BA499D">
            <w:pPr>
              <w:pStyle w:val="NoSpacing"/>
              <w:spacing w:line="276" w:lineRule="auto"/>
              <w:rPr>
                <w:rFonts w:eastAsia="Times New Roman" w:cs="Times New Roman"/>
                <w:b/>
                <w:sz w:val="18"/>
                <w:szCs w:val="18"/>
                <w:lang w:eastAsia="hr-HR"/>
              </w:rPr>
            </w:pPr>
            <w:r w:rsidRPr="002F73B3">
              <w:rPr>
                <w:rFonts w:eastAsia="Times New Roman" w:cs="Times New Roman"/>
                <w:b/>
                <w:sz w:val="18"/>
                <w:szCs w:val="18"/>
                <w:lang w:eastAsia="hr-HR"/>
              </w:rPr>
              <w:t>UKUPNO:</w:t>
            </w:r>
          </w:p>
        </w:tc>
        <w:tc>
          <w:tcPr>
            <w:tcW w:w="1018" w:type="pct"/>
            <w:tcBorders>
              <w:top w:val="single" w:sz="4" w:space="0" w:color="auto"/>
              <w:left w:val="single" w:sz="4" w:space="0" w:color="auto"/>
              <w:bottom w:val="single" w:sz="4" w:space="0" w:color="auto"/>
              <w:right w:val="single" w:sz="4" w:space="0" w:color="auto"/>
            </w:tcBorders>
            <w:shd w:val="clear" w:color="auto" w:fill="BFBFBF"/>
          </w:tcPr>
          <w:p w14:paraId="6AD06B7C" w14:textId="77777777" w:rsidR="0085421A" w:rsidRPr="002F73B3" w:rsidRDefault="0085421A" w:rsidP="00BA499D">
            <w:pPr>
              <w:pStyle w:val="NoSpacing"/>
              <w:spacing w:line="276" w:lineRule="auto"/>
              <w:jc w:val="center"/>
              <w:rPr>
                <w:rFonts w:cs="Times New Roman"/>
                <w:b/>
                <w:sz w:val="18"/>
                <w:szCs w:val="18"/>
              </w:rPr>
            </w:pPr>
            <w:r w:rsidRPr="002F73B3">
              <w:rPr>
                <w:rFonts w:cs="Times New Roman"/>
                <w:b/>
                <w:sz w:val="18"/>
                <w:szCs w:val="18"/>
              </w:rPr>
              <w:t>35</w:t>
            </w:r>
          </w:p>
        </w:tc>
        <w:tc>
          <w:tcPr>
            <w:tcW w:w="858" w:type="pct"/>
            <w:tcBorders>
              <w:top w:val="single" w:sz="4" w:space="0" w:color="auto"/>
              <w:left w:val="single" w:sz="4" w:space="0" w:color="auto"/>
              <w:bottom w:val="single" w:sz="4" w:space="0" w:color="auto"/>
              <w:right w:val="single" w:sz="4" w:space="0" w:color="auto"/>
            </w:tcBorders>
            <w:shd w:val="clear" w:color="auto" w:fill="BFBFBF"/>
          </w:tcPr>
          <w:p w14:paraId="58B86DCE" w14:textId="77777777" w:rsidR="0085421A" w:rsidRPr="000F3E69" w:rsidRDefault="0085421A" w:rsidP="00BA499D">
            <w:pPr>
              <w:pStyle w:val="NoSpacing"/>
              <w:spacing w:line="276" w:lineRule="auto"/>
              <w:jc w:val="center"/>
              <w:rPr>
                <w:rFonts w:cs="Times New Roman"/>
                <w:b/>
                <w:sz w:val="18"/>
                <w:szCs w:val="18"/>
              </w:rPr>
            </w:pPr>
            <w:r>
              <w:rPr>
                <w:rFonts w:cs="Times New Roman"/>
                <w:b/>
                <w:sz w:val="18"/>
                <w:szCs w:val="18"/>
              </w:rPr>
              <w:t>29</w:t>
            </w:r>
          </w:p>
        </w:tc>
      </w:tr>
    </w:tbl>
    <w:p w14:paraId="1C966066" w14:textId="77777777" w:rsidR="0085421A" w:rsidRDefault="0085421A" w:rsidP="0085421A">
      <w:pPr>
        <w:spacing w:after="120"/>
        <w:jc w:val="both"/>
        <w:rPr>
          <w:b/>
          <w:bCs/>
          <w:color w:val="000000"/>
        </w:rPr>
      </w:pPr>
    </w:p>
    <w:p w14:paraId="4FFCF94D" w14:textId="77777777" w:rsidR="0085421A" w:rsidRDefault="0085421A" w:rsidP="0085421A"/>
    <w:p w14:paraId="396EBD83" w14:textId="3C84B04A" w:rsidR="00105B6F" w:rsidRDefault="00105B6F">
      <w:pPr>
        <w:rPr>
          <w:rFonts w:ascii="Calibri" w:hAnsi="Calibri" w:cs="Calibri"/>
        </w:rPr>
      </w:pPr>
      <w:r>
        <w:rPr>
          <w:rFonts w:ascii="Calibri" w:hAnsi="Calibri" w:cs="Calibri"/>
        </w:rPr>
        <w:br w:type="page"/>
      </w:r>
    </w:p>
    <w:p w14:paraId="1A6B3AC4" w14:textId="77777777" w:rsidR="00105B6F" w:rsidRDefault="00105B6F" w:rsidP="00105B6F">
      <w:pPr>
        <w:pStyle w:val="Heading2"/>
        <w:rPr>
          <w:b/>
        </w:rPr>
      </w:pPr>
      <w:bookmarkStart w:id="139" w:name="_Toc26534641"/>
      <w:bookmarkStart w:id="140" w:name="_Toc165035462"/>
      <w:r w:rsidRPr="00FD6F2F">
        <w:lastRenderedPageBreak/>
        <w:t>2.3. Proizvodnja i nadzor</w:t>
      </w:r>
      <w:bookmarkEnd w:id="139"/>
      <w:bookmarkEnd w:id="140"/>
    </w:p>
    <w:p w14:paraId="1EBA2967" w14:textId="77777777" w:rsidR="00105B6F" w:rsidRDefault="00105B6F" w:rsidP="00105B6F">
      <w:pPr>
        <w:spacing w:line="276" w:lineRule="auto"/>
        <w:jc w:val="both"/>
        <w:rPr>
          <w:rFonts w:eastAsia="Times New Roman" w:cstheme="minorHAnsi"/>
          <w:lang w:eastAsia="hr-HR"/>
        </w:rPr>
      </w:pPr>
      <w:r w:rsidRPr="00603FA5">
        <w:rPr>
          <w:rFonts w:eastAsia="Times New Roman" w:cstheme="minorHAnsi"/>
          <w:color w:val="000000"/>
        </w:rPr>
        <w:t>U skladu s odredbama Zakona o lijekovima</w:t>
      </w:r>
      <w:r>
        <w:rPr>
          <w:rFonts w:eastAsia="Times New Roman" w:cstheme="minorHAnsi"/>
          <w:color w:val="000000"/>
        </w:rPr>
        <w:t xml:space="preserve"> i pravilnicima donesenim na temelju Zakona, HALMED </w:t>
      </w:r>
      <w:r w:rsidRPr="00D26F8A">
        <w:rPr>
          <w:rFonts w:cstheme="minorHAnsi"/>
        </w:rPr>
        <w:t>da</w:t>
      </w:r>
      <w:r>
        <w:rPr>
          <w:rFonts w:cstheme="minorHAnsi"/>
        </w:rPr>
        <w:t>je</w:t>
      </w:r>
      <w:r w:rsidRPr="00D26F8A">
        <w:rPr>
          <w:rFonts w:cstheme="minorHAnsi"/>
        </w:rPr>
        <w:t xml:space="preserve"> </w:t>
      </w:r>
      <w:r>
        <w:rPr>
          <w:rFonts w:cstheme="minorHAnsi"/>
        </w:rPr>
        <w:t xml:space="preserve">proizvodnu </w:t>
      </w:r>
      <w:r>
        <w:rPr>
          <w:rFonts w:eastAsia="Times New Roman" w:cstheme="minorHAnsi"/>
          <w:color w:val="000000"/>
        </w:rPr>
        <w:t>dozvolu</w:t>
      </w:r>
      <w:r>
        <w:rPr>
          <w:rFonts w:eastAsia="Times New Roman" w:cstheme="minorHAnsi"/>
          <w:lang w:eastAsia="hr-HR"/>
        </w:rPr>
        <w:t>, dozvolu za promet na veliko lijekovima, dozvolu za promet na malo lijekovima u specijaliziranim prodavaonicama, dozvolu za posredništvo i dozvolu za internetsku prodaju lijekova</w:t>
      </w:r>
      <w:r w:rsidRPr="00105F04">
        <w:rPr>
          <w:rFonts w:eastAsia="Times New Roman" w:cstheme="minorHAnsi"/>
          <w:lang w:eastAsia="hr-HR"/>
        </w:rPr>
        <w:t xml:space="preserve"> </w:t>
      </w:r>
      <w:r>
        <w:rPr>
          <w:rFonts w:eastAsia="Times New Roman" w:cstheme="minorHAnsi"/>
          <w:lang w:eastAsia="hr-HR"/>
        </w:rPr>
        <w:t>fizičkim ili pravnim osobama sa sjedištem u Republici Hrvatskoj.</w:t>
      </w:r>
    </w:p>
    <w:p w14:paraId="66D310BC" w14:textId="77777777" w:rsidR="00105B6F" w:rsidRDefault="00105B6F" w:rsidP="00105B6F">
      <w:pPr>
        <w:spacing w:line="276" w:lineRule="auto"/>
        <w:jc w:val="both"/>
        <w:rPr>
          <w:rFonts w:eastAsia="Times New Roman" w:cstheme="minorHAnsi"/>
          <w:lang w:eastAsia="hr-HR"/>
        </w:rPr>
      </w:pPr>
    </w:p>
    <w:p w14:paraId="4A35DE9A" w14:textId="77777777" w:rsidR="00105B6F" w:rsidRDefault="00105B6F" w:rsidP="00105B6F">
      <w:pPr>
        <w:spacing w:line="276" w:lineRule="auto"/>
        <w:jc w:val="both"/>
        <w:rPr>
          <w:rFonts w:eastAsia="Times New Roman" w:cstheme="minorHAnsi"/>
          <w:lang w:eastAsia="hr-HR"/>
        </w:rPr>
      </w:pPr>
      <w:r>
        <w:rPr>
          <w:rFonts w:eastAsia="Times New Roman" w:cstheme="minorHAnsi"/>
          <w:color w:val="1D1B11"/>
        </w:rPr>
        <w:t>S</w:t>
      </w:r>
      <w:r w:rsidRPr="0008136B">
        <w:rPr>
          <w:rFonts w:eastAsia="Times New Roman" w:cstheme="minorHAnsi"/>
          <w:color w:val="1D1B11"/>
        </w:rPr>
        <w:t>ukladno zakonskim ovlastima</w:t>
      </w:r>
      <w:r>
        <w:rPr>
          <w:rFonts w:eastAsia="Times New Roman" w:cstheme="minorHAnsi"/>
          <w:color w:val="1D1B11"/>
        </w:rPr>
        <w:t>,</w:t>
      </w:r>
      <w:r w:rsidRPr="0008136B">
        <w:rPr>
          <w:rFonts w:eastAsia="Times New Roman" w:cstheme="minorHAnsi"/>
          <w:color w:val="1D1B11"/>
        </w:rPr>
        <w:t xml:space="preserve"> </w:t>
      </w:r>
      <w:r>
        <w:rPr>
          <w:rFonts w:eastAsia="Times New Roman" w:cstheme="minorHAnsi"/>
          <w:lang w:eastAsia="hr-HR"/>
        </w:rPr>
        <w:t xml:space="preserve">HALMED upisuje u očevidnik fizičke ili pravne osobe sa sjedištem u Republici Hrvatskoj koje proizvode, uvoze i obavljaju promet na veliko djelatnim tvarima, </w:t>
      </w:r>
      <w:r w:rsidRPr="00AE558F">
        <w:rPr>
          <w:rStyle w:val="Hyperlink"/>
          <w:color w:val="auto"/>
          <w:u w:val="none"/>
        </w:rPr>
        <w:t>daje potvrdu o upisu u evidenciju fizičkim ili pravnim osobama sa sjedištem izvan Republike Hrvatske</w:t>
      </w:r>
      <w:r w:rsidRPr="00011A6D">
        <w:t>, koje</w:t>
      </w:r>
      <w:r w:rsidRPr="002E69F9">
        <w:t xml:space="preserve"> </w:t>
      </w:r>
      <w:r>
        <w:t xml:space="preserve">u drugoj državi članici Europske unije ispunjavaju uvjete za obavljanje djelatnosti prometa lijeka na veliko u zemlji ili posredovanja lijekova. </w:t>
      </w:r>
    </w:p>
    <w:p w14:paraId="0FA99FC7" w14:textId="77777777" w:rsidR="00105B6F" w:rsidRDefault="00105B6F" w:rsidP="00105B6F">
      <w:pPr>
        <w:spacing w:line="276" w:lineRule="auto"/>
        <w:jc w:val="both"/>
        <w:rPr>
          <w:rFonts w:eastAsia="Times New Roman" w:cstheme="minorHAnsi"/>
          <w:lang w:eastAsia="hr-HR"/>
        </w:rPr>
      </w:pPr>
    </w:p>
    <w:p w14:paraId="796342FF" w14:textId="77777777" w:rsidR="00105B6F" w:rsidRDefault="00105B6F" w:rsidP="00105B6F">
      <w:pPr>
        <w:spacing w:line="276" w:lineRule="auto"/>
        <w:jc w:val="both"/>
        <w:rPr>
          <w:rFonts w:eastAsia="Times New Roman" w:cstheme="minorHAnsi"/>
          <w:color w:val="000000"/>
        </w:rPr>
      </w:pPr>
      <w:r w:rsidRPr="00603FA5">
        <w:rPr>
          <w:rFonts w:eastAsia="Times New Roman" w:cstheme="minorHAnsi"/>
          <w:color w:val="000000"/>
        </w:rPr>
        <w:t>U skladu s odredbama Zakona o lijekovima</w:t>
      </w:r>
      <w:r>
        <w:rPr>
          <w:rFonts w:eastAsia="Times New Roman" w:cstheme="minorHAnsi"/>
          <w:color w:val="000000"/>
        </w:rPr>
        <w:t xml:space="preserve"> i pravilnicima donesenim na temelju Zakona HALMED</w:t>
      </w:r>
      <w:r>
        <w:rPr>
          <w:rFonts w:eastAsia="Times New Roman" w:cstheme="minorHAnsi"/>
          <w:lang w:eastAsia="hr-HR"/>
        </w:rPr>
        <w:t xml:space="preserve"> daje potvrdu o dobroj proizvođačkoj praksi, provodi </w:t>
      </w:r>
      <w:r w:rsidRPr="007B304C">
        <w:rPr>
          <w:rFonts w:eastAsia="Times New Roman" w:cstheme="minorHAnsi"/>
          <w:lang w:eastAsia="hr-HR"/>
        </w:rPr>
        <w:t xml:space="preserve">nadzor </w:t>
      </w:r>
      <w:r>
        <w:rPr>
          <w:rFonts w:eastAsia="Times New Roman" w:cstheme="minorHAnsi"/>
          <w:lang w:eastAsia="hr-HR"/>
        </w:rPr>
        <w:t xml:space="preserve">dobre proizvođače prakse i nadzor nad </w:t>
      </w:r>
      <w:r w:rsidRPr="007B304C">
        <w:rPr>
          <w:rFonts w:eastAsia="Times New Roman" w:cstheme="minorHAnsi"/>
          <w:lang w:eastAsia="hr-HR"/>
        </w:rPr>
        <w:t>farmakovigilancij</w:t>
      </w:r>
      <w:r>
        <w:rPr>
          <w:rFonts w:eastAsia="Times New Roman" w:cstheme="minorHAnsi"/>
          <w:lang w:eastAsia="hr-HR"/>
        </w:rPr>
        <w:t xml:space="preserve">skim sustavom nositelja odobrenja za stavljanje lijeka u promet </w:t>
      </w:r>
      <w:r w:rsidRPr="00CE66DE">
        <w:rPr>
          <w:rFonts w:eastAsia="Times New Roman" w:cstheme="minorHAnsi"/>
          <w:lang w:eastAsia="hr-HR"/>
        </w:rPr>
        <w:t xml:space="preserve"> te </w:t>
      </w:r>
      <w:r w:rsidRPr="00CE66DE">
        <w:rPr>
          <w:rFonts w:cstheme="minorHAnsi"/>
        </w:rPr>
        <w:t xml:space="preserve">nadzor </w:t>
      </w:r>
      <w:r>
        <w:rPr>
          <w:rFonts w:cstheme="minorHAnsi"/>
        </w:rPr>
        <w:t>nad prometom lijekova</w:t>
      </w:r>
      <w:r w:rsidRPr="00CE66DE">
        <w:rPr>
          <w:rFonts w:cstheme="minorHAnsi"/>
        </w:rPr>
        <w:t xml:space="preserve"> na veliko</w:t>
      </w:r>
      <w:r>
        <w:rPr>
          <w:rFonts w:cstheme="minorHAnsi"/>
        </w:rPr>
        <w:t xml:space="preserve"> kod</w:t>
      </w:r>
      <w:r w:rsidRPr="00CE66DE">
        <w:rPr>
          <w:rFonts w:eastAsia="Times New Roman" w:cstheme="minorHAnsi"/>
          <w:lang w:eastAsia="hr-HR"/>
        </w:rPr>
        <w:t xml:space="preserve"> </w:t>
      </w:r>
      <w:r>
        <w:rPr>
          <w:rFonts w:eastAsia="Times New Roman" w:cstheme="minorHAnsi"/>
          <w:lang w:eastAsia="hr-HR"/>
        </w:rPr>
        <w:t xml:space="preserve">fizičkih ili pravnih osoba sa sjedištem u Republici Hrvatskoj. U skladu s europskim zakonodavstvom </w:t>
      </w:r>
      <w:r>
        <w:rPr>
          <w:rFonts w:eastAsia="Times New Roman" w:cstheme="minorHAnsi"/>
          <w:color w:val="000000"/>
        </w:rPr>
        <w:t>HALMED sudjeluje u multinacionalnim timovima EMA-e/CAPs</w:t>
      </w:r>
      <w:r>
        <w:rPr>
          <w:rStyle w:val="FootnoteReference"/>
          <w:rFonts w:eastAsia="Times New Roman" w:cstheme="minorHAnsi"/>
          <w:color w:val="000000"/>
        </w:rPr>
        <w:footnoteReference w:id="2"/>
      </w:r>
      <w:r>
        <w:rPr>
          <w:rFonts w:eastAsia="Times New Roman" w:cstheme="minorHAnsi"/>
          <w:color w:val="000000"/>
        </w:rPr>
        <w:t xml:space="preserve"> i EDQM-a u nadzoru </w:t>
      </w:r>
      <w:r>
        <w:rPr>
          <w:rFonts w:eastAsia="Times New Roman" w:cstheme="minorHAnsi"/>
          <w:lang w:eastAsia="hr-HR"/>
        </w:rPr>
        <w:t xml:space="preserve">dobre proizvođače prakse </w:t>
      </w:r>
      <w:r>
        <w:rPr>
          <w:rFonts w:eastAsia="Times New Roman" w:cstheme="minorHAnsi"/>
          <w:color w:val="000000"/>
        </w:rPr>
        <w:t xml:space="preserve">u trećim zemljama. </w:t>
      </w:r>
    </w:p>
    <w:p w14:paraId="700E2932" w14:textId="77777777" w:rsidR="00105B6F" w:rsidRDefault="00105B6F" w:rsidP="00105B6F">
      <w:pPr>
        <w:spacing w:line="276" w:lineRule="auto"/>
        <w:jc w:val="both"/>
        <w:rPr>
          <w:rFonts w:eastAsia="Times New Roman" w:cstheme="minorHAnsi"/>
          <w:color w:val="000000"/>
        </w:rPr>
      </w:pPr>
    </w:p>
    <w:p w14:paraId="6A4F470B" w14:textId="77777777" w:rsidR="00105B6F" w:rsidRDefault="00105B6F" w:rsidP="00105B6F">
      <w:pPr>
        <w:spacing w:line="276" w:lineRule="auto"/>
        <w:jc w:val="both"/>
        <w:rPr>
          <w:rFonts w:eastAsia="Times New Roman" w:cstheme="minorHAnsi"/>
          <w:color w:val="000000"/>
        </w:rPr>
      </w:pPr>
      <w:r>
        <w:rPr>
          <w:rFonts w:eastAsia="Times New Roman" w:cstheme="minorHAnsi"/>
          <w:color w:val="000000"/>
        </w:rPr>
        <w:t>U skladu s odredbama Zakona o veterinarsko-medicinskim proizvodima, HALMED daje odobrenje za proizvodnju veterinarsko-medicinskih proizvoda (VMP), provodi nadzor dobre proizvođačke prakse VMP-a, daje odobrenje za promet VMP-a na veliko i provodi nadzor prometa VMP-a na veliko.</w:t>
      </w:r>
    </w:p>
    <w:p w14:paraId="7E654FC7" w14:textId="77777777" w:rsidR="00105B6F" w:rsidRPr="001D59FE" w:rsidRDefault="00105B6F" w:rsidP="00105B6F">
      <w:pPr>
        <w:pStyle w:val="Heading3"/>
      </w:pPr>
      <w:bookmarkStart w:id="141" w:name="_Toc26534642"/>
      <w:bookmarkStart w:id="142" w:name="_Toc165035463"/>
      <w:r w:rsidRPr="001D59FE">
        <w:t>2.3.1</w:t>
      </w:r>
      <w:r>
        <w:t>.</w:t>
      </w:r>
      <w:r w:rsidRPr="001D59FE">
        <w:t xml:space="preserve"> Davanje proizvodne dozvole</w:t>
      </w:r>
      <w:bookmarkEnd w:id="141"/>
      <w:bookmarkEnd w:id="142"/>
    </w:p>
    <w:p w14:paraId="0FB27CE2" w14:textId="77777777" w:rsidR="00105B6F" w:rsidRDefault="00105B6F" w:rsidP="00105B6F">
      <w:pPr>
        <w:tabs>
          <w:tab w:val="center" w:pos="858"/>
          <w:tab w:val="center" w:pos="4320"/>
          <w:tab w:val="right" w:pos="8306"/>
          <w:tab w:val="right" w:pos="8640"/>
        </w:tabs>
        <w:spacing w:after="240" w:line="276" w:lineRule="auto"/>
        <w:jc w:val="both"/>
        <w:rPr>
          <w:rFonts w:eastAsia="Times New Roman" w:cstheme="minorHAnsi"/>
          <w:color w:val="000000"/>
        </w:rPr>
      </w:pPr>
      <w:r>
        <w:rPr>
          <w:rFonts w:eastAsia="Times New Roman" w:cstheme="minorHAnsi"/>
          <w:color w:val="000000"/>
        </w:rPr>
        <w:t xml:space="preserve">Proizvodna dozvola je rješenje kojim se potvrđuje da proizvođač za proizvodni pogon ili pogone u kojima se obavlja proizvodnja lijeka, VMP i/ili ispitivanog lijeka ispunjava uvjete glede prostora, opreme i zaposlenog osoblja te da primjenjuje načela i smjernice dobre proizvođačke prakse. U Republici Hrvatskoj lijekove i VMP i/ili ispitivane lijekove mogu proizvoditi fizičke ili pravne osobe sa sjedištem u Republici Hrvatskoj samo na temelju i u skladu s proizvodnom dozvolom HALMED-a. </w:t>
      </w:r>
    </w:p>
    <w:p w14:paraId="4D6D99AE" w14:textId="77777777" w:rsidR="00105B6F" w:rsidRDefault="00105B6F" w:rsidP="00105B6F">
      <w:pPr>
        <w:tabs>
          <w:tab w:val="center" w:pos="858"/>
          <w:tab w:val="center" w:pos="4320"/>
          <w:tab w:val="right" w:pos="8306"/>
          <w:tab w:val="right" w:pos="8640"/>
        </w:tabs>
        <w:spacing w:line="276" w:lineRule="auto"/>
        <w:jc w:val="both"/>
        <w:rPr>
          <w:rFonts w:ascii="Calibri" w:hAnsi="Calibri" w:cs="Helvetica"/>
        </w:rPr>
      </w:pPr>
      <w:r w:rsidRPr="002E69F9">
        <w:rPr>
          <w:rFonts w:eastAsia="Times New Roman" w:cstheme="minorHAnsi"/>
        </w:rPr>
        <w:t xml:space="preserve">Podaci o izdanim proizvodnim dozvolama objavljuju se na mrežnim stranicama HALMED-a  i unose </w:t>
      </w:r>
      <w:r w:rsidRPr="002E69F9">
        <w:rPr>
          <w:rStyle w:val="tlid-translation"/>
        </w:rPr>
        <w:t>u europsku EudraGMDP bazu</w:t>
      </w:r>
      <w:r>
        <w:rPr>
          <w:rStyle w:val="tlid-translation"/>
        </w:rPr>
        <w:t>.</w:t>
      </w:r>
      <w:r w:rsidRPr="002E69F9">
        <w:rPr>
          <w:rStyle w:val="Hyperlink"/>
        </w:rPr>
        <w:t xml:space="preserve"> </w:t>
      </w:r>
    </w:p>
    <w:p w14:paraId="00AD8F2B" w14:textId="77777777" w:rsidR="00105B6F" w:rsidRPr="0020053F" w:rsidRDefault="00105B6F" w:rsidP="00105B6F">
      <w:pPr>
        <w:tabs>
          <w:tab w:val="center" w:pos="858"/>
          <w:tab w:val="center" w:pos="4320"/>
          <w:tab w:val="right" w:pos="8306"/>
          <w:tab w:val="right" w:pos="8640"/>
        </w:tabs>
        <w:spacing w:after="120"/>
        <w:jc w:val="both"/>
        <w:rPr>
          <w:rFonts w:ascii="Calibri" w:hAnsi="Calibri" w:cs="Helvetica"/>
        </w:rPr>
      </w:pPr>
      <w:r>
        <w:rPr>
          <w:rFonts w:ascii="Calibri" w:hAnsi="Calibri" w:cs="Helvetica"/>
        </w:rPr>
        <w:t>Podaci o izdanim proizvodnim dozvolama u izvještajnom razdoblju prikazani su u Tablicama 10. i 10a.</w:t>
      </w:r>
    </w:p>
    <w:p w14:paraId="1D5A07C4" w14:textId="77777777" w:rsidR="00105B6F" w:rsidRPr="001D59FE" w:rsidRDefault="00105B6F" w:rsidP="00105B6F">
      <w:pPr>
        <w:pStyle w:val="Heading3"/>
      </w:pPr>
      <w:bookmarkStart w:id="143" w:name="_Toc165035464"/>
      <w:bookmarkStart w:id="144" w:name="_Toc26534643"/>
      <w:r w:rsidRPr="001D59FE">
        <w:t>2.3.</w:t>
      </w:r>
      <w:r>
        <w:t>2.</w:t>
      </w:r>
      <w:r w:rsidRPr="001D59FE">
        <w:t xml:space="preserve"> Davanje </w:t>
      </w:r>
      <w:r>
        <w:t>potvrde o dobroj proizvođačkoj praksi</w:t>
      </w:r>
      <w:bookmarkEnd w:id="143"/>
    </w:p>
    <w:bookmarkEnd w:id="144"/>
    <w:p w14:paraId="21E8A4F3" w14:textId="77777777" w:rsidR="00105B6F" w:rsidRDefault="00105B6F" w:rsidP="00105B6F">
      <w:pPr>
        <w:tabs>
          <w:tab w:val="center" w:pos="858"/>
          <w:tab w:val="center" w:pos="4320"/>
          <w:tab w:val="right" w:pos="8306"/>
          <w:tab w:val="right" w:pos="8640"/>
        </w:tabs>
        <w:spacing w:line="276" w:lineRule="auto"/>
        <w:jc w:val="both"/>
        <w:rPr>
          <w:rFonts w:eastAsia="Times New Roman" w:cstheme="minorHAnsi"/>
          <w:color w:val="000000"/>
        </w:rPr>
      </w:pPr>
      <w:r>
        <w:rPr>
          <w:rFonts w:eastAsia="Times New Roman" w:cstheme="minorHAnsi"/>
          <w:color w:val="000000"/>
        </w:rPr>
        <w:t>Potvrda o dobroj proizvođačkoj praksi (</w:t>
      </w:r>
      <w:r w:rsidRPr="00C351DF">
        <w:rPr>
          <w:rFonts w:eastAsia="Times New Roman" w:cstheme="minorHAnsi"/>
          <w:i/>
          <w:color w:val="000000"/>
        </w:rPr>
        <w:t>Certificate of Good Manufacturing Practice</w:t>
      </w:r>
      <w:r>
        <w:rPr>
          <w:rFonts w:eastAsia="Times New Roman" w:cstheme="minorHAnsi"/>
          <w:color w:val="000000"/>
        </w:rPr>
        <w:t>) predstavlja završnu ocjenu usklađenosti proizvodnje ili dijelova proizvodnje sa zahtjevima dobre proizvođačke prakse (</w:t>
      </w:r>
      <w:r w:rsidRPr="00C351DF">
        <w:rPr>
          <w:rFonts w:eastAsia="Times New Roman" w:cstheme="minorHAnsi"/>
          <w:i/>
          <w:color w:val="000000"/>
        </w:rPr>
        <w:t>Good Manufacturing Practice</w:t>
      </w:r>
      <w:r>
        <w:rPr>
          <w:rFonts w:eastAsia="Times New Roman" w:cstheme="minorHAnsi"/>
          <w:color w:val="000000"/>
        </w:rPr>
        <w:t xml:space="preserve">, </w:t>
      </w:r>
      <w:r w:rsidRPr="006D19C5">
        <w:rPr>
          <w:rFonts w:eastAsia="Times New Roman" w:cstheme="minorHAnsi"/>
          <w:i/>
          <w:color w:val="000000"/>
        </w:rPr>
        <w:t>GMP</w:t>
      </w:r>
      <w:r>
        <w:rPr>
          <w:rFonts w:eastAsia="Times New Roman" w:cstheme="minorHAnsi"/>
          <w:color w:val="000000"/>
        </w:rPr>
        <w:t xml:space="preserve">). </w:t>
      </w:r>
    </w:p>
    <w:p w14:paraId="750CCCD6" w14:textId="77777777" w:rsidR="00105B6F" w:rsidRDefault="00105B6F" w:rsidP="00105B6F">
      <w:pPr>
        <w:tabs>
          <w:tab w:val="center" w:pos="858"/>
          <w:tab w:val="center" w:pos="4320"/>
          <w:tab w:val="right" w:pos="8306"/>
          <w:tab w:val="right" w:pos="8640"/>
        </w:tabs>
        <w:spacing w:line="276" w:lineRule="auto"/>
        <w:jc w:val="both"/>
        <w:rPr>
          <w:rFonts w:eastAsia="Times New Roman" w:cstheme="minorHAnsi"/>
          <w:color w:val="000000"/>
        </w:rPr>
      </w:pPr>
    </w:p>
    <w:p w14:paraId="071B2C0A" w14:textId="77777777" w:rsidR="00105B6F" w:rsidRPr="003A0AC8" w:rsidRDefault="00105B6F" w:rsidP="00105B6F">
      <w:pPr>
        <w:tabs>
          <w:tab w:val="center" w:pos="858"/>
          <w:tab w:val="center" w:pos="4320"/>
          <w:tab w:val="right" w:pos="8306"/>
          <w:tab w:val="right" w:pos="8640"/>
        </w:tabs>
        <w:spacing w:line="276" w:lineRule="auto"/>
        <w:jc w:val="both"/>
      </w:pPr>
      <w:r>
        <w:rPr>
          <w:rFonts w:eastAsia="Times New Roman" w:cstheme="minorHAnsi"/>
          <w:color w:val="000000"/>
        </w:rPr>
        <w:lastRenderedPageBreak/>
        <w:t xml:space="preserve">U skladu s europskim </w:t>
      </w:r>
      <w:r>
        <w:rPr>
          <w:rStyle w:val="tlid-translation"/>
        </w:rPr>
        <w:t xml:space="preserve">zakonodavstvom, Potvrdu o dobroj proizvođačkoj praksi </w:t>
      </w:r>
      <w:r>
        <w:rPr>
          <w:rFonts w:eastAsia="Times New Roman" w:cstheme="minorHAnsi"/>
          <w:color w:val="000000"/>
        </w:rPr>
        <w:t xml:space="preserve">s ograničenim rokom važenja, na zahtjev proizvođača izdaje </w:t>
      </w:r>
      <w:r>
        <w:rPr>
          <w:rStyle w:val="tlid-translation"/>
        </w:rPr>
        <w:t>nacionalno nadležno tijelo koje izvrši provjeru usklađenosti s dobrom proizvođačkom praksom. N</w:t>
      </w:r>
      <w:r>
        <w:rPr>
          <w:rFonts w:eastAsia="Times New Roman" w:cstheme="minorHAnsi"/>
          <w:color w:val="000000"/>
        </w:rPr>
        <w:t xml:space="preserve">adležno tijelo može </w:t>
      </w:r>
      <w:r w:rsidRPr="007B304C">
        <w:rPr>
          <w:rFonts w:eastAsia="Times New Roman" w:cstheme="minorHAnsi"/>
          <w:color w:val="000000"/>
        </w:rPr>
        <w:t>obavlja</w:t>
      </w:r>
      <w:r>
        <w:rPr>
          <w:rFonts w:eastAsia="Times New Roman" w:cstheme="minorHAnsi"/>
          <w:color w:val="000000"/>
        </w:rPr>
        <w:t>ti</w:t>
      </w:r>
      <w:r w:rsidRPr="007B304C">
        <w:rPr>
          <w:rFonts w:eastAsia="Times New Roman" w:cstheme="minorHAnsi"/>
          <w:color w:val="000000"/>
        </w:rPr>
        <w:t xml:space="preserve"> </w:t>
      </w:r>
      <w:r>
        <w:rPr>
          <w:rFonts w:eastAsia="Times New Roman" w:cstheme="minorHAnsi"/>
          <w:color w:val="000000"/>
        </w:rPr>
        <w:t>provjeru</w:t>
      </w:r>
      <w:r w:rsidRPr="007B304C">
        <w:rPr>
          <w:rFonts w:eastAsia="Times New Roman" w:cstheme="minorHAnsi"/>
          <w:color w:val="000000"/>
        </w:rPr>
        <w:t xml:space="preserve"> </w:t>
      </w:r>
      <w:r>
        <w:rPr>
          <w:rFonts w:eastAsia="Times New Roman" w:cstheme="minorHAnsi"/>
          <w:color w:val="000000"/>
        </w:rPr>
        <w:t xml:space="preserve">dobre proizvođačke prakse </w:t>
      </w:r>
      <w:r w:rsidRPr="007B304C">
        <w:rPr>
          <w:rFonts w:eastAsia="Times New Roman" w:cstheme="minorHAnsi"/>
          <w:color w:val="000000"/>
        </w:rPr>
        <w:t xml:space="preserve">u proizvodnji </w:t>
      </w:r>
      <w:r>
        <w:rPr>
          <w:rFonts w:eastAsia="Times New Roman" w:cstheme="minorHAnsi"/>
          <w:color w:val="000000"/>
        </w:rPr>
        <w:t xml:space="preserve">ili dijelu proizvodnje </w:t>
      </w:r>
      <w:r w:rsidRPr="007B304C">
        <w:rPr>
          <w:rFonts w:eastAsia="Times New Roman" w:cstheme="minorHAnsi"/>
          <w:color w:val="000000"/>
        </w:rPr>
        <w:t xml:space="preserve">lijekova, </w:t>
      </w:r>
      <w:r>
        <w:rPr>
          <w:rFonts w:eastAsia="Times New Roman" w:cstheme="minorHAnsi"/>
          <w:color w:val="000000"/>
        </w:rPr>
        <w:t xml:space="preserve">VMP, </w:t>
      </w:r>
      <w:r w:rsidRPr="007B304C">
        <w:rPr>
          <w:rFonts w:eastAsia="Times New Roman" w:cstheme="minorHAnsi"/>
          <w:color w:val="000000"/>
        </w:rPr>
        <w:t>ispitivanih lijekova, djelatnih tvari ili pomoćnih tvari</w:t>
      </w:r>
      <w:r>
        <w:rPr>
          <w:rFonts w:eastAsia="Times New Roman" w:cstheme="minorHAnsi"/>
          <w:color w:val="000000"/>
        </w:rPr>
        <w:t xml:space="preserve"> u trećim zemljama i n</w:t>
      </w:r>
      <w:r w:rsidRPr="007B304C">
        <w:rPr>
          <w:rFonts w:eastAsia="Times New Roman" w:cstheme="minorHAnsi"/>
          <w:color w:val="000000"/>
        </w:rPr>
        <w:t xml:space="preserve">a temelju </w:t>
      </w:r>
      <w:r w:rsidRPr="009A7EE1">
        <w:rPr>
          <w:rFonts w:eastAsia="Times New Roman" w:cstheme="minorHAnsi"/>
          <w:color w:val="000000"/>
        </w:rPr>
        <w:t xml:space="preserve">zahtjeva </w:t>
      </w:r>
      <w:r w:rsidRPr="007B304C">
        <w:rPr>
          <w:rFonts w:eastAsia="Times New Roman" w:cstheme="minorHAnsi"/>
          <w:color w:val="000000"/>
        </w:rPr>
        <w:t>Europske agencije za lijekove ili Europske komisije</w:t>
      </w:r>
      <w:r w:rsidRPr="009A7EE1">
        <w:rPr>
          <w:rFonts w:eastAsia="Times New Roman" w:cstheme="minorHAnsi"/>
          <w:color w:val="000000"/>
        </w:rPr>
        <w:t>, zahtjeva nadležnog tijela države članice Europske unije,</w:t>
      </w:r>
      <w:r>
        <w:rPr>
          <w:rFonts w:eastAsia="Times New Roman" w:cstheme="minorHAnsi"/>
          <w:color w:val="000000"/>
        </w:rPr>
        <w:t xml:space="preserve"> </w:t>
      </w:r>
      <w:r w:rsidRPr="007B304C">
        <w:rPr>
          <w:rFonts w:eastAsia="Times New Roman" w:cstheme="minorHAnsi"/>
          <w:color w:val="000000"/>
        </w:rPr>
        <w:t>pravne ili fizičke osobe iz Europske unije ili treće zemlje</w:t>
      </w:r>
      <w:r>
        <w:rPr>
          <w:rFonts w:eastAsia="Times New Roman" w:cstheme="minorHAnsi"/>
          <w:color w:val="000000"/>
        </w:rPr>
        <w:t>.</w:t>
      </w:r>
    </w:p>
    <w:p w14:paraId="387521EC" w14:textId="77777777" w:rsidR="00105B6F" w:rsidRPr="002E69F9" w:rsidRDefault="00105B6F" w:rsidP="00105B6F">
      <w:pPr>
        <w:tabs>
          <w:tab w:val="center" w:pos="858"/>
          <w:tab w:val="center" w:pos="4320"/>
          <w:tab w:val="right" w:pos="8306"/>
          <w:tab w:val="right" w:pos="8640"/>
        </w:tabs>
        <w:spacing w:line="276" w:lineRule="auto"/>
        <w:jc w:val="both"/>
      </w:pPr>
      <w:r>
        <w:rPr>
          <w:rStyle w:val="tlid-translation"/>
        </w:rPr>
        <w:t>Potvrde (</w:t>
      </w:r>
      <w:r w:rsidRPr="00C351DF">
        <w:rPr>
          <w:rStyle w:val="tlid-translation"/>
          <w:i/>
        </w:rPr>
        <w:t>GMP Certificates</w:t>
      </w:r>
      <w:r>
        <w:rPr>
          <w:rStyle w:val="tlid-translation"/>
        </w:rPr>
        <w:t>) i izjave o neusklađenosti (</w:t>
      </w:r>
      <w:r w:rsidRPr="00C351DF">
        <w:rPr>
          <w:rStyle w:val="tlid-translation"/>
          <w:i/>
        </w:rPr>
        <w:t>Statements of non-compliance</w:t>
      </w:r>
      <w:r>
        <w:rPr>
          <w:rStyle w:val="tlid-translation"/>
        </w:rPr>
        <w:t xml:space="preserve">), nacionalno nadležno tijelo države članice može izdati proizvođačima lijekova, VMP, proizvođačima djelatnih i pomoćnih tvari koji se nalaze unutar i izvan Europske unije. Navedene potvrde i izjave se evidentiraju u europskoj bazi EudraGMDP. </w:t>
      </w:r>
    </w:p>
    <w:p w14:paraId="00A32D9C" w14:textId="77777777" w:rsidR="00105B6F" w:rsidRPr="00165E06" w:rsidRDefault="00105B6F" w:rsidP="00105B6F">
      <w:pPr>
        <w:spacing w:before="100" w:beforeAutospacing="1" w:after="100" w:afterAutospacing="1" w:line="276" w:lineRule="auto"/>
        <w:jc w:val="both"/>
        <w:rPr>
          <w:rFonts w:eastAsia="Times New Roman" w:cstheme="minorHAnsi"/>
          <w:color w:val="000000"/>
        </w:rPr>
      </w:pPr>
      <w:r>
        <w:rPr>
          <w:rFonts w:eastAsia="Times New Roman" w:cstheme="minorHAnsi"/>
          <w:color w:val="000000"/>
        </w:rPr>
        <w:t xml:space="preserve">Pravnim ili fizičkim osobama sa sjedištem u Republici Hrvatskoj </w:t>
      </w:r>
      <w:r>
        <w:rPr>
          <w:rStyle w:val="tlid-translation"/>
        </w:rPr>
        <w:t>Potvrdu o dobroj proizvođačkoj praksi</w:t>
      </w:r>
      <w:r>
        <w:rPr>
          <w:rFonts w:eastAsia="Times New Roman" w:cstheme="minorHAnsi"/>
          <w:color w:val="000000"/>
        </w:rPr>
        <w:t xml:space="preserve"> daje HALMED. Proizvođači iz trećih zemalja mogu </w:t>
      </w:r>
      <w:r w:rsidRPr="007B304C">
        <w:rPr>
          <w:rFonts w:eastAsia="Times New Roman" w:cstheme="minorHAnsi"/>
          <w:color w:val="000000"/>
        </w:rPr>
        <w:t xml:space="preserve">putem zastupnika u Republici Hrvatskoj </w:t>
      </w:r>
      <w:r>
        <w:rPr>
          <w:rFonts w:eastAsia="Times New Roman" w:cstheme="minorHAnsi"/>
          <w:color w:val="000000"/>
        </w:rPr>
        <w:t>podnijeti HALMED-u</w:t>
      </w:r>
      <w:r w:rsidRPr="007B304C">
        <w:rPr>
          <w:rFonts w:eastAsia="Times New Roman" w:cstheme="minorHAnsi"/>
          <w:color w:val="000000"/>
        </w:rPr>
        <w:t xml:space="preserve"> zahtjev</w:t>
      </w:r>
      <w:r>
        <w:rPr>
          <w:rFonts w:eastAsia="Times New Roman" w:cstheme="minorHAnsi"/>
          <w:color w:val="000000"/>
        </w:rPr>
        <w:t xml:space="preserve"> za provjeru usklađenosti s dobrom proizvođačkom praksom i izdavanje </w:t>
      </w:r>
      <w:r>
        <w:rPr>
          <w:rStyle w:val="tlid-translation"/>
        </w:rPr>
        <w:t xml:space="preserve">Potvrde o dobroj </w:t>
      </w:r>
      <w:r w:rsidRPr="00165E06">
        <w:rPr>
          <w:rStyle w:val="tlid-translation"/>
        </w:rPr>
        <w:t>proizvođačkoj praksi</w:t>
      </w:r>
      <w:r w:rsidRPr="00165E06">
        <w:rPr>
          <w:rFonts w:eastAsia="Times New Roman" w:cstheme="minorHAnsi"/>
          <w:color w:val="000000"/>
        </w:rPr>
        <w:t xml:space="preserve">. </w:t>
      </w:r>
    </w:p>
    <w:p w14:paraId="0F19691B" w14:textId="77777777" w:rsidR="00105B6F" w:rsidRDefault="00105B6F" w:rsidP="00105B6F">
      <w:pPr>
        <w:spacing w:line="276" w:lineRule="auto"/>
        <w:jc w:val="both"/>
        <w:rPr>
          <w:rFonts w:eastAsia="Times New Roman" w:cstheme="minorHAnsi"/>
          <w:color w:val="000000"/>
        </w:rPr>
      </w:pPr>
      <w:r w:rsidRPr="00165E06">
        <w:rPr>
          <w:rFonts w:eastAsia="Times New Roman" w:cstheme="minorHAnsi"/>
          <w:color w:val="000000"/>
        </w:rPr>
        <w:t xml:space="preserve">U izvještajnom razdoblju provedeni su svi planirani redovni nadzori nad dobrom proizvođačkom praksom kod proizvođača u Republici Hrvatskoj te </w:t>
      </w:r>
      <w:r>
        <w:rPr>
          <w:rFonts w:eastAsia="Times New Roman" w:cstheme="minorHAnsi"/>
          <w:color w:val="000000"/>
        </w:rPr>
        <w:t>devet</w:t>
      </w:r>
      <w:r w:rsidRPr="00165E06">
        <w:rPr>
          <w:rFonts w:eastAsia="Times New Roman" w:cstheme="minorHAnsi"/>
          <w:color w:val="000000"/>
        </w:rPr>
        <w:t xml:space="preserve"> stručn</w:t>
      </w:r>
      <w:r>
        <w:rPr>
          <w:rFonts w:eastAsia="Times New Roman" w:cstheme="minorHAnsi"/>
          <w:color w:val="000000"/>
        </w:rPr>
        <w:t>ih</w:t>
      </w:r>
      <w:r w:rsidRPr="00165E06">
        <w:rPr>
          <w:rFonts w:eastAsia="Times New Roman" w:cstheme="minorHAnsi"/>
          <w:color w:val="000000"/>
        </w:rPr>
        <w:t xml:space="preserve"> nadzora nad provođenjem dobre proizvođačke prakse proizvođača u trećim zemljama.</w:t>
      </w:r>
      <w:r>
        <w:rPr>
          <w:rFonts w:eastAsia="Times New Roman" w:cstheme="minorHAnsi"/>
          <w:color w:val="000000"/>
        </w:rPr>
        <w:t xml:space="preserve"> </w:t>
      </w:r>
    </w:p>
    <w:p w14:paraId="5CE1E376" w14:textId="77777777" w:rsidR="00105B6F" w:rsidRDefault="00105B6F" w:rsidP="00105B6F">
      <w:pPr>
        <w:spacing w:line="276" w:lineRule="auto"/>
        <w:jc w:val="both"/>
        <w:rPr>
          <w:rFonts w:eastAsia="Times New Roman" w:cstheme="minorHAnsi"/>
          <w:color w:val="000000"/>
        </w:rPr>
      </w:pPr>
    </w:p>
    <w:p w14:paraId="60E0031D" w14:textId="77777777" w:rsidR="00105B6F" w:rsidRDefault="00105B6F" w:rsidP="00105B6F">
      <w:pPr>
        <w:tabs>
          <w:tab w:val="center" w:pos="858"/>
          <w:tab w:val="center" w:pos="4320"/>
          <w:tab w:val="right" w:pos="8306"/>
          <w:tab w:val="right" w:pos="8640"/>
        </w:tabs>
        <w:spacing w:after="120" w:line="276" w:lineRule="auto"/>
        <w:jc w:val="both"/>
        <w:rPr>
          <w:rFonts w:ascii="Calibri" w:hAnsi="Calibri" w:cs="Helvetica"/>
        </w:rPr>
      </w:pPr>
      <w:r>
        <w:rPr>
          <w:rFonts w:ascii="Calibri" w:hAnsi="Calibri" w:cs="Helvetica"/>
        </w:rPr>
        <w:t xml:space="preserve">Podaci o izdanim Potvrdama o provođenju dobre proizvođačke i nadzoru dobre proizvođačke u izvještajnom razdoblju prikazani su u Tablicama 10. i 10a. i </w:t>
      </w:r>
      <w:r w:rsidRPr="00844888">
        <w:rPr>
          <w:rFonts w:ascii="Calibri" w:hAnsi="Calibri" w:cs="Helvetica"/>
        </w:rPr>
        <w:t xml:space="preserve">Privitku 4 (R.br. </w:t>
      </w:r>
      <w:r>
        <w:rPr>
          <w:rFonts w:ascii="Calibri" w:hAnsi="Calibri" w:cs="Helvetica"/>
        </w:rPr>
        <w:t>7</w:t>
      </w:r>
      <w:r w:rsidRPr="00844888">
        <w:rPr>
          <w:rFonts w:ascii="Calibri" w:hAnsi="Calibri" w:cs="Helvetica"/>
        </w:rPr>
        <w:t>)</w:t>
      </w:r>
      <w:r>
        <w:rPr>
          <w:rFonts w:ascii="Calibri" w:hAnsi="Calibri" w:cs="Helvetica"/>
        </w:rPr>
        <w:t xml:space="preserve"> </w:t>
      </w:r>
    </w:p>
    <w:p w14:paraId="0CE45E95" w14:textId="77777777" w:rsidR="00105B6F" w:rsidRPr="001D59FE" w:rsidRDefault="00105B6F" w:rsidP="00105B6F">
      <w:pPr>
        <w:pStyle w:val="Heading3"/>
      </w:pPr>
      <w:bookmarkStart w:id="145" w:name="_Toc165035465"/>
      <w:bookmarkStart w:id="146" w:name="_Toc26534644"/>
      <w:r w:rsidRPr="001D59FE">
        <w:t>2.3.</w:t>
      </w:r>
      <w:r>
        <w:t>3.</w:t>
      </w:r>
      <w:r w:rsidRPr="001D59FE">
        <w:t xml:space="preserve"> </w:t>
      </w:r>
      <w:r>
        <w:t>Upis u očevidnik proizvođača, dobavljača ili uvoznika djelatnih tvari</w:t>
      </w:r>
      <w:bookmarkEnd w:id="145"/>
    </w:p>
    <w:bookmarkEnd w:id="146"/>
    <w:p w14:paraId="300D34F3" w14:textId="77777777" w:rsidR="00105B6F" w:rsidRPr="002E69F9" w:rsidRDefault="00105B6F" w:rsidP="00105B6F">
      <w:pPr>
        <w:spacing w:after="240" w:line="276" w:lineRule="auto"/>
        <w:jc w:val="both"/>
        <w:rPr>
          <w:rFonts w:eastAsia="Times New Roman" w:cstheme="minorHAnsi"/>
        </w:rPr>
      </w:pPr>
      <w:r>
        <w:rPr>
          <w:rFonts w:ascii="Calibri" w:hAnsi="Calibri" w:cs="Helvetica"/>
        </w:rPr>
        <w:t>Fizičke ili pravne osobe sa sjedištem u Republici Hrvatskoj, mogu proizvoditi i uvoziti, odnosno obavljati promet na veliko djelatnim tvarima (veleprodaju) ako su svoju djelatnost prijavile i ako su upisane u očevidnik proizvođača, dobavljača ili uvoznika odnosno veleprodaja djelatnih tvari.</w:t>
      </w:r>
      <w:r w:rsidRPr="00593270">
        <w:rPr>
          <w:rFonts w:eastAsia="Times New Roman" w:cstheme="minorHAnsi"/>
          <w:color w:val="000000"/>
        </w:rPr>
        <w:t xml:space="preserve"> </w:t>
      </w:r>
      <w:r>
        <w:rPr>
          <w:rFonts w:eastAsia="Times New Roman" w:cstheme="minorHAnsi"/>
          <w:color w:val="000000"/>
        </w:rPr>
        <w:t xml:space="preserve">Za upis u očevidnik nositelji upisa moraju ispuniti zahtjeve dobre proizvođačke prakse (GMP) za djelatnu tvar i zahtjeve dobre distribucijske prakse </w:t>
      </w:r>
      <w:r w:rsidRPr="006D19C5">
        <w:rPr>
          <w:rFonts w:eastAsia="Times New Roman" w:cstheme="minorHAnsi"/>
          <w:i/>
          <w:color w:val="000000"/>
        </w:rPr>
        <w:t>(</w:t>
      </w:r>
      <w:r w:rsidRPr="006D19C5">
        <w:rPr>
          <w:i/>
        </w:rPr>
        <w:t xml:space="preserve">Good Distribution Practice, </w:t>
      </w:r>
      <w:r w:rsidRPr="006D19C5">
        <w:rPr>
          <w:rFonts w:eastAsia="Times New Roman" w:cstheme="minorHAnsi"/>
          <w:i/>
          <w:color w:val="000000"/>
        </w:rPr>
        <w:t>GDP)</w:t>
      </w:r>
      <w:r>
        <w:rPr>
          <w:rFonts w:eastAsia="Times New Roman" w:cstheme="minorHAnsi"/>
          <w:color w:val="000000"/>
        </w:rPr>
        <w:t xml:space="preserve"> djelatnih tvari na veliko. Podaci o nositeljima upisa u očevidnik proizvođača, dobavljača ili uvoznika djelatnih tvari sa sjedištem u Republici Hrvatskoj unose se u bazu i objavljuju na internetskim stranicama HALMED-a. </w:t>
      </w:r>
    </w:p>
    <w:p w14:paraId="05B5184F" w14:textId="77777777" w:rsidR="00105B6F" w:rsidRDefault="00105B6F" w:rsidP="00105B6F">
      <w:pPr>
        <w:spacing w:after="240" w:line="276" w:lineRule="auto"/>
        <w:jc w:val="both"/>
        <w:rPr>
          <w:rFonts w:ascii="Calibri" w:hAnsi="Calibri" w:cs="Helvetica"/>
        </w:rPr>
      </w:pPr>
      <w:r>
        <w:rPr>
          <w:rFonts w:ascii="Calibri" w:hAnsi="Calibri" w:cs="Helvetica"/>
        </w:rPr>
        <w:t xml:space="preserve">Broj upisa u očevidnik </w:t>
      </w:r>
      <w:r>
        <w:rPr>
          <w:rFonts w:eastAsia="Times New Roman" w:cstheme="minorHAnsi"/>
          <w:color w:val="000000"/>
        </w:rPr>
        <w:t xml:space="preserve">proizvođača, dobavljača ili </w:t>
      </w:r>
      <w:r w:rsidRPr="00C95525">
        <w:rPr>
          <w:rFonts w:eastAsia="Times New Roman" w:cstheme="minorHAnsi"/>
          <w:color w:val="000000"/>
        </w:rPr>
        <w:t>uvoznika djelatnih tvari</w:t>
      </w:r>
      <w:r>
        <w:rPr>
          <w:rFonts w:eastAsia="Times New Roman" w:cstheme="minorHAnsi"/>
          <w:color w:val="000000"/>
        </w:rPr>
        <w:t xml:space="preserve"> u izvještajnom </w:t>
      </w:r>
      <w:r>
        <w:rPr>
          <w:rFonts w:cstheme="minorHAnsi"/>
        </w:rPr>
        <w:t xml:space="preserve">razdoblju </w:t>
      </w:r>
      <w:r>
        <w:rPr>
          <w:rFonts w:ascii="Calibri" w:hAnsi="Calibri" w:cs="Helvetica"/>
        </w:rPr>
        <w:t xml:space="preserve">prikazan je u Tablici 10. </w:t>
      </w:r>
    </w:p>
    <w:p w14:paraId="0F7253DC" w14:textId="77777777" w:rsidR="00105B6F" w:rsidRPr="00105711" w:rsidRDefault="00105B6F" w:rsidP="00105B6F">
      <w:pPr>
        <w:pStyle w:val="Heading3"/>
      </w:pPr>
      <w:bookmarkStart w:id="147" w:name="_Toc26534645"/>
      <w:bookmarkStart w:id="148" w:name="_Toc165035466"/>
      <w:r w:rsidRPr="001D59FE">
        <w:t>2.3.</w:t>
      </w:r>
      <w:r>
        <w:t>4.</w:t>
      </w:r>
      <w:r w:rsidRPr="001D59FE">
        <w:t xml:space="preserve"> </w:t>
      </w:r>
      <w:r>
        <w:t>Nadzor dobre farmakovigilancijske prakse</w:t>
      </w:r>
      <w:bookmarkEnd w:id="147"/>
      <w:bookmarkEnd w:id="148"/>
    </w:p>
    <w:p w14:paraId="3007EB80" w14:textId="77777777" w:rsidR="00105B6F" w:rsidRDefault="00105B6F" w:rsidP="00105B6F">
      <w:pPr>
        <w:spacing w:after="240" w:line="276" w:lineRule="auto"/>
        <w:jc w:val="both"/>
        <w:rPr>
          <w:rFonts w:ascii="Calibri" w:hAnsi="Calibri" w:cs="Times New Roman"/>
          <w:color w:val="000000"/>
        </w:rPr>
      </w:pPr>
      <w:r>
        <w:rPr>
          <w:rStyle w:val="tlid-translation"/>
        </w:rPr>
        <w:t xml:space="preserve">Dobra farmakovigilancijska praksa </w:t>
      </w:r>
      <w:r w:rsidRPr="00792E2B">
        <w:t>(</w:t>
      </w:r>
      <w:r w:rsidRPr="00C351DF">
        <w:rPr>
          <w:rStyle w:val="kurziv"/>
          <w:i/>
          <w:iCs/>
        </w:rPr>
        <w:t>Good Pharmacovigilance practice</w:t>
      </w:r>
      <w:r>
        <w:rPr>
          <w:rStyle w:val="kurziv"/>
          <w:iCs/>
        </w:rPr>
        <w:t xml:space="preserve">, </w:t>
      </w:r>
      <w:r w:rsidRPr="006D19C5">
        <w:rPr>
          <w:rStyle w:val="kurziv"/>
          <w:i/>
          <w:iCs/>
        </w:rPr>
        <w:t>GVP)</w:t>
      </w:r>
      <w:r>
        <w:rPr>
          <w:rStyle w:val="tlid-translation"/>
        </w:rPr>
        <w:t xml:space="preserve"> je skup mjera koje su osmišljene kako bi se olakšalo obavljanje farmakovigilancijskih aktivnosti u Europskoj uniji. GVP se odnosi na nositelje odobrenja centralizirano i nacionalno odobrenih lijekova za stavljanje lijeka u promet, Europsku agenciju za lijekove (EMA) i nacionalna nadležna tijela za lijekove u državama članicama. </w:t>
      </w:r>
    </w:p>
    <w:p w14:paraId="3AE25967" w14:textId="08ACC43D" w:rsidR="00105B6F" w:rsidRDefault="00105B6F" w:rsidP="00105B6F">
      <w:pPr>
        <w:spacing w:after="240" w:line="276" w:lineRule="auto"/>
        <w:jc w:val="both"/>
        <w:rPr>
          <w:rFonts w:ascii="Calibri" w:hAnsi="Calibri" w:cs="Times New Roman"/>
        </w:rPr>
      </w:pPr>
      <w:r>
        <w:rPr>
          <w:rFonts w:ascii="Calibri" w:hAnsi="Calibri" w:cs="Times New Roman"/>
          <w:color w:val="000000"/>
        </w:rPr>
        <w:lastRenderedPageBreak/>
        <w:t xml:space="preserve">HALMED provodi nadzor dobre farmakovigilancijske prakse </w:t>
      </w:r>
      <w:r w:rsidRPr="001425C4">
        <w:rPr>
          <w:rFonts w:ascii="Calibri" w:hAnsi="Calibri" w:cs="Times New Roman"/>
          <w:color w:val="000000"/>
        </w:rPr>
        <w:t xml:space="preserve">nositelja odobrenja </w:t>
      </w:r>
      <w:r>
        <w:rPr>
          <w:rFonts w:ascii="Calibri" w:hAnsi="Calibri" w:cs="Times New Roman"/>
          <w:color w:val="000000"/>
        </w:rPr>
        <w:t>za stavljanje lijeka u promet u</w:t>
      </w:r>
      <w:r w:rsidRPr="001425C4">
        <w:rPr>
          <w:rFonts w:ascii="Calibri" w:hAnsi="Calibri" w:cs="Times New Roman"/>
          <w:color w:val="000000"/>
        </w:rPr>
        <w:t xml:space="preserve"> R</w:t>
      </w:r>
      <w:r>
        <w:rPr>
          <w:rFonts w:ascii="Calibri" w:hAnsi="Calibri" w:cs="Times New Roman"/>
          <w:color w:val="000000"/>
        </w:rPr>
        <w:t xml:space="preserve">epublici </w:t>
      </w:r>
      <w:r w:rsidRPr="001425C4">
        <w:rPr>
          <w:rFonts w:ascii="Calibri" w:hAnsi="Calibri" w:cs="Times New Roman"/>
          <w:color w:val="000000"/>
        </w:rPr>
        <w:t>H</w:t>
      </w:r>
      <w:r>
        <w:rPr>
          <w:rFonts w:ascii="Calibri" w:hAnsi="Calibri" w:cs="Times New Roman"/>
          <w:color w:val="000000"/>
        </w:rPr>
        <w:t>rvatskoj, čija je odgovorna osoba za farmakovigilancijski sustav (QPPV</w:t>
      </w:r>
      <w:r>
        <w:rPr>
          <w:rStyle w:val="FootnoteReference"/>
          <w:rFonts w:ascii="Calibri" w:hAnsi="Calibri" w:cs="Times New Roman"/>
          <w:color w:val="000000"/>
        </w:rPr>
        <w:footnoteReference w:id="3"/>
      </w:r>
      <w:r>
        <w:rPr>
          <w:rFonts w:ascii="Calibri" w:hAnsi="Calibri" w:cs="Times New Roman"/>
          <w:color w:val="000000"/>
        </w:rPr>
        <w:t>) i glavni spis o farmakovigilancijskom sustavu (PSMF</w:t>
      </w:r>
      <w:r>
        <w:rPr>
          <w:rStyle w:val="FootnoteReference"/>
          <w:rFonts w:ascii="Calibri" w:hAnsi="Calibri" w:cs="Times New Roman"/>
          <w:color w:val="000000"/>
        </w:rPr>
        <w:footnoteReference w:id="4"/>
      </w:r>
      <w:r>
        <w:rPr>
          <w:rFonts w:ascii="Calibri" w:hAnsi="Calibri" w:cs="Times New Roman"/>
          <w:color w:val="000000"/>
        </w:rPr>
        <w:t xml:space="preserve">) smještena u </w:t>
      </w:r>
      <w:r w:rsidRPr="001425C4">
        <w:rPr>
          <w:rFonts w:ascii="Calibri" w:hAnsi="Calibri" w:cs="Times New Roman"/>
          <w:color w:val="000000"/>
        </w:rPr>
        <w:t>R</w:t>
      </w:r>
      <w:r>
        <w:rPr>
          <w:rFonts w:ascii="Calibri" w:hAnsi="Calibri" w:cs="Times New Roman"/>
          <w:color w:val="000000"/>
        </w:rPr>
        <w:t xml:space="preserve">epublici </w:t>
      </w:r>
      <w:r w:rsidRPr="001425C4">
        <w:rPr>
          <w:rFonts w:ascii="Calibri" w:hAnsi="Calibri" w:cs="Times New Roman"/>
          <w:color w:val="000000"/>
        </w:rPr>
        <w:t>H</w:t>
      </w:r>
      <w:r>
        <w:rPr>
          <w:rFonts w:ascii="Calibri" w:hAnsi="Calibri" w:cs="Times New Roman"/>
          <w:color w:val="000000"/>
        </w:rPr>
        <w:t xml:space="preserve">rvatskoj, nadzor dobre farmakovigilancijske prakse </w:t>
      </w:r>
      <w:r w:rsidRPr="00292E9F">
        <w:rPr>
          <w:rFonts w:ascii="Calibri" w:hAnsi="Calibri" w:cs="Times New Roman"/>
          <w:color w:val="000000"/>
        </w:rPr>
        <w:t>podružnica</w:t>
      </w:r>
      <w:r w:rsidRPr="001425C4">
        <w:rPr>
          <w:rFonts w:ascii="Calibri" w:hAnsi="Calibri" w:cs="Times New Roman"/>
          <w:color w:val="000000"/>
        </w:rPr>
        <w:t xml:space="preserve"> </w:t>
      </w:r>
      <w:r>
        <w:rPr>
          <w:rFonts w:ascii="Calibri" w:hAnsi="Calibri" w:cs="Times New Roman"/>
          <w:color w:val="000000"/>
        </w:rPr>
        <w:t>farmakovigilancijsklih globalnih sustava</w:t>
      </w:r>
      <w:r w:rsidRPr="001425C4">
        <w:rPr>
          <w:rFonts w:ascii="Calibri" w:hAnsi="Calibri" w:cs="Times New Roman"/>
          <w:color w:val="000000"/>
        </w:rPr>
        <w:t xml:space="preserve"> </w:t>
      </w:r>
      <w:r>
        <w:rPr>
          <w:rFonts w:ascii="Calibri" w:hAnsi="Calibri" w:cs="Times New Roman"/>
          <w:color w:val="000000"/>
        </w:rPr>
        <w:t xml:space="preserve">u </w:t>
      </w:r>
      <w:r w:rsidRPr="001425C4">
        <w:rPr>
          <w:rFonts w:ascii="Calibri" w:hAnsi="Calibri" w:cs="Times New Roman"/>
          <w:color w:val="000000"/>
        </w:rPr>
        <w:t>R</w:t>
      </w:r>
      <w:r>
        <w:rPr>
          <w:rFonts w:ascii="Calibri" w:hAnsi="Calibri" w:cs="Times New Roman"/>
          <w:color w:val="000000"/>
        </w:rPr>
        <w:t xml:space="preserve">epublici </w:t>
      </w:r>
      <w:r w:rsidRPr="00B9258B">
        <w:rPr>
          <w:rFonts w:ascii="Calibri" w:hAnsi="Calibri" w:cs="Times New Roman"/>
          <w:color w:val="000000"/>
        </w:rPr>
        <w:t>Hrvatskoj te</w:t>
      </w:r>
      <w:r>
        <w:rPr>
          <w:rFonts w:ascii="Calibri" w:hAnsi="Calibri" w:cs="Times New Roman"/>
          <w:color w:val="000000"/>
        </w:rPr>
        <w:t xml:space="preserve"> nadzor dobre farmakovigilancijske prakse </w:t>
      </w:r>
      <w:r w:rsidRPr="001425C4">
        <w:rPr>
          <w:rFonts w:ascii="Calibri" w:hAnsi="Calibri" w:cs="Times New Roman"/>
          <w:color w:val="000000"/>
        </w:rPr>
        <w:t xml:space="preserve">ugovornih vršitelja farmakovigilancijskih </w:t>
      </w:r>
      <w:r>
        <w:rPr>
          <w:rFonts w:ascii="Calibri" w:hAnsi="Calibri" w:cs="Times New Roman"/>
          <w:color w:val="000000"/>
        </w:rPr>
        <w:t>poslova za</w:t>
      </w:r>
      <w:r w:rsidRPr="001425C4">
        <w:rPr>
          <w:rFonts w:ascii="Calibri" w:hAnsi="Calibri" w:cs="Times New Roman"/>
          <w:color w:val="000000"/>
        </w:rPr>
        <w:t xml:space="preserve"> nositelj</w:t>
      </w:r>
      <w:r>
        <w:rPr>
          <w:rFonts w:ascii="Calibri" w:hAnsi="Calibri" w:cs="Times New Roman"/>
          <w:color w:val="000000"/>
        </w:rPr>
        <w:t>a</w:t>
      </w:r>
      <w:r w:rsidRPr="001425C4">
        <w:rPr>
          <w:rFonts w:ascii="Calibri" w:hAnsi="Calibri" w:cs="Times New Roman"/>
          <w:color w:val="000000"/>
        </w:rPr>
        <w:t xml:space="preserve"> odobrenja </w:t>
      </w:r>
      <w:r>
        <w:rPr>
          <w:rFonts w:ascii="Calibri" w:hAnsi="Calibri" w:cs="Times New Roman"/>
          <w:color w:val="000000"/>
        </w:rPr>
        <w:t>za stavljanje lijeka u promet</w:t>
      </w:r>
      <w:r w:rsidRPr="001425C4">
        <w:rPr>
          <w:rFonts w:ascii="Calibri" w:hAnsi="Calibri" w:cs="Times New Roman"/>
          <w:color w:val="000000"/>
        </w:rPr>
        <w:t xml:space="preserve"> </w:t>
      </w:r>
      <w:r w:rsidR="00AE2383">
        <w:rPr>
          <w:rFonts w:ascii="Calibri" w:hAnsi="Calibri" w:cs="Times New Roman"/>
          <w:color w:val="000000"/>
        </w:rPr>
        <w:t xml:space="preserve">u </w:t>
      </w:r>
      <w:r w:rsidRPr="001425C4">
        <w:rPr>
          <w:rFonts w:ascii="Calibri" w:hAnsi="Calibri" w:cs="Times New Roman"/>
          <w:color w:val="000000"/>
        </w:rPr>
        <w:t>R</w:t>
      </w:r>
      <w:r>
        <w:rPr>
          <w:rFonts w:ascii="Calibri" w:hAnsi="Calibri" w:cs="Times New Roman"/>
          <w:color w:val="000000"/>
        </w:rPr>
        <w:t xml:space="preserve">epublici </w:t>
      </w:r>
      <w:r w:rsidRPr="001425C4">
        <w:rPr>
          <w:rFonts w:ascii="Calibri" w:hAnsi="Calibri" w:cs="Times New Roman"/>
          <w:color w:val="000000"/>
        </w:rPr>
        <w:t>H</w:t>
      </w:r>
      <w:r>
        <w:rPr>
          <w:rFonts w:ascii="Calibri" w:hAnsi="Calibri" w:cs="Times New Roman"/>
          <w:color w:val="000000"/>
        </w:rPr>
        <w:t>rvatskoj.</w:t>
      </w:r>
    </w:p>
    <w:p w14:paraId="188C9E56" w14:textId="77777777" w:rsidR="00105B6F" w:rsidRDefault="00105B6F" w:rsidP="00105B6F">
      <w:pPr>
        <w:spacing w:after="240" w:line="276" w:lineRule="auto"/>
        <w:jc w:val="both"/>
        <w:rPr>
          <w:rFonts w:ascii="Calibri" w:hAnsi="Calibri" w:cs="Times New Roman"/>
        </w:rPr>
      </w:pPr>
      <w:r>
        <w:rPr>
          <w:rFonts w:ascii="Calibri" w:hAnsi="Calibri" w:cs="Times New Roman"/>
        </w:rPr>
        <w:t>Broj nadzora</w:t>
      </w:r>
      <w:r w:rsidRPr="001425C4">
        <w:rPr>
          <w:rFonts w:ascii="Calibri" w:hAnsi="Calibri" w:cs="Times New Roman"/>
        </w:rPr>
        <w:t xml:space="preserve"> </w:t>
      </w:r>
      <w:r>
        <w:rPr>
          <w:rFonts w:ascii="Calibri" w:hAnsi="Calibri" w:cs="Times New Roman"/>
        </w:rPr>
        <w:t xml:space="preserve">dobre farmakovigilancijske prakse </w:t>
      </w:r>
      <w:r w:rsidRPr="001425C4">
        <w:rPr>
          <w:rFonts w:ascii="Calibri" w:hAnsi="Calibri" w:cs="Times New Roman"/>
        </w:rPr>
        <w:t xml:space="preserve">u </w:t>
      </w:r>
      <w:r>
        <w:rPr>
          <w:rFonts w:ascii="Calibri" w:hAnsi="Calibri" w:cs="Times New Roman"/>
        </w:rPr>
        <w:t xml:space="preserve">izvještajnom </w:t>
      </w:r>
      <w:r>
        <w:rPr>
          <w:rFonts w:cstheme="minorHAnsi"/>
        </w:rPr>
        <w:t xml:space="preserve">razdoblju </w:t>
      </w:r>
      <w:r>
        <w:rPr>
          <w:rFonts w:ascii="Calibri" w:hAnsi="Calibri" w:cs="Times New Roman"/>
        </w:rPr>
        <w:t>prikazan</w:t>
      </w:r>
      <w:r w:rsidRPr="001425C4">
        <w:rPr>
          <w:rFonts w:ascii="Calibri" w:hAnsi="Calibri" w:cs="Times New Roman"/>
        </w:rPr>
        <w:t xml:space="preserve"> </w:t>
      </w:r>
      <w:r>
        <w:rPr>
          <w:rFonts w:ascii="Calibri" w:hAnsi="Calibri" w:cs="Times New Roman"/>
        </w:rPr>
        <w:t>je</w:t>
      </w:r>
      <w:r w:rsidRPr="001425C4">
        <w:rPr>
          <w:rFonts w:ascii="Calibri" w:hAnsi="Calibri" w:cs="Times New Roman"/>
        </w:rPr>
        <w:t xml:space="preserve"> u Tablici 10.</w:t>
      </w:r>
    </w:p>
    <w:p w14:paraId="65A2FB84" w14:textId="77777777" w:rsidR="00105B6F" w:rsidRPr="00105711" w:rsidRDefault="00105B6F" w:rsidP="00105B6F">
      <w:pPr>
        <w:pStyle w:val="Heading3"/>
      </w:pPr>
      <w:bookmarkStart w:id="149" w:name="_Toc26534646"/>
      <w:bookmarkStart w:id="150" w:name="_Toc165035467"/>
      <w:r w:rsidRPr="001D59FE">
        <w:t>2.3.</w:t>
      </w:r>
      <w:r>
        <w:t>5.</w:t>
      </w:r>
      <w:r w:rsidRPr="001D59FE">
        <w:t xml:space="preserve"> Davanje dozvole</w:t>
      </w:r>
      <w:r>
        <w:t xml:space="preserve"> za promet na veliko lijekova i VMP</w:t>
      </w:r>
      <w:bookmarkEnd w:id="149"/>
      <w:bookmarkEnd w:id="150"/>
    </w:p>
    <w:p w14:paraId="3897F296" w14:textId="5A719443" w:rsidR="00105B6F" w:rsidRDefault="00105B6F" w:rsidP="00105B6F">
      <w:pPr>
        <w:spacing w:after="240" w:line="276" w:lineRule="auto"/>
        <w:jc w:val="both"/>
        <w:rPr>
          <w:rFonts w:eastAsia="Times New Roman" w:cstheme="minorHAnsi"/>
          <w:color w:val="000000"/>
        </w:rPr>
      </w:pPr>
      <w:r>
        <w:rPr>
          <w:rFonts w:eastAsia="Times New Roman" w:cstheme="minorHAnsi"/>
          <w:color w:val="000000"/>
        </w:rPr>
        <w:t>Promet lijekova i VMP na veliko</w:t>
      </w:r>
      <w:r>
        <w:rPr>
          <w:rFonts w:ascii="Calibri" w:hAnsi="Calibri" w:cs="Helvetica"/>
        </w:rPr>
        <w:t xml:space="preserve"> obuhvaća: </w:t>
      </w:r>
      <w:r>
        <w:rPr>
          <w:rFonts w:eastAsia="Times New Roman" w:cstheme="minorHAnsi"/>
          <w:color w:val="000000"/>
        </w:rPr>
        <w:t>nabavu, primitak, skladištenje, prodaju, isporučivanje osim izdavanja krajnjem korisniku, unošenje i iznošenje i/ili uvoz i izvoz lijeka i VMP. Dozvola za promet na veliko</w:t>
      </w:r>
      <w:r>
        <w:rPr>
          <w:rFonts w:ascii="Calibri" w:hAnsi="Calibri" w:cs="Helvetica"/>
        </w:rPr>
        <w:t xml:space="preserve"> (veleprodaja) </w:t>
      </w:r>
      <w:r>
        <w:rPr>
          <w:rFonts w:eastAsia="Times New Roman" w:cstheme="minorHAnsi"/>
          <w:color w:val="000000"/>
        </w:rPr>
        <w:t xml:space="preserve">lijekova i VMP </w:t>
      </w:r>
      <w:r>
        <w:rPr>
          <w:rFonts w:ascii="Calibri" w:hAnsi="Calibri" w:cs="Helvetica"/>
        </w:rPr>
        <w:t>je rješenje kojim se potvrđuje da fizička ili pravna osoba sa sjedištem u Republici Hrvatskoj</w:t>
      </w:r>
      <w:r>
        <w:rPr>
          <w:rFonts w:eastAsia="Times New Roman" w:cstheme="minorHAnsi"/>
          <w:color w:val="000000"/>
        </w:rPr>
        <w:t xml:space="preserve"> ispunjava zahtjeve dobre distribucijske praks</w:t>
      </w:r>
      <w:r w:rsidR="00AE2383">
        <w:rPr>
          <w:rFonts w:eastAsia="Times New Roman" w:cstheme="minorHAnsi"/>
          <w:color w:val="000000"/>
        </w:rPr>
        <w:t>e</w:t>
      </w:r>
      <w:r>
        <w:rPr>
          <w:rFonts w:eastAsia="Times New Roman" w:cstheme="minorHAnsi"/>
          <w:color w:val="000000"/>
        </w:rPr>
        <w:t xml:space="preserve"> </w:t>
      </w:r>
      <w:r w:rsidRPr="006D19C5">
        <w:rPr>
          <w:rFonts w:eastAsia="Times New Roman" w:cstheme="minorHAnsi"/>
          <w:i/>
          <w:color w:val="000000"/>
        </w:rPr>
        <w:t>(Good Distribution Practice, GDP).</w:t>
      </w:r>
      <w:r>
        <w:rPr>
          <w:rFonts w:eastAsia="Times New Roman" w:cstheme="minorHAnsi"/>
          <w:color w:val="000000"/>
        </w:rPr>
        <w:t xml:space="preserve"> </w:t>
      </w:r>
    </w:p>
    <w:p w14:paraId="38423318" w14:textId="77777777" w:rsidR="00105B6F" w:rsidRPr="002E69F9" w:rsidRDefault="00105B6F" w:rsidP="00105B6F">
      <w:pPr>
        <w:tabs>
          <w:tab w:val="center" w:pos="858"/>
          <w:tab w:val="center" w:pos="4320"/>
          <w:tab w:val="right" w:pos="8306"/>
          <w:tab w:val="right" w:pos="8640"/>
        </w:tabs>
        <w:spacing w:line="276" w:lineRule="auto"/>
        <w:jc w:val="both"/>
        <w:rPr>
          <w:rStyle w:val="Hyperlink"/>
        </w:rPr>
      </w:pPr>
      <w:r>
        <w:rPr>
          <w:rFonts w:eastAsia="Times New Roman" w:cstheme="minorHAnsi"/>
          <w:color w:val="000000"/>
        </w:rPr>
        <w:t xml:space="preserve">Podaci o nositeljima dozvola za promet na veliko lijekovima i VMP u Republici Hrvatskoj unose se u bazu i </w:t>
      </w:r>
      <w:r w:rsidRPr="008513DC">
        <w:rPr>
          <w:rFonts w:eastAsia="Times New Roman" w:cstheme="minorHAnsi"/>
          <w:color w:val="000000"/>
        </w:rPr>
        <w:t xml:space="preserve">objavljuju na </w:t>
      </w:r>
      <w:r>
        <w:rPr>
          <w:rFonts w:eastAsia="Times New Roman" w:cstheme="minorHAnsi"/>
          <w:color w:val="000000"/>
        </w:rPr>
        <w:t>internetskim</w:t>
      </w:r>
      <w:r w:rsidRPr="008513DC">
        <w:rPr>
          <w:rFonts w:eastAsia="Times New Roman" w:cstheme="minorHAnsi"/>
          <w:color w:val="000000"/>
        </w:rPr>
        <w:t xml:space="preserve"> stranicama</w:t>
      </w:r>
      <w:r w:rsidRPr="00BE0937">
        <w:t xml:space="preserve"> </w:t>
      </w:r>
      <w:r>
        <w:rPr>
          <w:rFonts w:eastAsia="Times New Roman" w:cstheme="minorHAnsi"/>
          <w:color w:val="000000"/>
        </w:rPr>
        <w:t xml:space="preserve">HALMED-a </w:t>
      </w:r>
      <w:r w:rsidRPr="002E69F9">
        <w:rPr>
          <w:rFonts w:eastAsia="Times New Roman" w:cstheme="minorHAnsi"/>
        </w:rPr>
        <w:t xml:space="preserve">i </w:t>
      </w:r>
      <w:r w:rsidRPr="002E69F9">
        <w:rPr>
          <w:rStyle w:val="tlid-translation"/>
        </w:rPr>
        <w:t>u europsku bazu EudraGMDP</w:t>
      </w:r>
      <w:r>
        <w:rPr>
          <w:rStyle w:val="tlid-translation"/>
        </w:rPr>
        <w:t>.</w:t>
      </w:r>
    </w:p>
    <w:p w14:paraId="5EAEE7F3" w14:textId="77777777" w:rsidR="00105B6F" w:rsidRDefault="00105B6F" w:rsidP="00105B6F">
      <w:pPr>
        <w:tabs>
          <w:tab w:val="center" w:pos="858"/>
          <w:tab w:val="center" w:pos="4320"/>
          <w:tab w:val="right" w:pos="8306"/>
          <w:tab w:val="right" w:pos="8640"/>
        </w:tabs>
        <w:spacing w:line="276" w:lineRule="auto"/>
        <w:rPr>
          <w:rStyle w:val="Hyperlink"/>
        </w:rPr>
      </w:pPr>
    </w:p>
    <w:p w14:paraId="77053302" w14:textId="77777777" w:rsidR="00105B6F" w:rsidRPr="002E69F9" w:rsidRDefault="00105B6F" w:rsidP="00105B6F">
      <w:pPr>
        <w:tabs>
          <w:tab w:val="center" w:pos="858"/>
          <w:tab w:val="center" w:pos="4320"/>
          <w:tab w:val="right" w:pos="8306"/>
          <w:tab w:val="right" w:pos="8640"/>
        </w:tabs>
        <w:spacing w:line="276" w:lineRule="auto"/>
        <w:jc w:val="both"/>
      </w:pPr>
      <w:r w:rsidRPr="00AE558F">
        <w:rPr>
          <w:rStyle w:val="Hyperlink"/>
          <w:color w:val="auto"/>
          <w:u w:val="none"/>
        </w:rPr>
        <w:t>Fizičke i pravne osobe sa sjedištem izvan Republike Hrvatske</w:t>
      </w:r>
      <w:r w:rsidRPr="00A35A03">
        <w:t>,</w:t>
      </w:r>
      <w:r w:rsidRPr="00627B35">
        <w:t xml:space="preserve"> </w:t>
      </w:r>
      <w:r w:rsidRPr="002E69F9">
        <w:t xml:space="preserve">koje u drugoj državi članici Europske unije ispunjavaju uvjete za obavljanje djelatnosti prometa lijeka i VMP na veliko u zemlji ili posredovanja lijekova i VMP obvezne su početak obavljanja djelatnosti na području Republike Hrvatske prijaviti Agenciji. Evidencija potvrda o početku obavljanja ovih djelatnosti dostupna je na </w:t>
      </w:r>
      <w:r>
        <w:t>internetskim</w:t>
      </w:r>
      <w:r w:rsidRPr="002E69F9">
        <w:t xml:space="preserve"> stranicama HALMED-a.</w:t>
      </w:r>
    </w:p>
    <w:p w14:paraId="1D82DCD9" w14:textId="77777777" w:rsidR="00105B6F" w:rsidRPr="00EC5BFD" w:rsidRDefault="00105B6F" w:rsidP="00105B6F">
      <w:pPr>
        <w:tabs>
          <w:tab w:val="center" w:pos="858"/>
          <w:tab w:val="center" w:pos="4320"/>
          <w:tab w:val="right" w:pos="8306"/>
          <w:tab w:val="right" w:pos="8640"/>
        </w:tabs>
        <w:spacing w:line="276" w:lineRule="auto"/>
      </w:pPr>
      <w:r>
        <w:t xml:space="preserve"> </w:t>
      </w:r>
    </w:p>
    <w:p w14:paraId="405F33E5" w14:textId="77777777" w:rsidR="00105B6F" w:rsidRDefault="00105B6F" w:rsidP="00105B6F">
      <w:pPr>
        <w:spacing w:after="240" w:line="276" w:lineRule="auto"/>
        <w:jc w:val="both"/>
        <w:rPr>
          <w:rFonts w:ascii="Calibri" w:hAnsi="Calibri" w:cs="Helvetica"/>
        </w:rPr>
      </w:pPr>
      <w:r>
        <w:rPr>
          <w:rFonts w:ascii="Calibri" w:hAnsi="Calibri" w:cs="Helvetica"/>
        </w:rPr>
        <w:t xml:space="preserve">Broj izdanih </w:t>
      </w:r>
      <w:r>
        <w:rPr>
          <w:rFonts w:eastAsia="Times New Roman" w:cstheme="minorHAnsi"/>
          <w:color w:val="000000"/>
        </w:rPr>
        <w:t xml:space="preserve">dozvola za promet na veliko fizičkim ili pravnim osobama sa sjedištem u Republici Hrvatskoj </w:t>
      </w:r>
      <w:r>
        <w:rPr>
          <w:rFonts w:ascii="Calibri" w:hAnsi="Calibri" w:cs="Helvetica"/>
        </w:rPr>
        <w:t xml:space="preserve">u izvještajnom </w:t>
      </w:r>
      <w:r>
        <w:rPr>
          <w:rFonts w:cstheme="minorHAnsi"/>
        </w:rPr>
        <w:t xml:space="preserve">razdoblju </w:t>
      </w:r>
      <w:r>
        <w:rPr>
          <w:rFonts w:ascii="Calibri" w:hAnsi="Calibri" w:cs="Helvetica"/>
        </w:rPr>
        <w:t>prikazan je u Tablicama 10. i Tablicama 10a.</w:t>
      </w:r>
    </w:p>
    <w:p w14:paraId="1F56A179" w14:textId="77777777" w:rsidR="00105B6F" w:rsidRPr="001D59FE" w:rsidRDefault="00105B6F" w:rsidP="00105B6F">
      <w:pPr>
        <w:pStyle w:val="Heading3"/>
      </w:pPr>
      <w:bookmarkStart w:id="151" w:name="_Toc165035468"/>
      <w:bookmarkStart w:id="152" w:name="_Toc26534647"/>
      <w:r w:rsidRPr="001D59FE">
        <w:t>2</w:t>
      </w:r>
      <w:r w:rsidRPr="00CA06B2">
        <w:rPr>
          <w:rStyle w:val="Heading3Char"/>
        </w:rPr>
        <w:t>.3.6</w:t>
      </w:r>
      <w:r>
        <w:rPr>
          <w:rStyle w:val="Heading3Char"/>
        </w:rPr>
        <w:t>.</w:t>
      </w:r>
      <w:r w:rsidRPr="00CA06B2">
        <w:rPr>
          <w:rStyle w:val="Heading3Char"/>
        </w:rPr>
        <w:t xml:space="preserve"> Davanje dozvole za promet na malo lijekovima u specijaliziranim prodavaonicama</w:t>
      </w:r>
      <w:bookmarkEnd w:id="151"/>
    </w:p>
    <w:bookmarkEnd w:id="152"/>
    <w:p w14:paraId="597D6B28" w14:textId="77777777" w:rsidR="00105B6F" w:rsidRDefault="00105B6F" w:rsidP="00105B6F">
      <w:pPr>
        <w:tabs>
          <w:tab w:val="center" w:pos="858"/>
          <w:tab w:val="center" w:pos="4320"/>
          <w:tab w:val="right" w:pos="8306"/>
          <w:tab w:val="right" w:pos="8640"/>
        </w:tabs>
        <w:spacing w:after="240" w:line="276" w:lineRule="auto"/>
        <w:jc w:val="both"/>
        <w:rPr>
          <w:rFonts w:eastAsia="Times New Roman" w:cstheme="minorHAnsi"/>
          <w:color w:val="000000"/>
        </w:rPr>
      </w:pPr>
      <w:r>
        <w:rPr>
          <w:rFonts w:cs="Helvetica"/>
        </w:rPr>
        <w:t xml:space="preserve">Dozvola za promet na </w:t>
      </w:r>
      <w:r w:rsidRPr="00D36099">
        <w:rPr>
          <w:rFonts w:cs="Helvetica"/>
        </w:rPr>
        <w:t xml:space="preserve">malo lijekovima </w:t>
      </w:r>
      <w:r>
        <w:rPr>
          <w:rFonts w:cs="Helvetica"/>
        </w:rPr>
        <w:t>u</w:t>
      </w:r>
      <w:r w:rsidRPr="00D36099">
        <w:rPr>
          <w:rFonts w:cs="Helvetica"/>
        </w:rPr>
        <w:t xml:space="preserve"> specijaliziranim prodavaonicama </w:t>
      </w:r>
      <w:r>
        <w:rPr>
          <w:rFonts w:cs="Helvetica"/>
        </w:rPr>
        <w:t xml:space="preserve">je rješenje prema kojem je u specijaliziranim prodavaonicama dozvoljeno obavljanje </w:t>
      </w:r>
      <w:r w:rsidRPr="00D36099">
        <w:rPr>
          <w:rFonts w:cs="Helvetica"/>
        </w:rPr>
        <w:t>promet</w:t>
      </w:r>
      <w:r>
        <w:rPr>
          <w:rFonts w:cs="Helvetica"/>
        </w:rPr>
        <w:t>a</w:t>
      </w:r>
      <w:r w:rsidRPr="00D36099">
        <w:rPr>
          <w:rFonts w:cs="Helvetica"/>
        </w:rPr>
        <w:t xml:space="preserve"> na malo lijekovima koji se izdaju bez recepta.</w:t>
      </w:r>
      <w:r>
        <w:rPr>
          <w:rFonts w:eastAsia="Times New Roman" w:cstheme="minorHAnsi"/>
          <w:color w:val="000000"/>
        </w:rPr>
        <w:t xml:space="preserve"> </w:t>
      </w:r>
    </w:p>
    <w:p w14:paraId="3B84D352" w14:textId="77777777" w:rsidR="00105B6F" w:rsidRPr="002E69F9" w:rsidRDefault="00105B6F" w:rsidP="00105B6F">
      <w:pPr>
        <w:tabs>
          <w:tab w:val="center" w:pos="858"/>
          <w:tab w:val="center" w:pos="4320"/>
          <w:tab w:val="right" w:pos="8306"/>
          <w:tab w:val="right" w:pos="8640"/>
        </w:tabs>
        <w:spacing w:after="240" w:line="276" w:lineRule="auto"/>
        <w:jc w:val="both"/>
        <w:rPr>
          <w:rFonts w:eastAsia="Times New Roman" w:cstheme="minorHAnsi"/>
        </w:rPr>
      </w:pPr>
      <w:r>
        <w:rPr>
          <w:rFonts w:eastAsia="Times New Roman" w:cstheme="minorHAnsi"/>
          <w:color w:val="000000"/>
        </w:rPr>
        <w:t xml:space="preserve">Podaci o nositeljima dozvola za promet na </w:t>
      </w:r>
      <w:r w:rsidRPr="00D36099">
        <w:rPr>
          <w:rFonts w:cs="Helvetica"/>
        </w:rPr>
        <w:t xml:space="preserve">malo lijekovima </w:t>
      </w:r>
      <w:r>
        <w:rPr>
          <w:rFonts w:cs="Helvetica"/>
        </w:rPr>
        <w:t>u</w:t>
      </w:r>
      <w:r w:rsidRPr="00D36099">
        <w:rPr>
          <w:rFonts w:cs="Helvetica"/>
        </w:rPr>
        <w:t xml:space="preserve"> specijaliziranim prodavaonicama </w:t>
      </w:r>
      <w:r>
        <w:rPr>
          <w:rFonts w:eastAsia="Times New Roman" w:cstheme="minorHAnsi"/>
          <w:color w:val="000000"/>
        </w:rPr>
        <w:t xml:space="preserve">u Republici Hrvatskoj unose se u bazu i </w:t>
      </w:r>
      <w:r w:rsidRPr="008513DC">
        <w:rPr>
          <w:rFonts w:eastAsia="Times New Roman" w:cstheme="minorHAnsi"/>
          <w:color w:val="000000"/>
        </w:rPr>
        <w:t xml:space="preserve">objavljuju na </w:t>
      </w:r>
      <w:r>
        <w:rPr>
          <w:rFonts w:eastAsia="Times New Roman" w:cstheme="minorHAnsi"/>
          <w:color w:val="000000"/>
        </w:rPr>
        <w:t>internetskim</w:t>
      </w:r>
      <w:r w:rsidRPr="008513DC">
        <w:rPr>
          <w:rFonts w:eastAsia="Times New Roman" w:cstheme="minorHAnsi"/>
          <w:color w:val="000000"/>
        </w:rPr>
        <w:t xml:space="preserve"> stranicama</w:t>
      </w:r>
      <w:r w:rsidRPr="00BE0937">
        <w:t xml:space="preserve"> </w:t>
      </w:r>
      <w:r>
        <w:rPr>
          <w:rFonts w:eastAsia="Times New Roman" w:cstheme="minorHAnsi"/>
          <w:color w:val="000000"/>
        </w:rPr>
        <w:t xml:space="preserve">HALMED-a. </w:t>
      </w:r>
    </w:p>
    <w:p w14:paraId="71ABB8F1" w14:textId="77777777" w:rsidR="00105B6F" w:rsidRDefault="00105B6F" w:rsidP="00105B6F">
      <w:pPr>
        <w:tabs>
          <w:tab w:val="center" w:pos="858"/>
          <w:tab w:val="center" w:pos="4320"/>
          <w:tab w:val="right" w:pos="8306"/>
          <w:tab w:val="right" w:pos="8640"/>
        </w:tabs>
        <w:spacing w:after="240" w:line="276" w:lineRule="auto"/>
        <w:jc w:val="both"/>
        <w:rPr>
          <w:rFonts w:eastAsia="Times New Roman" w:cstheme="minorHAnsi"/>
          <w:bCs/>
          <w:color w:val="4472C4" w:themeColor="accent5"/>
          <w:sz w:val="28"/>
          <w:szCs w:val="32"/>
        </w:rPr>
      </w:pPr>
      <w:r>
        <w:rPr>
          <w:rFonts w:ascii="Calibri" w:hAnsi="Calibri" w:cs="Helvetica"/>
        </w:rPr>
        <w:t xml:space="preserve">Podaci o davanju dozvola u izvještajnom </w:t>
      </w:r>
      <w:r>
        <w:rPr>
          <w:rFonts w:cstheme="minorHAnsi"/>
        </w:rPr>
        <w:t xml:space="preserve">razdoblju </w:t>
      </w:r>
      <w:r>
        <w:rPr>
          <w:rFonts w:ascii="Calibri" w:hAnsi="Calibri" w:cs="Helvetica"/>
        </w:rPr>
        <w:t>prikazani su Tablici 10.</w:t>
      </w:r>
    </w:p>
    <w:p w14:paraId="63E2F2AE" w14:textId="77777777" w:rsidR="00105B6F" w:rsidRPr="00105711" w:rsidRDefault="00105B6F" w:rsidP="00105B6F">
      <w:pPr>
        <w:pStyle w:val="Heading3"/>
      </w:pPr>
      <w:bookmarkStart w:id="153" w:name="_Toc26534648"/>
      <w:bookmarkStart w:id="154" w:name="_Toc165035469"/>
      <w:r w:rsidRPr="001D59FE">
        <w:lastRenderedPageBreak/>
        <w:t>2.3.</w:t>
      </w:r>
      <w:r>
        <w:t>7.</w:t>
      </w:r>
      <w:r w:rsidRPr="001D59FE">
        <w:t xml:space="preserve"> Davanje dozvole</w:t>
      </w:r>
      <w:r>
        <w:t xml:space="preserve"> za posredovanje lijekovima</w:t>
      </w:r>
      <w:bookmarkEnd w:id="153"/>
      <w:bookmarkEnd w:id="154"/>
    </w:p>
    <w:p w14:paraId="1484E43E" w14:textId="77777777" w:rsidR="00105B6F" w:rsidRDefault="00105B6F" w:rsidP="00105B6F">
      <w:pPr>
        <w:tabs>
          <w:tab w:val="center" w:pos="858"/>
          <w:tab w:val="center" w:pos="4320"/>
          <w:tab w:val="right" w:pos="8306"/>
          <w:tab w:val="right" w:pos="8640"/>
        </w:tabs>
        <w:spacing w:after="240" w:line="276" w:lineRule="auto"/>
        <w:jc w:val="both"/>
        <w:rPr>
          <w:rFonts w:eastAsia="Times New Roman" w:cstheme="minorHAnsi"/>
          <w:color w:val="000000"/>
        </w:rPr>
      </w:pPr>
      <w:r>
        <w:rPr>
          <w:rFonts w:eastAsia="Times New Roman" w:cstheme="minorHAnsi"/>
          <w:color w:val="000000"/>
        </w:rPr>
        <w:t>Dozvola za posredovanje lijekovima (posredništvo) je rješenje za obavljanje djelatnosti prodaje ili kupnje lijekova, koje ne uključuje fizičko rukovanje lijekovima i sastoji se od samostalnog pregovaranja i pregovaranja u ime druge pravne ili fizičke osobe. Za dobivanje dozvole podnositelj zahtjeva (posrednik) treba uspostaviti sustave osiguranja kakvoće, odgovornosti, procesa i upravljanje rizicima u odnosu na djelatnosti koju obavljaju.</w:t>
      </w:r>
    </w:p>
    <w:p w14:paraId="4934C8A2" w14:textId="77777777" w:rsidR="00105B6F" w:rsidRPr="002E69F9" w:rsidRDefault="00105B6F" w:rsidP="00105B6F">
      <w:pPr>
        <w:tabs>
          <w:tab w:val="center" w:pos="858"/>
          <w:tab w:val="center" w:pos="4320"/>
          <w:tab w:val="right" w:pos="8306"/>
          <w:tab w:val="right" w:pos="8640"/>
        </w:tabs>
        <w:spacing w:after="240" w:line="276" w:lineRule="auto"/>
        <w:jc w:val="both"/>
        <w:rPr>
          <w:rFonts w:ascii="Calibri" w:hAnsi="Calibri" w:cs="Helvetica"/>
        </w:rPr>
      </w:pPr>
      <w:r>
        <w:rPr>
          <w:rFonts w:eastAsia="Times New Roman" w:cstheme="minorHAnsi"/>
          <w:color w:val="000000"/>
        </w:rPr>
        <w:t xml:space="preserve">Podaci o nositeljima dozvola za obavljanje posredovanja lijekovima na području Republike Hrvatske unose se u bazu i </w:t>
      </w:r>
      <w:r w:rsidRPr="008513DC">
        <w:rPr>
          <w:rFonts w:eastAsia="Times New Roman" w:cstheme="minorHAnsi"/>
          <w:color w:val="000000"/>
        </w:rPr>
        <w:t xml:space="preserve">objavljuju na </w:t>
      </w:r>
      <w:r>
        <w:rPr>
          <w:rFonts w:eastAsia="Times New Roman" w:cstheme="minorHAnsi"/>
          <w:color w:val="000000"/>
        </w:rPr>
        <w:t>internetskim</w:t>
      </w:r>
      <w:r w:rsidRPr="008513DC">
        <w:rPr>
          <w:rFonts w:eastAsia="Times New Roman" w:cstheme="minorHAnsi"/>
          <w:color w:val="000000"/>
        </w:rPr>
        <w:t xml:space="preserve"> stranicama</w:t>
      </w:r>
      <w:r w:rsidRPr="00BE0937">
        <w:t xml:space="preserve"> </w:t>
      </w:r>
      <w:r>
        <w:rPr>
          <w:rFonts w:eastAsia="Times New Roman" w:cstheme="minorHAnsi"/>
          <w:color w:val="000000"/>
        </w:rPr>
        <w:t xml:space="preserve">HALMED-a. </w:t>
      </w:r>
    </w:p>
    <w:p w14:paraId="0901CBD7" w14:textId="77777777" w:rsidR="00105B6F" w:rsidRDefault="00105B6F" w:rsidP="00105B6F">
      <w:pPr>
        <w:tabs>
          <w:tab w:val="center" w:pos="858"/>
          <w:tab w:val="center" w:pos="4320"/>
          <w:tab w:val="right" w:pos="8306"/>
          <w:tab w:val="right" w:pos="8640"/>
        </w:tabs>
        <w:spacing w:after="240" w:line="276" w:lineRule="auto"/>
        <w:jc w:val="both"/>
        <w:rPr>
          <w:rFonts w:eastAsia="Times New Roman" w:cstheme="minorHAnsi"/>
          <w:bCs/>
          <w:color w:val="4472C4" w:themeColor="accent5"/>
          <w:sz w:val="28"/>
          <w:szCs w:val="32"/>
        </w:rPr>
      </w:pPr>
      <w:r>
        <w:rPr>
          <w:rFonts w:ascii="Calibri" w:hAnsi="Calibri" w:cs="Helvetica"/>
        </w:rPr>
        <w:t xml:space="preserve">Broj izdanih dozvola u izvještajnom </w:t>
      </w:r>
      <w:r>
        <w:rPr>
          <w:rFonts w:cstheme="minorHAnsi"/>
        </w:rPr>
        <w:t xml:space="preserve">razdoblju </w:t>
      </w:r>
      <w:r>
        <w:rPr>
          <w:rFonts w:ascii="Calibri" w:hAnsi="Calibri" w:cs="Helvetica"/>
        </w:rPr>
        <w:t>prikazan je u Tablici 10</w:t>
      </w:r>
      <w:r w:rsidRPr="00AF2376">
        <w:rPr>
          <w:rFonts w:ascii="Calibri" w:hAnsi="Calibri" w:cs="Helvetica"/>
        </w:rPr>
        <w:t>.</w:t>
      </w:r>
    </w:p>
    <w:p w14:paraId="24F5BA8B" w14:textId="77777777" w:rsidR="00105B6F" w:rsidRPr="00105711" w:rsidRDefault="00105B6F" w:rsidP="00105B6F">
      <w:pPr>
        <w:pStyle w:val="Heading3"/>
      </w:pPr>
      <w:bookmarkStart w:id="155" w:name="_Toc26534649"/>
      <w:bookmarkStart w:id="156" w:name="_Toc165035470"/>
      <w:r w:rsidRPr="001D59FE">
        <w:t>2.3.</w:t>
      </w:r>
      <w:r>
        <w:t>8.</w:t>
      </w:r>
      <w:r w:rsidRPr="001D59FE">
        <w:t xml:space="preserve"> Davanje dozvole</w:t>
      </w:r>
      <w:r>
        <w:t xml:space="preserve"> za prodaju lijekova na daljinu putem interneta</w:t>
      </w:r>
      <w:bookmarkEnd w:id="155"/>
      <w:bookmarkEnd w:id="156"/>
    </w:p>
    <w:p w14:paraId="02022C42" w14:textId="77777777" w:rsidR="00105B6F" w:rsidRDefault="00105B6F" w:rsidP="00105B6F">
      <w:pPr>
        <w:tabs>
          <w:tab w:val="center" w:pos="858"/>
          <w:tab w:val="center" w:pos="4320"/>
          <w:tab w:val="right" w:pos="8306"/>
          <w:tab w:val="right" w:pos="8640"/>
        </w:tabs>
        <w:spacing w:after="240" w:line="276" w:lineRule="auto"/>
        <w:jc w:val="both"/>
      </w:pPr>
      <w:r>
        <w:t xml:space="preserve">Fizičke ili pravne osobe koje obavljaju ljekarničku djelatnost u </w:t>
      </w:r>
      <w:r w:rsidRPr="00DD6440">
        <w:t xml:space="preserve">Republici Hrvatskoj sukladno Zakonu o lijekovima mogu nuditi prodaju </w:t>
      </w:r>
      <w:r>
        <w:t xml:space="preserve">lijekova </w:t>
      </w:r>
      <w:r w:rsidRPr="00DD6440">
        <w:t>na daljinu putem interneta</w:t>
      </w:r>
      <w:r>
        <w:t xml:space="preserve"> samo za</w:t>
      </w:r>
      <w:r w:rsidRPr="00DD6440">
        <w:t xml:space="preserve"> lijekove koji se izdaju bez recepta.</w:t>
      </w:r>
    </w:p>
    <w:p w14:paraId="28689793" w14:textId="77777777" w:rsidR="00105B6F" w:rsidRDefault="00105B6F" w:rsidP="00105B6F">
      <w:pPr>
        <w:tabs>
          <w:tab w:val="center" w:pos="858"/>
          <w:tab w:val="center" w:pos="4320"/>
          <w:tab w:val="right" w:pos="8306"/>
          <w:tab w:val="right" w:pos="8640"/>
        </w:tabs>
        <w:spacing w:after="240" w:line="276" w:lineRule="auto"/>
        <w:jc w:val="both"/>
        <w:rPr>
          <w:rFonts w:eastAsia="Times New Roman" w:cstheme="minorHAnsi"/>
          <w:color w:val="000000"/>
        </w:rPr>
      </w:pPr>
      <w:r>
        <w:rPr>
          <w:rFonts w:eastAsia="Times New Roman" w:cstheme="minorHAnsi"/>
          <w:color w:val="000000"/>
        </w:rPr>
        <w:t xml:space="preserve">U izvještajnom </w:t>
      </w:r>
      <w:r>
        <w:rPr>
          <w:rFonts w:cstheme="minorHAnsi"/>
        </w:rPr>
        <w:t xml:space="preserve">razdoblju </w:t>
      </w:r>
      <w:r>
        <w:rPr>
          <w:rFonts w:eastAsia="Times New Roman" w:cstheme="minorHAnsi"/>
          <w:color w:val="000000"/>
        </w:rPr>
        <w:t>nije dana niti jedna dozvola za internetsku prodaju lijekova.</w:t>
      </w:r>
    </w:p>
    <w:p w14:paraId="4F8BB3B4" w14:textId="77777777" w:rsidR="00105B6F" w:rsidRPr="001D59FE" w:rsidRDefault="00105B6F" w:rsidP="00105B6F">
      <w:pPr>
        <w:pStyle w:val="Heading3"/>
      </w:pPr>
      <w:bookmarkStart w:id="157" w:name="_Toc165035471"/>
      <w:bookmarkStart w:id="158" w:name="_Toc26534650"/>
      <w:r w:rsidRPr="001D59FE">
        <w:t>2.3.</w:t>
      </w:r>
      <w:r>
        <w:t>9.</w:t>
      </w:r>
      <w:r w:rsidRPr="001D59FE">
        <w:t xml:space="preserve"> </w:t>
      </w:r>
      <w:r>
        <w:t>Uzorkovanje lijekova iz prometa</w:t>
      </w:r>
      <w:bookmarkEnd w:id="157"/>
    </w:p>
    <w:bookmarkEnd w:id="158"/>
    <w:p w14:paraId="3D79CDF1" w14:textId="77777777" w:rsidR="00105B6F" w:rsidRPr="008B435A" w:rsidRDefault="00105B6F" w:rsidP="00105B6F">
      <w:pPr>
        <w:spacing w:before="100" w:beforeAutospacing="1" w:after="100" w:afterAutospacing="1" w:line="276" w:lineRule="auto"/>
        <w:jc w:val="both"/>
        <w:rPr>
          <w:rFonts w:eastAsia="Times New Roman" w:cstheme="minorHAnsi"/>
          <w:lang w:eastAsia="hr-HR"/>
        </w:rPr>
      </w:pPr>
      <w:r w:rsidRPr="008B435A">
        <w:rPr>
          <w:rFonts w:eastAsia="Times New Roman" w:cstheme="minorHAnsi"/>
          <w:lang w:eastAsia="hr-HR"/>
        </w:rPr>
        <w:t xml:space="preserve">Sukladno Zakonu o lijekovima HALMED provodi provjeru kakvoće lijekova iz prometa najmanje jednom u pet godina za svaki farmaceutski oblik i jačinu lijeka. </w:t>
      </w:r>
    </w:p>
    <w:p w14:paraId="04DE7052" w14:textId="77777777" w:rsidR="00105B6F" w:rsidRDefault="00105B6F" w:rsidP="00105B6F">
      <w:pPr>
        <w:spacing w:line="276" w:lineRule="auto"/>
        <w:jc w:val="both"/>
        <w:rPr>
          <w:rFonts w:eastAsia="Times New Roman" w:cstheme="minorHAnsi"/>
          <w:color w:val="000000"/>
        </w:rPr>
      </w:pPr>
      <w:r w:rsidRPr="008B435A">
        <w:t xml:space="preserve">Uzorkovanje lijekova </w:t>
      </w:r>
      <w:r>
        <w:t xml:space="preserve">iz prometa </w:t>
      </w:r>
      <w:r w:rsidRPr="008B435A">
        <w:t>za provjeru kakvoće provod</w:t>
      </w:r>
      <w:r>
        <w:t>e djelatnici</w:t>
      </w:r>
      <w:r w:rsidRPr="008B435A">
        <w:t xml:space="preserve"> </w:t>
      </w:r>
      <w:r>
        <w:t xml:space="preserve">HALMED-a ovlašteni od strane Ministra zdravstva </w:t>
      </w:r>
      <w:r w:rsidRPr="008B435A">
        <w:t>sukladno Planu uzrokovanja iz prometa</w:t>
      </w:r>
      <w:r>
        <w:t xml:space="preserve"> prema opisanom u poglavlju</w:t>
      </w:r>
      <w:r w:rsidRPr="008B435A">
        <w:t xml:space="preserve"> 2. 5. 2. i </w:t>
      </w:r>
      <w:r w:rsidRPr="008B435A">
        <w:rPr>
          <w:rFonts w:eastAsia="Times New Roman" w:cstheme="minorHAnsi"/>
          <w:color w:val="000000"/>
        </w:rPr>
        <w:t>Tablic</w:t>
      </w:r>
      <w:r>
        <w:rPr>
          <w:rFonts w:eastAsia="Times New Roman" w:cstheme="minorHAnsi"/>
          <w:color w:val="000000"/>
        </w:rPr>
        <w:t>i</w:t>
      </w:r>
      <w:r w:rsidRPr="008B435A">
        <w:rPr>
          <w:rFonts w:eastAsia="Times New Roman" w:cstheme="minorHAnsi"/>
          <w:color w:val="000000"/>
        </w:rPr>
        <w:t xml:space="preserve"> 17.</w:t>
      </w:r>
    </w:p>
    <w:p w14:paraId="64879E21" w14:textId="77777777" w:rsidR="00105B6F" w:rsidRDefault="00105B6F" w:rsidP="00105B6F">
      <w:pPr>
        <w:pStyle w:val="Heading3"/>
      </w:pPr>
      <w:bookmarkStart w:id="159" w:name="_Toc165035472"/>
      <w:bookmarkStart w:id="160" w:name="_Toc26534651"/>
      <w:r w:rsidRPr="001D59FE">
        <w:t>2.3.1</w:t>
      </w:r>
      <w:r>
        <w:t>0.</w:t>
      </w:r>
      <w:r w:rsidRPr="001D59FE">
        <w:t xml:space="preserve"> </w:t>
      </w:r>
      <w:r>
        <w:t>Europski poslovi</w:t>
      </w:r>
      <w:bookmarkEnd w:id="159"/>
    </w:p>
    <w:p w14:paraId="41CA3580" w14:textId="77777777" w:rsidR="00105B6F" w:rsidRPr="00105711" w:rsidRDefault="00105B6F" w:rsidP="00105B6F">
      <w:pPr>
        <w:pStyle w:val="Heading4"/>
      </w:pPr>
      <w:r w:rsidRPr="001D59FE">
        <w:t>2.3.1</w:t>
      </w:r>
      <w:r>
        <w:t>0.1.</w:t>
      </w:r>
      <w:r w:rsidRPr="001D59FE">
        <w:t xml:space="preserve"> </w:t>
      </w:r>
      <w:r>
        <w:t>Izvještaj o radu HALMED-a u radnim skupinama EMA-e</w:t>
      </w:r>
      <w:bookmarkEnd w:id="160"/>
    </w:p>
    <w:p w14:paraId="05733D5B" w14:textId="77777777" w:rsidR="00105B6F" w:rsidRPr="006D19C5" w:rsidRDefault="00105B6F" w:rsidP="00105B6F">
      <w:pPr>
        <w:spacing w:after="240"/>
        <w:rPr>
          <w:rFonts w:ascii="Calibri" w:hAnsi="Calibri" w:cs="Times New Roman"/>
          <w:b/>
          <w:i/>
        </w:rPr>
      </w:pPr>
      <w:r>
        <w:rPr>
          <w:rFonts w:ascii="Calibri" w:hAnsi="Calibri" w:cs="Times New Roman"/>
          <w:b/>
          <w:bCs/>
        </w:rPr>
        <w:t xml:space="preserve">A) Radna skupina farmakovigilancijskih inspektora </w:t>
      </w:r>
      <w:r w:rsidRPr="00373989">
        <w:rPr>
          <w:rFonts w:ascii="Calibri" w:hAnsi="Calibri" w:cs="Times New Roman"/>
          <w:b/>
          <w:i/>
        </w:rPr>
        <w:t>(</w:t>
      </w:r>
      <w:r w:rsidRPr="00136B03">
        <w:rPr>
          <w:rFonts w:ascii="Calibri" w:hAnsi="Calibri"/>
          <w:b/>
          <w:i/>
        </w:rPr>
        <w:t>Pharmacovigilance Inspectors Working Group,</w:t>
      </w:r>
      <w:r w:rsidRPr="00373989">
        <w:rPr>
          <w:rFonts w:ascii="Calibri" w:hAnsi="Calibri" w:cs="Times New Roman"/>
          <w:b/>
          <w:i/>
        </w:rPr>
        <w:t xml:space="preserve"> </w:t>
      </w:r>
      <w:r w:rsidRPr="006D19C5">
        <w:rPr>
          <w:rFonts w:ascii="Calibri" w:hAnsi="Calibri" w:cs="Times New Roman"/>
          <w:b/>
          <w:i/>
        </w:rPr>
        <w:t xml:space="preserve">PhV IWG) </w:t>
      </w:r>
    </w:p>
    <w:p w14:paraId="310574F8" w14:textId="77777777" w:rsidR="00105B6F" w:rsidRDefault="00105B6F" w:rsidP="00105B6F">
      <w:pPr>
        <w:spacing w:after="240" w:line="276" w:lineRule="auto"/>
        <w:rPr>
          <w:rFonts w:ascii="Calibri" w:hAnsi="Calibri" w:cs="Times New Roman"/>
        </w:rPr>
      </w:pPr>
      <w:r>
        <w:rPr>
          <w:rFonts w:ascii="Calibri" w:hAnsi="Calibri" w:cs="Times New Roman"/>
        </w:rPr>
        <w:t xml:space="preserve">U Radnoj skupini </w:t>
      </w:r>
      <w:r w:rsidRPr="00E51E27">
        <w:rPr>
          <w:rFonts w:ascii="Calibri" w:hAnsi="Calibri" w:cs="Times New Roman"/>
        </w:rPr>
        <w:t>PhV IWG</w:t>
      </w:r>
      <w:r>
        <w:rPr>
          <w:rFonts w:ascii="Calibri" w:hAnsi="Calibri" w:cs="Times New Roman"/>
        </w:rPr>
        <w:t xml:space="preserve"> Republika Hrvatska ima dva predstavnika HALMED-a; člana i zamjenika. </w:t>
      </w:r>
    </w:p>
    <w:p w14:paraId="39652EAD" w14:textId="2D343EB2" w:rsidR="00105B6F" w:rsidRDefault="00105B6F" w:rsidP="00105B6F">
      <w:pPr>
        <w:spacing w:line="276" w:lineRule="auto"/>
        <w:rPr>
          <w:rFonts w:eastAsia="Times New Roman" w:cstheme="minorHAnsi"/>
        </w:rPr>
      </w:pPr>
      <w:r>
        <w:rPr>
          <w:rFonts w:eastAsia="Times New Roman" w:cstheme="minorHAnsi"/>
        </w:rPr>
        <w:t xml:space="preserve">Podaci o sudjelovanju predstavnika HALMED-a na radnim sastancima  </w:t>
      </w:r>
      <w:r>
        <w:rPr>
          <w:rFonts w:ascii="Calibri" w:hAnsi="Calibri" w:cs="Times New Roman"/>
        </w:rPr>
        <w:t>PhV IWG-a</w:t>
      </w:r>
      <w:r>
        <w:rPr>
          <w:rFonts w:eastAsia="Times New Roman" w:cstheme="minorHAnsi"/>
        </w:rPr>
        <w:t xml:space="preserve"> (bio prisutan i/ili virtualno) </w:t>
      </w:r>
      <w:r>
        <w:rPr>
          <w:rFonts w:ascii="Calibri" w:hAnsi="Calibri" w:cs="Helvetica"/>
        </w:rPr>
        <w:t xml:space="preserve">u izvještajnom </w:t>
      </w:r>
      <w:r>
        <w:rPr>
          <w:rFonts w:cstheme="minorHAnsi"/>
        </w:rPr>
        <w:t xml:space="preserve">razdoblju </w:t>
      </w:r>
      <w:r>
        <w:rPr>
          <w:rFonts w:eastAsia="Times New Roman" w:cstheme="minorHAnsi"/>
        </w:rPr>
        <w:t xml:space="preserve">prikazani su u </w:t>
      </w:r>
      <w:r w:rsidRPr="000329E8">
        <w:rPr>
          <w:rFonts w:eastAsia="Times New Roman" w:cstheme="minorHAnsi"/>
        </w:rPr>
        <w:t>Tablici 12.</w:t>
      </w:r>
      <w:r>
        <w:rPr>
          <w:rFonts w:eastAsia="Times New Roman" w:cstheme="minorHAnsi"/>
        </w:rPr>
        <w:t xml:space="preserve"> </w:t>
      </w:r>
    </w:p>
    <w:p w14:paraId="79BC81DB" w14:textId="77777777" w:rsidR="00105B6F" w:rsidRDefault="00105B6F" w:rsidP="00105B6F">
      <w:pPr>
        <w:spacing w:after="240"/>
        <w:rPr>
          <w:rFonts w:eastAsia="Times New Roman" w:cstheme="minorHAnsi"/>
          <w:b/>
        </w:rPr>
      </w:pPr>
    </w:p>
    <w:p w14:paraId="4FCE94AF" w14:textId="77777777" w:rsidR="00105B6F" w:rsidRDefault="00105B6F" w:rsidP="00105B6F">
      <w:pPr>
        <w:spacing w:after="240"/>
        <w:rPr>
          <w:rFonts w:eastAsia="Times New Roman" w:cstheme="minorHAnsi"/>
          <w:b/>
        </w:rPr>
      </w:pPr>
      <w:r>
        <w:rPr>
          <w:rFonts w:eastAsia="Times New Roman" w:cstheme="minorHAnsi"/>
          <w:b/>
        </w:rPr>
        <w:t>B) Radna skupina za dobru proizvođačku praksu</w:t>
      </w:r>
      <w:r>
        <w:rPr>
          <w:rFonts w:eastAsia="Times New Roman" w:cstheme="minorHAnsi"/>
        </w:rPr>
        <w:t xml:space="preserve"> </w:t>
      </w:r>
      <w:r>
        <w:rPr>
          <w:rFonts w:eastAsia="Times New Roman" w:cstheme="minorHAnsi"/>
          <w:b/>
        </w:rPr>
        <w:t xml:space="preserve">i dobru distribucijsku praksu </w:t>
      </w:r>
      <w:r w:rsidRPr="00373989">
        <w:rPr>
          <w:rFonts w:eastAsia="Times New Roman" w:cstheme="minorHAnsi"/>
          <w:b/>
          <w:i/>
        </w:rPr>
        <w:t>(</w:t>
      </w:r>
      <w:r w:rsidRPr="00373989">
        <w:rPr>
          <w:b/>
          <w:i/>
        </w:rPr>
        <w:t>GMP/GDP Inspectors Working Group</w:t>
      </w:r>
      <w:r w:rsidRPr="00373989">
        <w:rPr>
          <w:rFonts w:eastAsia="Times New Roman" w:cstheme="minorHAnsi"/>
          <w:b/>
          <w:i/>
        </w:rPr>
        <w:t>,</w:t>
      </w:r>
      <w:r>
        <w:rPr>
          <w:rFonts w:eastAsia="Times New Roman" w:cstheme="minorHAnsi"/>
          <w:b/>
        </w:rPr>
        <w:t xml:space="preserve"> GMDP IWG</w:t>
      </w:r>
      <w:r w:rsidRPr="00373989">
        <w:rPr>
          <w:rFonts w:eastAsia="Times New Roman" w:cstheme="minorHAnsi"/>
          <w:b/>
          <w:i/>
        </w:rPr>
        <w:t xml:space="preserve">) </w:t>
      </w:r>
    </w:p>
    <w:p w14:paraId="432AED98" w14:textId="77777777" w:rsidR="00105B6F" w:rsidRDefault="00105B6F" w:rsidP="00105B6F">
      <w:pPr>
        <w:spacing w:after="240" w:line="276" w:lineRule="auto"/>
        <w:jc w:val="both"/>
        <w:rPr>
          <w:lang w:val="it-IT"/>
        </w:rPr>
      </w:pPr>
      <w:r>
        <w:rPr>
          <w:rFonts w:eastAsia="Times New Roman" w:cstheme="minorHAnsi"/>
        </w:rPr>
        <w:t xml:space="preserve">U Radnoj skupini GMDP IWG, Republika Hrvatska ima dva predstavnika HALMED-a: člana i zamjenika. </w:t>
      </w:r>
      <w:r>
        <w:rPr>
          <w:lang w:val="it-IT"/>
        </w:rPr>
        <w:t xml:space="preserve">Aktivnosti radne skupine su se provodile sukladno godišnjem planu za 2023 godinu. Radna skupina je </w:t>
      </w:r>
      <w:r>
        <w:rPr>
          <w:lang w:val="it-IT"/>
        </w:rPr>
        <w:lastRenderedPageBreak/>
        <w:t xml:space="preserve">provodila planirane aktivnosti u suradnji s drugim radnim skupinama i organizacijama poput npr. PIC/S i EDQM. </w:t>
      </w:r>
    </w:p>
    <w:p w14:paraId="60E9A8E6" w14:textId="77777777" w:rsidR="00105B6F" w:rsidRPr="00A324B8" w:rsidRDefault="00105B6F" w:rsidP="00105B6F">
      <w:pPr>
        <w:spacing w:after="240"/>
        <w:rPr>
          <w:rFonts w:eastAsia="Times New Roman" w:cstheme="minorHAnsi"/>
          <w:b/>
          <w:i/>
        </w:rPr>
      </w:pPr>
      <w:r>
        <w:rPr>
          <w:rFonts w:eastAsia="Times New Roman" w:cstheme="minorHAnsi"/>
          <w:b/>
        </w:rPr>
        <w:t xml:space="preserve">C) Radna skupina </w:t>
      </w:r>
      <w:r w:rsidRPr="0061625D">
        <w:rPr>
          <w:rFonts w:eastAsia="Times New Roman" w:cstheme="minorHAnsi"/>
          <w:b/>
        </w:rPr>
        <w:t xml:space="preserve">inspektora dobre kliničke prakse </w:t>
      </w:r>
      <w:r w:rsidRPr="00A324B8">
        <w:rPr>
          <w:rFonts w:eastAsia="Times New Roman" w:cstheme="minorHAnsi"/>
          <w:b/>
          <w:i/>
        </w:rPr>
        <w:t xml:space="preserve">(Good Clinical Practice Inspectors Working Group, GCP IWG) </w:t>
      </w:r>
    </w:p>
    <w:p w14:paraId="7F0160BC" w14:textId="781DEC9F" w:rsidR="00105B6F" w:rsidRDefault="00105B6F" w:rsidP="00105B6F">
      <w:pPr>
        <w:spacing w:after="240" w:line="276" w:lineRule="auto"/>
        <w:jc w:val="both"/>
        <w:rPr>
          <w:rFonts w:ascii="Calibri" w:hAnsi="Calibri" w:cs="Times New Roman"/>
        </w:rPr>
      </w:pPr>
      <w:r w:rsidRPr="00A324B8">
        <w:rPr>
          <w:rFonts w:eastAsia="Times New Roman" w:cstheme="minorHAnsi"/>
        </w:rPr>
        <w:t xml:space="preserve">Radna skupina inspektora dobre kliničke prakse (Good Clinical Practice Inspectors Working Group (GCP IWG)) usredotočena je na usklađivanje i koordinaciju aktivnosti povezanih s GCP-om na razini Zajednice. Aktivnosti </w:t>
      </w:r>
      <w:r w:rsidR="00AE2383">
        <w:rPr>
          <w:rFonts w:eastAsia="Times New Roman" w:cstheme="minorHAnsi"/>
        </w:rPr>
        <w:t>skupine</w:t>
      </w:r>
      <w:r w:rsidR="00AE2383" w:rsidRPr="00A324B8">
        <w:rPr>
          <w:rFonts w:eastAsia="Times New Roman" w:cstheme="minorHAnsi"/>
        </w:rPr>
        <w:t xml:space="preserve"> </w:t>
      </w:r>
      <w:r w:rsidRPr="00A324B8">
        <w:rPr>
          <w:rFonts w:eastAsia="Times New Roman" w:cstheme="minorHAnsi"/>
        </w:rPr>
        <w:t xml:space="preserve">navode se u planu rada i fokus je na pripremi novih i revidiranju postojećih smjernica o postupcima dobre kliničke prakse koji se odnose na inspekciju. Države članice nominiraju svog predstavnika i zamjenike čiji rad unutar </w:t>
      </w:r>
      <w:r w:rsidR="00AE2383">
        <w:rPr>
          <w:rFonts w:eastAsia="Times New Roman" w:cstheme="minorHAnsi"/>
        </w:rPr>
        <w:t>skupine</w:t>
      </w:r>
      <w:r w:rsidR="00AE2383" w:rsidRPr="00A324B8">
        <w:rPr>
          <w:rFonts w:eastAsia="Times New Roman" w:cstheme="minorHAnsi"/>
        </w:rPr>
        <w:t xml:space="preserve"> </w:t>
      </w:r>
      <w:r w:rsidRPr="00A324B8">
        <w:rPr>
          <w:rFonts w:eastAsia="Times New Roman" w:cstheme="minorHAnsi"/>
        </w:rPr>
        <w:t xml:space="preserve">koordinira Europska agencija za lijekove (EMA). Radna skupina GCP inspektora sastaje se redovito četiri puta godišnje u EMA-i s predstavnicima GCP inspektorata država članica Europskog gospodarskog prostora, promatračima iz zemalja kandidata i Švicarske. </w:t>
      </w:r>
      <w:r w:rsidR="00AE2383">
        <w:rPr>
          <w:rFonts w:eastAsia="Times New Roman" w:cstheme="minorHAnsi"/>
        </w:rPr>
        <w:t>Skupina</w:t>
      </w:r>
      <w:r w:rsidR="00AE2383" w:rsidRPr="00A324B8">
        <w:rPr>
          <w:rFonts w:eastAsia="Times New Roman" w:cstheme="minorHAnsi"/>
        </w:rPr>
        <w:t xml:space="preserve"> </w:t>
      </w:r>
      <w:r w:rsidRPr="00A324B8">
        <w:rPr>
          <w:rFonts w:eastAsia="Times New Roman" w:cstheme="minorHAnsi"/>
        </w:rPr>
        <w:t>podržava koordinaciju pružanja savjeta vezano za dobru kliničku praksu i osigurava vezu i suradnju s drugim grupama unutar EMA-e kao što su CHMP, CVMP, EWP i PhVWP.</w:t>
      </w:r>
      <w:r>
        <w:rPr>
          <w:rFonts w:eastAsia="Times New Roman" w:cstheme="minorHAnsi"/>
        </w:rPr>
        <w:t xml:space="preserve"> </w:t>
      </w:r>
      <w:r>
        <w:rPr>
          <w:rFonts w:ascii="Calibri" w:hAnsi="Calibri" w:cs="Times New Roman"/>
        </w:rPr>
        <w:t xml:space="preserve">U Radnoj skupini </w:t>
      </w:r>
      <w:r w:rsidRPr="00E51E27">
        <w:rPr>
          <w:rFonts w:ascii="Calibri" w:hAnsi="Calibri" w:cs="Times New Roman"/>
        </w:rPr>
        <w:t>PhV IWG</w:t>
      </w:r>
      <w:r>
        <w:rPr>
          <w:rFonts w:ascii="Calibri" w:hAnsi="Calibri" w:cs="Times New Roman"/>
        </w:rPr>
        <w:t xml:space="preserve"> Republika Hrvatska ima jednog predstavnika HALMED-a.  </w:t>
      </w:r>
    </w:p>
    <w:p w14:paraId="72E8FCB0" w14:textId="77777777" w:rsidR="00105B6F" w:rsidRDefault="00105B6F" w:rsidP="00105B6F">
      <w:pPr>
        <w:spacing w:line="276" w:lineRule="auto"/>
        <w:jc w:val="both"/>
        <w:rPr>
          <w:rFonts w:eastAsia="Times New Roman"/>
        </w:rPr>
      </w:pPr>
      <w:r w:rsidRPr="00634D90">
        <w:rPr>
          <w:rFonts w:eastAsia="Times New Roman" w:cstheme="minorHAnsi"/>
        </w:rPr>
        <w:t>Podaci o sudjelovanju predstavnika HALMED-a na radnim sastancima PhV IWG, GMDP IWG</w:t>
      </w:r>
      <w:r w:rsidRPr="000B7D5D">
        <w:rPr>
          <w:rFonts w:eastAsia="Times New Roman" w:cstheme="minorHAnsi"/>
        </w:rPr>
        <w:t xml:space="preserve"> i GCP IWG u izvještajnom razdoblju prikazani su u Tablici 12. </w:t>
      </w:r>
    </w:p>
    <w:p w14:paraId="6F32D775" w14:textId="77777777" w:rsidR="00105B6F" w:rsidRPr="000B7D5D" w:rsidRDefault="00105B6F" w:rsidP="00105B6F">
      <w:pPr>
        <w:spacing w:line="276" w:lineRule="auto"/>
        <w:jc w:val="both"/>
        <w:rPr>
          <w:rFonts w:eastAsia="Times New Roman"/>
        </w:rPr>
      </w:pPr>
    </w:p>
    <w:p w14:paraId="0C809686" w14:textId="77777777" w:rsidR="00105B6F" w:rsidRPr="0064411A" w:rsidRDefault="00105B6F" w:rsidP="00105B6F">
      <w:pPr>
        <w:pStyle w:val="Heading4"/>
        <w:rPr>
          <w:rFonts w:ascii="Calibri" w:eastAsia="Calibri" w:hAnsi="Calibri" w:cs="Times New Roman"/>
          <w:color w:val="1A1A1A"/>
          <w:sz w:val="18"/>
          <w:szCs w:val="18"/>
          <w:lang w:eastAsia="hr-HR"/>
        </w:rPr>
      </w:pPr>
      <w:r w:rsidRPr="001D59FE">
        <w:t>2.3.1</w:t>
      </w:r>
      <w:r>
        <w:t>0.2. Izvještaj o radu HALMED-a u radnim skupinama HMA</w:t>
      </w:r>
    </w:p>
    <w:p w14:paraId="3C1B3F43" w14:textId="77777777" w:rsidR="00105B6F" w:rsidRPr="006D19C5" w:rsidRDefault="00105B6F" w:rsidP="00105B6F">
      <w:pPr>
        <w:spacing w:after="240"/>
        <w:ind w:left="284" w:hanging="284"/>
        <w:rPr>
          <w:b/>
          <w:i/>
        </w:rPr>
      </w:pPr>
      <w:r>
        <w:rPr>
          <w:rFonts w:ascii="Calibri" w:hAnsi="Calibri" w:cs="Times New Roman"/>
          <w:b/>
          <w:bCs/>
        </w:rPr>
        <w:t xml:space="preserve">A) </w:t>
      </w:r>
      <w:r>
        <w:rPr>
          <w:b/>
        </w:rPr>
        <w:t xml:space="preserve">Radna skupina provedbenih službenika </w:t>
      </w:r>
      <w:r w:rsidRPr="00E51E27">
        <w:rPr>
          <w:b/>
        </w:rPr>
        <w:t>(</w:t>
      </w:r>
      <w:r w:rsidRPr="00E51E27">
        <w:rPr>
          <w:b/>
          <w:i/>
        </w:rPr>
        <w:t>Working Group of Enforcement Officers</w:t>
      </w:r>
      <w:r w:rsidRPr="00E51E27">
        <w:rPr>
          <w:b/>
        </w:rPr>
        <w:t xml:space="preserve">, </w:t>
      </w:r>
      <w:r w:rsidRPr="006D19C5">
        <w:rPr>
          <w:b/>
          <w:i/>
        </w:rPr>
        <w:t>WGEO)</w:t>
      </w:r>
    </w:p>
    <w:p w14:paraId="7C56CA19" w14:textId="77777777" w:rsidR="00105B6F" w:rsidRPr="00430184" w:rsidRDefault="00105B6F" w:rsidP="00105B6F">
      <w:pPr>
        <w:spacing w:after="240" w:line="276" w:lineRule="auto"/>
        <w:jc w:val="both"/>
      </w:pPr>
      <w:r w:rsidRPr="00430184">
        <w:t xml:space="preserve">Radna skupina </w:t>
      </w:r>
      <w:r w:rsidRPr="00E51E27">
        <w:t>provedbenih službenika</w:t>
      </w:r>
      <w:r>
        <w:rPr>
          <w:b/>
        </w:rPr>
        <w:t xml:space="preserve"> </w:t>
      </w:r>
      <w:r w:rsidRPr="00430184">
        <w:t xml:space="preserve">osnovana je s ciljem zaštite zdravlja i dobrobiti ljudi i životinja. Glavni ciljevi su promicanje suradnje između država članica EU s ciljem bolje razmjene informacija te identificiranja potencijalnih prijetnji u proizvodnji i distribucijskom lancu. </w:t>
      </w:r>
      <w:r>
        <w:t>R</w:t>
      </w:r>
      <w:r w:rsidRPr="00430184">
        <w:t xml:space="preserve">adna skupina </w:t>
      </w:r>
      <w:r>
        <w:t xml:space="preserve">se </w:t>
      </w:r>
      <w:r w:rsidRPr="00430184">
        <w:t>sastoji od više podskupin</w:t>
      </w:r>
      <w:r>
        <w:t>a</w:t>
      </w:r>
      <w:r w:rsidRPr="00430184">
        <w:t xml:space="preserve"> i to podskupine za OMCL, podskupine inspektora za lijekove te podskupine za VMP-ove.</w:t>
      </w:r>
    </w:p>
    <w:p w14:paraId="28941C57" w14:textId="77777777" w:rsidR="00105B6F" w:rsidRDefault="00105B6F" w:rsidP="00105B6F">
      <w:pPr>
        <w:tabs>
          <w:tab w:val="center" w:pos="858"/>
          <w:tab w:val="center" w:pos="4320"/>
          <w:tab w:val="right" w:pos="8306"/>
          <w:tab w:val="right" w:pos="8640"/>
        </w:tabs>
        <w:spacing w:line="276" w:lineRule="auto"/>
        <w:jc w:val="both"/>
      </w:pPr>
      <w:r w:rsidRPr="00430184">
        <w:t xml:space="preserve">U Radnoj skupini provedbenih službenika </w:t>
      </w:r>
      <w:r>
        <w:t>Republika</w:t>
      </w:r>
      <w:r w:rsidRPr="00430184">
        <w:t xml:space="preserve"> Hrvatska ima predstavnika HALMED-a u podsku</w:t>
      </w:r>
      <w:r>
        <w:t>pini za OMCL, te člana i zamjenika</w:t>
      </w:r>
      <w:r w:rsidRPr="00430184">
        <w:t xml:space="preserve"> u podskupini inspektora za lijekove</w:t>
      </w:r>
      <w:r>
        <w:t>,</w:t>
      </w:r>
      <w:r w:rsidRPr="00947017">
        <w:t xml:space="preserve"> </w:t>
      </w:r>
      <w:r>
        <w:t>a sastanci se održavaju dva puta godišnje</w:t>
      </w:r>
      <w:r w:rsidRPr="00430184">
        <w:t xml:space="preserve">. </w:t>
      </w:r>
    </w:p>
    <w:p w14:paraId="551007CD" w14:textId="77777777" w:rsidR="00105B6F" w:rsidRPr="00430184" w:rsidRDefault="00105B6F" w:rsidP="00105B6F">
      <w:pPr>
        <w:tabs>
          <w:tab w:val="center" w:pos="858"/>
          <w:tab w:val="center" w:pos="4320"/>
          <w:tab w:val="right" w:pos="8306"/>
          <w:tab w:val="right" w:pos="8640"/>
        </w:tabs>
        <w:spacing w:line="276" w:lineRule="auto"/>
        <w:jc w:val="both"/>
      </w:pPr>
    </w:p>
    <w:p w14:paraId="63082746" w14:textId="77777777" w:rsidR="00105B6F" w:rsidRDefault="00105B6F" w:rsidP="00105B6F">
      <w:pPr>
        <w:spacing w:line="276" w:lineRule="auto"/>
        <w:jc w:val="both"/>
        <w:rPr>
          <w:rFonts w:eastAsia="Times New Roman" w:cstheme="minorHAnsi"/>
        </w:rPr>
      </w:pPr>
      <w:r>
        <w:rPr>
          <w:rFonts w:eastAsia="Times New Roman" w:cstheme="minorHAnsi"/>
        </w:rPr>
        <w:t xml:space="preserve">Podaci o sudjelovanju predstavnika HALMED-a na radnim sastancima </w:t>
      </w:r>
      <w:r>
        <w:t>WGEO</w:t>
      </w:r>
      <w:r>
        <w:rPr>
          <w:rFonts w:eastAsia="Times New Roman" w:cstheme="minorHAnsi"/>
        </w:rPr>
        <w:t xml:space="preserve"> - a prikazani su u Tablici 12.</w:t>
      </w:r>
    </w:p>
    <w:p w14:paraId="4AD7A689" w14:textId="77777777" w:rsidR="00105B6F" w:rsidRDefault="00105B6F" w:rsidP="00105B6F">
      <w:pPr>
        <w:pStyle w:val="Heading4"/>
      </w:pPr>
      <w:r w:rsidRPr="001D59FE">
        <w:t>2.3.1</w:t>
      </w:r>
      <w:r>
        <w:t xml:space="preserve">0.3. Izvještaj o radu HALMED-a u radnim skupinama Europske komisije (EC) </w:t>
      </w:r>
    </w:p>
    <w:p w14:paraId="4E1CA425" w14:textId="2F0B97FC" w:rsidR="00105B6F" w:rsidRDefault="00105B6F" w:rsidP="00105B6F">
      <w:pPr>
        <w:spacing w:after="240"/>
        <w:rPr>
          <w:b/>
          <w:bCs/>
        </w:rPr>
      </w:pPr>
      <w:r>
        <w:rPr>
          <w:b/>
          <w:bCs/>
        </w:rPr>
        <w:t xml:space="preserve">A) Ekspertna </w:t>
      </w:r>
      <w:r w:rsidR="0012108C">
        <w:rPr>
          <w:b/>
          <w:bCs/>
        </w:rPr>
        <w:t xml:space="preserve">skupina </w:t>
      </w:r>
      <w:r>
        <w:rPr>
          <w:b/>
          <w:bCs/>
        </w:rPr>
        <w:t xml:space="preserve">za donošenje delegiranog akta o serijalizaciji lijekova za humanu uporabu (ENG) </w:t>
      </w:r>
    </w:p>
    <w:p w14:paraId="3BD1F922" w14:textId="77777777" w:rsidR="00105B6F" w:rsidRDefault="00105B6F" w:rsidP="00105B6F">
      <w:pPr>
        <w:pStyle w:val="Default"/>
        <w:spacing w:after="240" w:line="276" w:lineRule="auto"/>
        <w:jc w:val="both"/>
        <w:rPr>
          <w:rFonts w:ascii="Calibri" w:hAnsi="Calibri" w:cs="Calibri"/>
          <w:color w:val="auto"/>
          <w:sz w:val="22"/>
          <w:szCs w:val="22"/>
        </w:rPr>
      </w:pPr>
      <w:r>
        <w:rPr>
          <w:rFonts w:ascii="Calibri" w:hAnsi="Calibri" w:cs="Calibri"/>
          <w:color w:val="auto"/>
          <w:sz w:val="22"/>
          <w:szCs w:val="22"/>
        </w:rPr>
        <w:t xml:space="preserve">Direktiva 2011/62/EU koja je nadopunila Direktivu 2001/83/EC uvela je pojam sigurnosnih oznaka kao jedan od načina sprječavanja ulaska krivotvorenih lijekova u legalni lanac distribucije. Serijalizacija  omogućava identifikaciju, odnosno potvrdu autentičnosti svakog pojedinog pakiranja lijeka. </w:t>
      </w:r>
    </w:p>
    <w:p w14:paraId="014F5117" w14:textId="77777777" w:rsidR="00105B6F" w:rsidRDefault="00105B6F" w:rsidP="00105B6F">
      <w:pPr>
        <w:pStyle w:val="Default"/>
        <w:spacing w:after="240" w:line="276" w:lineRule="auto"/>
        <w:jc w:val="both"/>
        <w:rPr>
          <w:rFonts w:ascii="Calibri" w:hAnsi="Calibri" w:cs="Calibri"/>
          <w:color w:val="auto"/>
          <w:sz w:val="22"/>
          <w:szCs w:val="22"/>
        </w:rPr>
      </w:pPr>
      <w:r>
        <w:rPr>
          <w:rFonts w:ascii="Calibri" w:hAnsi="Calibri" w:cs="Calibri"/>
          <w:color w:val="auto"/>
          <w:sz w:val="22"/>
          <w:szCs w:val="22"/>
        </w:rPr>
        <w:t xml:space="preserve">Po usvajanju, Delegirana uredba Komisije (EU) 2016/161 je i objavljena u Službenom listu Europske unije 9. veljače 2016. godine. Delegiranom uredbom uvode se dvije nove sigurnosne oznake: jedinstveni identifikator (dvodimenzionalni barkod) i zaštita od otvaranja, koje su postavljene na pakiranja većine lijekova za primjenu kod ljudi. Lijekovi za koje je obavezno uvođenje sigurnosnih oznaka mogu nakon 9. </w:t>
      </w:r>
      <w:r>
        <w:rPr>
          <w:rFonts w:ascii="Calibri" w:hAnsi="Calibri" w:cs="Calibri"/>
          <w:color w:val="auto"/>
          <w:sz w:val="22"/>
          <w:szCs w:val="22"/>
        </w:rPr>
        <w:lastRenderedPageBreak/>
        <w:t xml:space="preserve">veljače 2019. godine biti pušteni u promet samo ako su u potpunosti usklađeni s odredbama Uredbe 2016/161. Države članice koje već imaju na snazi sustav sigurnosnih oznaka (Grčka, Belgija, Italija) imaju mogućnost Uredbu implementirati do 9. veljače 2025. godine. Navedenu mogućnost koristiti će Italija i Grčka. </w:t>
      </w:r>
    </w:p>
    <w:p w14:paraId="5AE69A9F" w14:textId="6AD25AB6" w:rsidR="00105B6F" w:rsidRDefault="00105B6F" w:rsidP="00105B6F">
      <w:pPr>
        <w:pStyle w:val="Default"/>
        <w:spacing w:after="240" w:line="276" w:lineRule="auto"/>
        <w:jc w:val="both"/>
        <w:rPr>
          <w:rFonts w:ascii="Calibri" w:hAnsi="Calibri" w:cs="Calibri"/>
          <w:color w:val="auto"/>
          <w:sz w:val="22"/>
          <w:szCs w:val="22"/>
        </w:rPr>
      </w:pPr>
      <w:r>
        <w:rPr>
          <w:rFonts w:ascii="Calibri" w:hAnsi="Calibri" w:cs="Calibri"/>
          <w:color w:val="auto"/>
          <w:sz w:val="22"/>
          <w:szCs w:val="22"/>
        </w:rPr>
        <w:t xml:space="preserve">Nakon donošenja delegirane Uredbe, radna skupina je nastavila sa svojim radom s ciljem razmjene iskustava između država članica u procesu implementacije Delegirane Uredbe Komisije (EU) 2016/161 (u daljnjem tekstu DR) te usuglašavanje stavova o smjernicama za implementaciju Uredbe koje se objavljuju u obliku Q&amp;A dokumenta. Također unutar same radne </w:t>
      </w:r>
      <w:r w:rsidR="0012108C">
        <w:rPr>
          <w:rFonts w:ascii="Calibri" w:hAnsi="Calibri" w:cs="Calibri"/>
          <w:color w:val="auto"/>
          <w:sz w:val="22"/>
          <w:szCs w:val="22"/>
        </w:rPr>
        <w:t>skupine</w:t>
      </w:r>
      <w:r>
        <w:rPr>
          <w:rFonts w:ascii="Calibri" w:hAnsi="Calibri" w:cs="Calibri"/>
          <w:color w:val="auto"/>
          <w:sz w:val="22"/>
          <w:szCs w:val="22"/>
        </w:rPr>
        <w:t>, oformljene su 4 radne skupine koje se bave područjima Delegirane Uredbe Komisije (EU) 2016/161 od posebnog interesa za države članice:</w:t>
      </w:r>
      <w:r>
        <w:rPr>
          <w:rFonts w:ascii="Calibri" w:hAnsi="Calibri" w:cs="Calibri"/>
        </w:rPr>
        <w:t xml:space="preserve"> </w:t>
      </w:r>
      <w:r>
        <w:rPr>
          <w:rFonts w:ascii="Calibri" w:hAnsi="Calibri" w:cs="Calibri"/>
          <w:color w:val="auto"/>
          <w:sz w:val="22"/>
          <w:szCs w:val="22"/>
        </w:rPr>
        <w:t xml:space="preserve">izrada smjernica za inspekciju središnje točke i nacionalnih repozitorija, pristup podacima u repozitoriju od strane nacionalnih nadležnih tijela, sljedivost podataka u repozitoriju te razmjeni najboljih implementacijskih praksi s naglaskom na implementaciju u bolnicama (HALMED je član ove radne skupine). </w:t>
      </w:r>
    </w:p>
    <w:p w14:paraId="5BC6B99A" w14:textId="77777777" w:rsidR="00105B6F" w:rsidRDefault="00105B6F" w:rsidP="00105B6F">
      <w:pPr>
        <w:spacing w:line="276" w:lineRule="auto"/>
        <w:jc w:val="both"/>
        <w:rPr>
          <w:rFonts w:ascii="Calibri" w:hAnsi="Calibri" w:cs="Calibri"/>
        </w:rPr>
      </w:pPr>
      <w:r>
        <w:rPr>
          <w:rFonts w:ascii="Calibri" w:hAnsi="Calibri" w:cs="Calibri"/>
        </w:rPr>
        <w:t xml:space="preserve">U ovoj fazi, nakon početka primjene Delegirane Uredbe 2016/161, fokus ekspertne skupine je razmjena iskustava između država članica vezanih uz nadzor nad nacionalnom implementacijom sigurnosnih oznaka (provođenje inspekcija proizvođača, veleprodaja, ljekarni i nacionalnih repozitorija) kao i razmjena iskustava vezanih uz sustav upravljanja upozorenjima nastalih prilikom provjere autentičnosti pakiranja putem nacionalnih repozitorija.  </w:t>
      </w:r>
    </w:p>
    <w:p w14:paraId="71CB2734" w14:textId="77777777" w:rsidR="00105B6F" w:rsidRDefault="00105B6F" w:rsidP="00105B6F">
      <w:pPr>
        <w:spacing w:line="276" w:lineRule="auto"/>
        <w:jc w:val="both"/>
        <w:rPr>
          <w:rFonts w:ascii="Calibri" w:hAnsi="Calibri" w:cs="Calibri"/>
        </w:rPr>
      </w:pPr>
    </w:p>
    <w:p w14:paraId="19ABE310" w14:textId="77777777" w:rsidR="00105B6F" w:rsidRDefault="00105B6F" w:rsidP="00105B6F">
      <w:pPr>
        <w:spacing w:line="276" w:lineRule="auto"/>
        <w:jc w:val="both"/>
        <w:rPr>
          <w:rFonts w:eastAsia="Times New Roman" w:cstheme="minorHAnsi"/>
        </w:rPr>
      </w:pPr>
      <w:r>
        <w:rPr>
          <w:rFonts w:eastAsia="Times New Roman" w:cstheme="minorHAnsi"/>
        </w:rPr>
        <w:t xml:space="preserve">Podaci o sudjelovanju predstavnika HALMED-a na radnim sastancima </w:t>
      </w:r>
      <w:r w:rsidRPr="006C0542">
        <w:rPr>
          <w:bCs/>
        </w:rPr>
        <w:t>Ekspertne grupe</w:t>
      </w:r>
      <w:r>
        <w:rPr>
          <w:b/>
          <w:bCs/>
        </w:rPr>
        <w:t xml:space="preserve"> </w:t>
      </w:r>
      <w:r>
        <w:rPr>
          <w:rFonts w:eastAsia="Times New Roman" w:cstheme="minorHAnsi"/>
        </w:rPr>
        <w:t xml:space="preserve">u izvještajnom </w:t>
      </w:r>
      <w:r>
        <w:rPr>
          <w:rFonts w:cstheme="minorHAnsi"/>
        </w:rPr>
        <w:t xml:space="preserve">razdoblju </w:t>
      </w:r>
      <w:r>
        <w:rPr>
          <w:rFonts w:eastAsia="Times New Roman" w:cstheme="minorHAnsi"/>
        </w:rPr>
        <w:t xml:space="preserve">prikazani su u Tablici 12. </w:t>
      </w:r>
    </w:p>
    <w:p w14:paraId="7232A950" w14:textId="77777777" w:rsidR="00105B6F" w:rsidRDefault="00105B6F" w:rsidP="00105B6F">
      <w:pPr>
        <w:pStyle w:val="Heading4"/>
      </w:pPr>
      <w:r>
        <w:t xml:space="preserve"> </w:t>
      </w:r>
      <w:r w:rsidRPr="001D59FE">
        <w:t>2.3.1</w:t>
      </w:r>
      <w:r>
        <w:t xml:space="preserve">0.4. Izvještaj o radu HALMED-a u radnim skupinama u suradnji s EDQM </w:t>
      </w:r>
    </w:p>
    <w:p w14:paraId="1C964D5D" w14:textId="77777777" w:rsidR="00105B6F" w:rsidRPr="00AD1866" w:rsidRDefault="00105B6F" w:rsidP="00105B6F">
      <w:pPr>
        <w:spacing w:after="240"/>
        <w:rPr>
          <w:b/>
          <w:bCs/>
        </w:rPr>
      </w:pPr>
      <w:r>
        <w:rPr>
          <w:b/>
          <w:bCs/>
        </w:rPr>
        <w:t xml:space="preserve">A) </w:t>
      </w:r>
      <w:r w:rsidRPr="00AD1866">
        <w:rPr>
          <w:b/>
          <w:bCs/>
          <w:i/>
        </w:rPr>
        <w:t>Ad Hoc Committee</w:t>
      </w:r>
      <w:r w:rsidRPr="00AD1866">
        <w:rPr>
          <w:b/>
          <w:bCs/>
        </w:rPr>
        <w:t xml:space="preserve"> EDQM </w:t>
      </w:r>
    </w:p>
    <w:p w14:paraId="4D22A075" w14:textId="77777777" w:rsidR="00105B6F" w:rsidRPr="004C0CF9" w:rsidRDefault="00105B6F" w:rsidP="00105B6F">
      <w:pPr>
        <w:spacing w:line="276" w:lineRule="auto"/>
        <w:jc w:val="both"/>
      </w:pPr>
      <w:r w:rsidRPr="004C0CF9">
        <w:t xml:space="preserve">U Radnoj skupini </w:t>
      </w:r>
      <w:r w:rsidRPr="004C0CF9">
        <w:rPr>
          <w:i/>
        </w:rPr>
        <w:t>Ad Hoc Committee EDQM</w:t>
      </w:r>
      <w:r w:rsidRPr="004C0CF9">
        <w:t xml:space="preserve"> Republika Hrvatska ima jednog predstavnika HALMED-a. </w:t>
      </w:r>
    </w:p>
    <w:p w14:paraId="447280C5" w14:textId="77777777" w:rsidR="00105B6F" w:rsidRDefault="00105B6F" w:rsidP="00105B6F">
      <w:pPr>
        <w:spacing w:line="276" w:lineRule="auto"/>
        <w:jc w:val="both"/>
        <w:rPr>
          <w:color w:val="000000" w:themeColor="text1"/>
          <w:lang w:eastAsia="fr-FR"/>
        </w:rPr>
      </w:pPr>
      <w:r w:rsidRPr="00AD1866">
        <w:rPr>
          <w:i/>
          <w:color w:val="000000" w:themeColor="text1"/>
          <w:lang w:eastAsia="fr-FR"/>
        </w:rPr>
        <w:t>Ad Hoc Committee</w:t>
      </w:r>
      <w:r w:rsidRPr="004C0CF9">
        <w:rPr>
          <w:color w:val="000000" w:themeColor="text1"/>
          <w:lang w:eastAsia="fr-FR"/>
        </w:rPr>
        <w:t xml:space="preserve"> je zadužen za donošenje odluka vezano uz </w:t>
      </w:r>
      <w:r w:rsidRPr="00AD1866">
        <w:rPr>
          <w:i/>
          <w:color w:val="000000" w:themeColor="text1"/>
          <w:lang w:eastAsia="fr-FR"/>
        </w:rPr>
        <w:t>Certificate of Suitability</w:t>
      </w:r>
      <w:r>
        <w:rPr>
          <w:color w:val="000000" w:themeColor="text1"/>
          <w:lang w:eastAsia="fr-FR"/>
        </w:rPr>
        <w:t xml:space="preserve"> (</w:t>
      </w:r>
      <w:r w:rsidRPr="004C0CF9">
        <w:rPr>
          <w:color w:val="000000" w:themeColor="text1"/>
          <w:lang w:eastAsia="fr-FR"/>
        </w:rPr>
        <w:t>CEP</w:t>
      </w:r>
      <w:r>
        <w:rPr>
          <w:color w:val="000000" w:themeColor="text1"/>
          <w:lang w:eastAsia="fr-FR"/>
        </w:rPr>
        <w:t>)</w:t>
      </w:r>
      <w:r w:rsidRPr="004C0CF9">
        <w:rPr>
          <w:color w:val="000000" w:themeColor="text1"/>
          <w:lang w:eastAsia="fr-FR"/>
        </w:rPr>
        <w:t>, uključujući odluke po provedenim GMP inspekcijama koje se mogu odnositi i na ukidanje/povlačenje CEP-ova.</w:t>
      </w:r>
    </w:p>
    <w:p w14:paraId="77C2DE5A" w14:textId="77777777" w:rsidR="00105B6F" w:rsidRPr="004C0CF9" w:rsidRDefault="00105B6F" w:rsidP="00105B6F">
      <w:pPr>
        <w:jc w:val="both"/>
        <w:rPr>
          <w:color w:val="000000" w:themeColor="text1"/>
        </w:rPr>
      </w:pPr>
    </w:p>
    <w:p w14:paraId="09D92C44" w14:textId="77777777" w:rsidR="00105B6F" w:rsidRPr="000A384B" w:rsidRDefault="00105B6F" w:rsidP="00105B6F">
      <w:pPr>
        <w:spacing w:after="240"/>
        <w:jc w:val="both"/>
        <w:rPr>
          <w:b/>
          <w:i/>
        </w:rPr>
      </w:pPr>
      <w:r w:rsidRPr="00AD1866">
        <w:rPr>
          <w:b/>
        </w:rPr>
        <w:t xml:space="preserve">B) Povjerenstvo </w:t>
      </w:r>
      <w:r>
        <w:rPr>
          <w:b/>
        </w:rPr>
        <w:t xml:space="preserve">stručnjaka </w:t>
      </w:r>
      <w:r w:rsidRPr="00AD1866">
        <w:rPr>
          <w:b/>
        </w:rPr>
        <w:t xml:space="preserve">za </w:t>
      </w:r>
      <w:r>
        <w:rPr>
          <w:b/>
        </w:rPr>
        <w:t xml:space="preserve">kvalitetu i sigurnosne </w:t>
      </w:r>
      <w:r w:rsidRPr="00AD1866">
        <w:rPr>
          <w:b/>
        </w:rPr>
        <w:t>standarde u farmaceutskoj praksi i farmaceutskoj skrbi (</w:t>
      </w:r>
      <w:r w:rsidRPr="00AD1866">
        <w:rPr>
          <w:b/>
          <w:i/>
        </w:rPr>
        <w:t>Committee of Experts on Quality and Safety Standards in Pharmaceutical Practice and Pharmaceutical Care,</w:t>
      </w:r>
      <w:r w:rsidRPr="00AD1866">
        <w:rPr>
          <w:b/>
        </w:rPr>
        <w:t xml:space="preserve"> CD-P-PH/PC)   </w:t>
      </w:r>
    </w:p>
    <w:p w14:paraId="6B83F30F" w14:textId="77777777" w:rsidR="00105B6F" w:rsidRDefault="00105B6F" w:rsidP="00105B6F">
      <w:pPr>
        <w:spacing w:line="276" w:lineRule="auto"/>
        <w:jc w:val="both"/>
      </w:pPr>
      <w:r>
        <w:t>Odgovornosti povjerenstva CD-P-PH/PC uključuju izradu i promociju aktivnosti koje poboljšavaju farmaceutsku skrb i radne metode, praćenje implementacije istih, poboljšanje suradnje svih dionika u zdravstvu te održavanje i razvoj odnosa s institucijama i nadležnim tijelima u tom području. Rad povjerenstva CD-P-PH/PC odvija se kroz dvije redovite sjednice godišnje u Strasbourgu i telefonske sjednice koje se po potrebi održavaju nekoliko puta godišnje te kroz organiziranje i/ili sudjelovanje na tematskim ekspertnim radionicama na kojima sudjeluju i međunarodni vanjski eksperti. U CD-P-PH/PC Republika Hrvatska ima jednog predstavnika HALMED-a.</w:t>
      </w:r>
    </w:p>
    <w:p w14:paraId="401075CB" w14:textId="77777777" w:rsidR="00105B6F" w:rsidRPr="00AD1866" w:rsidRDefault="00105B6F" w:rsidP="00105B6F">
      <w:pPr>
        <w:spacing w:line="276" w:lineRule="auto"/>
        <w:jc w:val="both"/>
      </w:pPr>
    </w:p>
    <w:p w14:paraId="5283C396" w14:textId="77777777" w:rsidR="00105B6F" w:rsidRDefault="00105B6F" w:rsidP="00105B6F">
      <w:pPr>
        <w:spacing w:line="276" w:lineRule="auto"/>
        <w:jc w:val="both"/>
        <w:rPr>
          <w:rFonts w:eastAsia="Times New Roman" w:cstheme="minorHAnsi"/>
        </w:rPr>
      </w:pPr>
      <w:r w:rsidRPr="004C0CF9">
        <w:rPr>
          <w:rFonts w:eastAsia="Times New Roman" w:cstheme="minorHAnsi"/>
        </w:rPr>
        <w:t xml:space="preserve">Podaci o sudjelovanju predstavnika HALMED-a na radnim sastancima </w:t>
      </w:r>
      <w:r w:rsidRPr="004C0CF9">
        <w:rPr>
          <w:i/>
        </w:rPr>
        <w:t>Ad Hoc Committee EDQM</w:t>
      </w:r>
      <w:r w:rsidRPr="004C0CF9">
        <w:t xml:space="preserve"> </w:t>
      </w:r>
      <w:r>
        <w:t xml:space="preserve">i </w:t>
      </w:r>
      <w:r w:rsidRPr="00AD1866">
        <w:rPr>
          <w:rFonts w:eastAsia="Times New Roman" w:cstheme="minorHAnsi"/>
        </w:rPr>
        <w:t xml:space="preserve">Povjerenstva za standarde kakvoće i sigurnosti u farmaceutskoj praksi i farmaceutskoj skrbi </w:t>
      </w:r>
      <w:r w:rsidRPr="004C0CF9">
        <w:rPr>
          <w:rFonts w:eastAsia="Times New Roman" w:cstheme="minorHAnsi"/>
        </w:rPr>
        <w:t xml:space="preserve">u izvještajnom </w:t>
      </w:r>
      <w:r w:rsidRPr="004C0CF9">
        <w:rPr>
          <w:rFonts w:cstheme="minorHAnsi"/>
        </w:rPr>
        <w:t xml:space="preserve">razdoblju </w:t>
      </w:r>
      <w:r w:rsidRPr="004C0CF9">
        <w:rPr>
          <w:rFonts w:eastAsia="Times New Roman" w:cstheme="minorHAnsi"/>
        </w:rPr>
        <w:t xml:space="preserve">prikazani su u Tablici 12.  </w:t>
      </w:r>
    </w:p>
    <w:p w14:paraId="23F33F57" w14:textId="77777777" w:rsidR="00105B6F" w:rsidRPr="00334DCE" w:rsidRDefault="00105B6F" w:rsidP="00105B6F">
      <w:pPr>
        <w:pStyle w:val="Heading4"/>
      </w:pPr>
      <w:r w:rsidRPr="001D59FE">
        <w:lastRenderedPageBreak/>
        <w:t>2.3.1</w:t>
      </w:r>
      <w:r>
        <w:t>0.5.</w:t>
      </w:r>
      <w:r w:rsidRPr="001D59FE">
        <w:t xml:space="preserve"> </w:t>
      </w:r>
      <w:r>
        <w:t xml:space="preserve">Izvještaj o nadzoru dobre proizvođačke prakse u suradnji s EDQM-om i EMA/CAPs </w:t>
      </w:r>
    </w:p>
    <w:p w14:paraId="45D1AB05" w14:textId="77777777" w:rsidR="00105B6F" w:rsidRDefault="00105B6F" w:rsidP="00105B6F">
      <w:pPr>
        <w:spacing w:line="276" w:lineRule="auto"/>
        <w:jc w:val="both"/>
        <w:rPr>
          <w:rFonts w:eastAsia="Times New Roman" w:cstheme="minorHAnsi"/>
          <w:color w:val="000000"/>
        </w:rPr>
      </w:pPr>
      <w:r>
        <w:rPr>
          <w:rFonts w:eastAsia="Times New Roman" w:cstheme="minorHAnsi"/>
          <w:color w:val="000000"/>
        </w:rPr>
        <w:t xml:space="preserve">Nadležna tijela država članica natječu se pri europskim institucijama EDQM-a i EMA/CAPs s drugim državama članicama za sudjelovanje u multinacionalnim timovima nadzora </w:t>
      </w:r>
      <w:r>
        <w:rPr>
          <w:rFonts w:eastAsia="Times New Roman" w:cstheme="minorHAnsi"/>
          <w:lang w:eastAsia="hr-HR"/>
        </w:rPr>
        <w:t xml:space="preserve">dobre proizvođače prakse </w:t>
      </w:r>
      <w:r>
        <w:rPr>
          <w:rFonts w:eastAsia="Times New Roman" w:cstheme="minorHAnsi"/>
          <w:color w:val="000000"/>
        </w:rPr>
        <w:t>u trećim zemljama.</w:t>
      </w:r>
    </w:p>
    <w:p w14:paraId="179AC46C" w14:textId="77777777" w:rsidR="00105B6F" w:rsidRDefault="00105B6F" w:rsidP="00105B6F">
      <w:pPr>
        <w:spacing w:line="276" w:lineRule="auto"/>
        <w:jc w:val="both"/>
        <w:rPr>
          <w:rFonts w:eastAsia="Times New Roman" w:cstheme="minorHAnsi"/>
        </w:rPr>
      </w:pPr>
    </w:p>
    <w:p w14:paraId="276E2267" w14:textId="77777777" w:rsidR="00105B6F" w:rsidRDefault="00105B6F" w:rsidP="00105B6F">
      <w:pPr>
        <w:spacing w:line="276" w:lineRule="auto"/>
        <w:jc w:val="both"/>
        <w:rPr>
          <w:rFonts w:eastAsia="Times New Roman" w:cstheme="minorHAnsi"/>
        </w:rPr>
      </w:pPr>
      <w:r>
        <w:rPr>
          <w:rFonts w:eastAsia="Times New Roman" w:cstheme="minorHAnsi"/>
        </w:rPr>
        <w:t xml:space="preserve">Podaci o sudjelovanju predstavnika HALMED-a u </w:t>
      </w:r>
      <w:r>
        <w:rPr>
          <w:rFonts w:cs="Helvetica"/>
        </w:rPr>
        <w:t xml:space="preserve">nadzoru </w:t>
      </w:r>
      <w:r w:rsidRPr="0097570C">
        <w:rPr>
          <w:rFonts w:eastAsia="Times New Roman" w:cs="Calibri"/>
          <w:lang w:eastAsia="hr-HR"/>
        </w:rPr>
        <w:t xml:space="preserve">dobre proizvođače prakse </w:t>
      </w:r>
      <w:r>
        <w:rPr>
          <w:rFonts w:eastAsia="Times New Roman" w:cs="Calibri"/>
          <w:lang w:eastAsia="hr-HR"/>
        </w:rPr>
        <w:t xml:space="preserve">proizvođača </w:t>
      </w:r>
      <w:r w:rsidRPr="0097570C">
        <w:rPr>
          <w:rFonts w:eastAsia="Times New Roman" w:cs="Calibri"/>
          <w:color w:val="000000"/>
        </w:rPr>
        <w:t xml:space="preserve">u trećim zemljama </w:t>
      </w:r>
      <w:r>
        <w:rPr>
          <w:rFonts w:eastAsia="Times New Roman" w:cs="Calibri"/>
          <w:color w:val="000000"/>
        </w:rPr>
        <w:t xml:space="preserve">u sklopu suradnje s EDQM-om i EMA-om </w:t>
      </w:r>
      <w:r>
        <w:rPr>
          <w:rFonts w:eastAsia="Times New Roman" w:cstheme="minorHAnsi"/>
        </w:rPr>
        <w:t xml:space="preserve">u izvještajnom </w:t>
      </w:r>
      <w:r>
        <w:rPr>
          <w:rFonts w:cstheme="minorHAnsi"/>
        </w:rPr>
        <w:t xml:space="preserve">razdoblju, </w:t>
      </w:r>
      <w:r>
        <w:rPr>
          <w:rFonts w:eastAsia="Times New Roman" w:cstheme="minorHAnsi"/>
        </w:rPr>
        <w:t xml:space="preserve">prikazani su u Tablici 12. </w:t>
      </w:r>
    </w:p>
    <w:p w14:paraId="472A819D" w14:textId="77777777" w:rsidR="00105B6F" w:rsidRDefault="00105B6F" w:rsidP="00105B6F">
      <w:pPr>
        <w:tabs>
          <w:tab w:val="center" w:pos="858"/>
          <w:tab w:val="center" w:pos="4320"/>
          <w:tab w:val="right" w:pos="8306"/>
          <w:tab w:val="right" w:pos="8640"/>
        </w:tabs>
        <w:spacing w:line="276" w:lineRule="auto"/>
        <w:jc w:val="both"/>
      </w:pPr>
    </w:p>
    <w:p w14:paraId="44BB46B7" w14:textId="77777777" w:rsidR="00105B6F" w:rsidRDefault="00105B6F" w:rsidP="00105B6F">
      <w:pPr>
        <w:pStyle w:val="Heading3"/>
      </w:pPr>
      <w:bookmarkStart w:id="161" w:name="_Toc165035473"/>
      <w:bookmarkStart w:id="162" w:name="_Toc26534652"/>
      <w:r w:rsidRPr="001D59FE">
        <w:t>2.3.1</w:t>
      </w:r>
      <w:r>
        <w:t>1.</w:t>
      </w:r>
      <w:r w:rsidRPr="001D59FE">
        <w:t xml:space="preserve"> </w:t>
      </w:r>
      <w:r>
        <w:t>Međunarodni poslovi</w:t>
      </w:r>
      <w:bookmarkEnd w:id="161"/>
    </w:p>
    <w:p w14:paraId="5F94BCC9" w14:textId="77777777" w:rsidR="00105B6F" w:rsidRDefault="00105B6F" w:rsidP="00105B6F">
      <w:pPr>
        <w:pStyle w:val="Heading4"/>
      </w:pPr>
      <w:r w:rsidRPr="001D59FE">
        <w:t>2.3.1</w:t>
      </w:r>
      <w:r>
        <w:t>1.1. Izvještaj o suradnji HALMED-a s PIC/S-om</w:t>
      </w:r>
      <w:r w:rsidRPr="001D59FE">
        <w:t xml:space="preserve"> </w:t>
      </w:r>
      <w:bookmarkEnd w:id="162"/>
    </w:p>
    <w:p w14:paraId="681B50D8" w14:textId="77777777" w:rsidR="00105B6F" w:rsidRPr="0060042D" w:rsidRDefault="00105B6F" w:rsidP="00105B6F">
      <w:pPr>
        <w:rPr>
          <w:b/>
          <w:bCs/>
          <w:i/>
          <w:color w:val="000000" w:themeColor="text1"/>
        </w:rPr>
      </w:pPr>
      <w:r>
        <w:rPr>
          <w:b/>
          <w:bCs/>
          <w:color w:val="000000" w:themeColor="text1"/>
        </w:rPr>
        <w:t xml:space="preserve">Farmaceutsko inspekcijska konvencija i Program suradnje u farmaceutskoj industriji </w:t>
      </w:r>
      <w:r w:rsidRPr="0060042D">
        <w:rPr>
          <w:b/>
          <w:bCs/>
          <w:i/>
          <w:lang w:val="en"/>
        </w:rPr>
        <w:t>(Pharmaceutical Inspection Convention and Pharmaceutical Inspection Co-operation Scheme,</w:t>
      </w:r>
      <w:r w:rsidRPr="0060042D">
        <w:rPr>
          <w:b/>
          <w:bCs/>
          <w:i/>
          <w:color w:val="000000" w:themeColor="text1"/>
        </w:rPr>
        <w:t xml:space="preserve"> PIC/S) </w:t>
      </w:r>
    </w:p>
    <w:p w14:paraId="7AF968E6" w14:textId="77777777" w:rsidR="00105B6F" w:rsidRDefault="00105B6F" w:rsidP="00105B6F">
      <w:pPr>
        <w:rPr>
          <w:bCs/>
          <w:lang w:val="en"/>
        </w:rPr>
      </w:pPr>
    </w:p>
    <w:p w14:paraId="4D3A381D" w14:textId="77777777" w:rsidR="00105B6F" w:rsidRDefault="00105B6F" w:rsidP="00105B6F">
      <w:pPr>
        <w:spacing w:line="276" w:lineRule="auto"/>
        <w:jc w:val="both"/>
      </w:pPr>
      <w:r>
        <w:rPr>
          <w:bCs/>
          <w:lang w:val="en"/>
        </w:rPr>
        <w:t>PIC/S</w:t>
      </w:r>
      <w:r>
        <w:rPr>
          <w:b/>
          <w:bCs/>
          <w:lang w:val="en"/>
        </w:rPr>
        <w:t xml:space="preserve"> </w:t>
      </w:r>
      <w:r>
        <w:rPr>
          <w:bCs/>
          <w:lang w:val="en"/>
        </w:rPr>
        <w:t xml:space="preserve">je </w:t>
      </w:r>
      <w:r>
        <w:t xml:space="preserve">međunarodni instrument suradnje nadležnih tijela za farmaceutsku inspekciju na području dobre proizvođačke i farmakovigilancijske prakse. PIC/S trenutno obuhvaća 54 nadležna tijela koja dolaze iz cijelog svijeta (Europa, Afrika, Amerika, Azija i Australija). </w:t>
      </w:r>
    </w:p>
    <w:p w14:paraId="4D87946A" w14:textId="77777777" w:rsidR="00105B6F" w:rsidRDefault="00105B6F" w:rsidP="00105B6F">
      <w:pPr>
        <w:spacing w:line="276" w:lineRule="auto"/>
        <w:jc w:val="both"/>
      </w:pPr>
    </w:p>
    <w:p w14:paraId="65558537" w14:textId="77777777" w:rsidR="00105B6F" w:rsidRDefault="00105B6F" w:rsidP="00105B6F">
      <w:pPr>
        <w:spacing w:line="276" w:lineRule="auto"/>
        <w:jc w:val="both"/>
      </w:pPr>
      <w:r>
        <w:t xml:space="preserve">U PIC/S-u Republika Hrvatska ima jednog predstavnika HALMED-a, a sastanci se održavaju jednom godišnje. </w:t>
      </w:r>
    </w:p>
    <w:p w14:paraId="1CE47F9A" w14:textId="77777777" w:rsidR="00105B6F" w:rsidRDefault="00105B6F" w:rsidP="00105B6F">
      <w:pPr>
        <w:tabs>
          <w:tab w:val="center" w:pos="858"/>
          <w:tab w:val="center" w:pos="4320"/>
          <w:tab w:val="right" w:pos="8306"/>
          <w:tab w:val="right" w:pos="8640"/>
        </w:tabs>
        <w:jc w:val="both"/>
      </w:pPr>
    </w:p>
    <w:p w14:paraId="04FFEAA6" w14:textId="77777777" w:rsidR="00105B6F" w:rsidRDefault="00105B6F" w:rsidP="00105B6F">
      <w:pPr>
        <w:jc w:val="both"/>
        <w:rPr>
          <w:b/>
          <w:bCs/>
          <w:color w:val="000000" w:themeColor="text1"/>
        </w:rPr>
      </w:pPr>
      <w:r>
        <w:rPr>
          <w:b/>
          <w:bCs/>
          <w:color w:val="000000" w:themeColor="text1"/>
        </w:rPr>
        <w:t xml:space="preserve">Radna skupina GCP &amp; GVP </w:t>
      </w:r>
    </w:p>
    <w:p w14:paraId="68D9A284" w14:textId="77777777" w:rsidR="00105B6F" w:rsidRDefault="00105B6F" w:rsidP="00105B6F">
      <w:pPr>
        <w:spacing w:line="276" w:lineRule="auto"/>
        <w:jc w:val="both"/>
        <w:rPr>
          <w:rFonts w:cs="Times New Roman"/>
          <w:color w:val="000000" w:themeColor="text1"/>
        </w:rPr>
      </w:pPr>
    </w:p>
    <w:p w14:paraId="003C9559" w14:textId="77777777" w:rsidR="00105B6F" w:rsidRDefault="00105B6F" w:rsidP="00105B6F">
      <w:pPr>
        <w:spacing w:line="276" w:lineRule="auto"/>
        <w:jc w:val="both"/>
        <w:rPr>
          <w:rFonts w:cs="Arial"/>
        </w:rPr>
      </w:pPr>
      <w:r>
        <w:rPr>
          <w:rFonts w:cs="Times New Roman"/>
          <w:color w:val="000000" w:themeColor="text1"/>
        </w:rPr>
        <w:t>U PIC/S GCP &amp; GVP radnoj skupini Republika Hrvatska ima dva predstavnika HALMED-a; člana i zamjenika. Hrvatska se pridružila radnoj skupini u veljači 2017. godine. Sastanci nisu planirani provode se virtualno po potrebi radi koordinacije provedbe plana zajedničkih inspekcija (</w:t>
      </w:r>
      <w:r>
        <w:rPr>
          <w:rFonts w:cs="Arial"/>
          <w:i/>
        </w:rPr>
        <w:t>Joint Visit Programme, GVP</w:t>
      </w:r>
      <w:r>
        <w:rPr>
          <w:rFonts w:cs="Arial"/>
        </w:rPr>
        <w:t xml:space="preserve">). </w:t>
      </w:r>
    </w:p>
    <w:p w14:paraId="2F3A2052" w14:textId="77777777" w:rsidR="00105B6F" w:rsidRDefault="00105B6F" w:rsidP="00105B6F">
      <w:pPr>
        <w:spacing w:line="276" w:lineRule="auto"/>
        <w:jc w:val="both"/>
        <w:rPr>
          <w:rFonts w:cs="Arial"/>
        </w:rPr>
      </w:pPr>
    </w:p>
    <w:p w14:paraId="63F6AAFA" w14:textId="77777777" w:rsidR="00105B6F" w:rsidRDefault="00105B6F" w:rsidP="00105B6F">
      <w:pPr>
        <w:spacing w:line="276" w:lineRule="auto"/>
        <w:jc w:val="both"/>
        <w:rPr>
          <w:rFonts w:eastAsia="Times New Roman" w:cstheme="minorHAnsi"/>
        </w:rPr>
      </w:pPr>
      <w:r>
        <w:rPr>
          <w:rFonts w:eastAsia="Times New Roman" w:cstheme="minorHAnsi"/>
        </w:rPr>
        <w:t xml:space="preserve">Podaci o sudjelovanju predstavnika HALMED-a na radnim sastancima </w:t>
      </w:r>
      <w:r w:rsidRPr="006D19C5">
        <w:rPr>
          <w:bCs/>
          <w:color w:val="000000" w:themeColor="text1"/>
        </w:rPr>
        <w:t>PICS GCP &amp; G</w:t>
      </w:r>
      <w:r>
        <w:rPr>
          <w:bCs/>
          <w:color w:val="000000" w:themeColor="text1"/>
        </w:rPr>
        <w:t>VP</w:t>
      </w:r>
      <w:r>
        <w:rPr>
          <w:b/>
          <w:bCs/>
          <w:color w:val="000000" w:themeColor="text1"/>
        </w:rPr>
        <w:t xml:space="preserve"> </w:t>
      </w:r>
      <w:r>
        <w:rPr>
          <w:rFonts w:eastAsia="Times New Roman" w:cstheme="minorHAnsi"/>
        </w:rPr>
        <w:t xml:space="preserve">- a u izvještajnom </w:t>
      </w:r>
      <w:r>
        <w:rPr>
          <w:rFonts w:cstheme="minorHAnsi"/>
        </w:rPr>
        <w:t xml:space="preserve">razdoblju </w:t>
      </w:r>
      <w:r>
        <w:rPr>
          <w:rFonts w:eastAsia="Times New Roman" w:cstheme="minorHAnsi"/>
        </w:rPr>
        <w:t>prikazani su u Tablici 12.</w:t>
      </w:r>
    </w:p>
    <w:p w14:paraId="090A2219" w14:textId="77777777" w:rsidR="00105B6F" w:rsidRDefault="00105B6F" w:rsidP="00105B6F">
      <w:pPr>
        <w:pStyle w:val="Heading4"/>
      </w:pPr>
      <w:r w:rsidRPr="00541BC1">
        <w:t>2.3.1</w:t>
      </w:r>
      <w:r>
        <w:t>1</w:t>
      </w:r>
      <w:r w:rsidRPr="00541BC1">
        <w:t>.</w:t>
      </w:r>
      <w:r>
        <w:t>2</w:t>
      </w:r>
      <w:r w:rsidRPr="00541BC1">
        <w:t xml:space="preserve">. Izvještaj o </w:t>
      </w:r>
      <w:r>
        <w:t xml:space="preserve">provedbi </w:t>
      </w:r>
      <w:r w:rsidRPr="00446654">
        <w:t>projekta Program EU za zdravlje 2021.-2027. (EU4Heath Programme</w:t>
      </w:r>
      <w:r>
        <w:t>):</w:t>
      </w:r>
    </w:p>
    <w:p w14:paraId="64CAD46C" w14:textId="77777777" w:rsidR="00105B6F" w:rsidRDefault="00105B6F" w:rsidP="00105B6F">
      <w:pPr>
        <w:spacing w:line="276" w:lineRule="auto"/>
        <w:jc w:val="both"/>
      </w:pPr>
      <w:r w:rsidRPr="00CC72B2">
        <w:t xml:space="preserve">U okviru </w:t>
      </w:r>
      <w:r>
        <w:t>projekta P</w:t>
      </w:r>
      <w:r w:rsidRPr="00CC72B2">
        <w:t>rogram „EU za zdravlje</w:t>
      </w:r>
      <w:r>
        <w:t xml:space="preserve"> </w:t>
      </w:r>
      <w:r w:rsidRPr="009E6BAF">
        <w:t xml:space="preserve">2021.-2027. </w:t>
      </w:r>
      <w:r w:rsidRPr="00CC72B2">
        <w:t xml:space="preserve">” </w:t>
      </w:r>
      <w:r w:rsidRPr="00136B03">
        <w:rPr>
          <w:i/>
        </w:rPr>
        <w:t>(EU4Health Programme)</w:t>
      </w:r>
      <w:r>
        <w:t xml:space="preserve"> </w:t>
      </w:r>
      <w:r w:rsidRPr="009E6BAF">
        <w:t>Europske komisije ukupne vrijednosti 5,3 milijarde eura</w:t>
      </w:r>
      <w:r>
        <w:t xml:space="preserve"> HALMED</w:t>
      </w:r>
      <w:r w:rsidRPr="009E6BAF">
        <w:t xml:space="preserve"> sudjeluje u tri zajedničke akcije (Joint Actions).</w:t>
      </w:r>
    </w:p>
    <w:p w14:paraId="54442E0A" w14:textId="77777777" w:rsidR="00105B6F" w:rsidRPr="00336CDC" w:rsidRDefault="00105B6F" w:rsidP="00105B6F">
      <w:pPr>
        <w:spacing w:line="276" w:lineRule="auto"/>
        <w:jc w:val="both"/>
      </w:pPr>
      <w:r>
        <w:t xml:space="preserve">Odsjek za inspekcijske poslove sudjeluje u modulu </w:t>
      </w:r>
      <w:r w:rsidRPr="00336CDC">
        <w:t>EU4H-2021-JA-11</w:t>
      </w:r>
      <w:r w:rsidRPr="00122F43">
        <w:t>, a glavni ciljevi su</w:t>
      </w:r>
      <w:r w:rsidRPr="00336CDC">
        <w:t xml:space="preserve"> jačanje resursa u EU/EEA za provedbu zajedničkih audita (Joint Audit Programme; JAP) koji se provode između država članica za područje GMP-a, jačanje resursa za provedbu GMP inspekcija kroz trening inspektora te uključivanje GDP-a u program zajedničkih audita. </w:t>
      </w:r>
    </w:p>
    <w:p w14:paraId="56A72AAB" w14:textId="77777777" w:rsidR="00105B6F" w:rsidRDefault="00105B6F" w:rsidP="00105B6F">
      <w:pPr>
        <w:spacing w:line="276" w:lineRule="auto"/>
        <w:jc w:val="both"/>
      </w:pPr>
    </w:p>
    <w:p w14:paraId="661CD7AE" w14:textId="77777777" w:rsidR="00105B6F" w:rsidRPr="00044052" w:rsidRDefault="00105B6F" w:rsidP="00105B6F">
      <w:pPr>
        <w:spacing w:line="276" w:lineRule="auto"/>
        <w:jc w:val="both"/>
      </w:pPr>
      <w:r w:rsidRPr="00E413E7">
        <w:t>Detaljniji podaci prikazani su u dijelu 2.14. Izvješće o provedbi projekata.</w:t>
      </w:r>
    </w:p>
    <w:p w14:paraId="7B8B2E2F" w14:textId="77777777" w:rsidR="00105B6F" w:rsidRDefault="00105B6F" w:rsidP="00105B6F">
      <w:pPr>
        <w:rPr>
          <w:b/>
          <w:bCs/>
          <w:color w:val="000000" w:themeColor="text1"/>
        </w:rPr>
      </w:pPr>
    </w:p>
    <w:p w14:paraId="2577CA92" w14:textId="77777777" w:rsidR="00105B6F" w:rsidRPr="001D59FE" w:rsidRDefault="00105B6F" w:rsidP="00105B6F">
      <w:pPr>
        <w:pStyle w:val="Heading3"/>
      </w:pPr>
      <w:bookmarkStart w:id="163" w:name="_Toc165035474"/>
      <w:r w:rsidRPr="001D59FE">
        <w:lastRenderedPageBreak/>
        <w:t>2.3.1</w:t>
      </w:r>
      <w:r>
        <w:t>2.</w:t>
      </w:r>
      <w:r w:rsidRPr="001D59FE">
        <w:t xml:space="preserve"> </w:t>
      </w:r>
      <w:r>
        <w:t>Izvršenje prihodovnih poslova</w:t>
      </w:r>
      <w:bookmarkEnd w:id="163"/>
    </w:p>
    <w:p w14:paraId="7FA30280" w14:textId="77777777" w:rsidR="00105B6F" w:rsidRPr="00CD3DD1" w:rsidRDefault="00105B6F" w:rsidP="00105B6F">
      <w:pPr>
        <w:spacing w:after="120"/>
        <w:rPr>
          <w:b/>
          <w:lang w:eastAsia="hr-HR"/>
        </w:rPr>
      </w:pPr>
      <w:r w:rsidRPr="00CD3DD1">
        <w:rPr>
          <w:b/>
          <w:lang w:eastAsia="hr-HR"/>
        </w:rPr>
        <w:t xml:space="preserve">Tablica 10. Izvršenje prihodovnih usluga proizvodnje i nadzora </w:t>
      </w:r>
    </w:p>
    <w:tbl>
      <w:tblPr>
        <w:tblW w:w="9195" w:type="dxa"/>
        <w:tblInd w:w="-34" w:type="dxa"/>
        <w:tblLook w:val="04A0" w:firstRow="1" w:lastRow="0" w:firstColumn="1" w:lastColumn="0" w:noHBand="0" w:noVBand="1"/>
      </w:tblPr>
      <w:tblGrid>
        <w:gridCol w:w="575"/>
        <w:gridCol w:w="4253"/>
        <w:gridCol w:w="1446"/>
        <w:gridCol w:w="1504"/>
        <w:gridCol w:w="1417"/>
      </w:tblGrid>
      <w:tr w:rsidR="00105B6F" w:rsidRPr="00E27B57" w14:paraId="47D62296" w14:textId="77777777" w:rsidTr="00BA499D">
        <w:trPr>
          <w:trHeight w:val="673"/>
          <w:tblHeader/>
        </w:trPr>
        <w:tc>
          <w:tcPr>
            <w:tcW w:w="575" w:type="dxa"/>
            <w:tcBorders>
              <w:top w:val="single" w:sz="4" w:space="0" w:color="auto"/>
              <w:left w:val="single" w:sz="4" w:space="0" w:color="auto"/>
              <w:bottom w:val="single" w:sz="4" w:space="0" w:color="auto"/>
              <w:right w:val="single" w:sz="4" w:space="0" w:color="auto"/>
            </w:tcBorders>
            <w:shd w:val="clear" w:color="auto" w:fill="A3E7FF"/>
            <w:vAlign w:val="center"/>
            <w:hideMark/>
          </w:tcPr>
          <w:p w14:paraId="2BA3E2EF" w14:textId="77777777" w:rsidR="00105B6F" w:rsidRPr="00B037D6" w:rsidRDefault="00105B6F" w:rsidP="00BA499D">
            <w:pPr>
              <w:rPr>
                <w:b/>
                <w:sz w:val="18"/>
                <w:szCs w:val="18"/>
                <w:lang w:eastAsia="hr-HR"/>
              </w:rPr>
            </w:pPr>
            <w:r w:rsidRPr="00B037D6">
              <w:rPr>
                <w:b/>
                <w:sz w:val="18"/>
                <w:szCs w:val="18"/>
                <w:lang w:eastAsia="hr-HR"/>
              </w:rPr>
              <w:t>R.br.</w:t>
            </w:r>
          </w:p>
        </w:tc>
        <w:tc>
          <w:tcPr>
            <w:tcW w:w="4253" w:type="dxa"/>
            <w:tcBorders>
              <w:top w:val="single" w:sz="4" w:space="0" w:color="auto"/>
              <w:left w:val="nil"/>
              <w:bottom w:val="single" w:sz="4" w:space="0" w:color="auto"/>
              <w:right w:val="single" w:sz="4" w:space="0" w:color="auto"/>
            </w:tcBorders>
            <w:shd w:val="clear" w:color="auto" w:fill="A3E7FF"/>
            <w:noWrap/>
            <w:vAlign w:val="center"/>
            <w:hideMark/>
          </w:tcPr>
          <w:p w14:paraId="4945BD2C" w14:textId="77777777" w:rsidR="00105B6F" w:rsidRPr="00B037D6" w:rsidRDefault="00105B6F" w:rsidP="00BA499D">
            <w:pPr>
              <w:rPr>
                <w:b/>
                <w:sz w:val="18"/>
                <w:szCs w:val="18"/>
                <w:lang w:eastAsia="hr-HR"/>
              </w:rPr>
            </w:pPr>
            <w:r w:rsidRPr="00B037D6">
              <w:rPr>
                <w:b/>
                <w:sz w:val="18"/>
                <w:szCs w:val="18"/>
                <w:lang w:eastAsia="hr-HR"/>
              </w:rPr>
              <w:t>Naziv usluge</w:t>
            </w:r>
          </w:p>
        </w:tc>
        <w:tc>
          <w:tcPr>
            <w:tcW w:w="1446" w:type="dxa"/>
            <w:tcBorders>
              <w:top w:val="single" w:sz="4" w:space="0" w:color="auto"/>
              <w:left w:val="nil"/>
              <w:bottom w:val="single" w:sz="4" w:space="0" w:color="auto"/>
              <w:right w:val="single" w:sz="4" w:space="0" w:color="auto"/>
            </w:tcBorders>
            <w:shd w:val="clear" w:color="auto" w:fill="A3E7FF"/>
            <w:vAlign w:val="center"/>
            <w:hideMark/>
          </w:tcPr>
          <w:p w14:paraId="13770C5E" w14:textId="77777777" w:rsidR="00105B6F" w:rsidRPr="00B037D6" w:rsidRDefault="00105B6F" w:rsidP="00BA499D">
            <w:pPr>
              <w:jc w:val="center"/>
              <w:rPr>
                <w:b/>
                <w:sz w:val="18"/>
                <w:szCs w:val="18"/>
                <w:lang w:eastAsia="hr-HR"/>
              </w:rPr>
            </w:pPr>
            <w:r>
              <w:rPr>
                <w:b/>
                <w:sz w:val="18"/>
                <w:szCs w:val="18"/>
                <w:lang w:eastAsia="hr-HR"/>
              </w:rPr>
              <w:t>Plan za 2023</w:t>
            </w:r>
            <w:r w:rsidRPr="00B037D6">
              <w:rPr>
                <w:b/>
                <w:sz w:val="18"/>
                <w:szCs w:val="18"/>
                <w:lang w:eastAsia="hr-HR"/>
              </w:rPr>
              <w:t>.</w:t>
            </w:r>
          </w:p>
        </w:tc>
        <w:tc>
          <w:tcPr>
            <w:tcW w:w="1504" w:type="dxa"/>
            <w:tcBorders>
              <w:top w:val="single" w:sz="4" w:space="0" w:color="auto"/>
              <w:left w:val="nil"/>
              <w:bottom w:val="single" w:sz="4" w:space="0" w:color="auto"/>
              <w:right w:val="single" w:sz="4" w:space="0" w:color="auto"/>
            </w:tcBorders>
            <w:shd w:val="clear" w:color="auto" w:fill="A3E7FF"/>
            <w:vAlign w:val="center"/>
            <w:hideMark/>
          </w:tcPr>
          <w:p w14:paraId="59221B48" w14:textId="77777777" w:rsidR="00105B6F" w:rsidRPr="00B037D6" w:rsidRDefault="00105B6F" w:rsidP="00BA499D">
            <w:pPr>
              <w:jc w:val="center"/>
              <w:rPr>
                <w:b/>
                <w:sz w:val="18"/>
                <w:szCs w:val="18"/>
                <w:lang w:eastAsia="hr-HR"/>
              </w:rPr>
            </w:pPr>
            <w:r>
              <w:rPr>
                <w:b/>
                <w:sz w:val="18"/>
                <w:szCs w:val="18"/>
                <w:lang w:eastAsia="hr-HR"/>
              </w:rPr>
              <w:t>Izvršenje 01.01.-31.12.2023</w:t>
            </w:r>
            <w:r w:rsidRPr="00B037D6">
              <w:rPr>
                <w:b/>
                <w:sz w:val="18"/>
                <w:szCs w:val="18"/>
                <w:lang w:eastAsia="hr-HR"/>
              </w:rPr>
              <w:t>.</w:t>
            </w:r>
          </w:p>
        </w:tc>
        <w:tc>
          <w:tcPr>
            <w:tcW w:w="1417" w:type="dxa"/>
            <w:tcBorders>
              <w:top w:val="single" w:sz="4" w:space="0" w:color="auto"/>
              <w:left w:val="nil"/>
              <w:bottom w:val="single" w:sz="4" w:space="0" w:color="auto"/>
              <w:right w:val="single" w:sz="4" w:space="0" w:color="auto"/>
            </w:tcBorders>
            <w:shd w:val="clear" w:color="auto" w:fill="A3E7FF"/>
            <w:vAlign w:val="center"/>
            <w:hideMark/>
          </w:tcPr>
          <w:p w14:paraId="0C7D8EA6" w14:textId="77777777" w:rsidR="00105B6F" w:rsidRPr="00B037D6" w:rsidRDefault="00105B6F" w:rsidP="00BA499D">
            <w:pPr>
              <w:jc w:val="center"/>
              <w:rPr>
                <w:b/>
                <w:sz w:val="18"/>
                <w:szCs w:val="18"/>
                <w:lang w:eastAsia="hr-HR"/>
              </w:rPr>
            </w:pPr>
            <w:r w:rsidRPr="00B037D6">
              <w:rPr>
                <w:b/>
                <w:sz w:val="18"/>
                <w:szCs w:val="18"/>
                <w:lang w:eastAsia="hr-HR"/>
              </w:rPr>
              <w:t>% izvršenja</w:t>
            </w:r>
          </w:p>
        </w:tc>
      </w:tr>
      <w:tr w:rsidR="00105B6F" w:rsidRPr="00316A50" w14:paraId="221BDE27" w14:textId="77777777" w:rsidTr="00BA499D">
        <w:trPr>
          <w:trHeight w:val="142"/>
        </w:trPr>
        <w:tc>
          <w:tcPr>
            <w:tcW w:w="575" w:type="dxa"/>
            <w:tcBorders>
              <w:top w:val="nil"/>
              <w:left w:val="single" w:sz="4" w:space="0" w:color="auto"/>
              <w:bottom w:val="single" w:sz="4" w:space="0" w:color="auto"/>
              <w:right w:val="single" w:sz="4" w:space="0" w:color="auto"/>
            </w:tcBorders>
            <w:vAlign w:val="center"/>
            <w:hideMark/>
          </w:tcPr>
          <w:p w14:paraId="7CF9BBBD" w14:textId="77777777" w:rsidR="00105B6F" w:rsidRPr="005545C3" w:rsidRDefault="00105B6F" w:rsidP="00BA499D">
            <w:pPr>
              <w:jc w:val="center"/>
              <w:rPr>
                <w:color w:val="1A1A1A"/>
                <w:sz w:val="18"/>
                <w:szCs w:val="18"/>
                <w:lang w:eastAsia="hr-HR"/>
              </w:rPr>
            </w:pPr>
            <w:r w:rsidRPr="005545C3">
              <w:rPr>
                <w:color w:val="1A1A1A"/>
                <w:sz w:val="18"/>
                <w:szCs w:val="18"/>
                <w:lang w:eastAsia="hr-HR"/>
              </w:rPr>
              <w:t>1.</w:t>
            </w:r>
          </w:p>
        </w:tc>
        <w:tc>
          <w:tcPr>
            <w:tcW w:w="4253" w:type="dxa"/>
            <w:tcBorders>
              <w:top w:val="nil"/>
              <w:left w:val="nil"/>
              <w:bottom w:val="single" w:sz="4" w:space="0" w:color="auto"/>
              <w:right w:val="single" w:sz="4" w:space="0" w:color="auto"/>
            </w:tcBorders>
            <w:vAlign w:val="center"/>
            <w:hideMark/>
          </w:tcPr>
          <w:p w14:paraId="13A44D68" w14:textId="77777777" w:rsidR="00105B6F" w:rsidRPr="005545C3" w:rsidRDefault="00105B6F" w:rsidP="00BA499D">
            <w:pPr>
              <w:rPr>
                <w:color w:val="1A1A1A"/>
                <w:sz w:val="18"/>
                <w:szCs w:val="18"/>
                <w:lang w:eastAsia="hr-HR"/>
              </w:rPr>
            </w:pPr>
            <w:r w:rsidRPr="005545C3">
              <w:rPr>
                <w:color w:val="1A1A1A"/>
                <w:sz w:val="18"/>
                <w:szCs w:val="18"/>
                <w:lang w:eastAsia="hr-HR"/>
              </w:rPr>
              <w:t>Davanje/uskraćivanje proizvodne dozvole</w:t>
            </w:r>
          </w:p>
        </w:tc>
        <w:tc>
          <w:tcPr>
            <w:tcW w:w="1446" w:type="dxa"/>
            <w:tcBorders>
              <w:top w:val="nil"/>
              <w:left w:val="nil"/>
              <w:bottom w:val="single" w:sz="4" w:space="0" w:color="auto"/>
              <w:right w:val="single" w:sz="4" w:space="0" w:color="auto"/>
            </w:tcBorders>
            <w:noWrap/>
            <w:vAlign w:val="center"/>
          </w:tcPr>
          <w:p w14:paraId="213A391E" w14:textId="77777777" w:rsidR="00105B6F" w:rsidRPr="005E2601" w:rsidRDefault="00105B6F" w:rsidP="00BA499D">
            <w:pPr>
              <w:jc w:val="center"/>
              <w:rPr>
                <w:rFonts w:cstheme="minorHAnsi"/>
                <w:sz w:val="18"/>
              </w:rPr>
            </w:pPr>
            <w:r w:rsidRPr="00632837">
              <w:rPr>
                <w:bCs/>
                <w:sz w:val="20"/>
                <w:szCs w:val="20"/>
              </w:rPr>
              <w:t>1</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ADFF6D" w14:textId="77777777" w:rsidR="00105B6F" w:rsidRPr="00B30CC6" w:rsidRDefault="00105B6F" w:rsidP="00BA499D">
            <w:pPr>
              <w:jc w:val="center"/>
              <w:rPr>
                <w:rFonts w:cstheme="minorHAnsi"/>
                <w:sz w:val="18"/>
              </w:rPr>
            </w:pPr>
            <w:r w:rsidRPr="00D17B03">
              <w:rPr>
                <w:bCs/>
                <w:sz w:val="20"/>
                <w:szCs w:val="20"/>
              </w:rPr>
              <w:t>1</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B2CD609" w14:textId="77777777" w:rsidR="00105B6F" w:rsidRPr="00B30CC6" w:rsidRDefault="00105B6F" w:rsidP="00BA499D">
            <w:pPr>
              <w:jc w:val="center"/>
              <w:rPr>
                <w:rFonts w:cstheme="minorHAnsi"/>
                <w:sz w:val="18"/>
              </w:rPr>
            </w:pPr>
            <w:r w:rsidRPr="00B30CC6">
              <w:rPr>
                <w:sz w:val="20"/>
                <w:szCs w:val="20"/>
              </w:rPr>
              <w:t>100%</w:t>
            </w:r>
          </w:p>
        </w:tc>
      </w:tr>
      <w:tr w:rsidR="00105B6F" w:rsidRPr="00316A50" w14:paraId="247E6CFB" w14:textId="77777777" w:rsidTr="00BA499D">
        <w:trPr>
          <w:trHeight w:val="142"/>
        </w:trPr>
        <w:tc>
          <w:tcPr>
            <w:tcW w:w="575" w:type="dxa"/>
            <w:tcBorders>
              <w:top w:val="nil"/>
              <w:left w:val="single" w:sz="4" w:space="0" w:color="auto"/>
              <w:bottom w:val="single" w:sz="4" w:space="0" w:color="auto"/>
              <w:right w:val="single" w:sz="4" w:space="0" w:color="auto"/>
            </w:tcBorders>
            <w:vAlign w:val="center"/>
            <w:hideMark/>
          </w:tcPr>
          <w:p w14:paraId="22265191" w14:textId="77777777" w:rsidR="00105B6F" w:rsidRPr="005545C3" w:rsidRDefault="00105B6F" w:rsidP="00BA499D">
            <w:pPr>
              <w:jc w:val="center"/>
              <w:rPr>
                <w:color w:val="1A1A1A"/>
                <w:sz w:val="18"/>
                <w:szCs w:val="18"/>
                <w:lang w:eastAsia="hr-HR"/>
              </w:rPr>
            </w:pPr>
            <w:r w:rsidRPr="005545C3">
              <w:rPr>
                <w:color w:val="1A1A1A"/>
                <w:sz w:val="18"/>
                <w:szCs w:val="18"/>
                <w:lang w:eastAsia="hr-HR"/>
              </w:rPr>
              <w:t>2.</w:t>
            </w:r>
          </w:p>
        </w:tc>
        <w:tc>
          <w:tcPr>
            <w:tcW w:w="4253" w:type="dxa"/>
            <w:tcBorders>
              <w:top w:val="nil"/>
              <w:left w:val="nil"/>
              <w:bottom w:val="single" w:sz="4" w:space="0" w:color="auto"/>
              <w:right w:val="single" w:sz="4" w:space="0" w:color="auto"/>
            </w:tcBorders>
            <w:vAlign w:val="center"/>
            <w:hideMark/>
          </w:tcPr>
          <w:p w14:paraId="3313E186" w14:textId="77777777" w:rsidR="00105B6F" w:rsidRPr="005545C3" w:rsidRDefault="00105B6F" w:rsidP="00BA499D">
            <w:pPr>
              <w:rPr>
                <w:color w:val="1A1A1A"/>
                <w:sz w:val="18"/>
                <w:szCs w:val="18"/>
                <w:lang w:eastAsia="hr-HR"/>
              </w:rPr>
            </w:pPr>
            <w:r w:rsidRPr="005545C3">
              <w:rPr>
                <w:color w:val="1A1A1A"/>
                <w:sz w:val="18"/>
                <w:szCs w:val="18"/>
                <w:lang w:eastAsia="hr-HR"/>
              </w:rPr>
              <w:t>Izmjena proizvodne dozvole</w:t>
            </w:r>
          </w:p>
        </w:tc>
        <w:tc>
          <w:tcPr>
            <w:tcW w:w="1446" w:type="dxa"/>
            <w:tcBorders>
              <w:top w:val="nil"/>
              <w:left w:val="nil"/>
              <w:bottom w:val="single" w:sz="4" w:space="0" w:color="auto"/>
              <w:right w:val="single" w:sz="4" w:space="0" w:color="auto"/>
            </w:tcBorders>
            <w:noWrap/>
            <w:vAlign w:val="center"/>
          </w:tcPr>
          <w:p w14:paraId="1CBF8DD9" w14:textId="77777777" w:rsidR="00105B6F" w:rsidRPr="005E2601" w:rsidRDefault="00105B6F" w:rsidP="00BA499D">
            <w:pPr>
              <w:jc w:val="center"/>
              <w:rPr>
                <w:rFonts w:cstheme="minorHAnsi"/>
                <w:sz w:val="18"/>
              </w:rPr>
            </w:pPr>
            <w:r w:rsidRPr="00632837">
              <w:rPr>
                <w:bCs/>
                <w:sz w:val="20"/>
                <w:szCs w:val="20"/>
              </w:rPr>
              <w:t>7</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B19233" w14:textId="77777777" w:rsidR="00105B6F" w:rsidRPr="00B30CC6" w:rsidRDefault="00105B6F" w:rsidP="00BA499D">
            <w:pPr>
              <w:jc w:val="center"/>
              <w:rPr>
                <w:rFonts w:cstheme="minorHAnsi"/>
                <w:sz w:val="18"/>
              </w:rPr>
            </w:pPr>
            <w:r w:rsidRPr="00D17B03">
              <w:rPr>
                <w:bCs/>
                <w:sz w:val="20"/>
                <w:szCs w:val="20"/>
              </w:rPr>
              <w:t>14</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6429C98" w14:textId="77777777" w:rsidR="00105B6F" w:rsidRPr="00B30CC6" w:rsidRDefault="00105B6F" w:rsidP="00BA499D">
            <w:pPr>
              <w:jc w:val="center"/>
              <w:rPr>
                <w:rFonts w:cstheme="minorHAnsi"/>
                <w:sz w:val="18"/>
              </w:rPr>
            </w:pPr>
            <w:r w:rsidRPr="00B30CC6">
              <w:rPr>
                <w:sz w:val="20"/>
                <w:szCs w:val="20"/>
              </w:rPr>
              <w:t>200%</w:t>
            </w:r>
          </w:p>
        </w:tc>
      </w:tr>
      <w:tr w:rsidR="00105B6F" w:rsidRPr="00316A50" w14:paraId="281A6062" w14:textId="77777777" w:rsidTr="00BA499D">
        <w:trPr>
          <w:trHeight w:val="142"/>
        </w:trPr>
        <w:tc>
          <w:tcPr>
            <w:tcW w:w="575" w:type="dxa"/>
            <w:tcBorders>
              <w:top w:val="nil"/>
              <w:left w:val="single" w:sz="4" w:space="0" w:color="auto"/>
              <w:bottom w:val="single" w:sz="4" w:space="0" w:color="auto"/>
              <w:right w:val="single" w:sz="4" w:space="0" w:color="auto"/>
            </w:tcBorders>
            <w:vAlign w:val="center"/>
            <w:hideMark/>
          </w:tcPr>
          <w:p w14:paraId="21279308" w14:textId="77777777" w:rsidR="00105B6F" w:rsidRPr="005545C3" w:rsidRDefault="00105B6F" w:rsidP="00BA499D">
            <w:pPr>
              <w:jc w:val="center"/>
              <w:rPr>
                <w:color w:val="1A1A1A"/>
                <w:sz w:val="18"/>
                <w:szCs w:val="18"/>
                <w:lang w:eastAsia="hr-HR"/>
              </w:rPr>
            </w:pPr>
            <w:r w:rsidRPr="005545C3">
              <w:rPr>
                <w:color w:val="1A1A1A"/>
                <w:sz w:val="18"/>
                <w:szCs w:val="18"/>
                <w:lang w:eastAsia="hr-HR"/>
              </w:rPr>
              <w:t>3.</w:t>
            </w:r>
          </w:p>
        </w:tc>
        <w:tc>
          <w:tcPr>
            <w:tcW w:w="4253" w:type="dxa"/>
            <w:tcBorders>
              <w:top w:val="nil"/>
              <w:left w:val="nil"/>
              <w:bottom w:val="single" w:sz="4" w:space="0" w:color="auto"/>
              <w:right w:val="single" w:sz="4" w:space="0" w:color="auto"/>
            </w:tcBorders>
            <w:vAlign w:val="center"/>
            <w:hideMark/>
          </w:tcPr>
          <w:p w14:paraId="06405614" w14:textId="77777777" w:rsidR="00105B6F" w:rsidRPr="005545C3" w:rsidRDefault="00105B6F" w:rsidP="00BA499D">
            <w:pPr>
              <w:rPr>
                <w:color w:val="1A1A1A"/>
                <w:sz w:val="18"/>
                <w:szCs w:val="18"/>
                <w:lang w:eastAsia="hr-HR"/>
              </w:rPr>
            </w:pPr>
            <w:r w:rsidRPr="005545C3">
              <w:rPr>
                <w:color w:val="1A1A1A"/>
                <w:sz w:val="18"/>
                <w:szCs w:val="18"/>
                <w:lang w:eastAsia="hr-HR"/>
              </w:rPr>
              <w:t>Oduzimanje proizvodne dozvole</w:t>
            </w:r>
          </w:p>
        </w:tc>
        <w:tc>
          <w:tcPr>
            <w:tcW w:w="1446" w:type="dxa"/>
            <w:tcBorders>
              <w:top w:val="nil"/>
              <w:left w:val="nil"/>
              <w:bottom w:val="single" w:sz="4" w:space="0" w:color="auto"/>
              <w:right w:val="single" w:sz="4" w:space="0" w:color="auto"/>
            </w:tcBorders>
            <w:noWrap/>
            <w:vAlign w:val="center"/>
          </w:tcPr>
          <w:p w14:paraId="6D32EB45" w14:textId="77777777" w:rsidR="00105B6F" w:rsidRPr="005E2601" w:rsidRDefault="00105B6F" w:rsidP="00BA499D">
            <w:pPr>
              <w:jc w:val="center"/>
              <w:rPr>
                <w:rFonts w:cstheme="minorHAnsi"/>
                <w:sz w:val="18"/>
              </w:rPr>
            </w:pPr>
            <w:r w:rsidRPr="00632837">
              <w:rPr>
                <w:bCs/>
                <w:sz w:val="20"/>
                <w:szCs w:val="20"/>
              </w:rPr>
              <w:t>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78A423" w14:textId="77777777" w:rsidR="00105B6F" w:rsidRPr="00B30CC6" w:rsidRDefault="00105B6F" w:rsidP="00BA499D">
            <w:pPr>
              <w:jc w:val="center"/>
              <w:rPr>
                <w:rFonts w:cstheme="minorHAnsi"/>
                <w:sz w:val="18"/>
              </w:rPr>
            </w:pPr>
            <w:r w:rsidRPr="00D17B03">
              <w:rPr>
                <w:bCs/>
                <w:sz w:val="20"/>
                <w:szCs w:val="20"/>
              </w:rPr>
              <w:t>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03DA61D" w14:textId="77777777" w:rsidR="00105B6F" w:rsidRPr="00B30CC6" w:rsidRDefault="00105B6F" w:rsidP="00BA499D">
            <w:pPr>
              <w:jc w:val="center"/>
              <w:rPr>
                <w:rFonts w:cstheme="minorHAnsi"/>
                <w:sz w:val="18"/>
              </w:rPr>
            </w:pPr>
            <w:r>
              <w:rPr>
                <w:sz w:val="20"/>
                <w:szCs w:val="20"/>
              </w:rPr>
              <w:t>-</w:t>
            </w:r>
          </w:p>
        </w:tc>
      </w:tr>
      <w:tr w:rsidR="00105B6F" w:rsidRPr="00316A50" w14:paraId="04FB0FAC" w14:textId="77777777" w:rsidTr="00BA499D">
        <w:trPr>
          <w:trHeight w:val="142"/>
        </w:trPr>
        <w:tc>
          <w:tcPr>
            <w:tcW w:w="575" w:type="dxa"/>
            <w:tcBorders>
              <w:top w:val="nil"/>
              <w:left w:val="single" w:sz="4" w:space="0" w:color="auto"/>
              <w:bottom w:val="single" w:sz="4" w:space="0" w:color="auto"/>
              <w:right w:val="single" w:sz="4" w:space="0" w:color="auto"/>
            </w:tcBorders>
            <w:vAlign w:val="center"/>
            <w:hideMark/>
          </w:tcPr>
          <w:p w14:paraId="16F04BC6" w14:textId="77777777" w:rsidR="00105B6F" w:rsidRPr="005545C3" w:rsidRDefault="00105B6F" w:rsidP="00BA499D">
            <w:pPr>
              <w:jc w:val="center"/>
              <w:rPr>
                <w:color w:val="1A1A1A"/>
                <w:sz w:val="18"/>
                <w:szCs w:val="18"/>
                <w:lang w:eastAsia="hr-HR"/>
              </w:rPr>
            </w:pPr>
            <w:r w:rsidRPr="005545C3">
              <w:rPr>
                <w:color w:val="1A1A1A"/>
                <w:sz w:val="18"/>
                <w:szCs w:val="18"/>
                <w:lang w:eastAsia="hr-HR"/>
              </w:rPr>
              <w:t>4.</w:t>
            </w:r>
          </w:p>
        </w:tc>
        <w:tc>
          <w:tcPr>
            <w:tcW w:w="4253" w:type="dxa"/>
            <w:tcBorders>
              <w:top w:val="nil"/>
              <w:left w:val="nil"/>
              <w:bottom w:val="single" w:sz="4" w:space="0" w:color="auto"/>
              <w:right w:val="single" w:sz="4" w:space="0" w:color="auto"/>
            </w:tcBorders>
            <w:vAlign w:val="center"/>
            <w:hideMark/>
          </w:tcPr>
          <w:p w14:paraId="1B9798F0" w14:textId="77777777" w:rsidR="00105B6F" w:rsidRPr="005545C3" w:rsidRDefault="00105B6F" w:rsidP="00BA499D">
            <w:pPr>
              <w:rPr>
                <w:color w:val="1A1A1A"/>
                <w:sz w:val="18"/>
                <w:szCs w:val="18"/>
                <w:lang w:eastAsia="hr-HR"/>
              </w:rPr>
            </w:pPr>
            <w:r w:rsidRPr="005545C3">
              <w:rPr>
                <w:color w:val="1A1A1A"/>
                <w:sz w:val="18"/>
                <w:szCs w:val="18"/>
                <w:lang w:eastAsia="hr-HR"/>
              </w:rPr>
              <w:t>Davanje potvrde o provođenju dobre proizvođačke prakse</w:t>
            </w:r>
          </w:p>
        </w:tc>
        <w:tc>
          <w:tcPr>
            <w:tcW w:w="1446" w:type="dxa"/>
            <w:tcBorders>
              <w:top w:val="nil"/>
              <w:left w:val="nil"/>
              <w:bottom w:val="single" w:sz="4" w:space="0" w:color="auto"/>
              <w:right w:val="single" w:sz="4" w:space="0" w:color="auto"/>
            </w:tcBorders>
            <w:noWrap/>
            <w:vAlign w:val="center"/>
          </w:tcPr>
          <w:p w14:paraId="21D2F6E5" w14:textId="77777777" w:rsidR="00105B6F" w:rsidRPr="005E2601" w:rsidRDefault="00105B6F" w:rsidP="00BA499D">
            <w:pPr>
              <w:jc w:val="center"/>
              <w:rPr>
                <w:rFonts w:cstheme="minorHAnsi"/>
                <w:sz w:val="18"/>
              </w:rPr>
            </w:pPr>
            <w:r w:rsidRPr="00632837">
              <w:rPr>
                <w:bCs/>
                <w:sz w:val="20"/>
                <w:szCs w:val="20"/>
              </w:rPr>
              <w:t>15</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568283" w14:textId="77777777" w:rsidR="00105B6F" w:rsidRPr="00B30CC6" w:rsidRDefault="00105B6F" w:rsidP="00BA499D">
            <w:pPr>
              <w:jc w:val="center"/>
              <w:rPr>
                <w:rFonts w:cstheme="minorHAnsi"/>
                <w:sz w:val="18"/>
              </w:rPr>
            </w:pPr>
            <w:r w:rsidRPr="00D17B03">
              <w:rPr>
                <w:bCs/>
                <w:sz w:val="20"/>
                <w:szCs w:val="20"/>
              </w:rPr>
              <w:t>23</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2D9B4D4" w14:textId="77777777" w:rsidR="00105B6F" w:rsidRPr="00B30CC6" w:rsidRDefault="00105B6F" w:rsidP="00BA499D">
            <w:pPr>
              <w:jc w:val="center"/>
              <w:rPr>
                <w:rFonts w:cstheme="minorHAnsi"/>
                <w:sz w:val="18"/>
              </w:rPr>
            </w:pPr>
            <w:r w:rsidRPr="00B30CC6">
              <w:rPr>
                <w:sz w:val="20"/>
                <w:szCs w:val="20"/>
              </w:rPr>
              <w:t>153%</w:t>
            </w:r>
          </w:p>
        </w:tc>
      </w:tr>
      <w:tr w:rsidR="00105B6F" w:rsidRPr="00316A50" w14:paraId="514B9A1E" w14:textId="77777777" w:rsidTr="00BA499D">
        <w:trPr>
          <w:trHeight w:val="142"/>
        </w:trPr>
        <w:tc>
          <w:tcPr>
            <w:tcW w:w="575" w:type="dxa"/>
            <w:tcBorders>
              <w:top w:val="nil"/>
              <w:left w:val="single" w:sz="4" w:space="0" w:color="auto"/>
              <w:bottom w:val="single" w:sz="4" w:space="0" w:color="auto"/>
              <w:right w:val="single" w:sz="4" w:space="0" w:color="auto"/>
            </w:tcBorders>
            <w:vAlign w:val="center"/>
          </w:tcPr>
          <w:p w14:paraId="2E94E71E" w14:textId="77777777" w:rsidR="00105B6F" w:rsidRPr="005545C3" w:rsidRDefault="00105B6F" w:rsidP="00BA499D">
            <w:pPr>
              <w:jc w:val="center"/>
              <w:rPr>
                <w:sz w:val="18"/>
                <w:szCs w:val="18"/>
                <w:lang w:eastAsia="hr-HR"/>
              </w:rPr>
            </w:pPr>
            <w:r w:rsidRPr="005545C3">
              <w:rPr>
                <w:sz w:val="18"/>
                <w:szCs w:val="18"/>
                <w:lang w:eastAsia="hr-HR"/>
              </w:rPr>
              <w:t>5.</w:t>
            </w:r>
          </w:p>
        </w:tc>
        <w:tc>
          <w:tcPr>
            <w:tcW w:w="4253" w:type="dxa"/>
            <w:tcBorders>
              <w:top w:val="nil"/>
              <w:left w:val="nil"/>
              <w:bottom w:val="single" w:sz="4" w:space="0" w:color="auto"/>
              <w:right w:val="single" w:sz="4" w:space="0" w:color="auto"/>
            </w:tcBorders>
            <w:vAlign w:val="center"/>
          </w:tcPr>
          <w:p w14:paraId="21733521" w14:textId="77777777" w:rsidR="00105B6F" w:rsidRPr="005545C3" w:rsidRDefault="00105B6F" w:rsidP="00BA499D">
            <w:pPr>
              <w:rPr>
                <w:sz w:val="18"/>
                <w:szCs w:val="18"/>
                <w:lang w:eastAsia="hr-HR"/>
              </w:rPr>
            </w:pPr>
            <w:r w:rsidRPr="00B3099F">
              <w:rPr>
                <w:sz w:val="18"/>
                <w:szCs w:val="18"/>
                <w:lang w:eastAsia="hr-HR"/>
              </w:rPr>
              <w:t>Davanje potvrde o provođenju dobre proizvođačke prakse, za proizvođače izvan RH</w:t>
            </w:r>
          </w:p>
        </w:tc>
        <w:tc>
          <w:tcPr>
            <w:tcW w:w="1446" w:type="dxa"/>
            <w:tcBorders>
              <w:top w:val="nil"/>
              <w:left w:val="nil"/>
              <w:bottom w:val="single" w:sz="4" w:space="0" w:color="auto"/>
              <w:right w:val="single" w:sz="4" w:space="0" w:color="auto"/>
            </w:tcBorders>
            <w:noWrap/>
            <w:vAlign w:val="center"/>
          </w:tcPr>
          <w:p w14:paraId="5BC9F48D" w14:textId="77777777" w:rsidR="00105B6F" w:rsidRPr="005E2601" w:rsidRDefault="00105B6F" w:rsidP="00BA499D">
            <w:pPr>
              <w:jc w:val="center"/>
              <w:rPr>
                <w:rFonts w:cstheme="minorHAnsi"/>
                <w:sz w:val="18"/>
              </w:rPr>
            </w:pPr>
            <w:r w:rsidRPr="00632837">
              <w:rPr>
                <w:bCs/>
                <w:sz w:val="20"/>
                <w:szCs w:val="20"/>
              </w:rPr>
              <w:t>10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B79C96" w14:textId="77777777" w:rsidR="00105B6F" w:rsidRPr="00B30CC6" w:rsidRDefault="00105B6F" w:rsidP="00BA499D">
            <w:pPr>
              <w:jc w:val="center"/>
              <w:rPr>
                <w:rFonts w:cstheme="minorHAnsi"/>
                <w:sz w:val="18"/>
              </w:rPr>
            </w:pPr>
            <w:r w:rsidRPr="00D17B03">
              <w:rPr>
                <w:bCs/>
                <w:sz w:val="20"/>
                <w:szCs w:val="20"/>
              </w:rPr>
              <w:t>11</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7FF1EC1" w14:textId="77777777" w:rsidR="00105B6F" w:rsidRPr="00B30CC6" w:rsidRDefault="00105B6F" w:rsidP="00BA499D">
            <w:pPr>
              <w:jc w:val="center"/>
              <w:rPr>
                <w:rFonts w:cstheme="minorHAnsi"/>
                <w:sz w:val="18"/>
              </w:rPr>
            </w:pPr>
            <w:r w:rsidRPr="00B30CC6">
              <w:rPr>
                <w:sz w:val="20"/>
                <w:szCs w:val="20"/>
              </w:rPr>
              <w:t>110%</w:t>
            </w:r>
          </w:p>
        </w:tc>
      </w:tr>
      <w:tr w:rsidR="00105B6F" w:rsidRPr="00316A50" w14:paraId="70666E4F" w14:textId="77777777" w:rsidTr="00BA499D">
        <w:trPr>
          <w:trHeight w:val="142"/>
        </w:trPr>
        <w:tc>
          <w:tcPr>
            <w:tcW w:w="575" w:type="dxa"/>
            <w:tcBorders>
              <w:top w:val="nil"/>
              <w:left w:val="single" w:sz="4" w:space="0" w:color="auto"/>
              <w:bottom w:val="single" w:sz="4" w:space="0" w:color="auto"/>
              <w:right w:val="single" w:sz="4" w:space="0" w:color="auto"/>
            </w:tcBorders>
            <w:vAlign w:val="center"/>
          </w:tcPr>
          <w:p w14:paraId="5C646017" w14:textId="77777777" w:rsidR="00105B6F" w:rsidRPr="005545C3" w:rsidRDefault="00105B6F" w:rsidP="00BA499D">
            <w:pPr>
              <w:jc w:val="center"/>
              <w:rPr>
                <w:color w:val="1A1A1A"/>
                <w:sz w:val="18"/>
                <w:szCs w:val="18"/>
                <w:lang w:eastAsia="hr-HR"/>
              </w:rPr>
            </w:pPr>
            <w:r w:rsidRPr="005545C3">
              <w:rPr>
                <w:color w:val="1A1A1A"/>
                <w:sz w:val="18"/>
                <w:szCs w:val="18"/>
                <w:lang w:eastAsia="hr-HR"/>
              </w:rPr>
              <w:t>6.</w:t>
            </w:r>
          </w:p>
        </w:tc>
        <w:tc>
          <w:tcPr>
            <w:tcW w:w="4253" w:type="dxa"/>
            <w:tcBorders>
              <w:top w:val="nil"/>
              <w:left w:val="nil"/>
              <w:bottom w:val="single" w:sz="4" w:space="0" w:color="auto"/>
              <w:right w:val="single" w:sz="4" w:space="0" w:color="auto"/>
            </w:tcBorders>
            <w:vAlign w:val="center"/>
            <w:hideMark/>
          </w:tcPr>
          <w:p w14:paraId="11C7417A" w14:textId="77777777" w:rsidR="00105B6F" w:rsidRPr="005545C3" w:rsidRDefault="00105B6F" w:rsidP="00BA499D">
            <w:pPr>
              <w:rPr>
                <w:sz w:val="18"/>
                <w:szCs w:val="18"/>
                <w:lang w:eastAsia="hr-HR"/>
              </w:rPr>
            </w:pPr>
            <w:r w:rsidRPr="005545C3">
              <w:rPr>
                <w:sz w:val="18"/>
                <w:szCs w:val="18"/>
                <w:lang w:eastAsia="hr-HR"/>
              </w:rPr>
              <w:t>Provjera dobre proizvođačke prakse proizvođača izvan RH (po danu i po inspektoru)-</w:t>
            </w:r>
            <w:r w:rsidRPr="001D5D45">
              <w:rPr>
                <w:sz w:val="18"/>
                <w:szCs w:val="18"/>
                <w:lang w:eastAsia="hr-HR"/>
              </w:rPr>
              <w:t>GMP</w:t>
            </w:r>
          </w:p>
        </w:tc>
        <w:tc>
          <w:tcPr>
            <w:tcW w:w="1446" w:type="dxa"/>
            <w:tcBorders>
              <w:top w:val="nil"/>
              <w:left w:val="nil"/>
              <w:bottom w:val="single" w:sz="4" w:space="0" w:color="auto"/>
              <w:right w:val="single" w:sz="4" w:space="0" w:color="auto"/>
            </w:tcBorders>
            <w:noWrap/>
            <w:vAlign w:val="center"/>
          </w:tcPr>
          <w:p w14:paraId="2427A71C" w14:textId="77777777" w:rsidR="00105B6F" w:rsidRPr="005E2601" w:rsidRDefault="00105B6F" w:rsidP="00BA499D">
            <w:pPr>
              <w:jc w:val="center"/>
              <w:rPr>
                <w:rFonts w:cstheme="minorHAnsi"/>
                <w:sz w:val="18"/>
              </w:rPr>
            </w:pPr>
            <w:r w:rsidRPr="00632837">
              <w:rPr>
                <w:bCs/>
                <w:sz w:val="20"/>
                <w:szCs w:val="20"/>
              </w:rPr>
              <w:t>105</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42A315" w14:textId="77777777" w:rsidR="00105B6F" w:rsidRPr="00B30CC6" w:rsidRDefault="00105B6F" w:rsidP="00BA499D">
            <w:pPr>
              <w:jc w:val="center"/>
              <w:rPr>
                <w:rFonts w:cstheme="minorHAnsi"/>
                <w:sz w:val="18"/>
              </w:rPr>
            </w:pPr>
            <w:r w:rsidRPr="00D17B03">
              <w:rPr>
                <w:bCs/>
                <w:sz w:val="20"/>
                <w:szCs w:val="20"/>
              </w:rPr>
              <w:t>121</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777222A" w14:textId="77777777" w:rsidR="00105B6F" w:rsidRPr="00B30CC6" w:rsidRDefault="00105B6F" w:rsidP="00BA499D">
            <w:pPr>
              <w:jc w:val="center"/>
              <w:rPr>
                <w:rFonts w:cstheme="minorHAnsi"/>
                <w:sz w:val="18"/>
              </w:rPr>
            </w:pPr>
            <w:r w:rsidRPr="00B30CC6">
              <w:rPr>
                <w:sz w:val="20"/>
                <w:szCs w:val="20"/>
              </w:rPr>
              <w:t>115%</w:t>
            </w:r>
          </w:p>
        </w:tc>
      </w:tr>
      <w:tr w:rsidR="00105B6F" w:rsidRPr="00316A50" w14:paraId="3C304DD4" w14:textId="77777777" w:rsidTr="00BA499D">
        <w:trPr>
          <w:trHeight w:val="142"/>
        </w:trPr>
        <w:tc>
          <w:tcPr>
            <w:tcW w:w="575" w:type="dxa"/>
            <w:tcBorders>
              <w:top w:val="nil"/>
              <w:left w:val="single" w:sz="4" w:space="0" w:color="auto"/>
              <w:bottom w:val="single" w:sz="4" w:space="0" w:color="auto"/>
              <w:right w:val="single" w:sz="4" w:space="0" w:color="auto"/>
            </w:tcBorders>
            <w:vAlign w:val="center"/>
          </w:tcPr>
          <w:p w14:paraId="24A2D0BA" w14:textId="77777777" w:rsidR="00105B6F" w:rsidRPr="005545C3" w:rsidRDefault="00105B6F" w:rsidP="00BA499D">
            <w:pPr>
              <w:jc w:val="center"/>
              <w:rPr>
                <w:color w:val="1A1A1A"/>
                <w:sz w:val="18"/>
                <w:szCs w:val="18"/>
                <w:lang w:eastAsia="hr-HR"/>
              </w:rPr>
            </w:pPr>
            <w:r w:rsidRPr="005545C3">
              <w:rPr>
                <w:color w:val="1A1A1A"/>
                <w:sz w:val="18"/>
                <w:szCs w:val="18"/>
                <w:lang w:eastAsia="hr-HR"/>
              </w:rPr>
              <w:t>7.</w:t>
            </w:r>
          </w:p>
        </w:tc>
        <w:tc>
          <w:tcPr>
            <w:tcW w:w="4253" w:type="dxa"/>
            <w:tcBorders>
              <w:top w:val="nil"/>
              <w:left w:val="nil"/>
              <w:bottom w:val="single" w:sz="4" w:space="0" w:color="auto"/>
              <w:right w:val="single" w:sz="4" w:space="0" w:color="auto"/>
            </w:tcBorders>
            <w:vAlign w:val="center"/>
            <w:hideMark/>
          </w:tcPr>
          <w:p w14:paraId="152E2526" w14:textId="77777777" w:rsidR="00105B6F" w:rsidRPr="005545C3" w:rsidRDefault="00105B6F" w:rsidP="00BA499D">
            <w:pPr>
              <w:rPr>
                <w:color w:val="1A1A1A"/>
                <w:sz w:val="18"/>
                <w:szCs w:val="18"/>
                <w:lang w:eastAsia="hr-HR"/>
              </w:rPr>
            </w:pPr>
            <w:r w:rsidRPr="005545C3">
              <w:rPr>
                <w:color w:val="1A1A1A"/>
                <w:sz w:val="18"/>
                <w:szCs w:val="18"/>
                <w:lang w:eastAsia="hr-HR"/>
              </w:rPr>
              <w:t>Upis u očevidnik proizvođača, dobavljača ili uvoznika djelatnih tvari</w:t>
            </w:r>
          </w:p>
        </w:tc>
        <w:tc>
          <w:tcPr>
            <w:tcW w:w="1446" w:type="dxa"/>
            <w:tcBorders>
              <w:top w:val="nil"/>
              <w:left w:val="nil"/>
              <w:bottom w:val="single" w:sz="4" w:space="0" w:color="auto"/>
              <w:right w:val="single" w:sz="4" w:space="0" w:color="auto"/>
            </w:tcBorders>
            <w:noWrap/>
            <w:vAlign w:val="center"/>
          </w:tcPr>
          <w:p w14:paraId="2653D169" w14:textId="77777777" w:rsidR="00105B6F" w:rsidRPr="005E2601" w:rsidRDefault="00105B6F" w:rsidP="00BA499D">
            <w:pPr>
              <w:jc w:val="center"/>
              <w:rPr>
                <w:rFonts w:cstheme="minorHAnsi"/>
                <w:sz w:val="18"/>
              </w:rPr>
            </w:pPr>
            <w:r w:rsidRPr="00632837">
              <w:rPr>
                <w:bCs/>
                <w:sz w:val="20"/>
                <w:szCs w:val="20"/>
              </w:rPr>
              <w:t>1</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95823B" w14:textId="77777777" w:rsidR="00105B6F" w:rsidRPr="00B30CC6" w:rsidRDefault="00105B6F" w:rsidP="00BA499D">
            <w:pPr>
              <w:jc w:val="center"/>
              <w:rPr>
                <w:rFonts w:cstheme="minorHAnsi"/>
                <w:sz w:val="18"/>
              </w:rPr>
            </w:pPr>
            <w:r w:rsidRPr="00D17B03">
              <w:rPr>
                <w:bCs/>
                <w:sz w:val="20"/>
                <w:szCs w:val="20"/>
              </w:rPr>
              <w:t>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AB21084" w14:textId="77777777" w:rsidR="00105B6F" w:rsidRPr="00B30CC6" w:rsidRDefault="00105B6F" w:rsidP="00BA499D">
            <w:pPr>
              <w:jc w:val="center"/>
              <w:rPr>
                <w:rFonts w:cstheme="minorHAnsi"/>
                <w:sz w:val="18"/>
              </w:rPr>
            </w:pPr>
            <w:r w:rsidRPr="00B30CC6">
              <w:rPr>
                <w:sz w:val="20"/>
                <w:szCs w:val="20"/>
              </w:rPr>
              <w:t>0%</w:t>
            </w:r>
          </w:p>
        </w:tc>
      </w:tr>
      <w:tr w:rsidR="00105B6F" w:rsidRPr="00316A50" w14:paraId="0494AAE1" w14:textId="77777777" w:rsidTr="00BA499D">
        <w:trPr>
          <w:trHeight w:val="142"/>
        </w:trPr>
        <w:tc>
          <w:tcPr>
            <w:tcW w:w="575" w:type="dxa"/>
            <w:tcBorders>
              <w:top w:val="nil"/>
              <w:left w:val="single" w:sz="4" w:space="0" w:color="auto"/>
              <w:bottom w:val="single" w:sz="4" w:space="0" w:color="auto"/>
              <w:right w:val="single" w:sz="4" w:space="0" w:color="auto"/>
            </w:tcBorders>
            <w:vAlign w:val="center"/>
          </w:tcPr>
          <w:p w14:paraId="2426887F" w14:textId="77777777" w:rsidR="00105B6F" w:rsidRPr="005545C3" w:rsidRDefault="00105B6F" w:rsidP="00BA499D">
            <w:pPr>
              <w:jc w:val="center"/>
              <w:rPr>
                <w:color w:val="1A1A1A"/>
                <w:sz w:val="18"/>
                <w:szCs w:val="18"/>
                <w:lang w:eastAsia="hr-HR"/>
              </w:rPr>
            </w:pPr>
            <w:r w:rsidRPr="005545C3">
              <w:rPr>
                <w:color w:val="1A1A1A"/>
                <w:sz w:val="18"/>
                <w:szCs w:val="18"/>
                <w:lang w:eastAsia="hr-HR"/>
              </w:rPr>
              <w:t>8.</w:t>
            </w:r>
          </w:p>
        </w:tc>
        <w:tc>
          <w:tcPr>
            <w:tcW w:w="4253" w:type="dxa"/>
            <w:tcBorders>
              <w:top w:val="nil"/>
              <w:left w:val="nil"/>
              <w:bottom w:val="single" w:sz="4" w:space="0" w:color="auto"/>
              <w:right w:val="single" w:sz="4" w:space="0" w:color="auto"/>
            </w:tcBorders>
            <w:vAlign w:val="center"/>
            <w:hideMark/>
          </w:tcPr>
          <w:p w14:paraId="754F38BD" w14:textId="77777777" w:rsidR="00105B6F" w:rsidRPr="005545C3" w:rsidRDefault="00105B6F" w:rsidP="00BA499D">
            <w:pPr>
              <w:rPr>
                <w:color w:val="1A1A1A"/>
                <w:sz w:val="18"/>
                <w:szCs w:val="18"/>
                <w:lang w:eastAsia="hr-HR"/>
              </w:rPr>
            </w:pPr>
            <w:r w:rsidRPr="005545C3">
              <w:rPr>
                <w:color w:val="1A1A1A"/>
                <w:sz w:val="18"/>
                <w:szCs w:val="18"/>
                <w:lang w:eastAsia="hr-HR"/>
              </w:rPr>
              <w:t>Izmjena upisa u očevidnik proizvođača, dobavljača ili uvoznika djelatnih tvari</w:t>
            </w:r>
            <w:r>
              <w:rPr>
                <w:color w:val="1A1A1A"/>
                <w:sz w:val="18"/>
                <w:szCs w:val="18"/>
                <w:lang w:eastAsia="hr-HR"/>
              </w:rPr>
              <w:t xml:space="preserve">  </w:t>
            </w:r>
          </w:p>
        </w:tc>
        <w:tc>
          <w:tcPr>
            <w:tcW w:w="1446" w:type="dxa"/>
            <w:tcBorders>
              <w:top w:val="nil"/>
              <w:left w:val="nil"/>
              <w:bottom w:val="single" w:sz="4" w:space="0" w:color="auto"/>
              <w:right w:val="single" w:sz="4" w:space="0" w:color="auto"/>
            </w:tcBorders>
            <w:noWrap/>
            <w:vAlign w:val="center"/>
          </w:tcPr>
          <w:p w14:paraId="7B40AB3C" w14:textId="77777777" w:rsidR="00105B6F" w:rsidRPr="005E2601" w:rsidRDefault="00105B6F" w:rsidP="00BA499D">
            <w:pPr>
              <w:jc w:val="center"/>
              <w:rPr>
                <w:rFonts w:cstheme="minorHAnsi"/>
                <w:sz w:val="18"/>
              </w:rPr>
            </w:pPr>
            <w:r w:rsidRPr="00632837">
              <w:rPr>
                <w:bCs/>
                <w:sz w:val="20"/>
                <w:szCs w:val="20"/>
              </w:rPr>
              <w:t>3</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F6114F" w14:textId="77777777" w:rsidR="00105B6F" w:rsidRPr="00B30CC6" w:rsidRDefault="00105B6F" w:rsidP="00BA499D">
            <w:pPr>
              <w:jc w:val="center"/>
              <w:rPr>
                <w:rFonts w:cstheme="minorHAnsi"/>
                <w:sz w:val="18"/>
              </w:rPr>
            </w:pPr>
            <w:r w:rsidRPr="00D17B03">
              <w:rPr>
                <w:bCs/>
                <w:sz w:val="20"/>
                <w:szCs w:val="20"/>
              </w:rPr>
              <w:t>2</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D02EEEC" w14:textId="77777777" w:rsidR="00105B6F" w:rsidRPr="00B30CC6" w:rsidRDefault="00105B6F" w:rsidP="00BA499D">
            <w:pPr>
              <w:jc w:val="center"/>
              <w:rPr>
                <w:rFonts w:cstheme="minorHAnsi"/>
                <w:sz w:val="18"/>
              </w:rPr>
            </w:pPr>
            <w:r w:rsidRPr="00B30CC6">
              <w:rPr>
                <w:sz w:val="20"/>
                <w:szCs w:val="20"/>
              </w:rPr>
              <w:t>67%</w:t>
            </w:r>
          </w:p>
        </w:tc>
      </w:tr>
      <w:tr w:rsidR="00105B6F" w:rsidRPr="00316A50" w14:paraId="6DD3660A" w14:textId="77777777" w:rsidTr="00BA499D">
        <w:trPr>
          <w:trHeight w:val="142"/>
        </w:trPr>
        <w:tc>
          <w:tcPr>
            <w:tcW w:w="575" w:type="dxa"/>
            <w:tcBorders>
              <w:top w:val="nil"/>
              <w:left w:val="single" w:sz="4" w:space="0" w:color="auto"/>
              <w:bottom w:val="single" w:sz="4" w:space="0" w:color="auto"/>
              <w:right w:val="single" w:sz="4" w:space="0" w:color="auto"/>
            </w:tcBorders>
            <w:vAlign w:val="center"/>
          </w:tcPr>
          <w:p w14:paraId="566C36BB" w14:textId="77777777" w:rsidR="00105B6F" w:rsidRPr="005545C3" w:rsidRDefault="00105B6F" w:rsidP="00BA499D">
            <w:pPr>
              <w:jc w:val="center"/>
              <w:rPr>
                <w:color w:val="1A1A1A"/>
                <w:sz w:val="18"/>
                <w:szCs w:val="18"/>
                <w:lang w:eastAsia="hr-HR"/>
              </w:rPr>
            </w:pPr>
            <w:r w:rsidRPr="005545C3">
              <w:rPr>
                <w:color w:val="1A1A1A"/>
                <w:sz w:val="18"/>
                <w:szCs w:val="18"/>
                <w:lang w:eastAsia="hr-HR"/>
              </w:rPr>
              <w:t>9.</w:t>
            </w:r>
          </w:p>
        </w:tc>
        <w:tc>
          <w:tcPr>
            <w:tcW w:w="4253" w:type="dxa"/>
            <w:tcBorders>
              <w:top w:val="nil"/>
              <w:left w:val="nil"/>
              <w:bottom w:val="single" w:sz="4" w:space="0" w:color="auto"/>
              <w:right w:val="single" w:sz="4" w:space="0" w:color="auto"/>
            </w:tcBorders>
            <w:vAlign w:val="center"/>
            <w:hideMark/>
          </w:tcPr>
          <w:p w14:paraId="107C783B" w14:textId="77777777" w:rsidR="00105B6F" w:rsidRPr="005545C3" w:rsidRDefault="00105B6F" w:rsidP="00BA499D">
            <w:pPr>
              <w:rPr>
                <w:color w:val="1A1A1A"/>
                <w:sz w:val="18"/>
                <w:szCs w:val="18"/>
                <w:lang w:eastAsia="hr-HR"/>
              </w:rPr>
            </w:pPr>
            <w:r w:rsidRPr="005545C3">
              <w:rPr>
                <w:color w:val="1A1A1A"/>
                <w:sz w:val="18"/>
                <w:szCs w:val="18"/>
                <w:lang w:eastAsia="hr-HR"/>
              </w:rPr>
              <w:t>Nadzor dobre proizvođačke prakse i farmakovigilancijski nadzor (po danu i po inspektoru)</w:t>
            </w:r>
          </w:p>
        </w:tc>
        <w:tc>
          <w:tcPr>
            <w:tcW w:w="1446" w:type="dxa"/>
            <w:tcBorders>
              <w:top w:val="nil"/>
              <w:left w:val="nil"/>
              <w:bottom w:val="single" w:sz="4" w:space="0" w:color="auto"/>
              <w:right w:val="single" w:sz="4" w:space="0" w:color="auto"/>
            </w:tcBorders>
            <w:noWrap/>
            <w:vAlign w:val="center"/>
          </w:tcPr>
          <w:p w14:paraId="121D302D" w14:textId="77777777" w:rsidR="00105B6F" w:rsidRPr="005E2601" w:rsidRDefault="00105B6F" w:rsidP="00BA499D">
            <w:pPr>
              <w:jc w:val="center"/>
              <w:rPr>
                <w:sz w:val="18"/>
              </w:rPr>
            </w:pPr>
            <w:r w:rsidRPr="00632837">
              <w:rPr>
                <w:bCs/>
                <w:sz w:val="20"/>
                <w:szCs w:val="20"/>
              </w:rPr>
              <w:t>106</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CDDF6E" w14:textId="77777777" w:rsidR="00105B6F" w:rsidRPr="00B30CC6" w:rsidRDefault="00105B6F" w:rsidP="00BA499D">
            <w:pPr>
              <w:jc w:val="center"/>
              <w:rPr>
                <w:sz w:val="18"/>
              </w:rPr>
            </w:pPr>
            <w:r w:rsidRPr="00D17B03">
              <w:rPr>
                <w:bCs/>
                <w:sz w:val="20"/>
                <w:szCs w:val="20"/>
              </w:rPr>
              <w:t>118</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9013176" w14:textId="77777777" w:rsidR="00105B6F" w:rsidRPr="00B30CC6" w:rsidRDefault="00105B6F" w:rsidP="00BA499D">
            <w:pPr>
              <w:jc w:val="center"/>
              <w:rPr>
                <w:sz w:val="18"/>
              </w:rPr>
            </w:pPr>
            <w:r w:rsidRPr="00B30CC6">
              <w:rPr>
                <w:sz w:val="20"/>
                <w:szCs w:val="20"/>
              </w:rPr>
              <w:t>111%</w:t>
            </w:r>
          </w:p>
        </w:tc>
      </w:tr>
      <w:tr w:rsidR="00105B6F" w:rsidRPr="00316A50" w14:paraId="0A5AEC87" w14:textId="77777777" w:rsidTr="00BA499D">
        <w:trPr>
          <w:trHeight w:val="142"/>
        </w:trPr>
        <w:tc>
          <w:tcPr>
            <w:tcW w:w="575" w:type="dxa"/>
            <w:tcBorders>
              <w:top w:val="nil"/>
              <w:left w:val="single" w:sz="4" w:space="0" w:color="auto"/>
              <w:bottom w:val="single" w:sz="4" w:space="0" w:color="auto"/>
              <w:right w:val="single" w:sz="4" w:space="0" w:color="auto"/>
            </w:tcBorders>
            <w:vAlign w:val="center"/>
          </w:tcPr>
          <w:p w14:paraId="61FE763B" w14:textId="77777777" w:rsidR="00105B6F" w:rsidRPr="005545C3" w:rsidRDefault="00105B6F" w:rsidP="00BA499D">
            <w:pPr>
              <w:jc w:val="center"/>
              <w:rPr>
                <w:color w:val="1A1A1A"/>
                <w:sz w:val="18"/>
                <w:szCs w:val="18"/>
                <w:lang w:eastAsia="hr-HR"/>
              </w:rPr>
            </w:pPr>
            <w:r w:rsidRPr="005545C3">
              <w:rPr>
                <w:color w:val="1A1A1A"/>
                <w:sz w:val="18"/>
                <w:szCs w:val="18"/>
                <w:lang w:eastAsia="hr-HR"/>
              </w:rPr>
              <w:t>10.</w:t>
            </w:r>
          </w:p>
        </w:tc>
        <w:tc>
          <w:tcPr>
            <w:tcW w:w="4253" w:type="dxa"/>
            <w:tcBorders>
              <w:top w:val="nil"/>
              <w:left w:val="nil"/>
              <w:bottom w:val="single" w:sz="4" w:space="0" w:color="auto"/>
              <w:right w:val="single" w:sz="4" w:space="0" w:color="auto"/>
            </w:tcBorders>
            <w:vAlign w:val="center"/>
            <w:hideMark/>
          </w:tcPr>
          <w:p w14:paraId="7A0AA526" w14:textId="77777777" w:rsidR="00105B6F" w:rsidRPr="005545C3" w:rsidRDefault="00105B6F" w:rsidP="00BA499D">
            <w:pPr>
              <w:rPr>
                <w:color w:val="1A1A1A"/>
                <w:sz w:val="18"/>
                <w:szCs w:val="18"/>
                <w:lang w:eastAsia="hr-HR"/>
              </w:rPr>
            </w:pPr>
            <w:r w:rsidRPr="005545C3">
              <w:rPr>
                <w:color w:val="1A1A1A"/>
                <w:sz w:val="18"/>
                <w:szCs w:val="18"/>
                <w:lang w:eastAsia="hr-HR"/>
              </w:rPr>
              <w:t>Davanje/uskraćivanja dozvole za promet na veliko lijekovima</w:t>
            </w:r>
          </w:p>
        </w:tc>
        <w:tc>
          <w:tcPr>
            <w:tcW w:w="1446" w:type="dxa"/>
            <w:tcBorders>
              <w:top w:val="nil"/>
              <w:left w:val="nil"/>
              <w:bottom w:val="single" w:sz="4" w:space="0" w:color="auto"/>
              <w:right w:val="single" w:sz="4" w:space="0" w:color="auto"/>
            </w:tcBorders>
            <w:noWrap/>
            <w:vAlign w:val="center"/>
          </w:tcPr>
          <w:p w14:paraId="056E9C58" w14:textId="77777777" w:rsidR="00105B6F" w:rsidRPr="005E2601" w:rsidRDefault="00105B6F" w:rsidP="00BA499D">
            <w:pPr>
              <w:jc w:val="center"/>
              <w:rPr>
                <w:sz w:val="18"/>
              </w:rPr>
            </w:pPr>
            <w:r w:rsidRPr="00632837">
              <w:rPr>
                <w:bCs/>
                <w:sz w:val="20"/>
                <w:szCs w:val="20"/>
              </w:rPr>
              <w:t>7</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70810E" w14:textId="77777777" w:rsidR="00105B6F" w:rsidRPr="00B30CC6" w:rsidRDefault="00105B6F" w:rsidP="00BA499D">
            <w:pPr>
              <w:jc w:val="center"/>
              <w:rPr>
                <w:sz w:val="18"/>
              </w:rPr>
            </w:pPr>
            <w:r w:rsidRPr="00D17B03">
              <w:rPr>
                <w:bCs/>
                <w:sz w:val="20"/>
                <w:szCs w:val="20"/>
              </w:rPr>
              <w:t>1</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A13F2EB" w14:textId="77777777" w:rsidR="00105B6F" w:rsidRPr="00B30CC6" w:rsidRDefault="00105B6F" w:rsidP="00BA499D">
            <w:pPr>
              <w:jc w:val="center"/>
              <w:rPr>
                <w:sz w:val="18"/>
              </w:rPr>
            </w:pPr>
            <w:r w:rsidRPr="00B30CC6">
              <w:rPr>
                <w:sz w:val="20"/>
                <w:szCs w:val="20"/>
              </w:rPr>
              <w:t>14%</w:t>
            </w:r>
          </w:p>
        </w:tc>
      </w:tr>
      <w:tr w:rsidR="00105B6F" w:rsidRPr="00316A50" w14:paraId="301B95B4" w14:textId="77777777" w:rsidTr="00BA499D">
        <w:trPr>
          <w:trHeight w:val="142"/>
        </w:trPr>
        <w:tc>
          <w:tcPr>
            <w:tcW w:w="9195" w:type="dxa"/>
            <w:gridSpan w:val="5"/>
            <w:tcBorders>
              <w:top w:val="nil"/>
              <w:left w:val="single" w:sz="4" w:space="0" w:color="auto"/>
              <w:bottom w:val="single" w:sz="4" w:space="0" w:color="auto"/>
              <w:right w:val="single" w:sz="4" w:space="0" w:color="auto"/>
            </w:tcBorders>
            <w:vAlign w:val="center"/>
          </w:tcPr>
          <w:p w14:paraId="5D30B1A3" w14:textId="77777777" w:rsidR="00105B6F" w:rsidRPr="00475A8D" w:rsidRDefault="00105B6F" w:rsidP="00BA499D">
            <w:pPr>
              <w:jc w:val="center"/>
              <w:rPr>
                <w:rFonts w:cstheme="minorHAnsi"/>
                <w:sz w:val="18"/>
                <w:szCs w:val="18"/>
              </w:rPr>
            </w:pPr>
            <w:r w:rsidRPr="00475A8D">
              <w:rPr>
                <w:sz w:val="18"/>
                <w:szCs w:val="18"/>
                <w:lang w:eastAsia="hr-HR"/>
              </w:rPr>
              <w:t>Izmjena dozvole za promet na veliko lijekovima</w:t>
            </w:r>
          </w:p>
        </w:tc>
      </w:tr>
      <w:tr w:rsidR="00105B6F" w:rsidRPr="00316A50" w14:paraId="6DDE6102" w14:textId="77777777" w:rsidTr="00BA499D">
        <w:trPr>
          <w:trHeight w:val="142"/>
        </w:trPr>
        <w:tc>
          <w:tcPr>
            <w:tcW w:w="575" w:type="dxa"/>
            <w:tcBorders>
              <w:top w:val="nil"/>
              <w:left w:val="single" w:sz="4" w:space="0" w:color="auto"/>
              <w:bottom w:val="single" w:sz="4" w:space="0" w:color="auto"/>
              <w:right w:val="single" w:sz="4" w:space="0" w:color="auto"/>
            </w:tcBorders>
            <w:vAlign w:val="center"/>
          </w:tcPr>
          <w:p w14:paraId="2D4AEBEA" w14:textId="77777777" w:rsidR="00105B6F" w:rsidRPr="005545C3" w:rsidRDefault="00105B6F" w:rsidP="00BA499D">
            <w:pPr>
              <w:jc w:val="center"/>
              <w:rPr>
                <w:color w:val="1A1A1A"/>
                <w:sz w:val="18"/>
                <w:szCs w:val="18"/>
                <w:lang w:eastAsia="hr-HR"/>
              </w:rPr>
            </w:pPr>
            <w:r>
              <w:rPr>
                <w:color w:val="1A1A1A"/>
                <w:sz w:val="18"/>
                <w:szCs w:val="18"/>
                <w:lang w:eastAsia="hr-HR"/>
              </w:rPr>
              <w:t>11.</w:t>
            </w:r>
          </w:p>
        </w:tc>
        <w:tc>
          <w:tcPr>
            <w:tcW w:w="4253" w:type="dxa"/>
            <w:tcBorders>
              <w:top w:val="nil"/>
              <w:left w:val="nil"/>
              <w:bottom w:val="single" w:sz="4" w:space="0" w:color="auto"/>
              <w:right w:val="single" w:sz="4" w:space="0" w:color="auto"/>
            </w:tcBorders>
            <w:vAlign w:val="center"/>
            <w:hideMark/>
          </w:tcPr>
          <w:p w14:paraId="2E493B76" w14:textId="77777777" w:rsidR="00105B6F" w:rsidRPr="005545C3" w:rsidRDefault="00105B6F" w:rsidP="00BA499D">
            <w:pPr>
              <w:rPr>
                <w:color w:val="1A1A1A"/>
                <w:sz w:val="18"/>
                <w:szCs w:val="18"/>
                <w:lang w:eastAsia="hr-HR"/>
              </w:rPr>
            </w:pPr>
            <w:r w:rsidRPr="005545C3">
              <w:rPr>
                <w:color w:val="1A1A1A"/>
                <w:sz w:val="18"/>
                <w:szCs w:val="18"/>
                <w:lang w:eastAsia="hr-HR"/>
              </w:rPr>
              <w:t>- administrativno rješavanje izmjene</w:t>
            </w:r>
          </w:p>
        </w:tc>
        <w:tc>
          <w:tcPr>
            <w:tcW w:w="1446" w:type="dxa"/>
            <w:tcBorders>
              <w:top w:val="nil"/>
              <w:left w:val="nil"/>
              <w:bottom w:val="single" w:sz="4" w:space="0" w:color="auto"/>
              <w:right w:val="single" w:sz="4" w:space="0" w:color="auto"/>
            </w:tcBorders>
            <w:noWrap/>
            <w:vAlign w:val="center"/>
          </w:tcPr>
          <w:p w14:paraId="4A7AF456" w14:textId="77777777" w:rsidR="00105B6F" w:rsidRPr="005E2601" w:rsidRDefault="00105B6F" w:rsidP="00BA499D">
            <w:pPr>
              <w:jc w:val="center"/>
              <w:rPr>
                <w:sz w:val="18"/>
              </w:rPr>
            </w:pPr>
            <w:r w:rsidRPr="00632837">
              <w:rPr>
                <w:bCs/>
                <w:sz w:val="20"/>
                <w:szCs w:val="20"/>
              </w:rPr>
              <w:t>6</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FC523E" w14:textId="77777777" w:rsidR="00105B6F" w:rsidRPr="00B30CC6" w:rsidRDefault="00105B6F" w:rsidP="00BA499D">
            <w:pPr>
              <w:jc w:val="center"/>
              <w:rPr>
                <w:sz w:val="18"/>
              </w:rPr>
            </w:pPr>
            <w:r w:rsidRPr="00D17B03">
              <w:rPr>
                <w:bCs/>
                <w:sz w:val="20"/>
                <w:szCs w:val="20"/>
              </w:rPr>
              <w:t>15</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FEC0DE9" w14:textId="77777777" w:rsidR="00105B6F" w:rsidRPr="00B30CC6" w:rsidRDefault="00105B6F" w:rsidP="00BA499D">
            <w:pPr>
              <w:jc w:val="center"/>
              <w:rPr>
                <w:sz w:val="18"/>
              </w:rPr>
            </w:pPr>
            <w:r w:rsidRPr="00B30CC6">
              <w:rPr>
                <w:sz w:val="20"/>
                <w:szCs w:val="20"/>
              </w:rPr>
              <w:t>250%</w:t>
            </w:r>
          </w:p>
        </w:tc>
      </w:tr>
      <w:tr w:rsidR="00105B6F" w:rsidRPr="00316A50" w14:paraId="08627D67" w14:textId="77777777" w:rsidTr="00BA499D">
        <w:trPr>
          <w:trHeight w:val="142"/>
        </w:trPr>
        <w:tc>
          <w:tcPr>
            <w:tcW w:w="575" w:type="dxa"/>
            <w:tcBorders>
              <w:top w:val="nil"/>
              <w:left w:val="single" w:sz="4" w:space="0" w:color="auto"/>
              <w:bottom w:val="single" w:sz="4" w:space="0" w:color="auto"/>
              <w:right w:val="single" w:sz="4" w:space="0" w:color="auto"/>
            </w:tcBorders>
            <w:vAlign w:val="center"/>
          </w:tcPr>
          <w:p w14:paraId="073C80DE" w14:textId="77777777" w:rsidR="00105B6F" w:rsidRPr="005545C3" w:rsidRDefault="00105B6F" w:rsidP="00BA499D">
            <w:pPr>
              <w:jc w:val="center"/>
              <w:rPr>
                <w:color w:val="1A1A1A"/>
                <w:sz w:val="18"/>
                <w:szCs w:val="18"/>
                <w:lang w:eastAsia="hr-HR"/>
              </w:rPr>
            </w:pPr>
            <w:r>
              <w:rPr>
                <w:color w:val="1A1A1A"/>
                <w:sz w:val="18"/>
                <w:szCs w:val="18"/>
                <w:lang w:eastAsia="hr-HR"/>
              </w:rPr>
              <w:t>12</w:t>
            </w:r>
            <w:r w:rsidRPr="005545C3">
              <w:rPr>
                <w:color w:val="1A1A1A"/>
                <w:sz w:val="18"/>
                <w:szCs w:val="18"/>
                <w:lang w:eastAsia="hr-HR"/>
              </w:rPr>
              <w:t>.</w:t>
            </w:r>
          </w:p>
        </w:tc>
        <w:tc>
          <w:tcPr>
            <w:tcW w:w="4253" w:type="dxa"/>
            <w:tcBorders>
              <w:top w:val="nil"/>
              <w:left w:val="nil"/>
              <w:bottom w:val="single" w:sz="4" w:space="0" w:color="auto"/>
              <w:right w:val="single" w:sz="4" w:space="0" w:color="auto"/>
            </w:tcBorders>
            <w:vAlign w:val="center"/>
            <w:hideMark/>
          </w:tcPr>
          <w:p w14:paraId="372870EF" w14:textId="77777777" w:rsidR="00105B6F" w:rsidRPr="005545C3" w:rsidRDefault="00105B6F" w:rsidP="00BA499D">
            <w:pPr>
              <w:rPr>
                <w:color w:val="1A1A1A"/>
                <w:sz w:val="18"/>
                <w:szCs w:val="18"/>
                <w:lang w:eastAsia="hr-HR"/>
              </w:rPr>
            </w:pPr>
            <w:r w:rsidRPr="005545C3">
              <w:rPr>
                <w:color w:val="1A1A1A"/>
                <w:sz w:val="18"/>
                <w:szCs w:val="18"/>
                <w:lang w:eastAsia="hr-HR"/>
              </w:rPr>
              <w:t>- ako se obavlja očevid</w:t>
            </w:r>
          </w:p>
        </w:tc>
        <w:tc>
          <w:tcPr>
            <w:tcW w:w="1446" w:type="dxa"/>
            <w:tcBorders>
              <w:top w:val="nil"/>
              <w:left w:val="nil"/>
              <w:bottom w:val="single" w:sz="4" w:space="0" w:color="auto"/>
              <w:right w:val="single" w:sz="4" w:space="0" w:color="auto"/>
            </w:tcBorders>
            <w:noWrap/>
            <w:vAlign w:val="center"/>
          </w:tcPr>
          <w:p w14:paraId="258141B7" w14:textId="77777777" w:rsidR="00105B6F" w:rsidRPr="005E2601" w:rsidRDefault="00105B6F" w:rsidP="00BA499D">
            <w:pPr>
              <w:jc w:val="center"/>
              <w:rPr>
                <w:sz w:val="18"/>
              </w:rPr>
            </w:pPr>
            <w:r w:rsidRPr="00632837">
              <w:rPr>
                <w:bCs/>
                <w:sz w:val="20"/>
                <w:szCs w:val="20"/>
              </w:rPr>
              <w:t>7</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C2C87E" w14:textId="77777777" w:rsidR="00105B6F" w:rsidRPr="00B30CC6" w:rsidRDefault="00105B6F" w:rsidP="00BA499D">
            <w:pPr>
              <w:jc w:val="center"/>
              <w:rPr>
                <w:sz w:val="18"/>
              </w:rPr>
            </w:pPr>
            <w:r w:rsidRPr="00D17B03">
              <w:rPr>
                <w:bCs/>
                <w:sz w:val="20"/>
                <w:szCs w:val="20"/>
              </w:rPr>
              <w:t>10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D9280C2" w14:textId="77777777" w:rsidR="00105B6F" w:rsidRPr="00B30CC6" w:rsidRDefault="00105B6F" w:rsidP="00BA499D">
            <w:pPr>
              <w:jc w:val="center"/>
              <w:rPr>
                <w:sz w:val="18"/>
              </w:rPr>
            </w:pPr>
            <w:r w:rsidRPr="00B30CC6">
              <w:rPr>
                <w:sz w:val="20"/>
                <w:szCs w:val="20"/>
              </w:rPr>
              <w:t>143%</w:t>
            </w:r>
          </w:p>
        </w:tc>
      </w:tr>
      <w:tr w:rsidR="00105B6F" w:rsidRPr="00316A50" w14:paraId="66018F5F" w14:textId="77777777" w:rsidTr="00BA499D">
        <w:trPr>
          <w:trHeight w:val="142"/>
        </w:trPr>
        <w:tc>
          <w:tcPr>
            <w:tcW w:w="575" w:type="dxa"/>
            <w:tcBorders>
              <w:top w:val="nil"/>
              <w:left w:val="single" w:sz="4" w:space="0" w:color="auto"/>
              <w:bottom w:val="single" w:sz="4" w:space="0" w:color="auto"/>
              <w:right w:val="single" w:sz="4" w:space="0" w:color="auto"/>
            </w:tcBorders>
            <w:vAlign w:val="center"/>
          </w:tcPr>
          <w:p w14:paraId="4571939C" w14:textId="77777777" w:rsidR="00105B6F" w:rsidRPr="005545C3" w:rsidRDefault="00105B6F" w:rsidP="00BA499D">
            <w:pPr>
              <w:jc w:val="center"/>
              <w:rPr>
                <w:color w:val="1A1A1A"/>
                <w:sz w:val="18"/>
                <w:szCs w:val="18"/>
                <w:lang w:eastAsia="hr-HR"/>
              </w:rPr>
            </w:pPr>
            <w:r>
              <w:rPr>
                <w:color w:val="1A1A1A"/>
                <w:sz w:val="18"/>
                <w:szCs w:val="18"/>
                <w:lang w:eastAsia="hr-HR"/>
              </w:rPr>
              <w:t>13</w:t>
            </w:r>
            <w:r w:rsidRPr="005545C3">
              <w:rPr>
                <w:color w:val="1A1A1A"/>
                <w:sz w:val="18"/>
                <w:szCs w:val="18"/>
                <w:lang w:eastAsia="hr-HR"/>
              </w:rPr>
              <w:t>.</w:t>
            </w:r>
          </w:p>
        </w:tc>
        <w:tc>
          <w:tcPr>
            <w:tcW w:w="4253" w:type="dxa"/>
            <w:tcBorders>
              <w:top w:val="nil"/>
              <w:left w:val="nil"/>
              <w:bottom w:val="single" w:sz="4" w:space="0" w:color="auto"/>
              <w:right w:val="single" w:sz="4" w:space="0" w:color="auto"/>
            </w:tcBorders>
            <w:vAlign w:val="center"/>
            <w:hideMark/>
          </w:tcPr>
          <w:p w14:paraId="3138B48B" w14:textId="77777777" w:rsidR="00105B6F" w:rsidRPr="005545C3" w:rsidRDefault="00105B6F" w:rsidP="00BA499D">
            <w:pPr>
              <w:rPr>
                <w:color w:val="1A1A1A"/>
                <w:sz w:val="18"/>
                <w:szCs w:val="18"/>
                <w:lang w:eastAsia="hr-HR"/>
              </w:rPr>
            </w:pPr>
            <w:r w:rsidRPr="005545C3">
              <w:rPr>
                <w:color w:val="1A1A1A"/>
                <w:sz w:val="18"/>
                <w:szCs w:val="18"/>
                <w:lang w:eastAsia="hr-HR"/>
              </w:rPr>
              <w:t>Oduzimanje dozvole za promet na veliko lijekovima</w:t>
            </w:r>
          </w:p>
        </w:tc>
        <w:tc>
          <w:tcPr>
            <w:tcW w:w="1446" w:type="dxa"/>
            <w:tcBorders>
              <w:top w:val="nil"/>
              <w:left w:val="nil"/>
              <w:bottom w:val="single" w:sz="4" w:space="0" w:color="auto"/>
              <w:right w:val="single" w:sz="4" w:space="0" w:color="auto"/>
            </w:tcBorders>
            <w:noWrap/>
            <w:vAlign w:val="center"/>
          </w:tcPr>
          <w:p w14:paraId="67730F69" w14:textId="77777777" w:rsidR="00105B6F" w:rsidRPr="005E2601" w:rsidRDefault="00105B6F" w:rsidP="00BA499D">
            <w:pPr>
              <w:jc w:val="center"/>
              <w:rPr>
                <w:sz w:val="18"/>
              </w:rPr>
            </w:pPr>
            <w:r w:rsidRPr="00632837">
              <w:rPr>
                <w:bCs/>
                <w:sz w:val="20"/>
                <w:szCs w:val="20"/>
              </w:rPr>
              <w:t>3</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2323F5" w14:textId="77777777" w:rsidR="00105B6F" w:rsidRPr="00B30CC6" w:rsidRDefault="00105B6F" w:rsidP="00BA499D">
            <w:pPr>
              <w:jc w:val="center"/>
              <w:rPr>
                <w:sz w:val="18"/>
              </w:rPr>
            </w:pPr>
            <w:r w:rsidRPr="00D17B03">
              <w:rPr>
                <w:bCs/>
                <w:sz w:val="20"/>
                <w:szCs w:val="20"/>
              </w:rPr>
              <w:t>8</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3274EAA" w14:textId="77777777" w:rsidR="00105B6F" w:rsidRPr="00B30CC6" w:rsidRDefault="00105B6F" w:rsidP="00BA499D">
            <w:pPr>
              <w:jc w:val="center"/>
              <w:rPr>
                <w:sz w:val="18"/>
              </w:rPr>
            </w:pPr>
            <w:r w:rsidRPr="00B30CC6">
              <w:rPr>
                <w:sz w:val="20"/>
                <w:szCs w:val="20"/>
              </w:rPr>
              <w:t>267%</w:t>
            </w:r>
          </w:p>
        </w:tc>
      </w:tr>
      <w:tr w:rsidR="00105B6F" w:rsidRPr="00316A50" w14:paraId="3DE73221" w14:textId="77777777" w:rsidTr="00BA499D">
        <w:trPr>
          <w:trHeight w:val="635"/>
        </w:trPr>
        <w:tc>
          <w:tcPr>
            <w:tcW w:w="575" w:type="dxa"/>
            <w:tcBorders>
              <w:top w:val="nil"/>
              <w:left w:val="single" w:sz="4" w:space="0" w:color="auto"/>
              <w:bottom w:val="single" w:sz="4" w:space="0" w:color="auto"/>
              <w:right w:val="single" w:sz="4" w:space="0" w:color="auto"/>
            </w:tcBorders>
            <w:vAlign w:val="center"/>
          </w:tcPr>
          <w:p w14:paraId="64E61184" w14:textId="77777777" w:rsidR="00105B6F" w:rsidRPr="005545C3" w:rsidRDefault="00105B6F" w:rsidP="00BA499D">
            <w:pPr>
              <w:jc w:val="center"/>
              <w:rPr>
                <w:color w:val="1A1A1A"/>
                <w:sz w:val="18"/>
                <w:szCs w:val="18"/>
                <w:lang w:eastAsia="hr-HR"/>
              </w:rPr>
            </w:pPr>
            <w:r>
              <w:rPr>
                <w:color w:val="1A1A1A"/>
                <w:sz w:val="18"/>
                <w:szCs w:val="18"/>
                <w:lang w:eastAsia="hr-HR"/>
              </w:rPr>
              <w:t>14.</w:t>
            </w:r>
          </w:p>
        </w:tc>
        <w:tc>
          <w:tcPr>
            <w:tcW w:w="4253" w:type="dxa"/>
            <w:tcBorders>
              <w:top w:val="nil"/>
              <w:left w:val="nil"/>
              <w:bottom w:val="single" w:sz="4" w:space="0" w:color="auto"/>
              <w:right w:val="single" w:sz="4" w:space="0" w:color="auto"/>
            </w:tcBorders>
            <w:vAlign w:val="center"/>
            <w:hideMark/>
          </w:tcPr>
          <w:p w14:paraId="693AE545" w14:textId="77777777" w:rsidR="00105B6F" w:rsidRPr="005545C3" w:rsidRDefault="00105B6F" w:rsidP="00BA499D">
            <w:pPr>
              <w:rPr>
                <w:color w:val="1A1A1A"/>
                <w:sz w:val="18"/>
                <w:szCs w:val="18"/>
                <w:lang w:eastAsia="hr-HR"/>
              </w:rPr>
            </w:pPr>
            <w:r w:rsidRPr="005545C3">
              <w:rPr>
                <w:color w:val="1A1A1A"/>
                <w:sz w:val="18"/>
                <w:szCs w:val="18"/>
                <w:lang w:eastAsia="hr-HR"/>
              </w:rPr>
              <w:t>Davanje/uskraćivanje dozvole za promet na malo lijekovima (specijaliziranim prodavaonicama)</w:t>
            </w:r>
          </w:p>
        </w:tc>
        <w:tc>
          <w:tcPr>
            <w:tcW w:w="1446" w:type="dxa"/>
            <w:tcBorders>
              <w:top w:val="nil"/>
              <w:left w:val="nil"/>
              <w:bottom w:val="single" w:sz="4" w:space="0" w:color="auto"/>
              <w:right w:val="single" w:sz="4" w:space="0" w:color="auto"/>
            </w:tcBorders>
            <w:noWrap/>
            <w:vAlign w:val="center"/>
          </w:tcPr>
          <w:p w14:paraId="137A6CA0" w14:textId="77777777" w:rsidR="00105B6F" w:rsidRPr="005E2601" w:rsidRDefault="00105B6F" w:rsidP="00BA499D">
            <w:pPr>
              <w:jc w:val="center"/>
              <w:rPr>
                <w:sz w:val="18"/>
              </w:rPr>
            </w:pPr>
            <w:r w:rsidRPr="00632837">
              <w:rPr>
                <w:bCs/>
                <w:sz w:val="20"/>
                <w:szCs w:val="20"/>
              </w:rPr>
              <w:t>13</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A5E075" w14:textId="77777777" w:rsidR="00105B6F" w:rsidRPr="00B30CC6" w:rsidRDefault="00105B6F" w:rsidP="00BA499D">
            <w:pPr>
              <w:jc w:val="center"/>
              <w:rPr>
                <w:sz w:val="18"/>
              </w:rPr>
            </w:pPr>
            <w:r w:rsidRPr="00D17B03">
              <w:rPr>
                <w:bCs/>
                <w:sz w:val="20"/>
                <w:szCs w:val="20"/>
              </w:rPr>
              <w:t>21</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8A0DA66" w14:textId="77777777" w:rsidR="00105B6F" w:rsidRPr="00B30CC6" w:rsidRDefault="00105B6F" w:rsidP="00BA499D">
            <w:pPr>
              <w:jc w:val="center"/>
              <w:rPr>
                <w:sz w:val="18"/>
              </w:rPr>
            </w:pPr>
            <w:r w:rsidRPr="00B30CC6">
              <w:rPr>
                <w:sz w:val="20"/>
                <w:szCs w:val="20"/>
              </w:rPr>
              <w:t>162%</w:t>
            </w:r>
          </w:p>
        </w:tc>
      </w:tr>
      <w:tr w:rsidR="00105B6F" w:rsidRPr="00316A50" w14:paraId="2A5E5869" w14:textId="77777777" w:rsidTr="00BA499D">
        <w:trPr>
          <w:trHeight w:val="142"/>
        </w:trPr>
        <w:tc>
          <w:tcPr>
            <w:tcW w:w="9195" w:type="dxa"/>
            <w:gridSpan w:val="5"/>
            <w:tcBorders>
              <w:top w:val="nil"/>
              <w:left w:val="single" w:sz="4" w:space="0" w:color="auto"/>
              <w:bottom w:val="single" w:sz="4" w:space="0" w:color="auto"/>
              <w:right w:val="single" w:sz="4" w:space="0" w:color="auto"/>
            </w:tcBorders>
            <w:vAlign w:val="center"/>
          </w:tcPr>
          <w:p w14:paraId="697AE2DE" w14:textId="77777777" w:rsidR="00105B6F" w:rsidRPr="00475A8D" w:rsidRDefault="00105B6F" w:rsidP="00BA499D">
            <w:pPr>
              <w:jc w:val="center"/>
              <w:rPr>
                <w:rFonts w:cstheme="minorHAnsi"/>
                <w:sz w:val="18"/>
                <w:szCs w:val="18"/>
              </w:rPr>
            </w:pPr>
            <w:r w:rsidRPr="00475A8D">
              <w:rPr>
                <w:sz w:val="18"/>
                <w:szCs w:val="18"/>
                <w:lang w:eastAsia="hr-HR"/>
              </w:rPr>
              <w:t>Izmjena dozvole za promet na malo lijekovima (specijaliziranim prodavaonicama)</w:t>
            </w:r>
          </w:p>
        </w:tc>
      </w:tr>
      <w:tr w:rsidR="00105B6F" w:rsidRPr="00316A50" w14:paraId="0A7A2787" w14:textId="77777777" w:rsidTr="00BA499D">
        <w:trPr>
          <w:trHeight w:val="360"/>
        </w:trPr>
        <w:tc>
          <w:tcPr>
            <w:tcW w:w="575" w:type="dxa"/>
            <w:tcBorders>
              <w:top w:val="nil"/>
              <w:left w:val="single" w:sz="4" w:space="0" w:color="auto"/>
              <w:bottom w:val="single" w:sz="4" w:space="0" w:color="auto"/>
              <w:right w:val="single" w:sz="4" w:space="0" w:color="auto"/>
            </w:tcBorders>
            <w:vAlign w:val="center"/>
          </w:tcPr>
          <w:p w14:paraId="00726DFE" w14:textId="77777777" w:rsidR="00105B6F" w:rsidRPr="005545C3" w:rsidRDefault="00105B6F" w:rsidP="00BA499D">
            <w:pPr>
              <w:jc w:val="center"/>
              <w:rPr>
                <w:color w:val="1A1A1A"/>
                <w:sz w:val="18"/>
                <w:szCs w:val="18"/>
                <w:lang w:eastAsia="hr-HR"/>
              </w:rPr>
            </w:pPr>
            <w:r>
              <w:rPr>
                <w:color w:val="1A1A1A"/>
                <w:sz w:val="18"/>
                <w:szCs w:val="18"/>
                <w:lang w:eastAsia="hr-HR"/>
              </w:rPr>
              <w:t>15.</w:t>
            </w:r>
          </w:p>
        </w:tc>
        <w:tc>
          <w:tcPr>
            <w:tcW w:w="4253" w:type="dxa"/>
            <w:tcBorders>
              <w:top w:val="nil"/>
              <w:left w:val="nil"/>
              <w:bottom w:val="single" w:sz="4" w:space="0" w:color="auto"/>
              <w:right w:val="single" w:sz="4" w:space="0" w:color="auto"/>
            </w:tcBorders>
            <w:vAlign w:val="center"/>
            <w:hideMark/>
          </w:tcPr>
          <w:p w14:paraId="40F26571" w14:textId="77777777" w:rsidR="00105B6F" w:rsidRPr="005545C3" w:rsidRDefault="00105B6F" w:rsidP="00BA499D">
            <w:pPr>
              <w:rPr>
                <w:color w:val="1A1A1A"/>
                <w:sz w:val="18"/>
                <w:szCs w:val="18"/>
                <w:lang w:eastAsia="hr-HR"/>
              </w:rPr>
            </w:pPr>
            <w:r w:rsidRPr="005545C3">
              <w:rPr>
                <w:color w:val="1A1A1A"/>
                <w:sz w:val="18"/>
                <w:szCs w:val="18"/>
                <w:lang w:eastAsia="hr-HR"/>
              </w:rPr>
              <w:t>- administrativno rješavanje izmjene</w:t>
            </w:r>
          </w:p>
        </w:tc>
        <w:tc>
          <w:tcPr>
            <w:tcW w:w="1446" w:type="dxa"/>
            <w:tcBorders>
              <w:top w:val="nil"/>
              <w:left w:val="nil"/>
              <w:bottom w:val="single" w:sz="4" w:space="0" w:color="auto"/>
              <w:right w:val="single" w:sz="4" w:space="0" w:color="auto"/>
            </w:tcBorders>
            <w:noWrap/>
            <w:vAlign w:val="center"/>
          </w:tcPr>
          <w:p w14:paraId="2E2A746C" w14:textId="77777777" w:rsidR="00105B6F" w:rsidRPr="005E2601" w:rsidRDefault="00105B6F" w:rsidP="00BA499D">
            <w:pPr>
              <w:jc w:val="center"/>
              <w:rPr>
                <w:sz w:val="18"/>
              </w:rPr>
            </w:pPr>
            <w:r w:rsidRPr="00632837">
              <w:rPr>
                <w:bCs/>
                <w:sz w:val="20"/>
                <w:szCs w:val="20"/>
              </w:rPr>
              <w:t>41</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C12668" w14:textId="77777777" w:rsidR="00105B6F" w:rsidRPr="00B30CC6" w:rsidRDefault="00105B6F" w:rsidP="00BA499D">
            <w:pPr>
              <w:jc w:val="center"/>
              <w:rPr>
                <w:sz w:val="18"/>
              </w:rPr>
            </w:pPr>
            <w:r w:rsidRPr="00D17B03">
              <w:rPr>
                <w:bCs/>
                <w:sz w:val="20"/>
                <w:szCs w:val="20"/>
              </w:rPr>
              <w:t>68</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5EB2F15" w14:textId="77777777" w:rsidR="00105B6F" w:rsidRPr="00B30CC6" w:rsidRDefault="00105B6F" w:rsidP="00BA499D">
            <w:pPr>
              <w:jc w:val="center"/>
              <w:rPr>
                <w:sz w:val="18"/>
              </w:rPr>
            </w:pPr>
            <w:r w:rsidRPr="00B30CC6">
              <w:rPr>
                <w:sz w:val="20"/>
                <w:szCs w:val="20"/>
              </w:rPr>
              <w:t>166%</w:t>
            </w:r>
          </w:p>
        </w:tc>
      </w:tr>
      <w:tr w:rsidR="00105B6F" w:rsidRPr="00316A50" w14:paraId="32DF415E" w14:textId="77777777" w:rsidTr="00BA499D">
        <w:trPr>
          <w:trHeight w:val="142"/>
        </w:trPr>
        <w:tc>
          <w:tcPr>
            <w:tcW w:w="575" w:type="dxa"/>
            <w:tcBorders>
              <w:top w:val="nil"/>
              <w:left w:val="single" w:sz="4" w:space="0" w:color="auto"/>
              <w:bottom w:val="single" w:sz="4" w:space="0" w:color="auto"/>
              <w:right w:val="single" w:sz="4" w:space="0" w:color="auto"/>
            </w:tcBorders>
            <w:vAlign w:val="center"/>
          </w:tcPr>
          <w:p w14:paraId="0B4B12EE" w14:textId="77777777" w:rsidR="00105B6F" w:rsidRPr="005545C3" w:rsidRDefault="00105B6F" w:rsidP="00BA499D">
            <w:pPr>
              <w:jc w:val="center"/>
              <w:rPr>
                <w:color w:val="1A1A1A"/>
                <w:sz w:val="18"/>
                <w:szCs w:val="18"/>
                <w:lang w:eastAsia="hr-HR"/>
              </w:rPr>
            </w:pPr>
            <w:r>
              <w:rPr>
                <w:color w:val="1A1A1A"/>
                <w:sz w:val="18"/>
                <w:szCs w:val="18"/>
                <w:lang w:eastAsia="hr-HR"/>
              </w:rPr>
              <w:t>16.</w:t>
            </w:r>
          </w:p>
        </w:tc>
        <w:tc>
          <w:tcPr>
            <w:tcW w:w="4253" w:type="dxa"/>
            <w:tcBorders>
              <w:top w:val="nil"/>
              <w:left w:val="nil"/>
              <w:bottom w:val="single" w:sz="4" w:space="0" w:color="auto"/>
              <w:right w:val="single" w:sz="4" w:space="0" w:color="auto"/>
            </w:tcBorders>
            <w:vAlign w:val="center"/>
            <w:hideMark/>
          </w:tcPr>
          <w:p w14:paraId="5A21E05E" w14:textId="77777777" w:rsidR="00105B6F" w:rsidRPr="005545C3" w:rsidRDefault="00105B6F" w:rsidP="00BA499D">
            <w:pPr>
              <w:rPr>
                <w:color w:val="1A1A1A"/>
                <w:sz w:val="18"/>
                <w:szCs w:val="18"/>
                <w:lang w:eastAsia="hr-HR"/>
              </w:rPr>
            </w:pPr>
            <w:r w:rsidRPr="005545C3">
              <w:rPr>
                <w:color w:val="1A1A1A"/>
                <w:sz w:val="18"/>
                <w:szCs w:val="18"/>
                <w:lang w:eastAsia="hr-HR"/>
              </w:rPr>
              <w:t>- ako se obavlja očevid</w:t>
            </w:r>
          </w:p>
        </w:tc>
        <w:tc>
          <w:tcPr>
            <w:tcW w:w="1446" w:type="dxa"/>
            <w:tcBorders>
              <w:top w:val="nil"/>
              <w:left w:val="nil"/>
              <w:bottom w:val="single" w:sz="4" w:space="0" w:color="auto"/>
              <w:right w:val="single" w:sz="4" w:space="0" w:color="auto"/>
            </w:tcBorders>
            <w:noWrap/>
            <w:vAlign w:val="center"/>
          </w:tcPr>
          <w:p w14:paraId="60A960EB" w14:textId="77777777" w:rsidR="00105B6F" w:rsidRPr="005E2601" w:rsidRDefault="00105B6F" w:rsidP="00BA499D">
            <w:pPr>
              <w:jc w:val="center"/>
              <w:rPr>
                <w:sz w:val="18"/>
              </w:rPr>
            </w:pPr>
            <w:r w:rsidRPr="00632837">
              <w:rPr>
                <w:bCs/>
                <w:sz w:val="20"/>
                <w:szCs w:val="20"/>
              </w:rPr>
              <w:t>3</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F8115A" w14:textId="77777777" w:rsidR="00105B6F" w:rsidRPr="00B30CC6" w:rsidRDefault="00105B6F" w:rsidP="00BA499D">
            <w:pPr>
              <w:jc w:val="center"/>
              <w:rPr>
                <w:sz w:val="18"/>
              </w:rPr>
            </w:pPr>
            <w:r w:rsidRPr="00D17B03">
              <w:rPr>
                <w:bCs/>
                <w:sz w:val="20"/>
                <w:szCs w:val="20"/>
              </w:rPr>
              <w:t>1</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3BE9ECF" w14:textId="77777777" w:rsidR="00105B6F" w:rsidRPr="00B30CC6" w:rsidRDefault="00105B6F" w:rsidP="00BA499D">
            <w:pPr>
              <w:jc w:val="center"/>
              <w:rPr>
                <w:sz w:val="18"/>
              </w:rPr>
            </w:pPr>
            <w:r w:rsidRPr="00B30CC6">
              <w:rPr>
                <w:sz w:val="20"/>
                <w:szCs w:val="20"/>
              </w:rPr>
              <w:t>33%</w:t>
            </w:r>
          </w:p>
        </w:tc>
      </w:tr>
      <w:tr w:rsidR="00105B6F" w:rsidRPr="00316A50" w14:paraId="52F22D0A" w14:textId="77777777" w:rsidTr="00BA499D">
        <w:trPr>
          <w:trHeight w:val="142"/>
        </w:trPr>
        <w:tc>
          <w:tcPr>
            <w:tcW w:w="575" w:type="dxa"/>
            <w:tcBorders>
              <w:top w:val="nil"/>
              <w:left w:val="single" w:sz="4" w:space="0" w:color="auto"/>
              <w:bottom w:val="single" w:sz="4" w:space="0" w:color="auto"/>
              <w:right w:val="single" w:sz="4" w:space="0" w:color="auto"/>
            </w:tcBorders>
            <w:vAlign w:val="center"/>
          </w:tcPr>
          <w:p w14:paraId="39DB88A4" w14:textId="77777777" w:rsidR="00105B6F" w:rsidRPr="005545C3" w:rsidRDefault="00105B6F" w:rsidP="00BA499D">
            <w:pPr>
              <w:jc w:val="center"/>
              <w:rPr>
                <w:color w:val="1A1A1A"/>
                <w:sz w:val="18"/>
                <w:szCs w:val="18"/>
                <w:lang w:eastAsia="hr-HR"/>
              </w:rPr>
            </w:pPr>
            <w:r>
              <w:rPr>
                <w:color w:val="1A1A1A"/>
                <w:sz w:val="18"/>
                <w:szCs w:val="18"/>
                <w:lang w:eastAsia="hr-HR"/>
              </w:rPr>
              <w:t>17.</w:t>
            </w:r>
          </w:p>
        </w:tc>
        <w:tc>
          <w:tcPr>
            <w:tcW w:w="4253" w:type="dxa"/>
            <w:tcBorders>
              <w:top w:val="nil"/>
              <w:left w:val="nil"/>
              <w:bottom w:val="single" w:sz="4" w:space="0" w:color="auto"/>
              <w:right w:val="single" w:sz="4" w:space="0" w:color="auto"/>
            </w:tcBorders>
            <w:vAlign w:val="center"/>
            <w:hideMark/>
          </w:tcPr>
          <w:p w14:paraId="3615DF15" w14:textId="77777777" w:rsidR="00105B6F" w:rsidRPr="005545C3" w:rsidRDefault="00105B6F" w:rsidP="00BA499D">
            <w:pPr>
              <w:rPr>
                <w:color w:val="1A1A1A"/>
                <w:sz w:val="18"/>
                <w:szCs w:val="18"/>
                <w:lang w:eastAsia="hr-HR"/>
              </w:rPr>
            </w:pPr>
            <w:r w:rsidRPr="005545C3">
              <w:rPr>
                <w:color w:val="1A1A1A"/>
                <w:sz w:val="18"/>
                <w:szCs w:val="18"/>
                <w:lang w:eastAsia="hr-HR"/>
              </w:rPr>
              <w:t>Oduzimanja dozvole za promet na malo lijekovima (specijaliziranim prodavaonicama)</w:t>
            </w:r>
          </w:p>
        </w:tc>
        <w:tc>
          <w:tcPr>
            <w:tcW w:w="1446" w:type="dxa"/>
            <w:tcBorders>
              <w:top w:val="nil"/>
              <w:left w:val="nil"/>
              <w:bottom w:val="single" w:sz="4" w:space="0" w:color="auto"/>
              <w:right w:val="single" w:sz="4" w:space="0" w:color="auto"/>
            </w:tcBorders>
            <w:noWrap/>
            <w:vAlign w:val="center"/>
          </w:tcPr>
          <w:p w14:paraId="001C0ADD" w14:textId="77777777" w:rsidR="00105B6F" w:rsidRPr="005E2601" w:rsidRDefault="00105B6F" w:rsidP="00BA499D">
            <w:pPr>
              <w:jc w:val="center"/>
              <w:rPr>
                <w:sz w:val="18"/>
              </w:rPr>
            </w:pPr>
            <w:r w:rsidRPr="00632837">
              <w:rPr>
                <w:bCs/>
                <w:sz w:val="20"/>
                <w:szCs w:val="20"/>
              </w:rPr>
              <w:t>10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D978C8" w14:textId="77777777" w:rsidR="00105B6F" w:rsidRPr="00B30CC6" w:rsidRDefault="00105B6F" w:rsidP="00BA499D">
            <w:pPr>
              <w:jc w:val="center"/>
              <w:rPr>
                <w:sz w:val="18"/>
              </w:rPr>
            </w:pPr>
            <w:r w:rsidRPr="00D17B03">
              <w:rPr>
                <w:bCs/>
                <w:sz w:val="20"/>
                <w:szCs w:val="20"/>
              </w:rPr>
              <w:t>2</w:t>
            </w:r>
          </w:p>
        </w:tc>
        <w:tc>
          <w:tcPr>
            <w:tcW w:w="1417" w:type="dxa"/>
            <w:tcBorders>
              <w:top w:val="single" w:sz="4" w:space="0" w:color="auto"/>
              <w:left w:val="nil"/>
              <w:bottom w:val="single" w:sz="4" w:space="0" w:color="auto"/>
              <w:right w:val="single" w:sz="4" w:space="0" w:color="auto"/>
            </w:tcBorders>
            <w:noWrap/>
            <w:vAlign w:val="center"/>
          </w:tcPr>
          <w:p w14:paraId="07FB68DA" w14:textId="77777777" w:rsidR="00105B6F" w:rsidRPr="00B30CC6" w:rsidRDefault="00105B6F" w:rsidP="00BA499D">
            <w:pPr>
              <w:jc w:val="center"/>
              <w:rPr>
                <w:sz w:val="18"/>
              </w:rPr>
            </w:pPr>
            <w:r w:rsidRPr="00B30CC6">
              <w:rPr>
                <w:sz w:val="20"/>
                <w:szCs w:val="20"/>
              </w:rPr>
              <w:t>20%</w:t>
            </w:r>
          </w:p>
        </w:tc>
      </w:tr>
      <w:tr w:rsidR="00105B6F" w:rsidRPr="00316A50" w14:paraId="0A245C2D" w14:textId="77777777" w:rsidTr="00BA499D">
        <w:trPr>
          <w:trHeight w:val="142"/>
        </w:trPr>
        <w:tc>
          <w:tcPr>
            <w:tcW w:w="575" w:type="dxa"/>
            <w:tcBorders>
              <w:top w:val="nil"/>
              <w:left w:val="single" w:sz="4" w:space="0" w:color="auto"/>
              <w:bottom w:val="single" w:sz="4" w:space="0" w:color="auto"/>
              <w:right w:val="single" w:sz="4" w:space="0" w:color="auto"/>
            </w:tcBorders>
            <w:vAlign w:val="center"/>
          </w:tcPr>
          <w:p w14:paraId="2FB6BB2A" w14:textId="77777777" w:rsidR="00105B6F" w:rsidRPr="005545C3" w:rsidRDefault="00105B6F" w:rsidP="00BA499D">
            <w:pPr>
              <w:jc w:val="center"/>
              <w:rPr>
                <w:color w:val="1A1A1A"/>
                <w:sz w:val="18"/>
                <w:szCs w:val="18"/>
                <w:lang w:eastAsia="hr-HR"/>
              </w:rPr>
            </w:pPr>
            <w:r>
              <w:rPr>
                <w:color w:val="1A1A1A"/>
                <w:sz w:val="18"/>
                <w:szCs w:val="18"/>
                <w:lang w:eastAsia="hr-HR"/>
              </w:rPr>
              <w:t>18.</w:t>
            </w:r>
          </w:p>
        </w:tc>
        <w:tc>
          <w:tcPr>
            <w:tcW w:w="4253" w:type="dxa"/>
            <w:tcBorders>
              <w:top w:val="nil"/>
              <w:left w:val="nil"/>
              <w:bottom w:val="single" w:sz="4" w:space="0" w:color="auto"/>
              <w:right w:val="single" w:sz="4" w:space="0" w:color="auto"/>
            </w:tcBorders>
            <w:vAlign w:val="center"/>
            <w:hideMark/>
          </w:tcPr>
          <w:p w14:paraId="10370EA1" w14:textId="77777777" w:rsidR="00105B6F" w:rsidRPr="005545C3" w:rsidRDefault="00105B6F" w:rsidP="00BA499D">
            <w:pPr>
              <w:rPr>
                <w:color w:val="1A1A1A"/>
                <w:sz w:val="18"/>
                <w:szCs w:val="18"/>
                <w:lang w:eastAsia="hr-HR"/>
              </w:rPr>
            </w:pPr>
            <w:r w:rsidRPr="005545C3">
              <w:rPr>
                <w:color w:val="1A1A1A"/>
                <w:sz w:val="18"/>
                <w:szCs w:val="18"/>
                <w:lang w:eastAsia="hr-HR"/>
              </w:rPr>
              <w:t>Davanje/uskraćivanja dozvole za posredništvo</w:t>
            </w:r>
          </w:p>
        </w:tc>
        <w:tc>
          <w:tcPr>
            <w:tcW w:w="1446" w:type="dxa"/>
            <w:tcBorders>
              <w:top w:val="nil"/>
              <w:left w:val="nil"/>
              <w:bottom w:val="single" w:sz="4" w:space="0" w:color="auto"/>
              <w:right w:val="single" w:sz="4" w:space="0" w:color="auto"/>
            </w:tcBorders>
            <w:noWrap/>
            <w:vAlign w:val="center"/>
          </w:tcPr>
          <w:p w14:paraId="2B38FE32" w14:textId="77777777" w:rsidR="00105B6F" w:rsidRPr="005E2601" w:rsidRDefault="00105B6F" w:rsidP="00BA499D">
            <w:pPr>
              <w:jc w:val="center"/>
              <w:rPr>
                <w:sz w:val="18"/>
              </w:rPr>
            </w:pPr>
            <w:r w:rsidRPr="00632837">
              <w:rPr>
                <w:bCs/>
                <w:sz w:val="20"/>
                <w:szCs w:val="20"/>
              </w:rPr>
              <w:t>1</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C977C" w14:textId="77777777" w:rsidR="00105B6F" w:rsidRPr="00B30CC6" w:rsidRDefault="00105B6F" w:rsidP="00BA499D">
            <w:pPr>
              <w:jc w:val="center"/>
              <w:rPr>
                <w:sz w:val="18"/>
              </w:rPr>
            </w:pPr>
            <w:r w:rsidRPr="00D17B03">
              <w:rPr>
                <w:bCs/>
                <w:sz w:val="20"/>
                <w:szCs w:val="20"/>
              </w:rPr>
              <w:t>1</w:t>
            </w:r>
          </w:p>
        </w:tc>
        <w:tc>
          <w:tcPr>
            <w:tcW w:w="1417" w:type="dxa"/>
            <w:tcBorders>
              <w:top w:val="single" w:sz="4" w:space="0" w:color="auto"/>
              <w:left w:val="nil"/>
              <w:bottom w:val="single" w:sz="4" w:space="0" w:color="auto"/>
              <w:right w:val="single" w:sz="4" w:space="0" w:color="auto"/>
            </w:tcBorders>
            <w:noWrap/>
            <w:vAlign w:val="center"/>
          </w:tcPr>
          <w:p w14:paraId="7ACC4949" w14:textId="77777777" w:rsidR="00105B6F" w:rsidRPr="00B30CC6" w:rsidRDefault="00105B6F" w:rsidP="00BA499D">
            <w:pPr>
              <w:jc w:val="center"/>
              <w:rPr>
                <w:sz w:val="18"/>
              </w:rPr>
            </w:pPr>
            <w:r w:rsidRPr="00B30CC6">
              <w:rPr>
                <w:sz w:val="20"/>
                <w:szCs w:val="20"/>
              </w:rPr>
              <w:t>100%</w:t>
            </w:r>
          </w:p>
        </w:tc>
      </w:tr>
      <w:tr w:rsidR="00105B6F" w:rsidRPr="00316A50" w14:paraId="7C4E6874" w14:textId="77777777" w:rsidTr="00BA499D">
        <w:trPr>
          <w:trHeight w:val="142"/>
        </w:trPr>
        <w:tc>
          <w:tcPr>
            <w:tcW w:w="575" w:type="dxa"/>
            <w:tcBorders>
              <w:top w:val="nil"/>
              <w:left w:val="single" w:sz="4" w:space="0" w:color="auto"/>
              <w:bottom w:val="single" w:sz="4" w:space="0" w:color="auto"/>
              <w:right w:val="single" w:sz="4" w:space="0" w:color="auto"/>
            </w:tcBorders>
            <w:vAlign w:val="center"/>
          </w:tcPr>
          <w:p w14:paraId="2FF0D821" w14:textId="77777777" w:rsidR="00105B6F" w:rsidRPr="005545C3" w:rsidRDefault="00105B6F" w:rsidP="00BA499D">
            <w:pPr>
              <w:jc w:val="center"/>
              <w:rPr>
                <w:color w:val="1A1A1A"/>
                <w:sz w:val="18"/>
                <w:szCs w:val="18"/>
                <w:lang w:eastAsia="hr-HR"/>
              </w:rPr>
            </w:pPr>
            <w:r>
              <w:rPr>
                <w:color w:val="1A1A1A"/>
                <w:sz w:val="18"/>
                <w:szCs w:val="18"/>
                <w:lang w:eastAsia="hr-HR"/>
              </w:rPr>
              <w:t>19.</w:t>
            </w:r>
          </w:p>
        </w:tc>
        <w:tc>
          <w:tcPr>
            <w:tcW w:w="4253" w:type="dxa"/>
            <w:tcBorders>
              <w:top w:val="nil"/>
              <w:left w:val="nil"/>
              <w:bottom w:val="single" w:sz="4" w:space="0" w:color="auto"/>
              <w:right w:val="single" w:sz="4" w:space="0" w:color="auto"/>
            </w:tcBorders>
            <w:vAlign w:val="center"/>
            <w:hideMark/>
          </w:tcPr>
          <w:p w14:paraId="45A04327" w14:textId="77777777" w:rsidR="00105B6F" w:rsidRPr="005545C3" w:rsidRDefault="00105B6F" w:rsidP="00BA499D">
            <w:pPr>
              <w:rPr>
                <w:color w:val="1A1A1A"/>
                <w:sz w:val="18"/>
                <w:szCs w:val="18"/>
                <w:lang w:eastAsia="hr-HR"/>
              </w:rPr>
            </w:pPr>
            <w:r w:rsidRPr="005545C3">
              <w:rPr>
                <w:color w:val="1A1A1A"/>
                <w:sz w:val="18"/>
                <w:szCs w:val="18"/>
                <w:lang w:eastAsia="hr-HR"/>
              </w:rPr>
              <w:t>Izmjena dozvole za posredništvo</w:t>
            </w:r>
          </w:p>
        </w:tc>
        <w:tc>
          <w:tcPr>
            <w:tcW w:w="1446" w:type="dxa"/>
            <w:tcBorders>
              <w:top w:val="nil"/>
              <w:left w:val="nil"/>
              <w:bottom w:val="single" w:sz="4" w:space="0" w:color="auto"/>
              <w:right w:val="single" w:sz="4" w:space="0" w:color="auto"/>
            </w:tcBorders>
            <w:noWrap/>
            <w:vAlign w:val="center"/>
          </w:tcPr>
          <w:p w14:paraId="303D0EDA" w14:textId="77777777" w:rsidR="00105B6F" w:rsidRPr="005E2601" w:rsidRDefault="00105B6F" w:rsidP="00BA499D">
            <w:pPr>
              <w:jc w:val="center"/>
              <w:rPr>
                <w:sz w:val="18"/>
              </w:rPr>
            </w:pPr>
            <w:r w:rsidRPr="00632837">
              <w:rPr>
                <w:bCs/>
                <w:sz w:val="20"/>
                <w:szCs w:val="20"/>
              </w:rPr>
              <w:t>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6F9950" w14:textId="77777777" w:rsidR="00105B6F" w:rsidRPr="00B30CC6" w:rsidRDefault="00105B6F" w:rsidP="00BA499D">
            <w:pPr>
              <w:jc w:val="center"/>
              <w:rPr>
                <w:sz w:val="18"/>
              </w:rPr>
            </w:pPr>
            <w:r w:rsidRPr="00D17B03">
              <w:rPr>
                <w:bCs/>
                <w:sz w:val="20"/>
                <w:szCs w:val="20"/>
              </w:rPr>
              <w:t>0</w:t>
            </w:r>
          </w:p>
        </w:tc>
        <w:tc>
          <w:tcPr>
            <w:tcW w:w="1417" w:type="dxa"/>
            <w:tcBorders>
              <w:top w:val="single" w:sz="4" w:space="0" w:color="auto"/>
              <w:left w:val="nil"/>
              <w:bottom w:val="single" w:sz="4" w:space="0" w:color="auto"/>
              <w:right w:val="single" w:sz="4" w:space="0" w:color="auto"/>
            </w:tcBorders>
            <w:noWrap/>
            <w:vAlign w:val="center"/>
          </w:tcPr>
          <w:p w14:paraId="21595CEB" w14:textId="77777777" w:rsidR="00105B6F" w:rsidRPr="00B30CC6" w:rsidRDefault="00105B6F" w:rsidP="00BA499D">
            <w:pPr>
              <w:jc w:val="center"/>
              <w:rPr>
                <w:sz w:val="18"/>
              </w:rPr>
            </w:pPr>
            <w:r>
              <w:rPr>
                <w:sz w:val="20"/>
                <w:szCs w:val="20"/>
              </w:rPr>
              <w:t>-</w:t>
            </w:r>
          </w:p>
        </w:tc>
      </w:tr>
      <w:tr w:rsidR="00105B6F" w:rsidRPr="00316A50" w14:paraId="03740F1B" w14:textId="77777777" w:rsidTr="00BA499D">
        <w:trPr>
          <w:trHeight w:val="142"/>
        </w:trPr>
        <w:tc>
          <w:tcPr>
            <w:tcW w:w="575" w:type="dxa"/>
            <w:tcBorders>
              <w:top w:val="nil"/>
              <w:left w:val="single" w:sz="4" w:space="0" w:color="auto"/>
              <w:bottom w:val="single" w:sz="4" w:space="0" w:color="auto"/>
              <w:right w:val="single" w:sz="4" w:space="0" w:color="auto"/>
            </w:tcBorders>
            <w:vAlign w:val="center"/>
          </w:tcPr>
          <w:p w14:paraId="670A161C" w14:textId="77777777" w:rsidR="00105B6F" w:rsidRPr="005545C3" w:rsidRDefault="00105B6F" w:rsidP="00BA499D">
            <w:pPr>
              <w:jc w:val="center"/>
              <w:rPr>
                <w:color w:val="1A1A1A"/>
                <w:sz w:val="18"/>
                <w:szCs w:val="18"/>
                <w:lang w:eastAsia="hr-HR"/>
              </w:rPr>
            </w:pPr>
            <w:r>
              <w:rPr>
                <w:color w:val="1A1A1A"/>
                <w:sz w:val="18"/>
                <w:szCs w:val="18"/>
                <w:lang w:eastAsia="hr-HR"/>
              </w:rPr>
              <w:t>20.</w:t>
            </w:r>
          </w:p>
        </w:tc>
        <w:tc>
          <w:tcPr>
            <w:tcW w:w="4253" w:type="dxa"/>
            <w:tcBorders>
              <w:top w:val="nil"/>
              <w:left w:val="nil"/>
              <w:bottom w:val="single" w:sz="4" w:space="0" w:color="auto"/>
              <w:right w:val="single" w:sz="4" w:space="0" w:color="auto"/>
            </w:tcBorders>
            <w:vAlign w:val="center"/>
            <w:hideMark/>
          </w:tcPr>
          <w:p w14:paraId="08FF26A3" w14:textId="77777777" w:rsidR="00105B6F" w:rsidRPr="005545C3" w:rsidRDefault="00105B6F" w:rsidP="00BA499D">
            <w:pPr>
              <w:rPr>
                <w:color w:val="1A1A1A"/>
                <w:sz w:val="18"/>
                <w:szCs w:val="18"/>
                <w:lang w:eastAsia="hr-HR"/>
              </w:rPr>
            </w:pPr>
            <w:r w:rsidRPr="005545C3">
              <w:rPr>
                <w:color w:val="1A1A1A"/>
                <w:sz w:val="18"/>
                <w:szCs w:val="18"/>
                <w:lang w:eastAsia="hr-HR"/>
              </w:rPr>
              <w:t>Oduzimanja dozvole za posredništvo</w:t>
            </w:r>
          </w:p>
        </w:tc>
        <w:tc>
          <w:tcPr>
            <w:tcW w:w="1446" w:type="dxa"/>
            <w:tcBorders>
              <w:top w:val="nil"/>
              <w:left w:val="nil"/>
              <w:bottom w:val="single" w:sz="4" w:space="0" w:color="auto"/>
              <w:right w:val="single" w:sz="4" w:space="0" w:color="auto"/>
            </w:tcBorders>
            <w:noWrap/>
            <w:vAlign w:val="center"/>
          </w:tcPr>
          <w:p w14:paraId="3F79F55C" w14:textId="77777777" w:rsidR="00105B6F" w:rsidRPr="005E2601" w:rsidRDefault="00105B6F" w:rsidP="00BA499D">
            <w:pPr>
              <w:jc w:val="center"/>
              <w:rPr>
                <w:sz w:val="18"/>
              </w:rPr>
            </w:pPr>
            <w:r w:rsidRPr="00632837">
              <w:rPr>
                <w:bCs/>
                <w:sz w:val="20"/>
                <w:szCs w:val="20"/>
              </w:rPr>
              <w:t>1</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C6A276" w14:textId="77777777" w:rsidR="00105B6F" w:rsidRPr="00B30CC6" w:rsidRDefault="00105B6F" w:rsidP="00BA499D">
            <w:pPr>
              <w:jc w:val="center"/>
              <w:rPr>
                <w:sz w:val="18"/>
              </w:rPr>
            </w:pPr>
            <w:r w:rsidRPr="00D17B03">
              <w:rPr>
                <w:bCs/>
                <w:sz w:val="20"/>
                <w:szCs w:val="20"/>
              </w:rPr>
              <w:t>0</w:t>
            </w:r>
          </w:p>
        </w:tc>
        <w:tc>
          <w:tcPr>
            <w:tcW w:w="1417" w:type="dxa"/>
            <w:tcBorders>
              <w:top w:val="single" w:sz="4" w:space="0" w:color="auto"/>
              <w:left w:val="nil"/>
              <w:bottom w:val="single" w:sz="4" w:space="0" w:color="auto"/>
              <w:right w:val="single" w:sz="4" w:space="0" w:color="auto"/>
            </w:tcBorders>
            <w:noWrap/>
            <w:vAlign w:val="center"/>
          </w:tcPr>
          <w:p w14:paraId="1353731E" w14:textId="77777777" w:rsidR="00105B6F" w:rsidRPr="00B30CC6" w:rsidRDefault="00105B6F" w:rsidP="00BA499D">
            <w:pPr>
              <w:jc w:val="center"/>
              <w:rPr>
                <w:sz w:val="18"/>
              </w:rPr>
            </w:pPr>
            <w:r w:rsidRPr="00B30CC6">
              <w:rPr>
                <w:sz w:val="20"/>
                <w:szCs w:val="20"/>
              </w:rPr>
              <w:t>0%</w:t>
            </w:r>
          </w:p>
        </w:tc>
      </w:tr>
      <w:tr w:rsidR="00105B6F" w:rsidRPr="00316A50" w14:paraId="39260F6A" w14:textId="77777777" w:rsidTr="00BA499D">
        <w:trPr>
          <w:trHeight w:val="142"/>
        </w:trPr>
        <w:tc>
          <w:tcPr>
            <w:tcW w:w="575" w:type="dxa"/>
            <w:tcBorders>
              <w:top w:val="nil"/>
              <w:left w:val="single" w:sz="4" w:space="0" w:color="auto"/>
              <w:bottom w:val="single" w:sz="4" w:space="0" w:color="auto"/>
              <w:right w:val="single" w:sz="4" w:space="0" w:color="auto"/>
            </w:tcBorders>
            <w:vAlign w:val="center"/>
          </w:tcPr>
          <w:p w14:paraId="1674440C" w14:textId="77777777" w:rsidR="00105B6F" w:rsidRPr="005545C3" w:rsidRDefault="00105B6F" w:rsidP="00BA499D">
            <w:pPr>
              <w:jc w:val="center"/>
              <w:rPr>
                <w:color w:val="1A1A1A"/>
                <w:sz w:val="18"/>
                <w:szCs w:val="18"/>
                <w:lang w:eastAsia="hr-HR"/>
              </w:rPr>
            </w:pPr>
            <w:r>
              <w:rPr>
                <w:color w:val="1A1A1A"/>
                <w:sz w:val="18"/>
                <w:szCs w:val="18"/>
                <w:lang w:eastAsia="hr-HR"/>
              </w:rPr>
              <w:t>21.</w:t>
            </w:r>
          </w:p>
        </w:tc>
        <w:tc>
          <w:tcPr>
            <w:tcW w:w="4253" w:type="dxa"/>
            <w:tcBorders>
              <w:top w:val="nil"/>
              <w:left w:val="nil"/>
              <w:bottom w:val="single" w:sz="4" w:space="0" w:color="auto"/>
              <w:right w:val="single" w:sz="4" w:space="0" w:color="auto"/>
            </w:tcBorders>
            <w:vAlign w:val="center"/>
            <w:hideMark/>
          </w:tcPr>
          <w:p w14:paraId="05632D8C" w14:textId="77777777" w:rsidR="00105B6F" w:rsidRPr="005545C3" w:rsidRDefault="00105B6F" w:rsidP="00BA499D">
            <w:pPr>
              <w:rPr>
                <w:color w:val="1A1A1A"/>
                <w:sz w:val="18"/>
                <w:szCs w:val="18"/>
                <w:lang w:eastAsia="hr-HR"/>
              </w:rPr>
            </w:pPr>
            <w:r w:rsidRPr="005545C3">
              <w:rPr>
                <w:color w:val="1A1A1A"/>
                <w:sz w:val="18"/>
                <w:szCs w:val="18"/>
                <w:lang w:eastAsia="hr-HR"/>
              </w:rPr>
              <w:t>Davanje dozvole za internetsku prodaju</w:t>
            </w:r>
          </w:p>
        </w:tc>
        <w:tc>
          <w:tcPr>
            <w:tcW w:w="1446" w:type="dxa"/>
            <w:tcBorders>
              <w:top w:val="nil"/>
              <w:left w:val="nil"/>
              <w:bottom w:val="single" w:sz="4" w:space="0" w:color="auto"/>
              <w:right w:val="single" w:sz="4" w:space="0" w:color="auto"/>
            </w:tcBorders>
            <w:noWrap/>
            <w:vAlign w:val="center"/>
          </w:tcPr>
          <w:p w14:paraId="48D6F547" w14:textId="77777777" w:rsidR="00105B6F" w:rsidRPr="005E2601" w:rsidRDefault="00105B6F" w:rsidP="00BA499D">
            <w:pPr>
              <w:jc w:val="center"/>
              <w:rPr>
                <w:sz w:val="18"/>
              </w:rPr>
            </w:pPr>
            <w:r w:rsidRPr="00632837">
              <w:rPr>
                <w:bCs/>
                <w:sz w:val="20"/>
                <w:szCs w:val="20"/>
              </w:rPr>
              <w:t>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8C7F14" w14:textId="77777777" w:rsidR="00105B6F" w:rsidRPr="00B30CC6" w:rsidRDefault="00105B6F" w:rsidP="00BA499D">
            <w:pPr>
              <w:jc w:val="center"/>
              <w:rPr>
                <w:sz w:val="18"/>
              </w:rPr>
            </w:pPr>
            <w:r w:rsidRPr="00D17B03">
              <w:rPr>
                <w:bCs/>
                <w:sz w:val="20"/>
                <w:szCs w:val="20"/>
              </w:rPr>
              <w:t>0</w:t>
            </w:r>
          </w:p>
        </w:tc>
        <w:tc>
          <w:tcPr>
            <w:tcW w:w="1417" w:type="dxa"/>
            <w:tcBorders>
              <w:top w:val="single" w:sz="4" w:space="0" w:color="auto"/>
              <w:left w:val="nil"/>
              <w:bottom w:val="single" w:sz="4" w:space="0" w:color="auto"/>
              <w:right w:val="single" w:sz="4" w:space="0" w:color="auto"/>
            </w:tcBorders>
            <w:noWrap/>
            <w:vAlign w:val="center"/>
          </w:tcPr>
          <w:p w14:paraId="1DF41DC0" w14:textId="77777777" w:rsidR="00105B6F" w:rsidRPr="00B30CC6" w:rsidRDefault="00105B6F" w:rsidP="00BA499D">
            <w:pPr>
              <w:jc w:val="center"/>
              <w:rPr>
                <w:sz w:val="18"/>
              </w:rPr>
            </w:pPr>
            <w:r>
              <w:rPr>
                <w:sz w:val="20"/>
                <w:szCs w:val="20"/>
              </w:rPr>
              <w:t>-</w:t>
            </w:r>
          </w:p>
        </w:tc>
      </w:tr>
      <w:tr w:rsidR="00105B6F" w:rsidRPr="00316A50" w14:paraId="20C15B0B" w14:textId="77777777" w:rsidTr="00BA499D">
        <w:trPr>
          <w:trHeight w:val="142"/>
        </w:trPr>
        <w:tc>
          <w:tcPr>
            <w:tcW w:w="575" w:type="dxa"/>
            <w:tcBorders>
              <w:top w:val="nil"/>
              <w:left w:val="single" w:sz="4" w:space="0" w:color="auto"/>
              <w:bottom w:val="single" w:sz="4" w:space="0" w:color="auto"/>
              <w:right w:val="single" w:sz="4" w:space="0" w:color="auto"/>
            </w:tcBorders>
            <w:vAlign w:val="center"/>
          </w:tcPr>
          <w:p w14:paraId="042A25FC" w14:textId="77777777" w:rsidR="00105B6F" w:rsidRPr="005545C3" w:rsidRDefault="00105B6F" w:rsidP="00BA499D">
            <w:pPr>
              <w:jc w:val="center"/>
              <w:rPr>
                <w:color w:val="1A1A1A"/>
                <w:sz w:val="18"/>
                <w:szCs w:val="18"/>
                <w:lang w:eastAsia="hr-HR"/>
              </w:rPr>
            </w:pPr>
            <w:r>
              <w:rPr>
                <w:color w:val="1A1A1A"/>
                <w:sz w:val="18"/>
                <w:szCs w:val="18"/>
                <w:lang w:eastAsia="hr-HR"/>
              </w:rPr>
              <w:t>22.</w:t>
            </w:r>
          </w:p>
        </w:tc>
        <w:tc>
          <w:tcPr>
            <w:tcW w:w="4253" w:type="dxa"/>
            <w:tcBorders>
              <w:top w:val="nil"/>
              <w:left w:val="nil"/>
              <w:bottom w:val="single" w:sz="4" w:space="0" w:color="auto"/>
              <w:right w:val="single" w:sz="4" w:space="0" w:color="auto"/>
            </w:tcBorders>
            <w:vAlign w:val="center"/>
            <w:hideMark/>
          </w:tcPr>
          <w:p w14:paraId="5FFFEB2B" w14:textId="77777777" w:rsidR="00105B6F" w:rsidRPr="005545C3" w:rsidRDefault="00105B6F" w:rsidP="00BA499D">
            <w:pPr>
              <w:rPr>
                <w:color w:val="1A1A1A"/>
                <w:sz w:val="18"/>
                <w:szCs w:val="18"/>
                <w:lang w:eastAsia="hr-HR"/>
              </w:rPr>
            </w:pPr>
            <w:r w:rsidRPr="005545C3">
              <w:rPr>
                <w:color w:val="1A1A1A"/>
                <w:sz w:val="18"/>
                <w:szCs w:val="18"/>
                <w:lang w:eastAsia="hr-HR"/>
              </w:rPr>
              <w:t>Izmjena dozvole za internetsku prodaju</w:t>
            </w:r>
          </w:p>
        </w:tc>
        <w:tc>
          <w:tcPr>
            <w:tcW w:w="1446" w:type="dxa"/>
            <w:tcBorders>
              <w:top w:val="nil"/>
              <w:left w:val="nil"/>
              <w:bottom w:val="single" w:sz="4" w:space="0" w:color="auto"/>
              <w:right w:val="single" w:sz="4" w:space="0" w:color="auto"/>
            </w:tcBorders>
            <w:noWrap/>
            <w:vAlign w:val="center"/>
          </w:tcPr>
          <w:p w14:paraId="77EDBA6B" w14:textId="77777777" w:rsidR="00105B6F" w:rsidRPr="005E2601" w:rsidRDefault="00105B6F" w:rsidP="00BA499D">
            <w:pPr>
              <w:jc w:val="center"/>
              <w:rPr>
                <w:sz w:val="18"/>
              </w:rPr>
            </w:pPr>
            <w:r w:rsidRPr="00632837">
              <w:rPr>
                <w:bCs/>
                <w:sz w:val="20"/>
                <w:szCs w:val="20"/>
              </w:rPr>
              <w:t>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1586FD" w14:textId="77777777" w:rsidR="00105B6F" w:rsidRPr="00B30CC6" w:rsidRDefault="00105B6F" w:rsidP="00BA499D">
            <w:pPr>
              <w:jc w:val="center"/>
              <w:rPr>
                <w:sz w:val="18"/>
              </w:rPr>
            </w:pPr>
            <w:r w:rsidRPr="00D17B03">
              <w:rPr>
                <w:bCs/>
                <w:sz w:val="20"/>
                <w:szCs w:val="20"/>
              </w:rPr>
              <w:t>0</w:t>
            </w:r>
          </w:p>
        </w:tc>
        <w:tc>
          <w:tcPr>
            <w:tcW w:w="1417" w:type="dxa"/>
            <w:tcBorders>
              <w:top w:val="single" w:sz="4" w:space="0" w:color="auto"/>
              <w:left w:val="nil"/>
              <w:bottom w:val="single" w:sz="4" w:space="0" w:color="auto"/>
              <w:right w:val="single" w:sz="4" w:space="0" w:color="auto"/>
            </w:tcBorders>
            <w:noWrap/>
            <w:vAlign w:val="center"/>
          </w:tcPr>
          <w:p w14:paraId="32E89C4F" w14:textId="77777777" w:rsidR="00105B6F" w:rsidRPr="00B30CC6" w:rsidRDefault="00105B6F" w:rsidP="00BA499D">
            <w:pPr>
              <w:jc w:val="center"/>
              <w:rPr>
                <w:sz w:val="18"/>
              </w:rPr>
            </w:pPr>
            <w:r>
              <w:rPr>
                <w:sz w:val="20"/>
                <w:szCs w:val="20"/>
              </w:rPr>
              <w:t>-</w:t>
            </w:r>
          </w:p>
        </w:tc>
      </w:tr>
      <w:tr w:rsidR="00105B6F" w:rsidRPr="00316A50" w14:paraId="67F82EC8" w14:textId="77777777" w:rsidTr="00BA499D">
        <w:trPr>
          <w:trHeight w:val="142"/>
        </w:trPr>
        <w:tc>
          <w:tcPr>
            <w:tcW w:w="575" w:type="dxa"/>
            <w:tcBorders>
              <w:top w:val="nil"/>
              <w:left w:val="single" w:sz="4" w:space="0" w:color="auto"/>
              <w:bottom w:val="single" w:sz="4" w:space="0" w:color="auto"/>
              <w:right w:val="single" w:sz="4" w:space="0" w:color="auto"/>
            </w:tcBorders>
            <w:vAlign w:val="center"/>
          </w:tcPr>
          <w:p w14:paraId="34CE6E64" w14:textId="77777777" w:rsidR="00105B6F" w:rsidRPr="005545C3" w:rsidRDefault="00105B6F" w:rsidP="00BA499D">
            <w:pPr>
              <w:jc w:val="center"/>
              <w:rPr>
                <w:color w:val="1A1A1A"/>
                <w:sz w:val="18"/>
                <w:szCs w:val="18"/>
                <w:lang w:eastAsia="hr-HR"/>
              </w:rPr>
            </w:pPr>
            <w:r>
              <w:rPr>
                <w:color w:val="1A1A1A"/>
                <w:sz w:val="18"/>
                <w:szCs w:val="18"/>
                <w:lang w:eastAsia="hr-HR"/>
              </w:rPr>
              <w:t>23.</w:t>
            </w:r>
          </w:p>
        </w:tc>
        <w:tc>
          <w:tcPr>
            <w:tcW w:w="4253" w:type="dxa"/>
            <w:tcBorders>
              <w:top w:val="nil"/>
              <w:left w:val="nil"/>
              <w:bottom w:val="single" w:sz="4" w:space="0" w:color="auto"/>
              <w:right w:val="single" w:sz="4" w:space="0" w:color="auto"/>
            </w:tcBorders>
            <w:vAlign w:val="center"/>
            <w:hideMark/>
          </w:tcPr>
          <w:p w14:paraId="6E6DD169" w14:textId="77777777" w:rsidR="00105B6F" w:rsidRPr="005545C3" w:rsidRDefault="00105B6F" w:rsidP="00BA499D">
            <w:pPr>
              <w:rPr>
                <w:color w:val="1A1A1A"/>
                <w:sz w:val="18"/>
                <w:szCs w:val="18"/>
                <w:lang w:eastAsia="hr-HR"/>
              </w:rPr>
            </w:pPr>
            <w:r w:rsidRPr="005545C3">
              <w:rPr>
                <w:color w:val="1A1A1A"/>
                <w:sz w:val="18"/>
                <w:szCs w:val="18"/>
                <w:lang w:eastAsia="hr-HR"/>
              </w:rPr>
              <w:t>Oduzimanje dozvole za internetsku prodaju</w:t>
            </w:r>
          </w:p>
        </w:tc>
        <w:tc>
          <w:tcPr>
            <w:tcW w:w="1446" w:type="dxa"/>
            <w:tcBorders>
              <w:top w:val="nil"/>
              <w:left w:val="nil"/>
              <w:bottom w:val="single" w:sz="4" w:space="0" w:color="auto"/>
              <w:right w:val="single" w:sz="4" w:space="0" w:color="auto"/>
            </w:tcBorders>
            <w:noWrap/>
            <w:vAlign w:val="center"/>
          </w:tcPr>
          <w:p w14:paraId="0607963E" w14:textId="77777777" w:rsidR="00105B6F" w:rsidRPr="005E2601" w:rsidRDefault="00105B6F" w:rsidP="00BA499D">
            <w:pPr>
              <w:jc w:val="center"/>
              <w:rPr>
                <w:sz w:val="18"/>
              </w:rPr>
            </w:pPr>
            <w:r w:rsidRPr="00632837">
              <w:rPr>
                <w:bCs/>
                <w:sz w:val="20"/>
                <w:szCs w:val="20"/>
              </w:rPr>
              <w:t>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1B8DFB" w14:textId="77777777" w:rsidR="00105B6F" w:rsidRPr="00B30CC6" w:rsidRDefault="00105B6F" w:rsidP="00BA499D">
            <w:pPr>
              <w:jc w:val="center"/>
              <w:rPr>
                <w:sz w:val="18"/>
              </w:rPr>
            </w:pPr>
            <w:r w:rsidRPr="00D17B03">
              <w:rPr>
                <w:bCs/>
                <w:sz w:val="20"/>
                <w:szCs w:val="20"/>
              </w:rPr>
              <w:t>0</w:t>
            </w:r>
          </w:p>
        </w:tc>
        <w:tc>
          <w:tcPr>
            <w:tcW w:w="1417" w:type="dxa"/>
            <w:tcBorders>
              <w:top w:val="single" w:sz="4" w:space="0" w:color="auto"/>
              <w:left w:val="nil"/>
              <w:bottom w:val="single" w:sz="4" w:space="0" w:color="auto"/>
              <w:right w:val="single" w:sz="4" w:space="0" w:color="auto"/>
            </w:tcBorders>
            <w:noWrap/>
            <w:vAlign w:val="center"/>
          </w:tcPr>
          <w:p w14:paraId="7822BEA1" w14:textId="77777777" w:rsidR="00105B6F" w:rsidRPr="00B30CC6" w:rsidRDefault="00105B6F" w:rsidP="00BA499D">
            <w:pPr>
              <w:jc w:val="center"/>
              <w:rPr>
                <w:sz w:val="18"/>
              </w:rPr>
            </w:pPr>
            <w:r>
              <w:rPr>
                <w:sz w:val="20"/>
                <w:szCs w:val="20"/>
              </w:rPr>
              <w:t>-</w:t>
            </w:r>
          </w:p>
        </w:tc>
      </w:tr>
      <w:tr w:rsidR="00105B6F" w:rsidRPr="00D858CE" w14:paraId="2994D422" w14:textId="77777777" w:rsidTr="00BA499D">
        <w:trPr>
          <w:trHeight w:val="300"/>
        </w:trPr>
        <w:tc>
          <w:tcPr>
            <w:tcW w:w="4828" w:type="dxa"/>
            <w:gridSpan w:val="2"/>
            <w:tcBorders>
              <w:top w:val="single" w:sz="4" w:space="0" w:color="auto"/>
              <w:left w:val="single" w:sz="4" w:space="0" w:color="auto"/>
              <w:bottom w:val="single" w:sz="4" w:space="0" w:color="auto"/>
              <w:right w:val="single" w:sz="4" w:space="0" w:color="000000"/>
            </w:tcBorders>
            <w:shd w:val="clear" w:color="auto" w:fill="BFBFBF"/>
            <w:vAlign w:val="center"/>
            <w:hideMark/>
          </w:tcPr>
          <w:p w14:paraId="37279815" w14:textId="77777777" w:rsidR="00105B6F" w:rsidRPr="00C430F8" w:rsidRDefault="00105B6F" w:rsidP="00BA499D">
            <w:pPr>
              <w:rPr>
                <w:b/>
                <w:color w:val="1A1A1A"/>
                <w:sz w:val="20"/>
                <w:szCs w:val="20"/>
                <w:lang w:eastAsia="hr-HR"/>
              </w:rPr>
            </w:pPr>
            <w:r w:rsidRPr="00C430F8">
              <w:rPr>
                <w:b/>
                <w:color w:val="1A1A1A"/>
                <w:sz w:val="20"/>
                <w:szCs w:val="20"/>
                <w:lang w:eastAsia="hr-HR"/>
              </w:rPr>
              <w:t>UKUPNO:</w:t>
            </w:r>
          </w:p>
        </w:tc>
        <w:tc>
          <w:tcPr>
            <w:tcW w:w="1446" w:type="dxa"/>
            <w:tcBorders>
              <w:top w:val="nil"/>
              <w:left w:val="nil"/>
              <w:bottom w:val="single" w:sz="4" w:space="0" w:color="auto"/>
              <w:right w:val="single" w:sz="4" w:space="0" w:color="auto"/>
            </w:tcBorders>
            <w:shd w:val="clear" w:color="auto" w:fill="BFBFBF"/>
            <w:noWrap/>
            <w:vAlign w:val="center"/>
          </w:tcPr>
          <w:p w14:paraId="050226EA" w14:textId="77777777" w:rsidR="00105B6F" w:rsidRPr="005E2601" w:rsidRDefault="00105B6F" w:rsidP="00BA499D">
            <w:pPr>
              <w:jc w:val="center"/>
              <w:rPr>
                <w:b/>
                <w:sz w:val="18"/>
              </w:rPr>
            </w:pPr>
            <w:r w:rsidRPr="005E2601">
              <w:rPr>
                <w:b/>
                <w:bCs/>
                <w:sz w:val="20"/>
                <w:szCs w:val="20"/>
              </w:rPr>
              <w:t>340</w:t>
            </w:r>
          </w:p>
        </w:tc>
        <w:tc>
          <w:tcPr>
            <w:tcW w:w="1504" w:type="dxa"/>
            <w:tcBorders>
              <w:top w:val="nil"/>
              <w:left w:val="nil"/>
              <w:bottom w:val="single" w:sz="4" w:space="0" w:color="auto"/>
              <w:right w:val="single" w:sz="4" w:space="0" w:color="auto"/>
            </w:tcBorders>
            <w:shd w:val="clear" w:color="auto" w:fill="BFBFBF"/>
            <w:noWrap/>
            <w:vAlign w:val="center"/>
          </w:tcPr>
          <w:p w14:paraId="3E9B84D9" w14:textId="77777777" w:rsidR="00105B6F" w:rsidRPr="005E2601" w:rsidRDefault="00105B6F" w:rsidP="00BA499D">
            <w:pPr>
              <w:jc w:val="center"/>
              <w:rPr>
                <w:b/>
                <w:sz w:val="18"/>
              </w:rPr>
            </w:pPr>
            <w:r>
              <w:rPr>
                <w:b/>
                <w:bCs/>
                <w:sz w:val="20"/>
                <w:szCs w:val="20"/>
              </w:rPr>
              <w:t>417</w:t>
            </w:r>
          </w:p>
        </w:tc>
        <w:tc>
          <w:tcPr>
            <w:tcW w:w="1417" w:type="dxa"/>
            <w:tcBorders>
              <w:top w:val="nil"/>
              <w:left w:val="nil"/>
              <w:bottom w:val="single" w:sz="4" w:space="0" w:color="auto"/>
              <w:right w:val="single" w:sz="4" w:space="0" w:color="auto"/>
            </w:tcBorders>
            <w:shd w:val="clear" w:color="auto" w:fill="BFBFBF"/>
            <w:noWrap/>
            <w:vAlign w:val="center"/>
          </w:tcPr>
          <w:p w14:paraId="6F444841" w14:textId="77777777" w:rsidR="00105B6F" w:rsidRPr="005E2601" w:rsidRDefault="00105B6F" w:rsidP="00BA499D">
            <w:pPr>
              <w:jc w:val="center"/>
              <w:rPr>
                <w:b/>
                <w:sz w:val="18"/>
              </w:rPr>
            </w:pPr>
            <w:r>
              <w:rPr>
                <w:b/>
                <w:sz w:val="20"/>
                <w:szCs w:val="20"/>
              </w:rPr>
              <w:t>123%</w:t>
            </w:r>
          </w:p>
        </w:tc>
      </w:tr>
    </w:tbl>
    <w:p w14:paraId="4D9AF331" w14:textId="77777777" w:rsidR="00105B6F" w:rsidRPr="00D858CE" w:rsidRDefault="00105B6F" w:rsidP="00105B6F">
      <w:pPr>
        <w:rPr>
          <w:sz w:val="18"/>
          <w:szCs w:val="18"/>
        </w:rPr>
      </w:pPr>
    </w:p>
    <w:p w14:paraId="4C708CA5" w14:textId="77777777" w:rsidR="00105B6F" w:rsidRPr="00983723" w:rsidRDefault="00105B6F" w:rsidP="00105B6F">
      <w:pPr>
        <w:spacing w:line="276" w:lineRule="auto"/>
        <w:jc w:val="both"/>
        <w:rPr>
          <w:lang w:eastAsia="hr-HR"/>
        </w:rPr>
      </w:pPr>
    </w:p>
    <w:p w14:paraId="14D07AB9" w14:textId="77777777" w:rsidR="00105B6F" w:rsidRPr="00CD3DD1" w:rsidRDefault="00105B6F" w:rsidP="00105B6F">
      <w:pPr>
        <w:spacing w:after="120"/>
        <w:rPr>
          <w:rFonts w:cstheme="minorHAnsi"/>
          <w:b/>
          <w:lang w:eastAsia="hr-HR"/>
        </w:rPr>
      </w:pPr>
      <w:r w:rsidRPr="00CD3DD1">
        <w:rPr>
          <w:b/>
          <w:lang w:eastAsia="hr-HR"/>
        </w:rPr>
        <w:t>Tablica 10 a. Izvršenje prihodovnih usluga</w:t>
      </w:r>
      <w:r w:rsidRPr="00CD3DD1">
        <w:rPr>
          <w:rFonts w:cstheme="minorHAnsi"/>
          <w:b/>
          <w:lang w:eastAsia="hr-HR"/>
        </w:rPr>
        <w:t xml:space="preserve"> proizvodnje i nadzora VMP</w:t>
      </w:r>
    </w:p>
    <w:tbl>
      <w:tblPr>
        <w:tblW w:w="9493" w:type="dxa"/>
        <w:jc w:val="center"/>
        <w:tblLook w:val="04A0" w:firstRow="1" w:lastRow="0" w:firstColumn="1" w:lastColumn="0" w:noHBand="0" w:noVBand="1"/>
      </w:tblPr>
      <w:tblGrid>
        <w:gridCol w:w="826"/>
        <w:gridCol w:w="4807"/>
        <w:gridCol w:w="1245"/>
        <w:gridCol w:w="1504"/>
        <w:gridCol w:w="1111"/>
      </w:tblGrid>
      <w:tr w:rsidR="00105B6F" w:rsidRPr="00F609D9" w14:paraId="3FD71E1C" w14:textId="77777777" w:rsidTr="00BA499D">
        <w:trPr>
          <w:trHeight w:val="284"/>
          <w:tblHeader/>
          <w:jc w:val="center"/>
        </w:trPr>
        <w:tc>
          <w:tcPr>
            <w:tcW w:w="826" w:type="dxa"/>
            <w:vMerge w:val="restart"/>
            <w:tcBorders>
              <w:top w:val="single" w:sz="4" w:space="0" w:color="auto"/>
              <w:left w:val="single" w:sz="4" w:space="0" w:color="auto"/>
              <w:right w:val="single" w:sz="4" w:space="0" w:color="auto"/>
            </w:tcBorders>
            <w:shd w:val="clear" w:color="auto" w:fill="A3E7FF"/>
            <w:vAlign w:val="center"/>
            <w:hideMark/>
          </w:tcPr>
          <w:p w14:paraId="1D00CA73" w14:textId="77777777" w:rsidR="00105B6F" w:rsidRPr="00B037D6" w:rsidRDefault="00105B6F" w:rsidP="00BA499D">
            <w:pPr>
              <w:rPr>
                <w:b/>
                <w:sz w:val="18"/>
                <w:szCs w:val="18"/>
                <w:lang w:eastAsia="hr-HR"/>
              </w:rPr>
            </w:pPr>
            <w:r w:rsidRPr="00B037D6">
              <w:rPr>
                <w:b/>
                <w:sz w:val="18"/>
                <w:szCs w:val="18"/>
                <w:lang w:eastAsia="hr-HR"/>
              </w:rPr>
              <w:t>R.br.</w:t>
            </w:r>
          </w:p>
        </w:tc>
        <w:tc>
          <w:tcPr>
            <w:tcW w:w="4807" w:type="dxa"/>
            <w:vMerge w:val="restart"/>
            <w:tcBorders>
              <w:top w:val="single" w:sz="4" w:space="0" w:color="auto"/>
              <w:left w:val="nil"/>
              <w:right w:val="single" w:sz="4" w:space="0" w:color="auto"/>
            </w:tcBorders>
            <w:shd w:val="clear" w:color="auto" w:fill="A3E7FF"/>
            <w:noWrap/>
            <w:vAlign w:val="center"/>
            <w:hideMark/>
          </w:tcPr>
          <w:p w14:paraId="42635CF1" w14:textId="77777777" w:rsidR="00105B6F" w:rsidRPr="00B037D6" w:rsidRDefault="00105B6F" w:rsidP="00BA499D">
            <w:pPr>
              <w:rPr>
                <w:b/>
                <w:sz w:val="18"/>
                <w:szCs w:val="18"/>
                <w:lang w:eastAsia="hr-HR"/>
              </w:rPr>
            </w:pPr>
            <w:r w:rsidRPr="00B037D6">
              <w:rPr>
                <w:b/>
                <w:sz w:val="18"/>
                <w:szCs w:val="18"/>
                <w:lang w:eastAsia="hr-HR"/>
              </w:rPr>
              <w:t>Naziv usluge</w:t>
            </w:r>
          </w:p>
        </w:tc>
        <w:tc>
          <w:tcPr>
            <w:tcW w:w="1245" w:type="dxa"/>
            <w:vMerge w:val="restart"/>
            <w:tcBorders>
              <w:top w:val="single" w:sz="4" w:space="0" w:color="auto"/>
              <w:left w:val="nil"/>
              <w:right w:val="single" w:sz="4" w:space="0" w:color="auto"/>
            </w:tcBorders>
            <w:shd w:val="clear" w:color="auto" w:fill="A3E7FF"/>
            <w:vAlign w:val="center"/>
            <w:hideMark/>
          </w:tcPr>
          <w:p w14:paraId="78F1681B" w14:textId="77777777" w:rsidR="00105B6F" w:rsidRPr="00B037D6" w:rsidRDefault="00105B6F" w:rsidP="00BA499D">
            <w:pPr>
              <w:jc w:val="center"/>
              <w:rPr>
                <w:b/>
                <w:sz w:val="18"/>
                <w:szCs w:val="18"/>
                <w:lang w:eastAsia="hr-HR"/>
              </w:rPr>
            </w:pPr>
            <w:r>
              <w:rPr>
                <w:b/>
                <w:sz w:val="18"/>
                <w:szCs w:val="18"/>
                <w:lang w:eastAsia="hr-HR"/>
              </w:rPr>
              <w:t>Plan za 2023</w:t>
            </w:r>
            <w:r w:rsidRPr="00B037D6">
              <w:rPr>
                <w:b/>
                <w:sz w:val="18"/>
                <w:szCs w:val="18"/>
                <w:lang w:eastAsia="hr-HR"/>
              </w:rPr>
              <w:t>.</w:t>
            </w:r>
          </w:p>
        </w:tc>
        <w:tc>
          <w:tcPr>
            <w:tcW w:w="1504" w:type="dxa"/>
            <w:vMerge w:val="restart"/>
            <w:tcBorders>
              <w:top w:val="single" w:sz="4" w:space="0" w:color="auto"/>
              <w:left w:val="nil"/>
              <w:right w:val="single" w:sz="4" w:space="0" w:color="auto"/>
            </w:tcBorders>
            <w:shd w:val="clear" w:color="auto" w:fill="A3E7FF"/>
            <w:vAlign w:val="center"/>
            <w:hideMark/>
          </w:tcPr>
          <w:p w14:paraId="6033DCDA" w14:textId="77777777" w:rsidR="00105B6F" w:rsidRPr="00B037D6" w:rsidRDefault="00105B6F" w:rsidP="00BA499D">
            <w:pPr>
              <w:jc w:val="center"/>
              <w:rPr>
                <w:b/>
                <w:sz w:val="18"/>
                <w:szCs w:val="18"/>
                <w:lang w:eastAsia="hr-HR"/>
              </w:rPr>
            </w:pPr>
            <w:r w:rsidRPr="00B037D6">
              <w:rPr>
                <w:b/>
                <w:sz w:val="18"/>
                <w:szCs w:val="18"/>
                <w:lang w:eastAsia="hr-HR"/>
              </w:rPr>
              <w:t>Izvršenje</w:t>
            </w:r>
          </w:p>
          <w:p w14:paraId="40AC7994" w14:textId="77777777" w:rsidR="00105B6F" w:rsidRPr="00B037D6" w:rsidRDefault="00105B6F" w:rsidP="00BA499D">
            <w:pPr>
              <w:jc w:val="center"/>
              <w:rPr>
                <w:b/>
                <w:sz w:val="18"/>
                <w:szCs w:val="18"/>
                <w:lang w:eastAsia="hr-HR"/>
              </w:rPr>
            </w:pPr>
            <w:r>
              <w:rPr>
                <w:b/>
                <w:sz w:val="18"/>
                <w:szCs w:val="18"/>
                <w:lang w:eastAsia="hr-HR"/>
              </w:rPr>
              <w:t>01.01.-31.12.2023</w:t>
            </w:r>
            <w:r w:rsidRPr="00B037D6">
              <w:rPr>
                <w:b/>
                <w:sz w:val="18"/>
                <w:szCs w:val="18"/>
                <w:lang w:eastAsia="hr-HR"/>
              </w:rPr>
              <w:t>.</w:t>
            </w:r>
          </w:p>
        </w:tc>
        <w:tc>
          <w:tcPr>
            <w:tcW w:w="1111" w:type="dxa"/>
            <w:tcBorders>
              <w:top w:val="single" w:sz="4" w:space="0" w:color="auto"/>
              <w:left w:val="nil"/>
              <w:right w:val="single" w:sz="4" w:space="0" w:color="auto"/>
            </w:tcBorders>
            <w:shd w:val="clear" w:color="auto" w:fill="A3E7FF"/>
            <w:vAlign w:val="center"/>
          </w:tcPr>
          <w:p w14:paraId="33C0E933" w14:textId="77777777" w:rsidR="00105B6F" w:rsidRPr="00B037D6" w:rsidRDefault="00105B6F" w:rsidP="00BA499D">
            <w:pPr>
              <w:jc w:val="center"/>
              <w:rPr>
                <w:b/>
                <w:sz w:val="18"/>
                <w:szCs w:val="18"/>
                <w:lang w:eastAsia="hr-HR"/>
              </w:rPr>
            </w:pPr>
          </w:p>
          <w:p w14:paraId="0ABF197B" w14:textId="77777777" w:rsidR="00105B6F" w:rsidRPr="00B037D6" w:rsidRDefault="00105B6F" w:rsidP="00BA499D">
            <w:pPr>
              <w:jc w:val="center"/>
              <w:rPr>
                <w:b/>
                <w:sz w:val="18"/>
                <w:szCs w:val="18"/>
                <w:lang w:eastAsia="hr-HR"/>
              </w:rPr>
            </w:pPr>
          </w:p>
          <w:p w14:paraId="60412FE4" w14:textId="77777777" w:rsidR="00105B6F" w:rsidRPr="00B037D6" w:rsidRDefault="00105B6F" w:rsidP="00BA499D">
            <w:pPr>
              <w:jc w:val="center"/>
              <w:rPr>
                <w:b/>
                <w:sz w:val="18"/>
                <w:szCs w:val="18"/>
                <w:lang w:eastAsia="hr-HR"/>
              </w:rPr>
            </w:pPr>
            <w:r w:rsidRPr="00B037D6">
              <w:rPr>
                <w:b/>
                <w:sz w:val="18"/>
                <w:szCs w:val="18"/>
                <w:lang w:eastAsia="hr-HR"/>
              </w:rPr>
              <w:t>% izvršenja</w:t>
            </w:r>
          </w:p>
        </w:tc>
      </w:tr>
      <w:tr w:rsidR="00105B6F" w:rsidRPr="00F609D9" w14:paraId="13DED53B" w14:textId="77777777" w:rsidTr="00BA499D">
        <w:trPr>
          <w:trHeight w:val="284"/>
          <w:tblHeader/>
          <w:jc w:val="center"/>
        </w:trPr>
        <w:tc>
          <w:tcPr>
            <w:tcW w:w="826" w:type="dxa"/>
            <w:vMerge/>
            <w:tcBorders>
              <w:left w:val="single" w:sz="4" w:space="0" w:color="auto"/>
              <w:bottom w:val="single" w:sz="4" w:space="0" w:color="auto"/>
              <w:right w:val="single" w:sz="4" w:space="0" w:color="auto"/>
            </w:tcBorders>
            <w:shd w:val="clear" w:color="auto" w:fill="A3E7FF"/>
            <w:vAlign w:val="center"/>
          </w:tcPr>
          <w:p w14:paraId="3AAB01AC" w14:textId="77777777" w:rsidR="00105B6F" w:rsidRPr="00F609D9" w:rsidRDefault="00105B6F" w:rsidP="00BA499D">
            <w:pPr>
              <w:rPr>
                <w:sz w:val="18"/>
                <w:szCs w:val="18"/>
                <w:lang w:eastAsia="hr-HR"/>
              </w:rPr>
            </w:pPr>
          </w:p>
        </w:tc>
        <w:tc>
          <w:tcPr>
            <w:tcW w:w="4807" w:type="dxa"/>
            <w:vMerge/>
            <w:tcBorders>
              <w:left w:val="nil"/>
              <w:bottom w:val="single" w:sz="4" w:space="0" w:color="auto"/>
              <w:right w:val="single" w:sz="4" w:space="0" w:color="auto"/>
            </w:tcBorders>
            <w:shd w:val="clear" w:color="auto" w:fill="A3E7FF"/>
            <w:noWrap/>
            <w:vAlign w:val="center"/>
          </w:tcPr>
          <w:p w14:paraId="4D6BF3BB" w14:textId="77777777" w:rsidR="00105B6F" w:rsidRPr="00F609D9" w:rsidRDefault="00105B6F" w:rsidP="00BA499D">
            <w:pPr>
              <w:rPr>
                <w:sz w:val="18"/>
                <w:szCs w:val="18"/>
                <w:lang w:eastAsia="hr-HR"/>
              </w:rPr>
            </w:pPr>
          </w:p>
        </w:tc>
        <w:tc>
          <w:tcPr>
            <w:tcW w:w="1245" w:type="dxa"/>
            <w:vMerge/>
            <w:tcBorders>
              <w:left w:val="nil"/>
              <w:bottom w:val="single" w:sz="4" w:space="0" w:color="auto"/>
              <w:right w:val="single" w:sz="4" w:space="0" w:color="auto"/>
            </w:tcBorders>
            <w:shd w:val="clear" w:color="auto" w:fill="A3E7FF"/>
            <w:vAlign w:val="center"/>
          </w:tcPr>
          <w:p w14:paraId="41723B61" w14:textId="77777777" w:rsidR="00105B6F" w:rsidRPr="00F609D9" w:rsidRDefault="00105B6F" w:rsidP="00BA499D">
            <w:pPr>
              <w:rPr>
                <w:sz w:val="18"/>
                <w:szCs w:val="18"/>
                <w:lang w:eastAsia="hr-HR"/>
              </w:rPr>
            </w:pPr>
          </w:p>
        </w:tc>
        <w:tc>
          <w:tcPr>
            <w:tcW w:w="1504" w:type="dxa"/>
            <w:vMerge/>
            <w:tcBorders>
              <w:left w:val="nil"/>
              <w:bottom w:val="single" w:sz="4" w:space="0" w:color="auto"/>
              <w:right w:val="single" w:sz="4" w:space="0" w:color="auto"/>
            </w:tcBorders>
            <w:shd w:val="clear" w:color="auto" w:fill="A3E7FF"/>
            <w:vAlign w:val="center"/>
          </w:tcPr>
          <w:p w14:paraId="565CC809" w14:textId="77777777" w:rsidR="00105B6F" w:rsidRPr="00F609D9" w:rsidRDefault="00105B6F" w:rsidP="00BA499D">
            <w:pPr>
              <w:rPr>
                <w:sz w:val="18"/>
                <w:szCs w:val="18"/>
                <w:lang w:eastAsia="hr-HR"/>
              </w:rPr>
            </w:pPr>
          </w:p>
        </w:tc>
        <w:tc>
          <w:tcPr>
            <w:tcW w:w="1111" w:type="dxa"/>
            <w:tcBorders>
              <w:left w:val="nil"/>
              <w:bottom w:val="single" w:sz="4" w:space="0" w:color="auto"/>
              <w:right w:val="single" w:sz="4" w:space="0" w:color="auto"/>
            </w:tcBorders>
            <w:shd w:val="clear" w:color="auto" w:fill="A3E7FF"/>
            <w:vAlign w:val="center"/>
          </w:tcPr>
          <w:p w14:paraId="4072EC44" w14:textId="77777777" w:rsidR="00105B6F" w:rsidRPr="00F609D9" w:rsidRDefault="00105B6F" w:rsidP="00BA499D">
            <w:pPr>
              <w:rPr>
                <w:sz w:val="18"/>
                <w:szCs w:val="18"/>
                <w:lang w:eastAsia="hr-HR"/>
              </w:rPr>
            </w:pPr>
          </w:p>
        </w:tc>
      </w:tr>
      <w:tr w:rsidR="00105B6F" w:rsidRPr="00F609D9" w14:paraId="440259F7" w14:textId="77777777" w:rsidTr="00BA499D">
        <w:trPr>
          <w:trHeight w:val="284"/>
          <w:jc w:val="center"/>
        </w:trPr>
        <w:tc>
          <w:tcPr>
            <w:tcW w:w="826" w:type="dxa"/>
            <w:tcBorders>
              <w:top w:val="nil"/>
              <w:left w:val="single" w:sz="4" w:space="0" w:color="auto"/>
              <w:bottom w:val="single" w:sz="4" w:space="0" w:color="auto"/>
              <w:right w:val="single" w:sz="4" w:space="0" w:color="auto"/>
            </w:tcBorders>
            <w:shd w:val="clear" w:color="auto" w:fill="auto"/>
            <w:vAlign w:val="center"/>
            <w:hideMark/>
          </w:tcPr>
          <w:p w14:paraId="66A6FAD1" w14:textId="77777777" w:rsidR="00105B6F" w:rsidRPr="00F609D9" w:rsidRDefault="00105B6F" w:rsidP="00BA499D">
            <w:pPr>
              <w:jc w:val="center"/>
              <w:rPr>
                <w:color w:val="1A1A1A"/>
                <w:sz w:val="18"/>
                <w:szCs w:val="18"/>
                <w:lang w:eastAsia="hr-HR"/>
              </w:rPr>
            </w:pPr>
            <w:r w:rsidRPr="00F609D9">
              <w:rPr>
                <w:color w:val="1A1A1A"/>
                <w:sz w:val="18"/>
                <w:szCs w:val="18"/>
                <w:lang w:eastAsia="hr-HR"/>
              </w:rPr>
              <w:t>1.</w:t>
            </w:r>
          </w:p>
        </w:tc>
        <w:tc>
          <w:tcPr>
            <w:tcW w:w="4807" w:type="dxa"/>
            <w:tcBorders>
              <w:top w:val="nil"/>
              <w:left w:val="nil"/>
              <w:bottom w:val="single" w:sz="4" w:space="0" w:color="auto"/>
              <w:right w:val="single" w:sz="4" w:space="0" w:color="auto"/>
            </w:tcBorders>
            <w:shd w:val="clear" w:color="auto" w:fill="auto"/>
            <w:vAlign w:val="center"/>
            <w:hideMark/>
          </w:tcPr>
          <w:p w14:paraId="2EF12195" w14:textId="77777777" w:rsidR="00105B6F" w:rsidRPr="001D256A" w:rsidRDefault="00105B6F" w:rsidP="00BA499D">
            <w:pPr>
              <w:rPr>
                <w:color w:val="1A1A1A"/>
                <w:sz w:val="18"/>
                <w:szCs w:val="18"/>
                <w:lang w:eastAsia="hr-HR"/>
              </w:rPr>
            </w:pPr>
            <w:r w:rsidRPr="00A940C1">
              <w:rPr>
                <w:color w:val="1A1A1A"/>
                <w:sz w:val="18"/>
                <w:szCs w:val="18"/>
                <w:lang w:eastAsia="hr-HR"/>
              </w:rPr>
              <w:t>Izdavanje/uskraćivanje odobrenja za proizvodnju VMP</w:t>
            </w:r>
          </w:p>
        </w:tc>
        <w:tc>
          <w:tcPr>
            <w:tcW w:w="1245" w:type="dxa"/>
            <w:tcBorders>
              <w:top w:val="nil"/>
              <w:left w:val="nil"/>
              <w:bottom w:val="single" w:sz="4" w:space="0" w:color="auto"/>
              <w:right w:val="single" w:sz="4" w:space="0" w:color="auto"/>
            </w:tcBorders>
            <w:shd w:val="clear" w:color="auto" w:fill="auto"/>
            <w:noWrap/>
            <w:vAlign w:val="center"/>
          </w:tcPr>
          <w:p w14:paraId="73A21C0E" w14:textId="77777777" w:rsidR="00105B6F" w:rsidRPr="00252242" w:rsidRDefault="00105B6F" w:rsidP="00BA499D">
            <w:pPr>
              <w:jc w:val="center"/>
              <w:rPr>
                <w:sz w:val="18"/>
              </w:rPr>
            </w:pPr>
            <w:r w:rsidRPr="00632837">
              <w:rPr>
                <w:bCs/>
                <w:sz w:val="20"/>
                <w:szCs w:val="20"/>
              </w:rPr>
              <w:t>0</w:t>
            </w:r>
          </w:p>
        </w:tc>
        <w:tc>
          <w:tcPr>
            <w:tcW w:w="1504" w:type="dxa"/>
            <w:tcBorders>
              <w:top w:val="nil"/>
              <w:left w:val="nil"/>
              <w:bottom w:val="single" w:sz="4" w:space="0" w:color="auto"/>
              <w:right w:val="single" w:sz="4" w:space="0" w:color="auto"/>
            </w:tcBorders>
            <w:shd w:val="clear" w:color="auto" w:fill="auto"/>
            <w:noWrap/>
            <w:vAlign w:val="center"/>
          </w:tcPr>
          <w:p w14:paraId="2D1B3781" w14:textId="77777777" w:rsidR="00105B6F" w:rsidRPr="00424184" w:rsidRDefault="00105B6F" w:rsidP="00BA499D">
            <w:pPr>
              <w:jc w:val="center"/>
              <w:rPr>
                <w:sz w:val="18"/>
              </w:rPr>
            </w:pPr>
            <w:r w:rsidRPr="00D17B03">
              <w:rPr>
                <w:bCs/>
                <w:sz w:val="20"/>
                <w:szCs w:val="20"/>
              </w:rPr>
              <w:t>0</w:t>
            </w:r>
          </w:p>
        </w:tc>
        <w:tc>
          <w:tcPr>
            <w:tcW w:w="1111" w:type="dxa"/>
            <w:tcBorders>
              <w:top w:val="nil"/>
              <w:left w:val="nil"/>
              <w:bottom w:val="single" w:sz="4" w:space="0" w:color="auto"/>
              <w:right w:val="single" w:sz="4" w:space="0" w:color="auto"/>
            </w:tcBorders>
            <w:vAlign w:val="center"/>
          </w:tcPr>
          <w:p w14:paraId="082D116E" w14:textId="77777777" w:rsidR="00105B6F" w:rsidRPr="00424184" w:rsidRDefault="00105B6F" w:rsidP="00BA499D">
            <w:pPr>
              <w:jc w:val="center"/>
              <w:rPr>
                <w:sz w:val="18"/>
              </w:rPr>
            </w:pPr>
            <w:r>
              <w:rPr>
                <w:sz w:val="20"/>
                <w:szCs w:val="20"/>
              </w:rPr>
              <w:t>-</w:t>
            </w:r>
          </w:p>
        </w:tc>
      </w:tr>
      <w:tr w:rsidR="00105B6F" w:rsidRPr="00F609D9" w14:paraId="23AC4A17" w14:textId="77777777" w:rsidTr="00BA499D">
        <w:trPr>
          <w:trHeight w:val="284"/>
          <w:jc w:val="center"/>
        </w:trPr>
        <w:tc>
          <w:tcPr>
            <w:tcW w:w="826" w:type="dxa"/>
            <w:tcBorders>
              <w:top w:val="nil"/>
              <w:left w:val="single" w:sz="4" w:space="0" w:color="auto"/>
              <w:bottom w:val="single" w:sz="4" w:space="0" w:color="auto"/>
              <w:right w:val="single" w:sz="4" w:space="0" w:color="auto"/>
            </w:tcBorders>
            <w:shd w:val="clear" w:color="auto" w:fill="auto"/>
            <w:vAlign w:val="center"/>
            <w:hideMark/>
          </w:tcPr>
          <w:p w14:paraId="29422AA1" w14:textId="77777777" w:rsidR="00105B6F" w:rsidRPr="00F609D9" w:rsidRDefault="00105B6F" w:rsidP="00BA499D">
            <w:pPr>
              <w:jc w:val="center"/>
              <w:rPr>
                <w:color w:val="1A1A1A"/>
                <w:sz w:val="18"/>
                <w:szCs w:val="18"/>
                <w:lang w:eastAsia="hr-HR"/>
              </w:rPr>
            </w:pPr>
            <w:r w:rsidRPr="00F609D9">
              <w:rPr>
                <w:color w:val="1A1A1A"/>
                <w:sz w:val="18"/>
                <w:szCs w:val="18"/>
                <w:lang w:eastAsia="hr-HR"/>
              </w:rPr>
              <w:t>2.</w:t>
            </w:r>
          </w:p>
        </w:tc>
        <w:tc>
          <w:tcPr>
            <w:tcW w:w="4807" w:type="dxa"/>
            <w:tcBorders>
              <w:top w:val="nil"/>
              <w:left w:val="nil"/>
              <w:bottom w:val="single" w:sz="4" w:space="0" w:color="auto"/>
              <w:right w:val="single" w:sz="4" w:space="0" w:color="auto"/>
            </w:tcBorders>
            <w:shd w:val="clear" w:color="auto" w:fill="auto"/>
            <w:vAlign w:val="center"/>
            <w:hideMark/>
          </w:tcPr>
          <w:p w14:paraId="6A6A2A6B" w14:textId="77777777" w:rsidR="00105B6F" w:rsidRPr="001D256A" w:rsidRDefault="00105B6F" w:rsidP="00BA499D">
            <w:pPr>
              <w:rPr>
                <w:color w:val="1A1A1A"/>
                <w:sz w:val="18"/>
                <w:szCs w:val="18"/>
                <w:lang w:eastAsia="hr-HR"/>
              </w:rPr>
            </w:pPr>
            <w:r w:rsidRPr="007B304C">
              <w:rPr>
                <w:color w:val="1A1A1A"/>
                <w:sz w:val="18"/>
                <w:szCs w:val="18"/>
                <w:lang w:eastAsia="hr-HR"/>
              </w:rPr>
              <w:t xml:space="preserve">Izmjena odobrenja za proizvodnju </w:t>
            </w:r>
            <w:r w:rsidRPr="00171239">
              <w:rPr>
                <w:color w:val="1A1A1A"/>
                <w:sz w:val="18"/>
                <w:szCs w:val="18"/>
              </w:rPr>
              <w:t>VMP</w:t>
            </w:r>
          </w:p>
        </w:tc>
        <w:tc>
          <w:tcPr>
            <w:tcW w:w="1245" w:type="dxa"/>
            <w:tcBorders>
              <w:top w:val="nil"/>
              <w:left w:val="nil"/>
              <w:bottom w:val="single" w:sz="4" w:space="0" w:color="auto"/>
              <w:right w:val="single" w:sz="4" w:space="0" w:color="auto"/>
            </w:tcBorders>
            <w:shd w:val="clear" w:color="auto" w:fill="auto"/>
            <w:noWrap/>
            <w:vAlign w:val="center"/>
          </w:tcPr>
          <w:p w14:paraId="05EA331A" w14:textId="77777777" w:rsidR="00105B6F" w:rsidRPr="00252242" w:rsidRDefault="00105B6F" w:rsidP="00BA499D">
            <w:pPr>
              <w:jc w:val="center"/>
              <w:rPr>
                <w:sz w:val="18"/>
              </w:rPr>
            </w:pPr>
            <w:r w:rsidRPr="00632837">
              <w:rPr>
                <w:bCs/>
                <w:sz w:val="20"/>
                <w:szCs w:val="20"/>
              </w:rPr>
              <w:t>2</w:t>
            </w:r>
          </w:p>
        </w:tc>
        <w:tc>
          <w:tcPr>
            <w:tcW w:w="1504" w:type="dxa"/>
            <w:tcBorders>
              <w:top w:val="nil"/>
              <w:left w:val="nil"/>
              <w:bottom w:val="single" w:sz="4" w:space="0" w:color="auto"/>
              <w:right w:val="single" w:sz="4" w:space="0" w:color="auto"/>
            </w:tcBorders>
            <w:shd w:val="clear" w:color="auto" w:fill="auto"/>
            <w:noWrap/>
            <w:vAlign w:val="center"/>
          </w:tcPr>
          <w:p w14:paraId="04B712F6" w14:textId="77777777" w:rsidR="00105B6F" w:rsidRPr="00424184" w:rsidRDefault="00105B6F" w:rsidP="00BA499D">
            <w:pPr>
              <w:jc w:val="center"/>
              <w:rPr>
                <w:sz w:val="18"/>
              </w:rPr>
            </w:pPr>
            <w:r w:rsidRPr="00D17B03">
              <w:rPr>
                <w:bCs/>
                <w:sz w:val="20"/>
                <w:szCs w:val="20"/>
              </w:rPr>
              <w:t>5</w:t>
            </w:r>
          </w:p>
        </w:tc>
        <w:tc>
          <w:tcPr>
            <w:tcW w:w="1111" w:type="dxa"/>
            <w:tcBorders>
              <w:top w:val="nil"/>
              <w:left w:val="nil"/>
              <w:bottom w:val="single" w:sz="4" w:space="0" w:color="auto"/>
              <w:right w:val="single" w:sz="4" w:space="0" w:color="auto"/>
            </w:tcBorders>
            <w:vAlign w:val="center"/>
          </w:tcPr>
          <w:p w14:paraId="7E5F28C7" w14:textId="77777777" w:rsidR="00105B6F" w:rsidRPr="00424184" w:rsidRDefault="00105B6F" w:rsidP="00BA499D">
            <w:pPr>
              <w:jc w:val="center"/>
              <w:rPr>
                <w:sz w:val="18"/>
              </w:rPr>
            </w:pPr>
            <w:r w:rsidRPr="00424184">
              <w:rPr>
                <w:sz w:val="20"/>
                <w:szCs w:val="20"/>
              </w:rPr>
              <w:t>250%</w:t>
            </w:r>
          </w:p>
        </w:tc>
      </w:tr>
      <w:tr w:rsidR="00105B6F" w:rsidRPr="00F609D9" w14:paraId="1E69ACD3" w14:textId="77777777" w:rsidTr="00BA499D">
        <w:trPr>
          <w:trHeight w:val="284"/>
          <w:jc w:val="center"/>
        </w:trPr>
        <w:tc>
          <w:tcPr>
            <w:tcW w:w="826" w:type="dxa"/>
            <w:tcBorders>
              <w:top w:val="nil"/>
              <w:left w:val="single" w:sz="4" w:space="0" w:color="auto"/>
              <w:bottom w:val="single" w:sz="4" w:space="0" w:color="auto"/>
              <w:right w:val="single" w:sz="4" w:space="0" w:color="auto"/>
            </w:tcBorders>
            <w:shd w:val="clear" w:color="auto" w:fill="auto"/>
            <w:vAlign w:val="center"/>
            <w:hideMark/>
          </w:tcPr>
          <w:p w14:paraId="23A30822" w14:textId="77777777" w:rsidR="00105B6F" w:rsidRPr="00F609D9" w:rsidRDefault="00105B6F" w:rsidP="00BA499D">
            <w:pPr>
              <w:jc w:val="center"/>
              <w:rPr>
                <w:color w:val="1A1A1A"/>
                <w:sz w:val="18"/>
                <w:szCs w:val="18"/>
                <w:lang w:eastAsia="hr-HR"/>
              </w:rPr>
            </w:pPr>
            <w:r w:rsidRPr="00F609D9">
              <w:rPr>
                <w:color w:val="1A1A1A"/>
                <w:sz w:val="18"/>
                <w:szCs w:val="18"/>
                <w:lang w:eastAsia="hr-HR"/>
              </w:rPr>
              <w:t>3.</w:t>
            </w:r>
          </w:p>
        </w:tc>
        <w:tc>
          <w:tcPr>
            <w:tcW w:w="4807" w:type="dxa"/>
            <w:tcBorders>
              <w:top w:val="nil"/>
              <w:left w:val="nil"/>
              <w:bottom w:val="single" w:sz="4" w:space="0" w:color="auto"/>
              <w:right w:val="single" w:sz="4" w:space="0" w:color="auto"/>
            </w:tcBorders>
            <w:shd w:val="clear" w:color="auto" w:fill="auto"/>
            <w:vAlign w:val="center"/>
            <w:hideMark/>
          </w:tcPr>
          <w:p w14:paraId="407BC789" w14:textId="77777777" w:rsidR="00105B6F" w:rsidRPr="001D256A" w:rsidRDefault="00105B6F" w:rsidP="00BA499D">
            <w:pPr>
              <w:rPr>
                <w:color w:val="1A1A1A"/>
                <w:sz w:val="18"/>
                <w:szCs w:val="18"/>
                <w:lang w:eastAsia="hr-HR"/>
              </w:rPr>
            </w:pPr>
            <w:r w:rsidRPr="00A940C1">
              <w:rPr>
                <w:color w:val="1A1A1A"/>
                <w:sz w:val="18"/>
                <w:szCs w:val="18"/>
                <w:lang w:eastAsia="hr-HR"/>
              </w:rPr>
              <w:t>Brisanje iz upisnika nositelja odobrenja za proizvodnju VMP, na zahtjev nositelja</w:t>
            </w:r>
          </w:p>
        </w:tc>
        <w:tc>
          <w:tcPr>
            <w:tcW w:w="1245" w:type="dxa"/>
            <w:tcBorders>
              <w:top w:val="nil"/>
              <w:left w:val="nil"/>
              <w:bottom w:val="single" w:sz="4" w:space="0" w:color="auto"/>
              <w:right w:val="single" w:sz="4" w:space="0" w:color="auto"/>
            </w:tcBorders>
            <w:shd w:val="clear" w:color="auto" w:fill="auto"/>
            <w:noWrap/>
            <w:vAlign w:val="center"/>
          </w:tcPr>
          <w:p w14:paraId="67A29BAC" w14:textId="77777777" w:rsidR="00105B6F" w:rsidRPr="00252242" w:rsidRDefault="00105B6F" w:rsidP="00BA499D">
            <w:pPr>
              <w:jc w:val="center"/>
              <w:rPr>
                <w:sz w:val="18"/>
              </w:rPr>
            </w:pPr>
            <w:r w:rsidRPr="00632837">
              <w:rPr>
                <w:bCs/>
                <w:sz w:val="20"/>
                <w:szCs w:val="20"/>
              </w:rPr>
              <w:t>0</w:t>
            </w:r>
          </w:p>
        </w:tc>
        <w:tc>
          <w:tcPr>
            <w:tcW w:w="1504" w:type="dxa"/>
            <w:tcBorders>
              <w:top w:val="nil"/>
              <w:left w:val="nil"/>
              <w:bottom w:val="single" w:sz="4" w:space="0" w:color="auto"/>
              <w:right w:val="single" w:sz="4" w:space="0" w:color="auto"/>
            </w:tcBorders>
            <w:shd w:val="clear" w:color="auto" w:fill="auto"/>
            <w:noWrap/>
            <w:vAlign w:val="center"/>
          </w:tcPr>
          <w:p w14:paraId="643B0B92" w14:textId="77777777" w:rsidR="00105B6F" w:rsidRPr="00424184" w:rsidRDefault="00105B6F" w:rsidP="00BA499D">
            <w:pPr>
              <w:jc w:val="center"/>
              <w:rPr>
                <w:sz w:val="18"/>
              </w:rPr>
            </w:pPr>
            <w:r w:rsidRPr="00D17B03">
              <w:rPr>
                <w:bCs/>
                <w:sz w:val="20"/>
                <w:szCs w:val="20"/>
              </w:rPr>
              <w:t>0</w:t>
            </w:r>
          </w:p>
        </w:tc>
        <w:tc>
          <w:tcPr>
            <w:tcW w:w="1111" w:type="dxa"/>
            <w:tcBorders>
              <w:top w:val="nil"/>
              <w:left w:val="nil"/>
              <w:bottom w:val="single" w:sz="4" w:space="0" w:color="auto"/>
              <w:right w:val="single" w:sz="4" w:space="0" w:color="auto"/>
            </w:tcBorders>
            <w:vAlign w:val="center"/>
          </w:tcPr>
          <w:p w14:paraId="4837C411" w14:textId="77777777" w:rsidR="00105B6F" w:rsidRPr="00424184" w:rsidRDefault="00105B6F" w:rsidP="00BA499D">
            <w:pPr>
              <w:jc w:val="center"/>
              <w:rPr>
                <w:sz w:val="18"/>
              </w:rPr>
            </w:pPr>
            <w:r>
              <w:rPr>
                <w:sz w:val="20"/>
                <w:szCs w:val="20"/>
              </w:rPr>
              <w:t>-</w:t>
            </w:r>
          </w:p>
        </w:tc>
      </w:tr>
      <w:tr w:rsidR="00105B6F" w:rsidRPr="00F609D9" w14:paraId="52B2B967" w14:textId="77777777" w:rsidTr="00BA499D">
        <w:trPr>
          <w:trHeight w:val="284"/>
          <w:jc w:val="center"/>
        </w:trPr>
        <w:tc>
          <w:tcPr>
            <w:tcW w:w="826" w:type="dxa"/>
            <w:tcBorders>
              <w:top w:val="nil"/>
              <w:left w:val="single" w:sz="4" w:space="0" w:color="auto"/>
              <w:bottom w:val="single" w:sz="4" w:space="0" w:color="auto"/>
              <w:right w:val="single" w:sz="4" w:space="0" w:color="auto"/>
            </w:tcBorders>
            <w:shd w:val="clear" w:color="auto" w:fill="auto"/>
            <w:vAlign w:val="center"/>
            <w:hideMark/>
          </w:tcPr>
          <w:p w14:paraId="5717DCAA" w14:textId="77777777" w:rsidR="00105B6F" w:rsidRPr="00F609D9" w:rsidRDefault="00105B6F" w:rsidP="00BA499D">
            <w:pPr>
              <w:jc w:val="center"/>
              <w:rPr>
                <w:color w:val="1A1A1A"/>
                <w:sz w:val="18"/>
                <w:szCs w:val="18"/>
                <w:lang w:eastAsia="hr-HR"/>
              </w:rPr>
            </w:pPr>
            <w:r w:rsidRPr="00F609D9">
              <w:rPr>
                <w:color w:val="1A1A1A"/>
                <w:sz w:val="18"/>
                <w:szCs w:val="18"/>
                <w:lang w:eastAsia="hr-HR"/>
              </w:rPr>
              <w:lastRenderedPageBreak/>
              <w:t>4.</w:t>
            </w:r>
          </w:p>
        </w:tc>
        <w:tc>
          <w:tcPr>
            <w:tcW w:w="4807" w:type="dxa"/>
            <w:tcBorders>
              <w:top w:val="nil"/>
              <w:left w:val="nil"/>
              <w:bottom w:val="single" w:sz="4" w:space="0" w:color="auto"/>
              <w:right w:val="single" w:sz="4" w:space="0" w:color="auto"/>
            </w:tcBorders>
            <w:shd w:val="clear" w:color="auto" w:fill="auto"/>
            <w:vAlign w:val="center"/>
            <w:hideMark/>
          </w:tcPr>
          <w:p w14:paraId="49794092" w14:textId="77777777" w:rsidR="00105B6F" w:rsidRPr="001D256A" w:rsidRDefault="00105B6F" w:rsidP="00BA499D">
            <w:pPr>
              <w:rPr>
                <w:color w:val="1A1A1A"/>
                <w:sz w:val="18"/>
                <w:szCs w:val="18"/>
                <w:lang w:eastAsia="hr-HR"/>
              </w:rPr>
            </w:pPr>
            <w:r w:rsidRPr="007B304C">
              <w:rPr>
                <w:color w:val="1A1A1A"/>
                <w:sz w:val="18"/>
                <w:szCs w:val="18"/>
                <w:lang w:eastAsia="hr-HR"/>
              </w:rPr>
              <w:t xml:space="preserve">Davanje potvrde </w:t>
            </w:r>
            <w:r w:rsidRPr="00171239">
              <w:rPr>
                <w:color w:val="1A1A1A"/>
                <w:sz w:val="18"/>
                <w:szCs w:val="18"/>
                <w:lang w:eastAsia="hr-HR"/>
              </w:rPr>
              <w:t>o udovoljavanju načelima</w:t>
            </w:r>
            <w:r w:rsidRPr="007B304C">
              <w:rPr>
                <w:color w:val="1A1A1A"/>
                <w:sz w:val="18"/>
                <w:szCs w:val="18"/>
                <w:lang w:eastAsia="hr-HR"/>
              </w:rPr>
              <w:t xml:space="preserve"> dobre proizvođačke prakse za proizvodnju </w:t>
            </w:r>
            <w:r w:rsidRPr="00171239">
              <w:rPr>
                <w:color w:val="1A1A1A"/>
                <w:sz w:val="18"/>
                <w:szCs w:val="18"/>
              </w:rPr>
              <w:t>VMP</w:t>
            </w:r>
            <w:r w:rsidRPr="007B304C">
              <w:rPr>
                <w:color w:val="1A1A1A"/>
                <w:sz w:val="18"/>
                <w:szCs w:val="18"/>
              </w:rPr>
              <w:t xml:space="preserve"> za proizvođače u RH</w:t>
            </w:r>
          </w:p>
        </w:tc>
        <w:tc>
          <w:tcPr>
            <w:tcW w:w="1245" w:type="dxa"/>
            <w:tcBorders>
              <w:top w:val="nil"/>
              <w:left w:val="nil"/>
              <w:bottom w:val="single" w:sz="4" w:space="0" w:color="auto"/>
              <w:right w:val="single" w:sz="4" w:space="0" w:color="auto"/>
            </w:tcBorders>
            <w:shd w:val="clear" w:color="auto" w:fill="auto"/>
            <w:noWrap/>
            <w:vAlign w:val="center"/>
          </w:tcPr>
          <w:p w14:paraId="4BAF0092" w14:textId="77777777" w:rsidR="00105B6F" w:rsidRPr="00252242" w:rsidRDefault="00105B6F" w:rsidP="00BA499D">
            <w:pPr>
              <w:jc w:val="center"/>
              <w:rPr>
                <w:sz w:val="18"/>
              </w:rPr>
            </w:pPr>
            <w:r w:rsidRPr="00632837">
              <w:rPr>
                <w:bCs/>
                <w:sz w:val="20"/>
                <w:szCs w:val="20"/>
              </w:rPr>
              <w:t>2</w:t>
            </w:r>
          </w:p>
        </w:tc>
        <w:tc>
          <w:tcPr>
            <w:tcW w:w="1504" w:type="dxa"/>
            <w:tcBorders>
              <w:top w:val="nil"/>
              <w:left w:val="nil"/>
              <w:bottom w:val="single" w:sz="4" w:space="0" w:color="auto"/>
              <w:right w:val="single" w:sz="4" w:space="0" w:color="auto"/>
            </w:tcBorders>
            <w:shd w:val="clear" w:color="auto" w:fill="auto"/>
            <w:noWrap/>
            <w:vAlign w:val="center"/>
          </w:tcPr>
          <w:p w14:paraId="13B5D196" w14:textId="77777777" w:rsidR="00105B6F" w:rsidRPr="00424184" w:rsidRDefault="00105B6F" w:rsidP="00BA499D">
            <w:pPr>
              <w:jc w:val="center"/>
              <w:rPr>
                <w:sz w:val="18"/>
              </w:rPr>
            </w:pPr>
            <w:r w:rsidRPr="00D17B03">
              <w:rPr>
                <w:bCs/>
                <w:sz w:val="20"/>
                <w:szCs w:val="20"/>
              </w:rPr>
              <w:t>4</w:t>
            </w:r>
          </w:p>
        </w:tc>
        <w:tc>
          <w:tcPr>
            <w:tcW w:w="1111" w:type="dxa"/>
            <w:tcBorders>
              <w:top w:val="nil"/>
              <w:left w:val="nil"/>
              <w:bottom w:val="single" w:sz="4" w:space="0" w:color="auto"/>
              <w:right w:val="single" w:sz="4" w:space="0" w:color="auto"/>
            </w:tcBorders>
            <w:vAlign w:val="center"/>
          </w:tcPr>
          <w:p w14:paraId="4136143A" w14:textId="77777777" w:rsidR="00105B6F" w:rsidRPr="00424184" w:rsidRDefault="00105B6F" w:rsidP="00BA499D">
            <w:pPr>
              <w:jc w:val="center"/>
              <w:rPr>
                <w:sz w:val="18"/>
              </w:rPr>
            </w:pPr>
            <w:r w:rsidRPr="00424184">
              <w:rPr>
                <w:sz w:val="20"/>
                <w:szCs w:val="20"/>
              </w:rPr>
              <w:t>200%</w:t>
            </w:r>
          </w:p>
        </w:tc>
      </w:tr>
      <w:tr w:rsidR="00105B6F" w:rsidRPr="00F609D9" w14:paraId="363020AC" w14:textId="77777777" w:rsidTr="00BA499D">
        <w:trPr>
          <w:trHeight w:val="284"/>
          <w:jc w:val="center"/>
        </w:trPr>
        <w:tc>
          <w:tcPr>
            <w:tcW w:w="826" w:type="dxa"/>
            <w:tcBorders>
              <w:top w:val="nil"/>
              <w:left w:val="single" w:sz="4" w:space="0" w:color="auto"/>
              <w:bottom w:val="single" w:sz="4" w:space="0" w:color="auto"/>
              <w:right w:val="single" w:sz="4" w:space="0" w:color="auto"/>
            </w:tcBorders>
            <w:shd w:val="clear" w:color="auto" w:fill="auto"/>
            <w:vAlign w:val="center"/>
            <w:hideMark/>
          </w:tcPr>
          <w:p w14:paraId="2D7F976F" w14:textId="77777777" w:rsidR="00105B6F" w:rsidRPr="00F609D9" w:rsidRDefault="00105B6F" w:rsidP="00BA499D">
            <w:pPr>
              <w:jc w:val="center"/>
              <w:rPr>
                <w:sz w:val="18"/>
                <w:szCs w:val="18"/>
                <w:lang w:eastAsia="hr-HR"/>
              </w:rPr>
            </w:pPr>
            <w:r w:rsidRPr="00F609D9">
              <w:rPr>
                <w:sz w:val="18"/>
                <w:szCs w:val="18"/>
                <w:lang w:eastAsia="hr-HR"/>
              </w:rPr>
              <w:t>5.</w:t>
            </w:r>
          </w:p>
        </w:tc>
        <w:tc>
          <w:tcPr>
            <w:tcW w:w="4807" w:type="dxa"/>
            <w:tcBorders>
              <w:top w:val="nil"/>
              <w:left w:val="nil"/>
              <w:bottom w:val="single" w:sz="4" w:space="0" w:color="auto"/>
              <w:right w:val="single" w:sz="4" w:space="0" w:color="auto"/>
            </w:tcBorders>
            <w:shd w:val="clear" w:color="auto" w:fill="auto"/>
            <w:vAlign w:val="center"/>
            <w:hideMark/>
          </w:tcPr>
          <w:p w14:paraId="12E15033" w14:textId="77777777" w:rsidR="00105B6F" w:rsidRPr="001D256A" w:rsidRDefault="00105B6F" w:rsidP="00BA499D">
            <w:pPr>
              <w:rPr>
                <w:sz w:val="18"/>
                <w:szCs w:val="18"/>
                <w:lang w:eastAsia="hr-HR"/>
              </w:rPr>
            </w:pPr>
            <w:r w:rsidRPr="00A940C1">
              <w:rPr>
                <w:color w:val="1A1A1A"/>
                <w:sz w:val="18"/>
                <w:szCs w:val="18"/>
              </w:rPr>
              <w:t>Nadzor dobre proizvođačke prakse za VMP (po danu i po inspektoru)</w:t>
            </w:r>
          </w:p>
        </w:tc>
        <w:tc>
          <w:tcPr>
            <w:tcW w:w="1245" w:type="dxa"/>
            <w:tcBorders>
              <w:top w:val="nil"/>
              <w:left w:val="nil"/>
              <w:bottom w:val="single" w:sz="4" w:space="0" w:color="auto"/>
              <w:right w:val="single" w:sz="4" w:space="0" w:color="auto"/>
            </w:tcBorders>
            <w:shd w:val="clear" w:color="auto" w:fill="auto"/>
            <w:noWrap/>
            <w:vAlign w:val="center"/>
          </w:tcPr>
          <w:p w14:paraId="68CE63F4" w14:textId="77777777" w:rsidR="00105B6F" w:rsidRPr="00252242" w:rsidRDefault="00105B6F" w:rsidP="00BA499D">
            <w:pPr>
              <w:jc w:val="center"/>
              <w:rPr>
                <w:sz w:val="18"/>
              </w:rPr>
            </w:pPr>
            <w:r w:rsidRPr="00632837">
              <w:rPr>
                <w:bCs/>
                <w:sz w:val="20"/>
                <w:szCs w:val="20"/>
              </w:rPr>
              <w:t>6</w:t>
            </w:r>
          </w:p>
        </w:tc>
        <w:tc>
          <w:tcPr>
            <w:tcW w:w="1504" w:type="dxa"/>
            <w:tcBorders>
              <w:top w:val="nil"/>
              <w:left w:val="nil"/>
              <w:bottom w:val="single" w:sz="4" w:space="0" w:color="auto"/>
              <w:right w:val="single" w:sz="4" w:space="0" w:color="auto"/>
            </w:tcBorders>
            <w:shd w:val="clear" w:color="auto" w:fill="auto"/>
            <w:noWrap/>
            <w:vAlign w:val="center"/>
          </w:tcPr>
          <w:p w14:paraId="50DD8705" w14:textId="77777777" w:rsidR="00105B6F" w:rsidRPr="00424184" w:rsidRDefault="00105B6F" w:rsidP="00BA499D">
            <w:pPr>
              <w:jc w:val="center"/>
              <w:rPr>
                <w:sz w:val="18"/>
              </w:rPr>
            </w:pPr>
            <w:r w:rsidRPr="00D17B03">
              <w:rPr>
                <w:bCs/>
                <w:sz w:val="20"/>
                <w:szCs w:val="20"/>
              </w:rPr>
              <w:t>21</w:t>
            </w:r>
          </w:p>
        </w:tc>
        <w:tc>
          <w:tcPr>
            <w:tcW w:w="1111" w:type="dxa"/>
            <w:tcBorders>
              <w:top w:val="nil"/>
              <w:left w:val="nil"/>
              <w:bottom w:val="single" w:sz="4" w:space="0" w:color="auto"/>
              <w:right w:val="single" w:sz="4" w:space="0" w:color="auto"/>
            </w:tcBorders>
            <w:vAlign w:val="center"/>
          </w:tcPr>
          <w:p w14:paraId="5D919C90" w14:textId="77777777" w:rsidR="00105B6F" w:rsidRPr="00424184" w:rsidRDefault="00105B6F" w:rsidP="00BA499D">
            <w:pPr>
              <w:jc w:val="center"/>
              <w:rPr>
                <w:sz w:val="18"/>
              </w:rPr>
            </w:pPr>
            <w:r w:rsidRPr="00424184">
              <w:rPr>
                <w:sz w:val="20"/>
                <w:szCs w:val="20"/>
              </w:rPr>
              <w:t>350%</w:t>
            </w:r>
          </w:p>
        </w:tc>
      </w:tr>
      <w:tr w:rsidR="00105B6F" w:rsidRPr="00F609D9" w14:paraId="0A1B5350" w14:textId="77777777" w:rsidTr="00BA499D">
        <w:trPr>
          <w:trHeight w:val="284"/>
          <w:jc w:val="center"/>
        </w:trPr>
        <w:tc>
          <w:tcPr>
            <w:tcW w:w="826" w:type="dxa"/>
            <w:tcBorders>
              <w:top w:val="nil"/>
              <w:left w:val="single" w:sz="4" w:space="0" w:color="auto"/>
              <w:bottom w:val="single" w:sz="4" w:space="0" w:color="auto"/>
              <w:right w:val="single" w:sz="4" w:space="0" w:color="auto"/>
            </w:tcBorders>
            <w:shd w:val="clear" w:color="auto" w:fill="auto"/>
            <w:vAlign w:val="center"/>
            <w:hideMark/>
          </w:tcPr>
          <w:p w14:paraId="6F623096" w14:textId="77777777" w:rsidR="00105B6F" w:rsidRPr="00F609D9" w:rsidRDefault="00105B6F" w:rsidP="00BA499D">
            <w:pPr>
              <w:jc w:val="center"/>
              <w:rPr>
                <w:color w:val="1A1A1A"/>
                <w:sz w:val="18"/>
                <w:szCs w:val="18"/>
                <w:lang w:eastAsia="hr-HR"/>
              </w:rPr>
            </w:pPr>
            <w:r w:rsidRPr="00F609D9">
              <w:rPr>
                <w:color w:val="1A1A1A"/>
                <w:sz w:val="18"/>
                <w:szCs w:val="18"/>
                <w:lang w:eastAsia="hr-HR"/>
              </w:rPr>
              <w:t>6.</w:t>
            </w:r>
          </w:p>
        </w:tc>
        <w:tc>
          <w:tcPr>
            <w:tcW w:w="4807" w:type="dxa"/>
            <w:tcBorders>
              <w:top w:val="nil"/>
              <w:left w:val="nil"/>
              <w:bottom w:val="single" w:sz="4" w:space="0" w:color="auto"/>
              <w:right w:val="single" w:sz="4" w:space="0" w:color="auto"/>
            </w:tcBorders>
            <w:shd w:val="clear" w:color="auto" w:fill="auto"/>
            <w:vAlign w:val="center"/>
            <w:hideMark/>
          </w:tcPr>
          <w:p w14:paraId="24EEDCFC" w14:textId="77777777" w:rsidR="00105B6F" w:rsidRPr="00171239" w:rsidRDefault="00105B6F" w:rsidP="00BA499D">
            <w:pPr>
              <w:rPr>
                <w:color w:val="1A1A1A"/>
                <w:sz w:val="18"/>
                <w:szCs w:val="18"/>
                <w:lang w:eastAsia="hr-HR"/>
              </w:rPr>
            </w:pPr>
            <w:r w:rsidRPr="00A940C1">
              <w:rPr>
                <w:color w:val="1A1A1A"/>
                <w:sz w:val="18"/>
                <w:szCs w:val="18"/>
              </w:rPr>
              <w:t>Izdavanje/uskraćivanje odobrenja za promet na veliko VMP</w:t>
            </w:r>
          </w:p>
        </w:tc>
        <w:tc>
          <w:tcPr>
            <w:tcW w:w="1245" w:type="dxa"/>
            <w:tcBorders>
              <w:top w:val="nil"/>
              <w:left w:val="nil"/>
              <w:bottom w:val="single" w:sz="4" w:space="0" w:color="auto"/>
              <w:right w:val="single" w:sz="4" w:space="0" w:color="auto"/>
            </w:tcBorders>
            <w:shd w:val="clear" w:color="auto" w:fill="auto"/>
            <w:noWrap/>
            <w:vAlign w:val="center"/>
          </w:tcPr>
          <w:p w14:paraId="7AA07800" w14:textId="77777777" w:rsidR="00105B6F" w:rsidRPr="00252242" w:rsidRDefault="00105B6F" w:rsidP="00BA499D">
            <w:pPr>
              <w:jc w:val="center"/>
              <w:rPr>
                <w:sz w:val="18"/>
              </w:rPr>
            </w:pPr>
            <w:r w:rsidRPr="00632837">
              <w:rPr>
                <w:bCs/>
                <w:sz w:val="20"/>
                <w:szCs w:val="20"/>
              </w:rPr>
              <w:t>2</w:t>
            </w:r>
          </w:p>
        </w:tc>
        <w:tc>
          <w:tcPr>
            <w:tcW w:w="1504" w:type="dxa"/>
            <w:tcBorders>
              <w:top w:val="nil"/>
              <w:left w:val="nil"/>
              <w:bottom w:val="single" w:sz="4" w:space="0" w:color="auto"/>
              <w:right w:val="single" w:sz="4" w:space="0" w:color="auto"/>
            </w:tcBorders>
            <w:shd w:val="clear" w:color="auto" w:fill="auto"/>
            <w:noWrap/>
            <w:vAlign w:val="center"/>
          </w:tcPr>
          <w:p w14:paraId="79288AA3" w14:textId="77777777" w:rsidR="00105B6F" w:rsidRPr="00424184" w:rsidRDefault="00105B6F" w:rsidP="00BA499D">
            <w:pPr>
              <w:jc w:val="center"/>
              <w:rPr>
                <w:sz w:val="18"/>
              </w:rPr>
            </w:pPr>
            <w:r w:rsidRPr="00D17B03">
              <w:rPr>
                <w:bCs/>
                <w:sz w:val="20"/>
                <w:szCs w:val="20"/>
              </w:rPr>
              <w:t>1</w:t>
            </w:r>
          </w:p>
        </w:tc>
        <w:tc>
          <w:tcPr>
            <w:tcW w:w="1111" w:type="dxa"/>
            <w:tcBorders>
              <w:top w:val="nil"/>
              <w:left w:val="nil"/>
              <w:bottom w:val="single" w:sz="4" w:space="0" w:color="auto"/>
              <w:right w:val="single" w:sz="4" w:space="0" w:color="auto"/>
            </w:tcBorders>
            <w:vAlign w:val="center"/>
          </w:tcPr>
          <w:p w14:paraId="235B8C1F" w14:textId="77777777" w:rsidR="00105B6F" w:rsidRPr="00424184" w:rsidRDefault="00105B6F" w:rsidP="00BA499D">
            <w:pPr>
              <w:jc w:val="center"/>
              <w:rPr>
                <w:sz w:val="18"/>
              </w:rPr>
            </w:pPr>
            <w:r w:rsidRPr="00424184">
              <w:rPr>
                <w:sz w:val="20"/>
                <w:szCs w:val="20"/>
              </w:rPr>
              <w:t>50%</w:t>
            </w:r>
          </w:p>
        </w:tc>
      </w:tr>
      <w:tr w:rsidR="00105B6F" w:rsidRPr="00F609D9" w14:paraId="6E97FDB8" w14:textId="77777777" w:rsidTr="00BA499D">
        <w:trPr>
          <w:trHeight w:val="284"/>
          <w:jc w:val="center"/>
        </w:trPr>
        <w:tc>
          <w:tcPr>
            <w:tcW w:w="826" w:type="dxa"/>
            <w:tcBorders>
              <w:top w:val="nil"/>
              <w:left w:val="single" w:sz="4" w:space="0" w:color="auto"/>
              <w:bottom w:val="single" w:sz="4" w:space="0" w:color="auto"/>
              <w:right w:val="single" w:sz="4" w:space="0" w:color="auto"/>
            </w:tcBorders>
            <w:shd w:val="clear" w:color="auto" w:fill="auto"/>
            <w:vAlign w:val="center"/>
            <w:hideMark/>
          </w:tcPr>
          <w:p w14:paraId="5557D391" w14:textId="77777777" w:rsidR="00105B6F" w:rsidRPr="00F609D9" w:rsidRDefault="00105B6F" w:rsidP="00BA499D">
            <w:pPr>
              <w:jc w:val="center"/>
              <w:rPr>
                <w:color w:val="1A1A1A"/>
                <w:sz w:val="18"/>
                <w:szCs w:val="18"/>
                <w:lang w:eastAsia="hr-HR"/>
              </w:rPr>
            </w:pPr>
            <w:r w:rsidRPr="00F609D9">
              <w:rPr>
                <w:color w:val="1A1A1A"/>
                <w:sz w:val="18"/>
                <w:szCs w:val="18"/>
                <w:lang w:eastAsia="hr-HR"/>
              </w:rPr>
              <w:t>7.</w:t>
            </w:r>
          </w:p>
        </w:tc>
        <w:tc>
          <w:tcPr>
            <w:tcW w:w="4807" w:type="dxa"/>
            <w:tcBorders>
              <w:top w:val="nil"/>
              <w:left w:val="nil"/>
              <w:bottom w:val="single" w:sz="4" w:space="0" w:color="auto"/>
              <w:right w:val="single" w:sz="4" w:space="0" w:color="auto"/>
            </w:tcBorders>
            <w:shd w:val="clear" w:color="auto" w:fill="auto"/>
            <w:vAlign w:val="center"/>
            <w:hideMark/>
          </w:tcPr>
          <w:p w14:paraId="255C41A9" w14:textId="77777777" w:rsidR="00105B6F" w:rsidRPr="001D256A" w:rsidRDefault="00105B6F" w:rsidP="00BA499D">
            <w:pPr>
              <w:rPr>
                <w:color w:val="1A1A1A"/>
                <w:sz w:val="18"/>
                <w:szCs w:val="18"/>
                <w:lang w:eastAsia="hr-HR"/>
              </w:rPr>
            </w:pPr>
            <w:r w:rsidRPr="00A940C1">
              <w:rPr>
                <w:color w:val="1A1A1A"/>
                <w:sz w:val="18"/>
                <w:szCs w:val="18"/>
              </w:rPr>
              <w:t>Administrativna izmjena odobrenja za promet na veliko VMP</w:t>
            </w:r>
          </w:p>
        </w:tc>
        <w:tc>
          <w:tcPr>
            <w:tcW w:w="1245" w:type="dxa"/>
            <w:tcBorders>
              <w:top w:val="nil"/>
              <w:left w:val="nil"/>
              <w:bottom w:val="single" w:sz="4" w:space="0" w:color="auto"/>
              <w:right w:val="single" w:sz="4" w:space="0" w:color="auto"/>
            </w:tcBorders>
            <w:shd w:val="clear" w:color="auto" w:fill="auto"/>
            <w:noWrap/>
            <w:vAlign w:val="center"/>
          </w:tcPr>
          <w:p w14:paraId="5F4FBE05" w14:textId="77777777" w:rsidR="00105B6F" w:rsidRPr="00252242" w:rsidRDefault="00105B6F" w:rsidP="00BA499D">
            <w:pPr>
              <w:jc w:val="center"/>
              <w:rPr>
                <w:sz w:val="18"/>
              </w:rPr>
            </w:pPr>
            <w:r w:rsidRPr="00632837">
              <w:rPr>
                <w:bCs/>
                <w:sz w:val="20"/>
                <w:szCs w:val="20"/>
              </w:rPr>
              <w:t>2</w:t>
            </w:r>
          </w:p>
        </w:tc>
        <w:tc>
          <w:tcPr>
            <w:tcW w:w="1504" w:type="dxa"/>
            <w:tcBorders>
              <w:top w:val="nil"/>
              <w:left w:val="nil"/>
              <w:bottom w:val="single" w:sz="4" w:space="0" w:color="auto"/>
              <w:right w:val="single" w:sz="4" w:space="0" w:color="auto"/>
            </w:tcBorders>
            <w:shd w:val="clear" w:color="auto" w:fill="auto"/>
            <w:noWrap/>
            <w:vAlign w:val="center"/>
          </w:tcPr>
          <w:p w14:paraId="1139A68D" w14:textId="77777777" w:rsidR="00105B6F" w:rsidRPr="00424184" w:rsidRDefault="00105B6F" w:rsidP="00BA499D">
            <w:pPr>
              <w:jc w:val="center"/>
              <w:rPr>
                <w:sz w:val="18"/>
              </w:rPr>
            </w:pPr>
            <w:r w:rsidRPr="00D17B03">
              <w:rPr>
                <w:bCs/>
                <w:sz w:val="20"/>
                <w:szCs w:val="20"/>
              </w:rPr>
              <w:t>1</w:t>
            </w:r>
          </w:p>
        </w:tc>
        <w:tc>
          <w:tcPr>
            <w:tcW w:w="1111" w:type="dxa"/>
            <w:tcBorders>
              <w:top w:val="nil"/>
              <w:left w:val="nil"/>
              <w:bottom w:val="single" w:sz="4" w:space="0" w:color="auto"/>
              <w:right w:val="single" w:sz="4" w:space="0" w:color="auto"/>
            </w:tcBorders>
            <w:vAlign w:val="center"/>
          </w:tcPr>
          <w:p w14:paraId="6BB735CE" w14:textId="77777777" w:rsidR="00105B6F" w:rsidRPr="00424184" w:rsidRDefault="00105B6F" w:rsidP="00BA499D">
            <w:pPr>
              <w:jc w:val="center"/>
              <w:rPr>
                <w:sz w:val="18"/>
              </w:rPr>
            </w:pPr>
            <w:r w:rsidRPr="00424184">
              <w:rPr>
                <w:sz w:val="20"/>
                <w:szCs w:val="20"/>
              </w:rPr>
              <w:t>50%</w:t>
            </w:r>
          </w:p>
        </w:tc>
      </w:tr>
      <w:tr w:rsidR="00105B6F" w:rsidRPr="00F609D9" w14:paraId="4BCF9CC1" w14:textId="77777777" w:rsidTr="00BA499D">
        <w:trPr>
          <w:trHeight w:val="284"/>
          <w:jc w:val="center"/>
        </w:trPr>
        <w:tc>
          <w:tcPr>
            <w:tcW w:w="826" w:type="dxa"/>
            <w:tcBorders>
              <w:top w:val="nil"/>
              <w:left w:val="single" w:sz="4" w:space="0" w:color="auto"/>
              <w:bottom w:val="single" w:sz="4" w:space="0" w:color="auto"/>
              <w:right w:val="single" w:sz="4" w:space="0" w:color="auto"/>
            </w:tcBorders>
            <w:shd w:val="clear" w:color="auto" w:fill="auto"/>
            <w:vAlign w:val="center"/>
            <w:hideMark/>
          </w:tcPr>
          <w:p w14:paraId="57ED6C9C" w14:textId="77777777" w:rsidR="00105B6F" w:rsidRPr="00F609D9" w:rsidRDefault="00105B6F" w:rsidP="00BA499D">
            <w:pPr>
              <w:jc w:val="center"/>
              <w:rPr>
                <w:color w:val="1A1A1A"/>
                <w:sz w:val="18"/>
                <w:szCs w:val="18"/>
                <w:lang w:eastAsia="hr-HR"/>
              </w:rPr>
            </w:pPr>
            <w:r w:rsidRPr="00F609D9">
              <w:rPr>
                <w:color w:val="1A1A1A"/>
                <w:sz w:val="18"/>
                <w:szCs w:val="18"/>
                <w:lang w:eastAsia="hr-HR"/>
              </w:rPr>
              <w:t>8.</w:t>
            </w:r>
          </w:p>
        </w:tc>
        <w:tc>
          <w:tcPr>
            <w:tcW w:w="4807" w:type="dxa"/>
            <w:tcBorders>
              <w:top w:val="nil"/>
              <w:left w:val="nil"/>
              <w:bottom w:val="single" w:sz="4" w:space="0" w:color="auto"/>
              <w:right w:val="single" w:sz="4" w:space="0" w:color="auto"/>
            </w:tcBorders>
            <w:shd w:val="clear" w:color="auto" w:fill="auto"/>
            <w:vAlign w:val="center"/>
            <w:hideMark/>
          </w:tcPr>
          <w:p w14:paraId="4A6C84BF" w14:textId="77777777" w:rsidR="00105B6F" w:rsidRPr="001D256A" w:rsidRDefault="00105B6F" w:rsidP="00BA499D">
            <w:pPr>
              <w:rPr>
                <w:color w:val="1A1A1A"/>
                <w:sz w:val="18"/>
                <w:szCs w:val="18"/>
                <w:lang w:eastAsia="hr-HR"/>
              </w:rPr>
            </w:pPr>
            <w:r w:rsidRPr="00A940C1">
              <w:rPr>
                <w:color w:val="1A1A1A"/>
                <w:sz w:val="18"/>
                <w:szCs w:val="18"/>
                <w:lang w:eastAsia="hr-HR"/>
              </w:rPr>
              <w:t>Izmjena odobrenja za promet na veliko VMP, ako se obavlja očevid</w:t>
            </w:r>
          </w:p>
        </w:tc>
        <w:tc>
          <w:tcPr>
            <w:tcW w:w="1245" w:type="dxa"/>
            <w:tcBorders>
              <w:top w:val="nil"/>
              <w:left w:val="nil"/>
              <w:bottom w:val="single" w:sz="4" w:space="0" w:color="auto"/>
              <w:right w:val="single" w:sz="4" w:space="0" w:color="auto"/>
            </w:tcBorders>
            <w:shd w:val="clear" w:color="auto" w:fill="auto"/>
            <w:noWrap/>
            <w:vAlign w:val="center"/>
          </w:tcPr>
          <w:p w14:paraId="402D78B1" w14:textId="77777777" w:rsidR="00105B6F" w:rsidRPr="00252242" w:rsidRDefault="00105B6F" w:rsidP="00BA499D">
            <w:pPr>
              <w:jc w:val="center"/>
              <w:rPr>
                <w:sz w:val="18"/>
              </w:rPr>
            </w:pPr>
            <w:r w:rsidRPr="00632837">
              <w:rPr>
                <w:bCs/>
                <w:sz w:val="20"/>
                <w:szCs w:val="20"/>
              </w:rPr>
              <w:t>1</w:t>
            </w:r>
          </w:p>
        </w:tc>
        <w:tc>
          <w:tcPr>
            <w:tcW w:w="1504" w:type="dxa"/>
            <w:tcBorders>
              <w:top w:val="nil"/>
              <w:left w:val="nil"/>
              <w:bottom w:val="single" w:sz="4" w:space="0" w:color="auto"/>
              <w:right w:val="single" w:sz="4" w:space="0" w:color="auto"/>
            </w:tcBorders>
            <w:shd w:val="clear" w:color="auto" w:fill="auto"/>
            <w:noWrap/>
            <w:vAlign w:val="center"/>
          </w:tcPr>
          <w:p w14:paraId="2B7BE7F5" w14:textId="77777777" w:rsidR="00105B6F" w:rsidRPr="00424184" w:rsidRDefault="00105B6F" w:rsidP="00BA499D">
            <w:pPr>
              <w:jc w:val="center"/>
              <w:rPr>
                <w:sz w:val="18"/>
              </w:rPr>
            </w:pPr>
            <w:r w:rsidRPr="00D17B03">
              <w:rPr>
                <w:bCs/>
                <w:sz w:val="20"/>
                <w:szCs w:val="20"/>
              </w:rPr>
              <w:t>0</w:t>
            </w:r>
          </w:p>
        </w:tc>
        <w:tc>
          <w:tcPr>
            <w:tcW w:w="1111" w:type="dxa"/>
            <w:tcBorders>
              <w:top w:val="nil"/>
              <w:left w:val="nil"/>
              <w:bottom w:val="single" w:sz="4" w:space="0" w:color="auto"/>
              <w:right w:val="single" w:sz="4" w:space="0" w:color="auto"/>
            </w:tcBorders>
            <w:vAlign w:val="center"/>
          </w:tcPr>
          <w:p w14:paraId="4B7E6AAF" w14:textId="77777777" w:rsidR="00105B6F" w:rsidRPr="00424184" w:rsidRDefault="00105B6F" w:rsidP="00BA499D">
            <w:pPr>
              <w:jc w:val="center"/>
              <w:rPr>
                <w:sz w:val="18"/>
              </w:rPr>
            </w:pPr>
            <w:r w:rsidRPr="00424184">
              <w:rPr>
                <w:sz w:val="20"/>
                <w:szCs w:val="20"/>
              </w:rPr>
              <w:t>0%</w:t>
            </w:r>
          </w:p>
        </w:tc>
      </w:tr>
      <w:tr w:rsidR="00105B6F" w:rsidRPr="00F609D9" w14:paraId="75CE9EEF" w14:textId="77777777" w:rsidTr="00BA499D">
        <w:trPr>
          <w:trHeight w:val="284"/>
          <w:jc w:val="center"/>
        </w:trPr>
        <w:tc>
          <w:tcPr>
            <w:tcW w:w="826" w:type="dxa"/>
            <w:tcBorders>
              <w:top w:val="nil"/>
              <w:left w:val="single" w:sz="4" w:space="0" w:color="auto"/>
              <w:bottom w:val="single" w:sz="4" w:space="0" w:color="auto"/>
              <w:right w:val="single" w:sz="4" w:space="0" w:color="auto"/>
            </w:tcBorders>
            <w:shd w:val="clear" w:color="auto" w:fill="auto"/>
            <w:vAlign w:val="center"/>
            <w:hideMark/>
          </w:tcPr>
          <w:p w14:paraId="76BD8881" w14:textId="77777777" w:rsidR="00105B6F" w:rsidRPr="00F609D9" w:rsidRDefault="00105B6F" w:rsidP="00BA499D">
            <w:pPr>
              <w:jc w:val="center"/>
              <w:rPr>
                <w:color w:val="1A1A1A"/>
                <w:sz w:val="18"/>
                <w:szCs w:val="18"/>
                <w:lang w:eastAsia="hr-HR"/>
              </w:rPr>
            </w:pPr>
            <w:r w:rsidRPr="00F609D9">
              <w:rPr>
                <w:color w:val="1A1A1A"/>
                <w:sz w:val="18"/>
                <w:szCs w:val="18"/>
                <w:lang w:eastAsia="hr-HR"/>
              </w:rPr>
              <w:t>9.</w:t>
            </w:r>
          </w:p>
        </w:tc>
        <w:tc>
          <w:tcPr>
            <w:tcW w:w="4807" w:type="dxa"/>
            <w:tcBorders>
              <w:top w:val="nil"/>
              <w:left w:val="nil"/>
              <w:bottom w:val="single" w:sz="4" w:space="0" w:color="auto"/>
              <w:right w:val="single" w:sz="4" w:space="0" w:color="auto"/>
            </w:tcBorders>
            <w:shd w:val="clear" w:color="auto" w:fill="auto"/>
            <w:vAlign w:val="center"/>
            <w:hideMark/>
          </w:tcPr>
          <w:p w14:paraId="602AA862" w14:textId="77777777" w:rsidR="00105B6F" w:rsidRPr="001D256A" w:rsidRDefault="00105B6F" w:rsidP="00BA499D">
            <w:pPr>
              <w:rPr>
                <w:color w:val="1A1A1A"/>
                <w:sz w:val="18"/>
                <w:szCs w:val="18"/>
                <w:lang w:eastAsia="hr-HR"/>
              </w:rPr>
            </w:pPr>
            <w:r w:rsidRPr="00A940C1">
              <w:rPr>
                <w:color w:val="1A1A1A"/>
                <w:sz w:val="18"/>
                <w:szCs w:val="18"/>
                <w:lang w:eastAsia="hr-HR"/>
              </w:rPr>
              <w:t>Brisanje veleprodaje VMP iz upisnika HALMED-a o nositelju odobrenja za promet VMP na veliko, na zahtjev nositelja</w:t>
            </w:r>
          </w:p>
        </w:tc>
        <w:tc>
          <w:tcPr>
            <w:tcW w:w="1245" w:type="dxa"/>
            <w:tcBorders>
              <w:top w:val="nil"/>
              <w:left w:val="nil"/>
              <w:bottom w:val="single" w:sz="4" w:space="0" w:color="auto"/>
              <w:right w:val="single" w:sz="4" w:space="0" w:color="auto"/>
            </w:tcBorders>
            <w:shd w:val="clear" w:color="auto" w:fill="auto"/>
            <w:noWrap/>
            <w:vAlign w:val="center"/>
          </w:tcPr>
          <w:p w14:paraId="5F8AAA9D" w14:textId="77777777" w:rsidR="00105B6F" w:rsidRPr="00252242" w:rsidRDefault="00105B6F" w:rsidP="00BA499D">
            <w:pPr>
              <w:jc w:val="center"/>
              <w:rPr>
                <w:sz w:val="18"/>
              </w:rPr>
            </w:pPr>
            <w:r w:rsidRPr="00632837">
              <w:rPr>
                <w:bCs/>
                <w:sz w:val="20"/>
                <w:szCs w:val="20"/>
              </w:rPr>
              <w:t>2</w:t>
            </w:r>
          </w:p>
        </w:tc>
        <w:tc>
          <w:tcPr>
            <w:tcW w:w="1504" w:type="dxa"/>
            <w:tcBorders>
              <w:top w:val="nil"/>
              <w:left w:val="nil"/>
              <w:bottom w:val="single" w:sz="4" w:space="0" w:color="auto"/>
              <w:right w:val="single" w:sz="4" w:space="0" w:color="auto"/>
            </w:tcBorders>
            <w:shd w:val="clear" w:color="auto" w:fill="auto"/>
            <w:noWrap/>
            <w:vAlign w:val="center"/>
          </w:tcPr>
          <w:p w14:paraId="65C04244" w14:textId="77777777" w:rsidR="00105B6F" w:rsidRPr="00424184" w:rsidRDefault="00105B6F" w:rsidP="00BA499D">
            <w:pPr>
              <w:jc w:val="center"/>
              <w:rPr>
                <w:sz w:val="18"/>
              </w:rPr>
            </w:pPr>
            <w:r w:rsidRPr="00D17B03">
              <w:rPr>
                <w:bCs/>
                <w:sz w:val="20"/>
                <w:szCs w:val="20"/>
              </w:rPr>
              <w:t>5</w:t>
            </w:r>
          </w:p>
        </w:tc>
        <w:tc>
          <w:tcPr>
            <w:tcW w:w="1111" w:type="dxa"/>
            <w:tcBorders>
              <w:top w:val="nil"/>
              <w:left w:val="nil"/>
              <w:bottom w:val="single" w:sz="4" w:space="0" w:color="auto"/>
              <w:right w:val="single" w:sz="4" w:space="0" w:color="auto"/>
            </w:tcBorders>
            <w:vAlign w:val="center"/>
          </w:tcPr>
          <w:p w14:paraId="1BBB26DD" w14:textId="77777777" w:rsidR="00105B6F" w:rsidRPr="00424184" w:rsidRDefault="00105B6F" w:rsidP="00BA499D">
            <w:pPr>
              <w:jc w:val="center"/>
              <w:rPr>
                <w:sz w:val="18"/>
              </w:rPr>
            </w:pPr>
            <w:r w:rsidRPr="00424184">
              <w:rPr>
                <w:sz w:val="20"/>
                <w:szCs w:val="20"/>
              </w:rPr>
              <w:t>250%</w:t>
            </w:r>
          </w:p>
        </w:tc>
      </w:tr>
      <w:tr w:rsidR="00105B6F" w:rsidRPr="00F609D9" w14:paraId="2FDAA7F6" w14:textId="77777777" w:rsidTr="00BA499D">
        <w:trPr>
          <w:trHeight w:val="284"/>
          <w:jc w:val="center"/>
        </w:trPr>
        <w:tc>
          <w:tcPr>
            <w:tcW w:w="826" w:type="dxa"/>
            <w:tcBorders>
              <w:top w:val="nil"/>
              <w:left w:val="single" w:sz="4" w:space="0" w:color="auto"/>
              <w:bottom w:val="single" w:sz="4" w:space="0" w:color="auto"/>
              <w:right w:val="single" w:sz="4" w:space="0" w:color="auto"/>
            </w:tcBorders>
            <w:shd w:val="clear" w:color="auto" w:fill="auto"/>
            <w:vAlign w:val="center"/>
            <w:hideMark/>
          </w:tcPr>
          <w:p w14:paraId="12B42EF0" w14:textId="77777777" w:rsidR="00105B6F" w:rsidRPr="00F609D9" w:rsidRDefault="00105B6F" w:rsidP="00BA499D">
            <w:pPr>
              <w:jc w:val="center"/>
              <w:rPr>
                <w:color w:val="1A1A1A"/>
                <w:sz w:val="18"/>
                <w:szCs w:val="18"/>
                <w:lang w:eastAsia="hr-HR"/>
              </w:rPr>
            </w:pPr>
            <w:r>
              <w:rPr>
                <w:color w:val="1A1A1A"/>
                <w:sz w:val="18"/>
                <w:szCs w:val="18"/>
                <w:lang w:eastAsia="hr-HR"/>
              </w:rPr>
              <w:t>10.</w:t>
            </w:r>
          </w:p>
        </w:tc>
        <w:tc>
          <w:tcPr>
            <w:tcW w:w="4807" w:type="dxa"/>
            <w:tcBorders>
              <w:top w:val="nil"/>
              <w:left w:val="nil"/>
              <w:bottom w:val="single" w:sz="4" w:space="0" w:color="auto"/>
              <w:right w:val="single" w:sz="4" w:space="0" w:color="auto"/>
            </w:tcBorders>
            <w:shd w:val="clear" w:color="auto" w:fill="auto"/>
            <w:vAlign w:val="center"/>
            <w:hideMark/>
          </w:tcPr>
          <w:p w14:paraId="25796742" w14:textId="77777777" w:rsidR="00105B6F" w:rsidRPr="001D256A" w:rsidRDefault="00105B6F" w:rsidP="00BA499D">
            <w:pPr>
              <w:rPr>
                <w:color w:val="1A1A1A"/>
                <w:sz w:val="18"/>
                <w:szCs w:val="18"/>
                <w:lang w:eastAsia="hr-HR"/>
              </w:rPr>
            </w:pPr>
            <w:r w:rsidRPr="00A940C1">
              <w:rPr>
                <w:color w:val="1A1A1A"/>
                <w:sz w:val="18"/>
                <w:szCs w:val="18"/>
              </w:rPr>
              <w:t>Nadzor prometa VMP na veliko (po danu i po inspektoru)</w:t>
            </w:r>
          </w:p>
        </w:tc>
        <w:tc>
          <w:tcPr>
            <w:tcW w:w="1245" w:type="dxa"/>
            <w:tcBorders>
              <w:top w:val="nil"/>
              <w:left w:val="nil"/>
              <w:bottom w:val="single" w:sz="4" w:space="0" w:color="auto"/>
              <w:right w:val="single" w:sz="4" w:space="0" w:color="auto"/>
            </w:tcBorders>
            <w:shd w:val="clear" w:color="auto" w:fill="auto"/>
            <w:noWrap/>
            <w:vAlign w:val="center"/>
          </w:tcPr>
          <w:p w14:paraId="3D7B200D" w14:textId="77777777" w:rsidR="00105B6F" w:rsidRPr="00252242" w:rsidRDefault="00105B6F" w:rsidP="00BA499D">
            <w:pPr>
              <w:jc w:val="center"/>
              <w:rPr>
                <w:sz w:val="18"/>
              </w:rPr>
            </w:pPr>
            <w:r w:rsidRPr="00632837">
              <w:rPr>
                <w:bCs/>
                <w:sz w:val="20"/>
                <w:szCs w:val="20"/>
              </w:rPr>
              <w:t>10</w:t>
            </w:r>
          </w:p>
        </w:tc>
        <w:tc>
          <w:tcPr>
            <w:tcW w:w="1504" w:type="dxa"/>
            <w:tcBorders>
              <w:top w:val="nil"/>
              <w:left w:val="nil"/>
              <w:bottom w:val="single" w:sz="4" w:space="0" w:color="auto"/>
              <w:right w:val="single" w:sz="4" w:space="0" w:color="auto"/>
            </w:tcBorders>
            <w:shd w:val="clear" w:color="auto" w:fill="auto"/>
            <w:noWrap/>
            <w:vAlign w:val="center"/>
          </w:tcPr>
          <w:p w14:paraId="37895ABB" w14:textId="77777777" w:rsidR="00105B6F" w:rsidRPr="00424184" w:rsidRDefault="00105B6F" w:rsidP="00BA499D">
            <w:pPr>
              <w:jc w:val="center"/>
              <w:rPr>
                <w:sz w:val="18"/>
              </w:rPr>
            </w:pPr>
            <w:r w:rsidRPr="00D17B03">
              <w:rPr>
                <w:bCs/>
                <w:sz w:val="20"/>
                <w:szCs w:val="20"/>
              </w:rPr>
              <w:t>1</w:t>
            </w:r>
          </w:p>
        </w:tc>
        <w:tc>
          <w:tcPr>
            <w:tcW w:w="1111" w:type="dxa"/>
            <w:tcBorders>
              <w:top w:val="nil"/>
              <w:left w:val="nil"/>
              <w:bottom w:val="single" w:sz="4" w:space="0" w:color="auto"/>
              <w:right w:val="single" w:sz="4" w:space="0" w:color="auto"/>
            </w:tcBorders>
            <w:vAlign w:val="center"/>
          </w:tcPr>
          <w:p w14:paraId="2B6A80C4" w14:textId="77777777" w:rsidR="00105B6F" w:rsidRPr="00424184" w:rsidRDefault="00105B6F" w:rsidP="00BA499D">
            <w:pPr>
              <w:jc w:val="center"/>
              <w:rPr>
                <w:sz w:val="18"/>
              </w:rPr>
            </w:pPr>
            <w:r w:rsidRPr="00424184">
              <w:rPr>
                <w:sz w:val="20"/>
                <w:szCs w:val="20"/>
              </w:rPr>
              <w:t>10%</w:t>
            </w:r>
          </w:p>
        </w:tc>
      </w:tr>
      <w:tr w:rsidR="00105B6F" w14:paraId="4E6D0B48" w14:textId="77777777" w:rsidTr="00BA49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jc w:val="center"/>
        </w:trPr>
        <w:tc>
          <w:tcPr>
            <w:tcW w:w="563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26A4A27" w14:textId="77777777" w:rsidR="00105B6F" w:rsidRPr="008B6DE1" w:rsidRDefault="00105B6F" w:rsidP="00BA499D">
            <w:pPr>
              <w:rPr>
                <w:b/>
                <w:sz w:val="20"/>
                <w:szCs w:val="20"/>
              </w:rPr>
            </w:pPr>
            <w:r w:rsidRPr="008B6DE1">
              <w:rPr>
                <w:b/>
                <w:sz w:val="20"/>
                <w:szCs w:val="20"/>
              </w:rPr>
              <w:t>UKUPNO:</w:t>
            </w:r>
          </w:p>
        </w:tc>
        <w:tc>
          <w:tcPr>
            <w:tcW w:w="1245" w:type="dxa"/>
            <w:tcBorders>
              <w:top w:val="single" w:sz="4" w:space="0" w:color="auto"/>
              <w:left w:val="single" w:sz="4" w:space="0" w:color="auto"/>
              <w:bottom w:val="single" w:sz="4" w:space="0" w:color="auto"/>
              <w:right w:val="single" w:sz="4" w:space="0" w:color="auto"/>
            </w:tcBorders>
            <w:shd w:val="clear" w:color="auto" w:fill="BFBFBF"/>
            <w:vAlign w:val="center"/>
          </w:tcPr>
          <w:p w14:paraId="72ABA670" w14:textId="77777777" w:rsidR="00105B6F" w:rsidRPr="00087E5E" w:rsidRDefault="00105B6F" w:rsidP="00BA499D">
            <w:pPr>
              <w:jc w:val="center"/>
              <w:rPr>
                <w:b/>
                <w:sz w:val="18"/>
              </w:rPr>
            </w:pPr>
            <w:r w:rsidRPr="00087E5E">
              <w:rPr>
                <w:b/>
                <w:bCs/>
                <w:sz w:val="20"/>
                <w:szCs w:val="20"/>
              </w:rPr>
              <w:t>27</w:t>
            </w:r>
          </w:p>
        </w:tc>
        <w:tc>
          <w:tcPr>
            <w:tcW w:w="1504" w:type="dxa"/>
            <w:tcBorders>
              <w:top w:val="single" w:sz="4" w:space="0" w:color="auto"/>
              <w:left w:val="single" w:sz="4" w:space="0" w:color="auto"/>
              <w:bottom w:val="single" w:sz="4" w:space="0" w:color="auto"/>
              <w:right w:val="single" w:sz="4" w:space="0" w:color="auto"/>
            </w:tcBorders>
            <w:shd w:val="clear" w:color="auto" w:fill="BFBFBF"/>
            <w:vAlign w:val="center"/>
          </w:tcPr>
          <w:p w14:paraId="3E1D02A9" w14:textId="77777777" w:rsidR="00105B6F" w:rsidRPr="00424184" w:rsidRDefault="00105B6F" w:rsidP="00BA499D">
            <w:pPr>
              <w:jc w:val="center"/>
              <w:rPr>
                <w:b/>
                <w:sz w:val="18"/>
              </w:rPr>
            </w:pPr>
            <w:r w:rsidRPr="00424184">
              <w:rPr>
                <w:b/>
                <w:bCs/>
                <w:sz w:val="20"/>
                <w:szCs w:val="20"/>
              </w:rPr>
              <w:t>38</w:t>
            </w:r>
          </w:p>
        </w:tc>
        <w:tc>
          <w:tcPr>
            <w:tcW w:w="1111" w:type="dxa"/>
            <w:tcBorders>
              <w:top w:val="single" w:sz="4" w:space="0" w:color="auto"/>
              <w:left w:val="single" w:sz="4" w:space="0" w:color="auto"/>
              <w:bottom w:val="single" w:sz="4" w:space="0" w:color="auto"/>
              <w:right w:val="single" w:sz="4" w:space="0" w:color="auto"/>
            </w:tcBorders>
            <w:shd w:val="clear" w:color="auto" w:fill="BFBFBF"/>
            <w:vAlign w:val="center"/>
          </w:tcPr>
          <w:p w14:paraId="79FBDD7D" w14:textId="77777777" w:rsidR="00105B6F" w:rsidRPr="00424184" w:rsidRDefault="00105B6F" w:rsidP="00BA499D">
            <w:pPr>
              <w:jc w:val="center"/>
              <w:rPr>
                <w:b/>
                <w:sz w:val="18"/>
              </w:rPr>
            </w:pPr>
            <w:r w:rsidRPr="00D17B03">
              <w:rPr>
                <w:b/>
                <w:sz w:val="20"/>
                <w:szCs w:val="20"/>
              </w:rPr>
              <w:t>141%</w:t>
            </w:r>
          </w:p>
        </w:tc>
      </w:tr>
    </w:tbl>
    <w:p w14:paraId="4856A132" w14:textId="77777777" w:rsidR="00105B6F" w:rsidRDefault="00105B6F" w:rsidP="00105B6F"/>
    <w:p w14:paraId="3E72E56A" w14:textId="77777777" w:rsidR="00105B6F" w:rsidRDefault="00105B6F" w:rsidP="00105B6F"/>
    <w:p w14:paraId="58D7DCB6" w14:textId="77777777" w:rsidR="00105B6F" w:rsidRPr="001D59FE" w:rsidRDefault="00105B6F" w:rsidP="00105B6F">
      <w:pPr>
        <w:pStyle w:val="Heading3"/>
      </w:pPr>
      <w:bookmarkStart w:id="164" w:name="_Toc165035475"/>
      <w:bookmarkStart w:id="165" w:name="_Toc26534654"/>
      <w:r w:rsidRPr="001D59FE">
        <w:t>2.3.1</w:t>
      </w:r>
      <w:r>
        <w:t>3.</w:t>
      </w:r>
      <w:r w:rsidRPr="001D59FE">
        <w:t xml:space="preserve"> </w:t>
      </w:r>
      <w:r>
        <w:t>Izvršenje neprihodovnih poslova</w:t>
      </w:r>
      <w:bookmarkEnd w:id="164"/>
    </w:p>
    <w:bookmarkEnd w:id="165"/>
    <w:p w14:paraId="6C3B1DB6" w14:textId="77777777" w:rsidR="00105B6F" w:rsidRPr="00CD3DD1" w:rsidRDefault="00105B6F" w:rsidP="00105B6F">
      <w:pPr>
        <w:spacing w:after="120"/>
        <w:rPr>
          <w:b/>
        </w:rPr>
      </w:pPr>
      <w:r w:rsidRPr="00CD3DD1">
        <w:rPr>
          <w:b/>
          <w:lang w:eastAsia="hr-HR"/>
        </w:rPr>
        <w:t>Tablica 11. Izvršenje neprihodovnih usluga proizvodnje i nadzora</w:t>
      </w: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445"/>
        <w:gridCol w:w="1444"/>
        <w:gridCol w:w="1444"/>
        <w:gridCol w:w="1595"/>
      </w:tblGrid>
      <w:tr w:rsidR="00105B6F" w14:paraId="5F288713" w14:textId="77777777" w:rsidTr="00BA499D">
        <w:trPr>
          <w:trHeight w:val="227"/>
          <w:tblHeader/>
        </w:trPr>
        <w:tc>
          <w:tcPr>
            <w:tcW w:w="370" w:type="pct"/>
            <w:tcBorders>
              <w:top w:val="single" w:sz="4" w:space="0" w:color="auto"/>
              <w:left w:val="single" w:sz="4" w:space="0" w:color="auto"/>
              <w:bottom w:val="single" w:sz="4" w:space="0" w:color="auto"/>
              <w:right w:val="single" w:sz="4" w:space="0" w:color="auto"/>
            </w:tcBorders>
            <w:shd w:val="clear" w:color="auto" w:fill="A3E7FF"/>
            <w:vAlign w:val="center"/>
            <w:hideMark/>
          </w:tcPr>
          <w:p w14:paraId="32EFC907" w14:textId="77777777" w:rsidR="00105B6F" w:rsidRPr="00B037D6" w:rsidRDefault="00105B6F" w:rsidP="00BA499D">
            <w:pPr>
              <w:rPr>
                <w:b/>
                <w:color w:val="1A1A1A"/>
                <w:sz w:val="18"/>
                <w:szCs w:val="18"/>
                <w:lang w:eastAsia="hr-HR"/>
              </w:rPr>
            </w:pPr>
            <w:r w:rsidRPr="00B037D6">
              <w:rPr>
                <w:b/>
                <w:color w:val="1A1A1A"/>
                <w:sz w:val="18"/>
                <w:szCs w:val="18"/>
                <w:lang w:eastAsia="hr-HR"/>
              </w:rPr>
              <w:t>R.br.</w:t>
            </w:r>
          </w:p>
        </w:tc>
        <w:tc>
          <w:tcPr>
            <w:tcW w:w="2304" w:type="pct"/>
            <w:tcBorders>
              <w:top w:val="single" w:sz="4" w:space="0" w:color="auto"/>
              <w:left w:val="single" w:sz="4" w:space="0" w:color="auto"/>
              <w:bottom w:val="single" w:sz="4" w:space="0" w:color="auto"/>
              <w:right w:val="single" w:sz="4" w:space="0" w:color="auto"/>
            </w:tcBorders>
            <w:shd w:val="clear" w:color="auto" w:fill="A3E7FF"/>
            <w:vAlign w:val="center"/>
            <w:hideMark/>
          </w:tcPr>
          <w:p w14:paraId="33FFD966" w14:textId="77777777" w:rsidR="00105B6F" w:rsidRPr="00B037D6" w:rsidRDefault="00105B6F" w:rsidP="00BA499D">
            <w:pPr>
              <w:rPr>
                <w:b/>
                <w:color w:val="1A1A1A"/>
                <w:sz w:val="18"/>
                <w:szCs w:val="18"/>
                <w:lang w:eastAsia="hr-HR"/>
              </w:rPr>
            </w:pPr>
            <w:r w:rsidRPr="00B037D6">
              <w:rPr>
                <w:b/>
                <w:color w:val="1A1A1A"/>
                <w:sz w:val="18"/>
                <w:szCs w:val="18"/>
                <w:lang w:eastAsia="hr-HR"/>
              </w:rPr>
              <w:t>Naziv usluge</w:t>
            </w:r>
          </w:p>
        </w:tc>
        <w:tc>
          <w:tcPr>
            <w:tcW w:w="749" w:type="pct"/>
            <w:tcBorders>
              <w:top w:val="single" w:sz="4" w:space="0" w:color="auto"/>
              <w:left w:val="single" w:sz="4" w:space="0" w:color="auto"/>
              <w:bottom w:val="single" w:sz="4" w:space="0" w:color="auto"/>
              <w:right w:val="single" w:sz="4" w:space="0" w:color="auto"/>
            </w:tcBorders>
            <w:shd w:val="clear" w:color="auto" w:fill="A3E7FF"/>
            <w:vAlign w:val="center"/>
            <w:hideMark/>
          </w:tcPr>
          <w:p w14:paraId="7943FF4F" w14:textId="77777777" w:rsidR="00105B6F" w:rsidRPr="00B037D6" w:rsidRDefault="00105B6F" w:rsidP="00BA499D">
            <w:pPr>
              <w:rPr>
                <w:b/>
                <w:color w:val="000000"/>
                <w:sz w:val="18"/>
                <w:szCs w:val="18"/>
                <w:lang w:eastAsia="hr-HR"/>
              </w:rPr>
            </w:pPr>
            <w:r>
              <w:rPr>
                <w:b/>
                <w:color w:val="000000"/>
                <w:sz w:val="18"/>
                <w:szCs w:val="18"/>
                <w:lang w:eastAsia="hr-HR"/>
              </w:rPr>
              <w:t>Plan za 2023</w:t>
            </w:r>
            <w:r w:rsidRPr="00B037D6">
              <w:rPr>
                <w:b/>
                <w:color w:val="000000"/>
                <w:sz w:val="18"/>
                <w:szCs w:val="18"/>
                <w:lang w:eastAsia="hr-HR"/>
              </w:rPr>
              <w:t>.</w:t>
            </w:r>
          </w:p>
        </w:tc>
        <w:tc>
          <w:tcPr>
            <w:tcW w:w="749" w:type="pct"/>
            <w:tcBorders>
              <w:top w:val="single" w:sz="4" w:space="0" w:color="auto"/>
              <w:left w:val="single" w:sz="4" w:space="0" w:color="auto"/>
              <w:bottom w:val="single" w:sz="4" w:space="0" w:color="auto"/>
              <w:right w:val="single" w:sz="4" w:space="0" w:color="auto"/>
            </w:tcBorders>
            <w:shd w:val="clear" w:color="auto" w:fill="A3E7FF"/>
            <w:vAlign w:val="center"/>
            <w:hideMark/>
          </w:tcPr>
          <w:p w14:paraId="40A6710F" w14:textId="77777777" w:rsidR="00105B6F" w:rsidRPr="00B037D6" w:rsidRDefault="00105B6F" w:rsidP="00BA499D">
            <w:pPr>
              <w:jc w:val="center"/>
              <w:rPr>
                <w:b/>
                <w:color w:val="000000"/>
                <w:sz w:val="18"/>
                <w:szCs w:val="18"/>
                <w:lang w:eastAsia="hr-HR"/>
              </w:rPr>
            </w:pPr>
            <w:r>
              <w:rPr>
                <w:b/>
                <w:color w:val="000000"/>
                <w:sz w:val="18"/>
                <w:szCs w:val="18"/>
                <w:lang w:eastAsia="hr-HR"/>
              </w:rPr>
              <w:t>Izvršenje 01.01.-31.12.2023</w:t>
            </w:r>
            <w:r w:rsidRPr="00B037D6">
              <w:rPr>
                <w:b/>
                <w:color w:val="000000"/>
                <w:sz w:val="18"/>
                <w:szCs w:val="18"/>
                <w:lang w:eastAsia="hr-HR"/>
              </w:rPr>
              <w:t>.</w:t>
            </w:r>
          </w:p>
        </w:tc>
        <w:tc>
          <w:tcPr>
            <w:tcW w:w="827" w:type="pct"/>
            <w:tcBorders>
              <w:top w:val="single" w:sz="4" w:space="0" w:color="auto"/>
              <w:left w:val="single" w:sz="4" w:space="0" w:color="auto"/>
              <w:bottom w:val="single" w:sz="4" w:space="0" w:color="auto"/>
              <w:right w:val="single" w:sz="4" w:space="0" w:color="auto"/>
            </w:tcBorders>
            <w:shd w:val="clear" w:color="auto" w:fill="A3E7FF"/>
            <w:vAlign w:val="center"/>
          </w:tcPr>
          <w:p w14:paraId="4C4C33ED" w14:textId="77777777" w:rsidR="00105B6F" w:rsidRPr="00B037D6" w:rsidRDefault="00105B6F" w:rsidP="00BA499D">
            <w:pPr>
              <w:jc w:val="center"/>
              <w:rPr>
                <w:rFonts w:cstheme="minorHAnsi"/>
                <w:b/>
                <w:sz w:val="18"/>
                <w:szCs w:val="18"/>
                <w:lang w:eastAsia="hr-HR"/>
              </w:rPr>
            </w:pPr>
          </w:p>
          <w:p w14:paraId="2270DF05" w14:textId="77777777" w:rsidR="00105B6F" w:rsidRPr="00B037D6" w:rsidRDefault="00105B6F" w:rsidP="00BA499D">
            <w:pPr>
              <w:jc w:val="center"/>
              <w:rPr>
                <w:b/>
                <w:color w:val="000000"/>
                <w:sz w:val="18"/>
                <w:szCs w:val="18"/>
                <w:lang w:eastAsia="hr-HR"/>
              </w:rPr>
            </w:pPr>
            <w:r w:rsidRPr="00B037D6">
              <w:rPr>
                <w:rFonts w:cstheme="minorHAnsi"/>
                <w:b/>
                <w:sz w:val="18"/>
                <w:szCs w:val="18"/>
                <w:lang w:eastAsia="hr-HR"/>
              </w:rPr>
              <w:t>% izvršenja</w:t>
            </w:r>
          </w:p>
        </w:tc>
      </w:tr>
      <w:tr w:rsidR="00105B6F" w14:paraId="4202A82B" w14:textId="77777777" w:rsidTr="00BA499D">
        <w:trPr>
          <w:trHeight w:val="227"/>
        </w:trPr>
        <w:tc>
          <w:tcPr>
            <w:tcW w:w="370" w:type="pct"/>
            <w:tcBorders>
              <w:top w:val="single" w:sz="4" w:space="0" w:color="auto"/>
              <w:left w:val="single" w:sz="4" w:space="0" w:color="auto"/>
              <w:bottom w:val="single" w:sz="4" w:space="0" w:color="auto"/>
              <w:right w:val="single" w:sz="4" w:space="0" w:color="auto"/>
            </w:tcBorders>
            <w:vAlign w:val="center"/>
            <w:hideMark/>
          </w:tcPr>
          <w:p w14:paraId="30D2CFF3" w14:textId="77777777" w:rsidR="00105B6F" w:rsidRDefault="00105B6F" w:rsidP="00BA499D">
            <w:pPr>
              <w:jc w:val="center"/>
              <w:rPr>
                <w:sz w:val="18"/>
                <w:szCs w:val="18"/>
              </w:rPr>
            </w:pPr>
            <w:r>
              <w:rPr>
                <w:sz w:val="18"/>
                <w:szCs w:val="18"/>
              </w:rPr>
              <w:t>1.</w:t>
            </w:r>
          </w:p>
        </w:tc>
        <w:tc>
          <w:tcPr>
            <w:tcW w:w="2304" w:type="pct"/>
            <w:tcBorders>
              <w:top w:val="single" w:sz="4" w:space="0" w:color="auto"/>
              <w:left w:val="single" w:sz="4" w:space="0" w:color="auto"/>
              <w:bottom w:val="single" w:sz="4" w:space="0" w:color="auto"/>
              <w:right w:val="single" w:sz="4" w:space="0" w:color="auto"/>
            </w:tcBorders>
            <w:vAlign w:val="center"/>
            <w:hideMark/>
          </w:tcPr>
          <w:p w14:paraId="22807445" w14:textId="77777777" w:rsidR="00105B6F" w:rsidRDefault="00105B6F" w:rsidP="00BA499D">
            <w:pPr>
              <w:rPr>
                <w:sz w:val="18"/>
                <w:szCs w:val="18"/>
              </w:rPr>
            </w:pPr>
            <w:r>
              <w:rPr>
                <w:sz w:val="18"/>
                <w:szCs w:val="18"/>
              </w:rPr>
              <w:t>Oduzimanje dozvole za promet lijekovima na veliko po službenoj dužnosti</w:t>
            </w:r>
          </w:p>
        </w:tc>
        <w:tc>
          <w:tcPr>
            <w:tcW w:w="749" w:type="pct"/>
            <w:tcBorders>
              <w:top w:val="single" w:sz="4" w:space="0" w:color="auto"/>
              <w:left w:val="single" w:sz="4" w:space="0" w:color="auto"/>
              <w:bottom w:val="single" w:sz="4" w:space="0" w:color="auto"/>
              <w:right w:val="single" w:sz="4" w:space="0" w:color="auto"/>
            </w:tcBorders>
            <w:vAlign w:val="center"/>
          </w:tcPr>
          <w:p w14:paraId="34F9507C" w14:textId="77777777" w:rsidR="00105B6F" w:rsidRDefault="00105B6F" w:rsidP="00BA499D">
            <w:pPr>
              <w:jc w:val="center"/>
              <w:rPr>
                <w:sz w:val="18"/>
                <w:szCs w:val="18"/>
              </w:rPr>
            </w:pPr>
            <w:r>
              <w:rPr>
                <w:sz w:val="18"/>
                <w:szCs w:val="18"/>
              </w:rPr>
              <w:t>0</w:t>
            </w:r>
          </w:p>
        </w:tc>
        <w:tc>
          <w:tcPr>
            <w:tcW w:w="749" w:type="pct"/>
            <w:tcBorders>
              <w:top w:val="single" w:sz="4" w:space="0" w:color="auto"/>
              <w:left w:val="single" w:sz="4" w:space="0" w:color="auto"/>
              <w:bottom w:val="single" w:sz="4" w:space="0" w:color="auto"/>
              <w:right w:val="single" w:sz="4" w:space="0" w:color="auto"/>
            </w:tcBorders>
            <w:vAlign w:val="center"/>
          </w:tcPr>
          <w:p w14:paraId="5B918195" w14:textId="77777777" w:rsidR="00105B6F" w:rsidRPr="00E92D21" w:rsidRDefault="00105B6F" w:rsidP="00BA499D">
            <w:pPr>
              <w:jc w:val="center"/>
              <w:rPr>
                <w:sz w:val="18"/>
                <w:szCs w:val="18"/>
              </w:rPr>
            </w:pPr>
            <w:r>
              <w:rPr>
                <w:sz w:val="18"/>
                <w:szCs w:val="18"/>
              </w:rPr>
              <w:t>0</w:t>
            </w:r>
          </w:p>
        </w:tc>
        <w:tc>
          <w:tcPr>
            <w:tcW w:w="827" w:type="pct"/>
            <w:tcBorders>
              <w:top w:val="single" w:sz="4" w:space="0" w:color="auto"/>
              <w:left w:val="single" w:sz="4" w:space="0" w:color="auto"/>
              <w:bottom w:val="single" w:sz="4" w:space="0" w:color="auto"/>
              <w:right w:val="single" w:sz="4" w:space="0" w:color="auto"/>
            </w:tcBorders>
            <w:vAlign w:val="center"/>
          </w:tcPr>
          <w:p w14:paraId="7825177A" w14:textId="77777777" w:rsidR="00105B6F" w:rsidRPr="008F15B4" w:rsidRDefault="00105B6F" w:rsidP="00BA499D">
            <w:pPr>
              <w:jc w:val="center"/>
              <w:rPr>
                <w:sz w:val="18"/>
                <w:szCs w:val="18"/>
              </w:rPr>
            </w:pPr>
            <w:r w:rsidRPr="00C264CF">
              <w:rPr>
                <w:sz w:val="20"/>
                <w:szCs w:val="20"/>
              </w:rPr>
              <w:t>0%</w:t>
            </w:r>
          </w:p>
        </w:tc>
      </w:tr>
      <w:tr w:rsidR="00105B6F" w14:paraId="0545F6A8" w14:textId="77777777" w:rsidTr="00BA499D">
        <w:trPr>
          <w:trHeight w:val="227"/>
        </w:trPr>
        <w:tc>
          <w:tcPr>
            <w:tcW w:w="370" w:type="pct"/>
            <w:tcBorders>
              <w:top w:val="single" w:sz="4" w:space="0" w:color="auto"/>
              <w:left w:val="single" w:sz="4" w:space="0" w:color="auto"/>
              <w:bottom w:val="single" w:sz="4" w:space="0" w:color="auto"/>
              <w:right w:val="single" w:sz="4" w:space="0" w:color="auto"/>
            </w:tcBorders>
            <w:vAlign w:val="center"/>
            <w:hideMark/>
          </w:tcPr>
          <w:p w14:paraId="7AFA5568" w14:textId="77777777" w:rsidR="00105B6F" w:rsidRDefault="00105B6F" w:rsidP="00BA499D">
            <w:pPr>
              <w:jc w:val="center"/>
              <w:rPr>
                <w:sz w:val="18"/>
                <w:szCs w:val="18"/>
              </w:rPr>
            </w:pPr>
            <w:r>
              <w:rPr>
                <w:sz w:val="18"/>
                <w:szCs w:val="18"/>
              </w:rPr>
              <w:t>2.</w:t>
            </w:r>
          </w:p>
        </w:tc>
        <w:tc>
          <w:tcPr>
            <w:tcW w:w="2304" w:type="pct"/>
            <w:tcBorders>
              <w:top w:val="single" w:sz="4" w:space="0" w:color="auto"/>
              <w:left w:val="single" w:sz="4" w:space="0" w:color="auto"/>
              <w:bottom w:val="single" w:sz="4" w:space="0" w:color="auto"/>
              <w:right w:val="single" w:sz="4" w:space="0" w:color="auto"/>
            </w:tcBorders>
            <w:vAlign w:val="center"/>
            <w:hideMark/>
          </w:tcPr>
          <w:p w14:paraId="70AB642D" w14:textId="77777777" w:rsidR="00105B6F" w:rsidRDefault="00105B6F" w:rsidP="00BA499D">
            <w:pPr>
              <w:rPr>
                <w:sz w:val="18"/>
                <w:szCs w:val="18"/>
              </w:rPr>
            </w:pPr>
            <w:r>
              <w:rPr>
                <w:sz w:val="18"/>
                <w:szCs w:val="18"/>
              </w:rPr>
              <w:t>Oduzimanje dozvole za promet lijekovima na malo po službenoj dužnosti</w:t>
            </w:r>
          </w:p>
        </w:tc>
        <w:tc>
          <w:tcPr>
            <w:tcW w:w="749" w:type="pct"/>
            <w:tcBorders>
              <w:top w:val="single" w:sz="4" w:space="0" w:color="auto"/>
              <w:left w:val="single" w:sz="4" w:space="0" w:color="auto"/>
              <w:bottom w:val="single" w:sz="4" w:space="0" w:color="auto"/>
              <w:right w:val="single" w:sz="4" w:space="0" w:color="auto"/>
            </w:tcBorders>
            <w:vAlign w:val="center"/>
          </w:tcPr>
          <w:p w14:paraId="7A2EF3AD" w14:textId="77777777" w:rsidR="00105B6F" w:rsidRDefault="00105B6F" w:rsidP="00BA499D">
            <w:pPr>
              <w:jc w:val="center"/>
              <w:rPr>
                <w:sz w:val="18"/>
                <w:szCs w:val="18"/>
              </w:rPr>
            </w:pPr>
            <w:r>
              <w:rPr>
                <w:sz w:val="18"/>
                <w:szCs w:val="18"/>
              </w:rPr>
              <w:t>0</w:t>
            </w:r>
          </w:p>
        </w:tc>
        <w:tc>
          <w:tcPr>
            <w:tcW w:w="749" w:type="pct"/>
            <w:tcBorders>
              <w:top w:val="single" w:sz="4" w:space="0" w:color="auto"/>
              <w:left w:val="single" w:sz="4" w:space="0" w:color="auto"/>
              <w:bottom w:val="single" w:sz="4" w:space="0" w:color="auto"/>
              <w:right w:val="single" w:sz="4" w:space="0" w:color="auto"/>
            </w:tcBorders>
            <w:vAlign w:val="center"/>
          </w:tcPr>
          <w:p w14:paraId="76473240" w14:textId="77777777" w:rsidR="00105B6F" w:rsidRPr="00E92D21" w:rsidRDefault="00105B6F" w:rsidP="00BA499D">
            <w:pPr>
              <w:jc w:val="center"/>
              <w:rPr>
                <w:sz w:val="18"/>
                <w:szCs w:val="18"/>
              </w:rPr>
            </w:pPr>
            <w:r>
              <w:rPr>
                <w:sz w:val="18"/>
                <w:szCs w:val="18"/>
              </w:rPr>
              <w:t>0</w:t>
            </w:r>
          </w:p>
        </w:tc>
        <w:tc>
          <w:tcPr>
            <w:tcW w:w="827" w:type="pct"/>
            <w:tcBorders>
              <w:top w:val="single" w:sz="4" w:space="0" w:color="auto"/>
              <w:left w:val="single" w:sz="4" w:space="0" w:color="auto"/>
              <w:bottom w:val="single" w:sz="4" w:space="0" w:color="auto"/>
              <w:right w:val="single" w:sz="4" w:space="0" w:color="auto"/>
            </w:tcBorders>
            <w:vAlign w:val="center"/>
          </w:tcPr>
          <w:p w14:paraId="245FAB93" w14:textId="77777777" w:rsidR="00105B6F" w:rsidRPr="008F15B4" w:rsidRDefault="00105B6F" w:rsidP="00BA499D">
            <w:pPr>
              <w:jc w:val="center"/>
              <w:rPr>
                <w:sz w:val="18"/>
                <w:szCs w:val="18"/>
              </w:rPr>
            </w:pPr>
            <w:r w:rsidRPr="00C264CF">
              <w:rPr>
                <w:sz w:val="20"/>
                <w:szCs w:val="20"/>
              </w:rPr>
              <w:t>0%</w:t>
            </w:r>
          </w:p>
        </w:tc>
      </w:tr>
      <w:tr w:rsidR="00105B6F" w14:paraId="0DB15A88" w14:textId="77777777" w:rsidTr="00BA499D">
        <w:trPr>
          <w:trHeight w:val="227"/>
        </w:trPr>
        <w:tc>
          <w:tcPr>
            <w:tcW w:w="370" w:type="pct"/>
            <w:tcBorders>
              <w:top w:val="single" w:sz="4" w:space="0" w:color="auto"/>
              <w:left w:val="single" w:sz="4" w:space="0" w:color="auto"/>
              <w:bottom w:val="single" w:sz="4" w:space="0" w:color="auto"/>
              <w:right w:val="single" w:sz="4" w:space="0" w:color="auto"/>
            </w:tcBorders>
            <w:vAlign w:val="center"/>
            <w:hideMark/>
          </w:tcPr>
          <w:p w14:paraId="68142CBF" w14:textId="77777777" w:rsidR="00105B6F" w:rsidRDefault="00105B6F" w:rsidP="00BA499D">
            <w:pPr>
              <w:jc w:val="center"/>
              <w:rPr>
                <w:sz w:val="18"/>
                <w:szCs w:val="18"/>
              </w:rPr>
            </w:pPr>
            <w:r>
              <w:rPr>
                <w:sz w:val="18"/>
                <w:szCs w:val="18"/>
              </w:rPr>
              <w:t>3.</w:t>
            </w:r>
          </w:p>
        </w:tc>
        <w:tc>
          <w:tcPr>
            <w:tcW w:w="2304" w:type="pct"/>
            <w:tcBorders>
              <w:top w:val="single" w:sz="4" w:space="0" w:color="auto"/>
              <w:left w:val="single" w:sz="4" w:space="0" w:color="auto"/>
              <w:bottom w:val="single" w:sz="4" w:space="0" w:color="auto"/>
              <w:right w:val="single" w:sz="4" w:space="0" w:color="auto"/>
            </w:tcBorders>
            <w:vAlign w:val="center"/>
            <w:hideMark/>
          </w:tcPr>
          <w:p w14:paraId="6905918C" w14:textId="77777777" w:rsidR="00105B6F" w:rsidRDefault="00105B6F" w:rsidP="00BA499D">
            <w:pPr>
              <w:rPr>
                <w:sz w:val="18"/>
                <w:szCs w:val="18"/>
              </w:rPr>
            </w:pPr>
            <w:r>
              <w:rPr>
                <w:sz w:val="18"/>
                <w:szCs w:val="18"/>
              </w:rPr>
              <w:t>EVIDENCIJA izdanih potvrda fizičkim ili pravnim osobama sa sjedištem izvan RH, koje u drugoj zemlji članici EU ispunjavaju uvjete za obavljanje djelatnosti prometa lijeka na veliko ili posredovanja lijekova o početku obavljanja djelatnosti na području Republike Hrvatske</w:t>
            </w:r>
          </w:p>
        </w:tc>
        <w:tc>
          <w:tcPr>
            <w:tcW w:w="749" w:type="pct"/>
            <w:tcBorders>
              <w:top w:val="single" w:sz="4" w:space="0" w:color="auto"/>
              <w:left w:val="single" w:sz="4" w:space="0" w:color="auto"/>
              <w:bottom w:val="single" w:sz="4" w:space="0" w:color="auto"/>
              <w:right w:val="single" w:sz="4" w:space="0" w:color="auto"/>
            </w:tcBorders>
            <w:vAlign w:val="center"/>
          </w:tcPr>
          <w:p w14:paraId="15AD92DC" w14:textId="77777777" w:rsidR="00105B6F" w:rsidRDefault="00105B6F" w:rsidP="00BA499D">
            <w:pPr>
              <w:jc w:val="center"/>
              <w:rPr>
                <w:sz w:val="18"/>
                <w:szCs w:val="18"/>
              </w:rPr>
            </w:pPr>
            <w:r>
              <w:rPr>
                <w:sz w:val="18"/>
                <w:szCs w:val="18"/>
              </w:rPr>
              <w:t>2</w:t>
            </w:r>
          </w:p>
        </w:tc>
        <w:tc>
          <w:tcPr>
            <w:tcW w:w="749" w:type="pct"/>
            <w:tcBorders>
              <w:top w:val="single" w:sz="4" w:space="0" w:color="auto"/>
              <w:left w:val="single" w:sz="4" w:space="0" w:color="auto"/>
              <w:bottom w:val="single" w:sz="4" w:space="0" w:color="auto"/>
              <w:right w:val="single" w:sz="4" w:space="0" w:color="auto"/>
            </w:tcBorders>
            <w:vAlign w:val="center"/>
          </w:tcPr>
          <w:p w14:paraId="3EE7C415" w14:textId="77777777" w:rsidR="00105B6F" w:rsidRPr="00E92D21" w:rsidRDefault="00105B6F" w:rsidP="00BA499D">
            <w:pPr>
              <w:jc w:val="center"/>
              <w:rPr>
                <w:sz w:val="18"/>
                <w:szCs w:val="18"/>
              </w:rPr>
            </w:pPr>
            <w:r>
              <w:rPr>
                <w:sz w:val="18"/>
                <w:szCs w:val="18"/>
              </w:rPr>
              <w:t>4</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5C5A4261" w14:textId="77777777" w:rsidR="00105B6F" w:rsidRPr="008F15B4" w:rsidRDefault="00105B6F" w:rsidP="00BA499D">
            <w:pPr>
              <w:spacing w:line="360" w:lineRule="auto"/>
              <w:jc w:val="center"/>
              <w:rPr>
                <w:sz w:val="18"/>
                <w:szCs w:val="18"/>
              </w:rPr>
            </w:pPr>
            <w:r>
              <w:rPr>
                <w:sz w:val="18"/>
                <w:szCs w:val="18"/>
              </w:rPr>
              <w:t>200%</w:t>
            </w:r>
          </w:p>
        </w:tc>
      </w:tr>
      <w:tr w:rsidR="00105B6F" w14:paraId="04ECEDB5" w14:textId="77777777" w:rsidTr="00BA499D">
        <w:trPr>
          <w:trHeight w:val="227"/>
        </w:trPr>
        <w:tc>
          <w:tcPr>
            <w:tcW w:w="2675" w:type="pct"/>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67EADE55" w14:textId="77777777" w:rsidR="00105B6F" w:rsidRPr="00B037D6" w:rsidRDefault="00105B6F" w:rsidP="00BA499D">
            <w:pPr>
              <w:rPr>
                <w:b/>
                <w:sz w:val="18"/>
                <w:szCs w:val="18"/>
              </w:rPr>
            </w:pPr>
            <w:r w:rsidRPr="00B037D6">
              <w:rPr>
                <w:b/>
                <w:sz w:val="18"/>
                <w:szCs w:val="18"/>
              </w:rPr>
              <w:t>UKUPNO:</w:t>
            </w:r>
          </w:p>
        </w:tc>
        <w:tc>
          <w:tcPr>
            <w:tcW w:w="749" w:type="pct"/>
            <w:tcBorders>
              <w:top w:val="single" w:sz="4" w:space="0" w:color="auto"/>
              <w:left w:val="single" w:sz="4" w:space="0" w:color="auto"/>
              <w:bottom w:val="single" w:sz="4" w:space="0" w:color="auto"/>
              <w:right w:val="single" w:sz="4" w:space="0" w:color="auto"/>
            </w:tcBorders>
            <w:shd w:val="pct15" w:color="auto" w:fill="auto"/>
            <w:vAlign w:val="center"/>
          </w:tcPr>
          <w:p w14:paraId="3860554C" w14:textId="77777777" w:rsidR="00105B6F" w:rsidRPr="00B037D6" w:rsidRDefault="00105B6F" w:rsidP="00BA499D">
            <w:pPr>
              <w:jc w:val="center"/>
              <w:rPr>
                <w:b/>
                <w:sz w:val="18"/>
                <w:szCs w:val="18"/>
              </w:rPr>
            </w:pPr>
            <w:r>
              <w:rPr>
                <w:b/>
                <w:sz w:val="18"/>
                <w:szCs w:val="18"/>
              </w:rPr>
              <w:t>2</w:t>
            </w:r>
          </w:p>
        </w:tc>
        <w:tc>
          <w:tcPr>
            <w:tcW w:w="749" w:type="pct"/>
            <w:tcBorders>
              <w:top w:val="single" w:sz="4" w:space="0" w:color="auto"/>
              <w:left w:val="single" w:sz="4" w:space="0" w:color="auto"/>
              <w:bottom w:val="single" w:sz="4" w:space="0" w:color="auto"/>
              <w:right w:val="single" w:sz="4" w:space="0" w:color="auto"/>
            </w:tcBorders>
            <w:shd w:val="pct15" w:color="auto" w:fill="auto"/>
            <w:vAlign w:val="center"/>
          </w:tcPr>
          <w:p w14:paraId="62B50618" w14:textId="77777777" w:rsidR="00105B6F" w:rsidRDefault="00105B6F" w:rsidP="00BA499D">
            <w:pPr>
              <w:jc w:val="center"/>
              <w:rPr>
                <w:sz w:val="18"/>
                <w:szCs w:val="18"/>
              </w:rPr>
            </w:pPr>
            <w:r>
              <w:rPr>
                <w:sz w:val="18"/>
                <w:szCs w:val="18"/>
              </w:rPr>
              <w:t>4</w:t>
            </w:r>
          </w:p>
        </w:tc>
        <w:tc>
          <w:tcPr>
            <w:tcW w:w="827" w:type="pct"/>
            <w:tcBorders>
              <w:top w:val="single" w:sz="4" w:space="0" w:color="auto"/>
              <w:left w:val="single" w:sz="4" w:space="0" w:color="auto"/>
              <w:bottom w:val="single" w:sz="4" w:space="0" w:color="auto"/>
              <w:right w:val="single" w:sz="4" w:space="0" w:color="auto"/>
            </w:tcBorders>
            <w:shd w:val="pct15" w:color="auto" w:fill="auto"/>
            <w:vAlign w:val="center"/>
          </w:tcPr>
          <w:p w14:paraId="55B7BD7B" w14:textId="77777777" w:rsidR="00105B6F" w:rsidRDefault="00105B6F" w:rsidP="00BA499D">
            <w:pPr>
              <w:jc w:val="center"/>
              <w:rPr>
                <w:sz w:val="18"/>
                <w:szCs w:val="18"/>
              </w:rPr>
            </w:pPr>
            <w:r>
              <w:rPr>
                <w:sz w:val="18"/>
                <w:szCs w:val="18"/>
              </w:rPr>
              <w:t>200%</w:t>
            </w:r>
          </w:p>
        </w:tc>
      </w:tr>
    </w:tbl>
    <w:p w14:paraId="1067D9F3" w14:textId="77777777" w:rsidR="00105B6F" w:rsidRDefault="00105B6F" w:rsidP="00105B6F">
      <w:pPr>
        <w:spacing w:after="120"/>
        <w:rPr>
          <w:rFonts w:ascii="Calibri" w:eastAsia="Calibri" w:hAnsi="Calibri" w:cs="Times New Roman"/>
          <w:b/>
          <w:lang w:eastAsia="hr-HR"/>
        </w:rPr>
      </w:pPr>
    </w:p>
    <w:p w14:paraId="7B2104A8" w14:textId="77777777" w:rsidR="00105B6F" w:rsidRPr="0064411A" w:rsidRDefault="00105B6F" w:rsidP="00105B6F">
      <w:pPr>
        <w:spacing w:after="120"/>
        <w:rPr>
          <w:rFonts w:ascii="Calibri" w:eastAsia="Calibri" w:hAnsi="Calibri" w:cs="Times New Roman"/>
          <w:b/>
          <w:lang w:eastAsia="hr-HR"/>
        </w:rPr>
      </w:pPr>
      <w:r w:rsidRPr="0064411A">
        <w:rPr>
          <w:rFonts w:ascii="Calibri" w:eastAsia="Calibri" w:hAnsi="Calibri" w:cs="Times New Roman"/>
          <w:b/>
          <w:lang w:eastAsia="hr-HR"/>
        </w:rPr>
        <w:t xml:space="preserve">Tablica 12. Sudjelovanje na radnim sastancima u europskim </w:t>
      </w:r>
      <w:r>
        <w:rPr>
          <w:rFonts w:ascii="Calibri" w:eastAsia="Calibri" w:hAnsi="Calibri" w:cs="Times New Roman"/>
          <w:b/>
          <w:lang w:eastAsia="hr-HR"/>
        </w:rPr>
        <w:t xml:space="preserve">i nacionalnim </w:t>
      </w:r>
      <w:r w:rsidRPr="0064411A">
        <w:rPr>
          <w:rFonts w:ascii="Calibri" w:eastAsia="Calibri" w:hAnsi="Calibri" w:cs="Times New Roman"/>
          <w:b/>
          <w:lang w:eastAsia="hr-HR"/>
        </w:rPr>
        <w:t>poslovima proizvodnje i nadzora</w:t>
      </w:r>
    </w:p>
    <w:tbl>
      <w:tblPr>
        <w:tblW w:w="51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5020"/>
        <w:gridCol w:w="1827"/>
        <w:gridCol w:w="2122"/>
      </w:tblGrid>
      <w:tr w:rsidR="00105B6F" w:rsidRPr="0064411A" w14:paraId="28153486" w14:textId="77777777" w:rsidTr="00BA499D">
        <w:trPr>
          <w:trHeight w:val="227"/>
          <w:tblHeader/>
          <w:jc w:val="center"/>
        </w:trPr>
        <w:tc>
          <w:tcPr>
            <w:tcW w:w="419" w:type="pct"/>
            <w:tcBorders>
              <w:top w:val="single" w:sz="4" w:space="0" w:color="auto"/>
              <w:left w:val="single" w:sz="4" w:space="0" w:color="auto"/>
              <w:bottom w:val="single" w:sz="4" w:space="0" w:color="auto"/>
              <w:right w:val="single" w:sz="4" w:space="0" w:color="auto"/>
            </w:tcBorders>
            <w:shd w:val="clear" w:color="auto" w:fill="A3E7FF"/>
            <w:vAlign w:val="center"/>
            <w:hideMark/>
          </w:tcPr>
          <w:p w14:paraId="3CBCA8E0" w14:textId="77777777" w:rsidR="00105B6F" w:rsidRPr="0064411A" w:rsidRDefault="00105B6F" w:rsidP="00BA499D">
            <w:pPr>
              <w:spacing w:line="276" w:lineRule="auto"/>
              <w:rPr>
                <w:rFonts w:ascii="Calibri" w:eastAsia="Calibri" w:hAnsi="Calibri" w:cs="Times New Roman"/>
                <w:b/>
                <w:color w:val="1A1A1A"/>
                <w:sz w:val="18"/>
                <w:szCs w:val="18"/>
                <w:lang w:eastAsia="hr-HR"/>
              </w:rPr>
            </w:pPr>
            <w:r w:rsidRPr="0064411A">
              <w:rPr>
                <w:rFonts w:ascii="Calibri" w:eastAsia="Calibri" w:hAnsi="Calibri" w:cs="Times New Roman"/>
                <w:b/>
                <w:color w:val="1A1A1A"/>
                <w:sz w:val="18"/>
                <w:szCs w:val="18"/>
                <w:lang w:eastAsia="hr-HR"/>
              </w:rPr>
              <w:t>R.br.</w:t>
            </w:r>
          </w:p>
        </w:tc>
        <w:tc>
          <w:tcPr>
            <w:tcW w:w="2564" w:type="pct"/>
            <w:tcBorders>
              <w:top w:val="single" w:sz="4" w:space="0" w:color="auto"/>
              <w:left w:val="single" w:sz="4" w:space="0" w:color="auto"/>
              <w:bottom w:val="single" w:sz="4" w:space="0" w:color="auto"/>
              <w:right w:val="single" w:sz="4" w:space="0" w:color="auto"/>
            </w:tcBorders>
            <w:shd w:val="clear" w:color="auto" w:fill="A3E7FF"/>
            <w:vAlign w:val="center"/>
            <w:hideMark/>
          </w:tcPr>
          <w:p w14:paraId="2CA77F5B" w14:textId="77777777" w:rsidR="00105B6F" w:rsidRPr="0064411A" w:rsidRDefault="00105B6F" w:rsidP="00BA499D">
            <w:pPr>
              <w:spacing w:line="276" w:lineRule="auto"/>
              <w:rPr>
                <w:rFonts w:ascii="Calibri" w:eastAsia="Calibri" w:hAnsi="Calibri" w:cs="Times New Roman"/>
                <w:b/>
                <w:color w:val="1A1A1A"/>
                <w:sz w:val="18"/>
                <w:szCs w:val="18"/>
                <w:lang w:eastAsia="hr-HR"/>
              </w:rPr>
            </w:pPr>
            <w:r w:rsidRPr="0064411A">
              <w:rPr>
                <w:rFonts w:ascii="Calibri" w:eastAsia="Calibri" w:hAnsi="Calibri" w:cs="Times New Roman"/>
                <w:b/>
                <w:color w:val="1A1A1A"/>
                <w:sz w:val="18"/>
                <w:szCs w:val="18"/>
                <w:lang w:eastAsia="hr-HR"/>
              </w:rPr>
              <w:t>Naziv povjerenstva/radne skupine/odbora</w:t>
            </w:r>
          </w:p>
        </w:tc>
        <w:tc>
          <w:tcPr>
            <w:tcW w:w="933" w:type="pct"/>
            <w:tcBorders>
              <w:top w:val="single" w:sz="4" w:space="0" w:color="auto"/>
              <w:left w:val="single" w:sz="4" w:space="0" w:color="auto"/>
              <w:bottom w:val="single" w:sz="4" w:space="0" w:color="auto"/>
              <w:right w:val="single" w:sz="4" w:space="0" w:color="auto"/>
            </w:tcBorders>
            <w:shd w:val="clear" w:color="auto" w:fill="A3E7FF"/>
            <w:vAlign w:val="center"/>
            <w:hideMark/>
          </w:tcPr>
          <w:p w14:paraId="30CD81B4" w14:textId="77777777" w:rsidR="00105B6F" w:rsidRPr="0064411A" w:rsidRDefault="00105B6F" w:rsidP="00BA499D">
            <w:pPr>
              <w:spacing w:line="276" w:lineRule="auto"/>
              <w:jc w:val="center"/>
              <w:rPr>
                <w:rFonts w:ascii="Calibri" w:eastAsia="Calibri" w:hAnsi="Calibri" w:cs="Times New Roman"/>
                <w:b/>
                <w:color w:val="000000"/>
                <w:sz w:val="18"/>
                <w:szCs w:val="18"/>
                <w:lang w:eastAsia="hr-HR"/>
              </w:rPr>
            </w:pPr>
            <w:r w:rsidRPr="0064411A">
              <w:rPr>
                <w:rFonts w:ascii="Calibri" w:eastAsia="Calibri" w:hAnsi="Calibri" w:cs="Times New Roman"/>
                <w:b/>
                <w:color w:val="000000"/>
                <w:sz w:val="18"/>
                <w:szCs w:val="18"/>
                <w:lang w:eastAsia="hr-HR"/>
              </w:rPr>
              <w:t>Plan za 202</w:t>
            </w:r>
            <w:r>
              <w:rPr>
                <w:rFonts w:ascii="Calibri" w:eastAsia="Calibri" w:hAnsi="Calibri" w:cs="Times New Roman"/>
                <w:b/>
                <w:color w:val="000000"/>
                <w:sz w:val="18"/>
                <w:szCs w:val="18"/>
                <w:lang w:eastAsia="hr-HR"/>
              </w:rPr>
              <w:t>3</w:t>
            </w:r>
            <w:r w:rsidRPr="0064411A">
              <w:rPr>
                <w:rFonts w:ascii="Calibri" w:eastAsia="Calibri" w:hAnsi="Calibri" w:cs="Times New Roman"/>
                <w:b/>
                <w:color w:val="000000"/>
                <w:sz w:val="18"/>
                <w:szCs w:val="18"/>
                <w:lang w:eastAsia="hr-HR"/>
              </w:rPr>
              <w:t>.</w:t>
            </w:r>
          </w:p>
        </w:tc>
        <w:tc>
          <w:tcPr>
            <w:tcW w:w="1084" w:type="pct"/>
            <w:tcBorders>
              <w:top w:val="single" w:sz="4" w:space="0" w:color="auto"/>
              <w:left w:val="single" w:sz="4" w:space="0" w:color="auto"/>
              <w:bottom w:val="single" w:sz="4" w:space="0" w:color="auto"/>
              <w:right w:val="single" w:sz="4" w:space="0" w:color="auto"/>
            </w:tcBorders>
            <w:shd w:val="clear" w:color="auto" w:fill="A3E7FF"/>
            <w:vAlign w:val="center"/>
            <w:hideMark/>
          </w:tcPr>
          <w:p w14:paraId="56F5A058" w14:textId="77777777" w:rsidR="00105B6F" w:rsidRPr="0064411A" w:rsidRDefault="00105B6F" w:rsidP="00BA499D">
            <w:pPr>
              <w:spacing w:line="276" w:lineRule="auto"/>
              <w:jc w:val="center"/>
              <w:rPr>
                <w:rFonts w:ascii="Calibri" w:eastAsia="Calibri" w:hAnsi="Calibri" w:cs="Times New Roman"/>
                <w:b/>
                <w:color w:val="000000"/>
                <w:sz w:val="18"/>
                <w:szCs w:val="18"/>
                <w:lang w:eastAsia="hr-HR"/>
              </w:rPr>
            </w:pPr>
            <w:r>
              <w:rPr>
                <w:rFonts w:ascii="Calibri" w:eastAsia="Calibri" w:hAnsi="Calibri" w:cs="Times New Roman"/>
                <w:b/>
                <w:color w:val="000000"/>
                <w:sz w:val="18"/>
                <w:szCs w:val="18"/>
                <w:lang w:eastAsia="hr-HR"/>
              </w:rPr>
              <w:t>Izvršenje 01.01.-31.12</w:t>
            </w:r>
            <w:r w:rsidRPr="0064411A">
              <w:rPr>
                <w:rFonts w:ascii="Calibri" w:eastAsia="Calibri" w:hAnsi="Calibri" w:cs="Times New Roman"/>
                <w:b/>
                <w:color w:val="000000"/>
                <w:sz w:val="18"/>
                <w:szCs w:val="18"/>
                <w:lang w:eastAsia="hr-HR"/>
              </w:rPr>
              <w:t>.202</w:t>
            </w:r>
            <w:r>
              <w:rPr>
                <w:rFonts w:ascii="Calibri" w:eastAsia="Calibri" w:hAnsi="Calibri" w:cs="Times New Roman"/>
                <w:b/>
                <w:color w:val="000000"/>
                <w:sz w:val="18"/>
                <w:szCs w:val="18"/>
                <w:lang w:eastAsia="hr-HR"/>
              </w:rPr>
              <w:t>3</w:t>
            </w:r>
            <w:r w:rsidRPr="0064411A">
              <w:rPr>
                <w:rFonts w:ascii="Calibri" w:eastAsia="Calibri" w:hAnsi="Calibri" w:cs="Times New Roman"/>
                <w:b/>
                <w:color w:val="000000"/>
                <w:sz w:val="18"/>
                <w:szCs w:val="18"/>
                <w:lang w:eastAsia="hr-HR"/>
              </w:rPr>
              <w:t>.</w:t>
            </w:r>
          </w:p>
        </w:tc>
      </w:tr>
      <w:tr w:rsidR="00105B6F" w:rsidRPr="0064411A" w14:paraId="441659C4" w14:textId="77777777" w:rsidTr="00BA499D">
        <w:trPr>
          <w:trHeight w:val="227"/>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3E7FF"/>
            <w:vAlign w:val="center"/>
            <w:hideMark/>
          </w:tcPr>
          <w:p w14:paraId="508CC960" w14:textId="77777777" w:rsidR="00105B6F" w:rsidRPr="0064411A" w:rsidRDefault="00105B6F" w:rsidP="00BA499D">
            <w:pPr>
              <w:spacing w:line="276" w:lineRule="auto"/>
              <w:rPr>
                <w:rFonts w:ascii="Calibri" w:eastAsia="Calibri" w:hAnsi="Calibri" w:cs="Times New Roman"/>
                <w:color w:val="1A1A1A"/>
                <w:sz w:val="18"/>
                <w:szCs w:val="18"/>
                <w:lang w:eastAsia="hr-HR"/>
              </w:rPr>
            </w:pPr>
            <w:r w:rsidRPr="0064411A">
              <w:rPr>
                <w:rFonts w:ascii="Calibri" w:eastAsia="Calibri" w:hAnsi="Calibri" w:cs="Times New Roman"/>
                <w:color w:val="1A1A1A"/>
                <w:sz w:val="18"/>
                <w:szCs w:val="18"/>
                <w:lang w:eastAsia="hr-HR"/>
              </w:rPr>
              <w:t>Povjerenstva i radne skupine EMA-e</w:t>
            </w:r>
          </w:p>
        </w:tc>
      </w:tr>
      <w:tr w:rsidR="00105B6F" w:rsidRPr="0064411A" w14:paraId="27D51464" w14:textId="77777777" w:rsidTr="00BA499D">
        <w:trPr>
          <w:trHeight w:val="227"/>
          <w:jc w:val="center"/>
        </w:trPr>
        <w:tc>
          <w:tcPr>
            <w:tcW w:w="419" w:type="pct"/>
            <w:tcBorders>
              <w:top w:val="single" w:sz="4" w:space="0" w:color="auto"/>
              <w:left w:val="single" w:sz="4" w:space="0" w:color="auto"/>
              <w:bottom w:val="single" w:sz="4" w:space="0" w:color="auto"/>
              <w:right w:val="single" w:sz="4" w:space="0" w:color="auto"/>
            </w:tcBorders>
            <w:vAlign w:val="center"/>
            <w:hideMark/>
          </w:tcPr>
          <w:p w14:paraId="287E91A4" w14:textId="77777777" w:rsidR="00105B6F" w:rsidRPr="0064411A" w:rsidRDefault="00105B6F" w:rsidP="00BA499D">
            <w:pPr>
              <w:spacing w:line="276" w:lineRule="auto"/>
              <w:jc w:val="center"/>
              <w:rPr>
                <w:rFonts w:ascii="Calibri" w:eastAsia="Calibri" w:hAnsi="Calibri" w:cs="Times New Roman"/>
                <w:sz w:val="18"/>
                <w:szCs w:val="18"/>
              </w:rPr>
            </w:pPr>
            <w:r w:rsidRPr="0064411A">
              <w:rPr>
                <w:rFonts w:ascii="Calibri" w:eastAsia="Calibri" w:hAnsi="Calibri" w:cs="Times New Roman"/>
                <w:sz w:val="18"/>
                <w:szCs w:val="18"/>
              </w:rPr>
              <w:t>1.</w:t>
            </w:r>
          </w:p>
        </w:tc>
        <w:tc>
          <w:tcPr>
            <w:tcW w:w="2564" w:type="pct"/>
            <w:tcBorders>
              <w:top w:val="single" w:sz="4" w:space="0" w:color="auto"/>
              <w:left w:val="single" w:sz="4" w:space="0" w:color="auto"/>
              <w:bottom w:val="single" w:sz="4" w:space="0" w:color="auto"/>
              <w:right w:val="single" w:sz="4" w:space="0" w:color="auto"/>
            </w:tcBorders>
            <w:vAlign w:val="center"/>
            <w:hideMark/>
          </w:tcPr>
          <w:p w14:paraId="1AA60777" w14:textId="77777777" w:rsidR="00105B6F" w:rsidRPr="0064411A" w:rsidRDefault="00105B6F" w:rsidP="00BA499D">
            <w:pPr>
              <w:spacing w:line="276" w:lineRule="auto"/>
              <w:rPr>
                <w:rFonts w:ascii="Calibri" w:eastAsia="Calibri" w:hAnsi="Calibri" w:cs="Times New Roman"/>
                <w:sz w:val="18"/>
                <w:szCs w:val="18"/>
              </w:rPr>
            </w:pPr>
            <w:r w:rsidRPr="0064411A">
              <w:rPr>
                <w:rFonts w:ascii="Calibri" w:eastAsia="Calibri" w:hAnsi="Calibri" w:cs="Times New Roman"/>
                <w:sz w:val="18"/>
                <w:szCs w:val="18"/>
              </w:rPr>
              <w:t>Inspektorska radna skupina za farmakovigilanciju (PhV IWG)</w:t>
            </w:r>
          </w:p>
        </w:tc>
        <w:tc>
          <w:tcPr>
            <w:tcW w:w="933" w:type="pct"/>
            <w:tcBorders>
              <w:top w:val="single" w:sz="4" w:space="0" w:color="auto"/>
              <w:left w:val="single" w:sz="4" w:space="0" w:color="auto"/>
              <w:bottom w:val="single" w:sz="4" w:space="0" w:color="auto"/>
              <w:right w:val="single" w:sz="4" w:space="0" w:color="auto"/>
            </w:tcBorders>
            <w:vAlign w:val="center"/>
          </w:tcPr>
          <w:p w14:paraId="6E790D43" w14:textId="77777777" w:rsidR="00105B6F" w:rsidRPr="0064411A" w:rsidRDefault="00105B6F" w:rsidP="00BA499D">
            <w:pPr>
              <w:spacing w:line="276" w:lineRule="auto"/>
              <w:jc w:val="center"/>
              <w:rPr>
                <w:rFonts w:ascii="Calibri" w:eastAsia="Calibri" w:hAnsi="Calibri" w:cs="Times New Roman"/>
                <w:sz w:val="18"/>
                <w:szCs w:val="18"/>
              </w:rPr>
            </w:pPr>
            <w:r>
              <w:rPr>
                <w:rFonts w:ascii="Calibri" w:eastAsia="Calibri" w:hAnsi="Calibri" w:cs="Times New Roman"/>
                <w:sz w:val="18"/>
                <w:szCs w:val="18"/>
              </w:rPr>
              <w:t>4</w:t>
            </w:r>
          </w:p>
        </w:tc>
        <w:tc>
          <w:tcPr>
            <w:tcW w:w="1084" w:type="pct"/>
            <w:tcBorders>
              <w:top w:val="single" w:sz="4" w:space="0" w:color="auto"/>
              <w:left w:val="single" w:sz="4" w:space="0" w:color="auto"/>
              <w:bottom w:val="single" w:sz="4" w:space="0" w:color="auto"/>
              <w:right w:val="single" w:sz="4" w:space="0" w:color="auto"/>
            </w:tcBorders>
            <w:vAlign w:val="center"/>
          </w:tcPr>
          <w:p w14:paraId="34FEA38C" w14:textId="77777777" w:rsidR="00105B6F" w:rsidRPr="0064411A" w:rsidRDefault="00105B6F" w:rsidP="00BA499D">
            <w:pPr>
              <w:spacing w:line="276" w:lineRule="auto"/>
              <w:jc w:val="center"/>
              <w:rPr>
                <w:rFonts w:ascii="Calibri" w:eastAsia="Calibri" w:hAnsi="Calibri" w:cs="Times New Roman"/>
                <w:sz w:val="18"/>
                <w:szCs w:val="18"/>
              </w:rPr>
            </w:pPr>
            <w:r>
              <w:rPr>
                <w:rFonts w:ascii="Calibri" w:eastAsia="Calibri" w:hAnsi="Calibri" w:cs="Times New Roman"/>
                <w:sz w:val="18"/>
                <w:szCs w:val="18"/>
              </w:rPr>
              <w:t>3</w:t>
            </w:r>
          </w:p>
        </w:tc>
      </w:tr>
      <w:tr w:rsidR="00105B6F" w:rsidRPr="0064411A" w14:paraId="672F8EDD" w14:textId="77777777" w:rsidTr="00BA499D">
        <w:trPr>
          <w:trHeight w:val="227"/>
          <w:jc w:val="center"/>
        </w:trPr>
        <w:tc>
          <w:tcPr>
            <w:tcW w:w="419" w:type="pct"/>
            <w:tcBorders>
              <w:top w:val="single" w:sz="4" w:space="0" w:color="auto"/>
              <w:left w:val="single" w:sz="4" w:space="0" w:color="auto"/>
              <w:bottom w:val="single" w:sz="4" w:space="0" w:color="auto"/>
              <w:right w:val="single" w:sz="4" w:space="0" w:color="auto"/>
            </w:tcBorders>
            <w:vAlign w:val="center"/>
            <w:hideMark/>
          </w:tcPr>
          <w:p w14:paraId="347C14B3" w14:textId="77777777" w:rsidR="00105B6F" w:rsidRPr="0064411A" w:rsidRDefault="00105B6F" w:rsidP="00BA499D">
            <w:pPr>
              <w:spacing w:line="276" w:lineRule="auto"/>
              <w:jc w:val="center"/>
              <w:rPr>
                <w:rFonts w:ascii="Calibri" w:eastAsia="Calibri" w:hAnsi="Calibri" w:cs="Times New Roman"/>
                <w:sz w:val="18"/>
                <w:szCs w:val="18"/>
              </w:rPr>
            </w:pPr>
            <w:r w:rsidRPr="0064411A">
              <w:rPr>
                <w:rFonts w:ascii="Calibri" w:eastAsia="Calibri" w:hAnsi="Calibri" w:cs="Times New Roman"/>
                <w:sz w:val="18"/>
                <w:szCs w:val="18"/>
              </w:rPr>
              <w:t>2.</w:t>
            </w:r>
          </w:p>
        </w:tc>
        <w:tc>
          <w:tcPr>
            <w:tcW w:w="2564" w:type="pct"/>
            <w:tcBorders>
              <w:top w:val="single" w:sz="4" w:space="0" w:color="auto"/>
              <w:left w:val="single" w:sz="4" w:space="0" w:color="auto"/>
              <w:bottom w:val="single" w:sz="4" w:space="0" w:color="auto"/>
              <w:right w:val="single" w:sz="4" w:space="0" w:color="auto"/>
            </w:tcBorders>
            <w:vAlign w:val="center"/>
            <w:hideMark/>
          </w:tcPr>
          <w:p w14:paraId="1732DEBD" w14:textId="77777777" w:rsidR="00105B6F" w:rsidRPr="0064411A" w:rsidRDefault="00105B6F" w:rsidP="00BA499D">
            <w:pPr>
              <w:spacing w:line="276" w:lineRule="auto"/>
              <w:rPr>
                <w:rFonts w:ascii="Calibri" w:eastAsia="Calibri" w:hAnsi="Calibri" w:cs="Times New Roman"/>
                <w:sz w:val="18"/>
                <w:szCs w:val="18"/>
              </w:rPr>
            </w:pPr>
            <w:r w:rsidRPr="0064411A">
              <w:rPr>
                <w:rFonts w:ascii="Calibri" w:eastAsia="Calibri" w:hAnsi="Calibri" w:cs="Times New Roman"/>
                <w:sz w:val="18"/>
                <w:szCs w:val="18"/>
              </w:rPr>
              <w:t>Inspektorska radna skupina za dobru proizvođačku praksu i dobru distribucijsku praksu (GMDP IWG)</w:t>
            </w:r>
          </w:p>
        </w:tc>
        <w:tc>
          <w:tcPr>
            <w:tcW w:w="933" w:type="pct"/>
            <w:tcBorders>
              <w:top w:val="single" w:sz="4" w:space="0" w:color="auto"/>
              <w:left w:val="single" w:sz="4" w:space="0" w:color="auto"/>
              <w:bottom w:val="single" w:sz="4" w:space="0" w:color="auto"/>
              <w:right w:val="single" w:sz="4" w:space="0" w:color="auto"/>
            </w:tcBorders>
            <w:vAlign w:val="center"/>
          </w:tcPr>
          <w:p w14:paraId="1597A59F" w14:textId="77777777" w:rsidR="00105B6F" w:rsidRPr="0064411A" w:rsidRDefault="00105B6F" w:rsidP="00BA499D">
            <w:pPr>
              <w:spacing w:line="276" w:lineRule="auto"/>
              <w:jc w:val="center"/>
              <w:rPr>
                <w:rFonts w:ascii="Calibri" w:eastAsia="Calibri" w:hAnsi="Calibri" w:cs="Times New Roman"/>
                <w:sz w:val="18"/>
                <w:szCs w:val="18"/>
              </w:rPr>
            </w:pPr>
            <w:r>
              <w:rPr>
                <w:rFonts w:ascii="Calibri" w:eastAsia="Calibri" w:hAnsi="Calibri" w:cs="Times New Roman"/>
                <w:sz w:val="18"/>
                <w:szCs w:val="18"/>
              </w:rPr>
              <w:t>4</w:t>
            </w:r>
          </w:p>
        </w:tc>
        <w:tc>
          <w:tcPr>
            <w:tcW w:w="1084" w:type="pct"/>
            <w:tcBorders>
              <w:top w:val="single" w:sz="4" w:space="0" w:color="auto"/>
              <w:left w:val="single" w:sz="4" w:space="0" w:color="auto"/>
              <w:bottom w:val="single" w:sz="4" w:space="0" w:color="auto"/>
              <w:right w:val="single" w:sz="4" w:space="0" w:color="auto"/>
            </w:tcBorders>
            <w:vAlign w:val="center"/>
          </w:tcPr>
          <w:p w14:paraId="75B977A3" w14:textId="77777777" w:rsidR="00105B6F" w:rsidRPr="0064411A" w:rsidRDefault="00105B6F" w:rsidP="00BA499D">
            <w:pPr>
              <w:spacing w:line="276" w:lineRule="auto"/>
              <w:jc w:val="center"/>
              <w:rPr>
                <w:rFonts w:ascii="Calibri" w:eastAsia="Calibri" w:hAnsi="Calibri" w:cs="Times New Roman"/>
                <w:sz w:val="18"/>
                <w:szCs w:val="18"/>
              </w:rPr>
            </w:pPr>
            <w:r>
              <w:rPr>
                <w:rFonts w:ascii="Calibri" w:eastAsia="Calibri" w:hAnsi="Calibri" w:cs="Times New Roman"/>
                <w:sz w:val="18"/>
                <w:szCs w:val="18"/>
              </w:rPr>
              <w:t>4</w:t>
            </w:r>
          </w:p>
        </w:tc>
      </w:tr>
      <w:tr w:rsidR="00105B6F" w:rsidRPr="00F1588C" w14:paraId="24EE03B5" w14:textId="77777777" w:rsidTr="00BA499D">
        <w:trPr>
          <w:trHeight w:val="227"/>
          <w:jc w:val="center"/>
        </w:trPr>
        <w:tc>
          <w:tcPr>
            <w:tcW w:w="419" w:type="pct"/>
            <w:tcBorders>
              <w:top w:val="single" w:sz="4" w:space="0" w:color="auto"/>
              <w:left w:val="single" w:sz="4" w:space="0" w:color="auto"/>
              <w:bottom w:val="single" w:sz="4" w:space="0" w:color="auto"/>
              <w:right w:val="single" w:sz="4" w:space="0" w:color="auto"/>
            </w:tcBorders>
            <w:vAlign w:val="center"/>
          </w:tcPr>
          <w:p w14:paraId="2688AECB" w14:textId="77777777" w:rsidR="00105B6F" w:rsidRPr="00F1588C" w:rsidRDefault="00105B6F" w:rsidP="00BA499D">
            <w:pPr>
              <w:spacing w:line="276" w:lineRule="auto"/>
              <w:jc w:val="center"/>
              <w:rPr>
                <w:rFonts w:ascii="Calibri" w:eastAsia="Calibri" w:hAnsi="Calibri" w:cs="Times New Roman"/>
                <w:sz w:val="18"/>
                <w:szCs w:val="18"/>
              </w:rPr>
            </w:pPr>
            <w:r w:rsidRPr="00F1588C">
              <w:rPr>
                <w:rFonts w:ascii="Calibri" w:eastAsia="Calibri" w:hAnsi="Calibri" w:cs="Times New Roman"/>
                <w:sz w:val="18"/>
                <w:szCs w:val="18"/>
              </w:rPr>
              <w:t>3.</w:t>
            </w:r>
          </w:p>
        </w:tc>
        <w:tc>
          <w:tcPr>
            <w:tcW w:w="2564" w:type="pct"/>
            <w:tcBorders>
              <w:top w:val="single" w:sz="4" w:space="0" w:color="auto"/>
              <w:left w:val="single" w:sz="4" w:space="0" w:color="auto"/>
              <w:bottom w:val="single" w:sz="4" w:space="0" w:color="auto"/>
              <w:right w:val="single" w:sz="4" w:space="0" w:color="auto"/>
            </w:tcBorders>
            <w:vAlign w:val="center"/>
          </w:tcPr>
          <w:p w14:paraId="64A67AE9" w14:textId="22EEF2DA" w:rsidR="00105B6F" w:rsidRPr="00F1588C" w:rsidRDefault="00105B6F" w:rsidP="0012108C">
            <w:pPr>
              <w:spacing w:line="276" w:lineRule="auto"/>
              <w:rPr>
                <w:rFonts w:ascii="Calibri" w:eastAsia="Calibri" w:hAnsi="Calibri" w:cs="Times New Roman"/>
                <w:sz w:val="18"/>
                <w:szCs w:val="18"/>
              </w:rPr>
            </w:pPr>
            <w:r w:rsidRPr="00F1588C">
              <w:rPr>
                <w:rFonts w:ascii="Calibri" w:eastAsia="Calibri" w:hAnsi="Calibri" w:cs="Times New Roman"/>
                <w:sz w:val="18"/>
                <w:szCs w:val="18"/>
              </w:rPr>
              <w:t xml:space="preserve">Inspektorska radna </w:t>
            </w:r>
            <w:r w:rsidR="0012108C">
              <w:rPr>
                <w:rFonts w:ascii="Calibri" w:eastAsia="Calibri" w:hAnsi="Calibri" w:cs="Times New Roman"/>
                <w:sz w:val="18"/>
                <w:szCs w:val="18"/>
              </w:rPr>
              <w:t>skupina</w:t>
            </w:r>
            <w:r w:rsidR="0012108C" w:rsidRPr="00F1588C">
              <w:rPr>
                <w:rFonts w:ascii="Calibri" w:eastAsia="Calibri" w:hAnsi="Calibri" w:cs="Times New Roman"/>
                <w:sz w:val="18"/>
                <w:szCs w:val="18"/>
              </w:rPr>
              <w:t xml:space="preserve"> </w:t>
            </w:r>
            <w:r w:rsidRPr="00F1588C">
              <w:rPr>
                <w:rFonts w:ascii="Calibri" w:eastAsia="Calibri" w:hAnsi="Calibri" w:cs="Times New Roman"/>
                <w:sz w:val="18"/>
                <w:szCs w:val="18"/>
              </w:rPr>
              <w:t>za dobru kliničku praksu (Good Clinical Practice Inspectors Working Group (GCP IWG)</w:t>
            </w:r>
          </w:p>
        </w:tc>
        <w:tc>
          <w:tcPr>
            <w:tcW w:w="933" w:type="pct"/>
            <w:tcBorders>
              <w:top w:val="single" w:sz="4" w:space="0" w:color="auto"/>
              <w:left w:val="single" w:sz="4" w:space="0" w:color="auto"/>
              <w:bottom w:val="single" w:sz="4" w:space="0" w:color="auto"/>
              <w:right w:val="single" w:sz="4" w:space="0" w:color="auto"/>
            </w:tcBorders>
            <w:vAlign w:val="center"/>
          </w:tcPr>
          <w:p w14:paraId="61C61C54" w14:textId="77777777" w:rsidR="00105B6F" w:rsidRPr="00F1588C" w:rsidRDefault="00105B6F" w:rsidP="00BA499D">
            <w:pPr>
              <w:spacing w:line="276" w:lineRule="auto"/>
              <w:jc w:val="center"/>
              <w:rPr>
                <w:rFonts w:ascii="Calibri" w:eastAsia="Calibri" w:hAnsi="Calibri" w:cs="Times New Roman"/>
                <w:sz w:val="18"/>
                <w:szCs w:val="18"/>
              </w:rPr>
            </w:pPr>
            <w:r w:rsidRPr="00F1588C">
              <w:rPr>
                <w:rFonts w:ascii="Calibri" w:eastAsia="Calibri" w:hAnsi="Calibri" w:cs="Times New Roman"/>
                <w:sz w:val="18"/>
                <w:szCs w:val="18"/>
              </w:rPr>
              <w:t>4</w:t>
            </w:r>
          </w:p>
        </w:tc>
        <w:tc>
          <w:tcPr>
            <w:tcW w:w="1084" w:type="pct"/>
            <w:tcBorders>
              <w:top w:val="single" w:sz="4" w:space="0" w:color="auto"/>
              <w:left w:val="single" w:sz="4" w:space="0" w:color="auto"/>
              <w:bottom w:val="single" w:sz="4" w:space="0" w:color="auto"/>
              <w:right w:val="single" w:sz="4" w:space="0" w:color="auto"/>
            </w:tcBorders>
            <w:vAlign w:val="center"/>
          </w:tcPr>
          <w:p w14:paraId="08399AA3" w14:textId="77777777" w:rsidR="00105B6F" w:rsidRPr="00F1588C" w:rsidDel="004F1BAA" w:rsidRDefault="00105B6F" w:rsidP="00BA499D">
            <w:pPr>
              <w:spacing w:line="276" w:lineRule="auto"/>
              <w:jc w:val="center"/>
              <w:rPr>
                <w:rFonts w:ascii="Calibri" w:eastAsia="Calibri" w:hAnsi="Calibri" w:cs="Times New Roman"/>
                <w:sz w:val="18"/>
                <w:szCs w:val="18"/>
              </w:rPr>
            </w:pPr>
            <w:r>
              <w:rPr>
                <w:rFonts w:ascii="Calibri" w:eastAsia="Calibri" w:hAnsi="Calibri" w:cs="Times New Roman"/>
                <w:sz w:val="18"/>
                <w:szCs w:val="18"/>
              </w:rPr>
              <w:t>4</w:t>
            </w:r>
          </w:p>
        </w:tc>
      </w:tr>
      <w:tr w:rsidR="00105B6F" w:rsidRPr="0064411A" w14:paraId="589A2CB6" w14:textId="77777777" w:rsidTr="00BA499D">
        <w:trPr>
          <w:trHeight w:val="259"/>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3E7FF"/>
            <w:vAlign w:val="center"/>
            <w:hideMark/>
          </w:tcPr>
          <w:p w14:paraId="5A10FBD6" w14:textId="77777777" w:rsidR="00105B6F" w:rsidRPr="0064411A" w:rsidRDefault="00105B6F" w:rsidP="00BA499D">
            <w:pPr>
              <w:spacing w:line="276" w:lineRule="auto"/>
              <w:rPr>
                <w:rFonts w:ascii="Calibri" w:eastAsia="Calibri" w:hAnsi="Calibri" w:cs="Times New Roman"/>
                <w:color w:val="1A1A1A"/>
                <w:sz w:val="18"/>
                <w:szCs w:val="18"/>
                <w:lang w:eastAsia="hr-HR"/>
              </w:rPr>
            </w:pPr>
            <w:r w:rsidRPr="0064411A">
              <w:rPr>
                <w:rFonts w:ascii="Calibri" w:eastAsia="Calibri" w:hAnsi="Calibri" w:cs="Times New Roman"/>
                <w:sz w:val="18"/>
                <w:szCs w:val="18"/>
              </w:rPr>
              <w:t>Radne skupine HMA:</w:t>
            </w:r>
            <w:r>
              <w:rPr>
                <w:rFonts w:ascii="Calibri" w:eastAsia="Calibri" w:hAnsi="Calibri" w:cs="Times New Roman"/>
                <w:sz w:val="18"/>
                <w:szCs w:val="18"/>
              </w:rPr>
              <w:t>%</w:t>
            </w:r>
          </w:p>
        </w:tc>
      </w:tr>
      <w:tr w:rsidR="00105B6F" w:rsidRPr="0064411A" w14:paraId="667D3C61" w14:textId="77777777" w:rsidTr="00BA499D">
        <w:trPr>
          <w:trHeight w:val="227"/>
          <w:jc w:val="center"/>
        </w:trPr>
        <w:tc>
          <w:tcPr>
            <w:tcW w:w="419" w:type="pct"/>
            <w:tcBorders>
              <w:top w:val="single" w:sz="4" w:space="0" w:color="auto"/>
              <w:left w:val="single" w:sz="4" w:space="0" w:color="auto"/>
              <w:bottom w:val="single" w:sz="4" w:space="0" w:color="auto"/>
              <w:right w:val="single" w:sz="4" w:space="0" w:color="auto"/>
            </w:tcBorders>
            <w:vAlign w:val="center"/>
            <w:hideMark/>
          </w:tcPr>
          <w:p w14:paraId="2DB23881" w14:textId="77777777" w:rsidR="00105B6F" w:rsidRPr="0064411A" w:rsidRDefault="00105B6F" w:rsidP="00BA499D">
            <w:pPr>
              <w:spacing w:line="276" w:lineRule="auto"/>
              <w:jc w:val="center"/>
              <w:rPr>
                <w:rFonts w:ascii="Calibri" w:eastAsia="Calibri" w:hAnsi="Calibri" w:cs="Times New Roman"/>
                <w:sz w:val="18"/>
                <w:szCs w:val="18"/>
              </w:rPr>
            </w:pPr>
            <w:r>
              <w:rPr>
                <w:rFonts w:ascii="Calibri" w:eastAsia="Calibri" w:hAnsi="Calibri" w:cs="Times New Roman"/>
                <w:sz w:val="18"/>
                <w:szCs w:val="18"/>
              </w:rPr>
              <w:t>4</w:t>
            </w:r>
            <w:r w:rsidRPr="0064411A">
              <w:rPr>
                <w:rFonts w:ascii="Calibri" w:eastAsia="Calibri" w:hAnsi="Calibri" w:cs="Times New Roman"/>
                <w:sz w:val="18"/>
                <w:szCs w:val="18"/>
              </w:rPr>
              <w:t>.</w:t>
            </w:r>
          </w:p>
        </w:tc>
        <w:tc>
          <w:tcPr>
            <w:tcW w:w="2564" w:type="pct"/>
            <w:tcBorders>
              <w:top w:val="single" w:sz="4" w:space="0" w:color="auto"/>
              <w:left w:val="single" w:sz="4" w:space="0" w:color="auto"/>
              <w:bottom w:val="single" w:sz="4" w:space="0" w:color="auto"/>
              <w:right w:val="single" w:sz="4" w:space="0" w:color="auto"/>
            </w:tcBorders>
            <w:vAlign w:val="center"/>
            <w:hideMark/>
          </w:tcPr>
          <w:p w14:paraId="292E8668" w14:textId="77777777" w:rsidR="00105B6F" w:rsidRPr="0064411A" w:rsidRDefault="00105B6F" w:rsidP="00BA499D">
            <w:pPr>
              <w:spacing w:line="276" w:lineRule="auto"/>
              <w:rPr>
                <w:rFonts w:ascii="Calibri" w:eastAsia="Calibri" w:hAnsi="Calibri" w:cs="Times New Roman"/>
                <w:sz w:val="18"/>
                <w:szCs w:val="18"/>
              </w:rPr>
            </w:pPr>
            <w:r w:rsidRPr="0064411A">
              <w:rPr>
                <w:rFonts w:ascii="Calibri" w:eastAsia="Calibri" w:hAnsi="Calibri" w:cs="Times New Roman"/>
                <w:sz w:val="18"/>
                <w:szCs w:val="18"/>
              </w:rPr>
              <w:t>Radna skupina provedbenih službenika (WGEO)</w:t>
            </w:r>
          </w:p>
        </w:tc>
        <w:tc>
          <w:tcPr>
            <w:tcW w:w="933" w:type="pct"/>
            <w:tcBorders>
              <w:top w:val="single" w:sz="4" w:space="0" w:color="auto"/>
              <w:left w:val="single" w:sz="4" w:space="0" w:color="auto"/>
              <w:bottom w:val="single" w:sz="4" w:space="0" w:color="auto"/>
              <w:right w:val="single" w:sz="4" w:space="0" w:color="auto"/>
            </w:tcBorders>
            <w:vAlign w:val="center"/>
            <w:hideMark/>
          </w:tcPr>
          <w:p w14:paraId="78E6F994" w14:textId="77777777" w:rsidR="00105B6F" w:rsidRPr="0064411A" w:rsidRDefault="00105B6F" w:rsidP="00BA499D">
            <w:pPr>
              <w:spacing w:line="276" w:lineRule="auto"/>
              <w:jc w:val="center"/>
              <w:rPr>
                <w:rFonts w:ascii="Calibri" w:eastAsia="Calibri" w:hAnsi="Calibri" w:cs="Times New Roman"/>
                <w:sz w:val="18"/>
                <w:szCs w:val="18"/>
              </w:rPr>
            </w:pPr>
            <w:r>
              <w:rPr>
                <w:rFonts w:ascii="Calibri" w:eastAsia="Calibri" w:hAnsi="Calibri" w:cs="Times New Roman"/>
                <w:sz w:val="18"/>
                <w:szCs w:val="18"/>
              </w:rPr>
              <w:t>2</w:t>
            </w:r>
          </w:p>
        </w:tc>
        <w:tc>
          <w:tcPr>
            <w:tcW w:w="1084" w:type="pct"/>
            <w:tcBorders>
              <w:top w:val="single" w:sz="4" w:space="0" w:color="auto"/>
              <w:left w:val="single" w:sz="4" w:space="0" w:color="auto"/>
              <w:bottom w:val="single" w:sz="4" w:space="0" w:color="auto"/>
              <w:right w:val="single" w:sz="4" w:space="0" w:color="auto"/>
            </w:tcBorders>
            <w:vAlign w:val="center"/>
          </w:tcPr>
          <w:p w14:paraId="50018CA3" w14:textId="77777777" w:rsidR="00105B6F" w:rsidRPr="0064411A" w:rsidRDefault="00105B6F" w:rsidP="00BA499D">
            <w:pPr>
              <w:spacing w:line="276" w:lineRule="auto"/>
              <w:jc w:val="center"/>
              <w:rPr>
                <w:rFonts w:ascii="Calibri" w:eastAsia="Calibri" w:hAnsi="Calibri" w:cs="Times New Roman"/>
                <w:sz w:val="18"/>
                <w:szCs w:val="18"/>
              </w:rPr>
            </w:pPr>
            <w:r>
              <w:rPr>
                <w:rFonts w:ascii="Calibri" w:eastAsia="Calibri" w:hAnsi="Calibri" w:cs="Times New Roman"/>
                <w:sz w:val="18"/>
                <w:szCs w:val="18"/>
              </w:rPr>
              <w:t>2</w:t>
            </w:r>
          </w:p>
        </w:tc>
      </w:tr>
      <w:tr w:rsidR="00105B6F" w:rsidRPr="009F4636" w14:paraId="376037E9" w14:textId="77777777" w:rsidTr="00BA499D">
        <w:trPr>
          <w:trHeight w:val="227"/>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3E7FF"/>
          </w:tcPr>
          <w:p w14:paraId="6D82360B" w14:textId="77777777" w:rsidR="00105B6F" w:rsidRDefault="00105B6F" w:rsidP="00BA499D">
            <w:pPr>
              <w:spacing w:line="276" w:lineRule="auto"/>
              <w:rPr>
                <w:rFonts w:ascii="Calibri" w:eastAsia="Calibri" w:hAnsi="Calibri" w:cs="Times New Roman"/>
                <w:sz w:val="18"/>
                <w:szCs w:val="18"/>
              </w:rPr>
            </w:pPr>
            <w:r w:rsidRPr="003D7E4B">
              <w:rPr>
                <w:rFonts w:ascii="Calibri" w:eastAsia="Calibri" w:hAnsi="Calibri" w:cs="Times New Roman"/>
                <w:sz w:val="18"/>
                <w:szCs w:val="18"/>
              </w:rPr>
              <w:t xml:space="preserve">Radne skupine </w:t>
            </w:r>
            <w:r>
              <w:rPr>
                <w:rFonts w:ascii="Calibri" w:eastAsia="Calibri" w:hAnsi="Calibri" w:cs="Times New Roman"/>
                <w:sz w:val="18"/>
                <w:szCs w:val="18"/>
              </w:rPr>
              <w:t>Europske komisije</w:t>
            </w:r>
          </w:p>
        </w:tc>
      </w:tr>
      <w:tr w:rsidR="00105B6F" w:rsidRPr="0064411A" w14:paraId="4811C315" w14:textId="77777777" w:rsidTr="00BA499D">
        <w:trPr>
          <w:trHeight w:val="227"/>
          <w:jc w:val="center"/>
        </w:trPr>
        <w:tc>
          <w:tcPr>
            <w:tcW w:w="419" w:type="pct"/>
            <w:tcBorders>
              <w:top w:val="single" w:sz="4" w:space="0" w:color="auto"/>
              <w:left w:val="single" w:sz="4" w:space="0" w:color="auto"/>
              <w:bottom w:val="single" w:sz="4" w:space="0" w:color="auto"/>
              <w:right w:val="single" w:sz="4" w:space="0" w:color="auto"/>
            </w:tcBorders>
            <w:vAlign w:val="center"/>
          </w:tcPr>
          <w:p w14:paraId="014DBF7D" w14:textId="77777777" w:rsidR="00105B6F" w:rsidRPr="000B7394" w:rsidRDefault="00105B6F" w:rsidP="00BA499D">
            <w:pPr>
              <w:spacing w:line="276" w:lineRule="auto"/>
              <w:jc w:val="center"/>
              <w:rPr>
                <w:rFonts w:ascii="Calibri" w:eastAsia="Calibri" w:hAnsi="Calibri" w:cs="Times New Roman"/>
                <w:sz w:val="18"/>
                <w:szCs w:val="18"/>
              </w:rPr>
            </w:pPr>
            <w:r>
              <w:rPr>
                <w:rFonts w:ascii="Calibri" w:eastAsia="Calibri" w:hAnsi="Calibri" w:cs="Times New Roman"/>
                <w:sz w:val="18"/>
                <w:szCs w:val="18"/>
              </w:rPr>
              <w:t>5</w:t>
            </w:r>
            <w:r w:rsidRPr="000B7394">
              <w:rPr>
                <w:rFonts w:ascii="Calibri" w:eastAsia="Calibri" w:hAnsi="Calibri" w:cs="Times New Roman"/>
                <w:sz w:val="18"/>
                <w:szCs w:val="18"/>
              </w:rPr>
              <w:t>.</w:t>
            </w:r>
          </w:p>
        </w:tc>
        <w:tc>
          <w:tcPr>
            <w:tcW w:w="2564" w:type="pct"/>
            <w:tcBorders>
              <w:top w:val="single" w:sz="4" w:space="0" w:color="auto"/>
              <w:left w:val="single" w:sz="4" w:space="0" w:color="auto"/>
              <w:bottom w:val="single" w:sz="4" w:space="0" w:color="auto"/>
              <w:right w:val="single" w:sz="4" w:space="0" w:color="auto"/>
            </w:tcBorders>
            <w:vAlign w:val="center"/>
          </w:tcPr>
          <w:p w14:paraId="1EB7C9B9" w14:textId="43E75D0D" w:rsidR="00105B6F" w:rsidRPr="000B7394" w:rsidRDefault="00105B6F" w:rsidP="0012108C">
            <w:pPr>
              <w:spacing w:line="276" w:lineRule="auto"/>
              <w:rPr>
                <w:rFonts w:ascii="Calibri" w:eastAsia="Calibri" w:hAnsi="Calibri" w:cs="Times New Roman"/>
                <w:sz w:val="18"/>
                <w:szCs w:val="18"/>
              </w:rPr>
            </w:pPr>
            <w:r w:rsidRPr="000B7394">
              <w:rPr>
                <w:sz w:val="18"/>
                <w:szCs w:val="18"/>
              </w:rPr>
              <w:t xml:space="preserve">Ekspertna </w:t>
            </w:r>
            <w:r w:rsidR="0012108C">
              <w:rPr>
                <w:sz w:val="18"/>
                <w:szCs w:val="18"/>
              </w:rPr>
              <w:t>skupina</w:t>
            </w:r>
            <w:r w:rsidR="0012108C" w:rsidRPr="000B7394">
              <w:rPr>
                <w:sz w:val="18"/>
                <w:szCs w:val="18"/>
              </w:rPr>
              <w:t xml:space="preserve"> </w:t>
            </w:r>
            <w:r w:rsidRPr="000B7394">
              <w:rPr>
                <w:sz w:val="18"/>
                <w:szCs w:val="18"/>
              </w:rPr>
              <w:t>za donošenje delegiranog akta o serijalizaciji lijekova za humanu uporabu</w:t>
            </w:r>
          </w:p>
        </w:tc>
        <w:tc>
          <w:tcPr>
            <w:tcW w:w="933" w:type="pct"/>
            <w:tcBorders>
              <w:top w:val="single" w:sz="4" w:space="0" w:color="auto"/>
              <w:left w:val="single" w:sz="4" w:space="0" w:color="auto"/>
              <w:bottom w:val="single" w:sz="4" w:space="0" w:color="auto"/>
              <w:right w:val="single" w:sz="4" w:space="0" w:color="auto"/>
            </w:tcBorders>
            <w:vAlign w:val="center"/>
          </w:tcPr>
          <w:p w14:paraId="0BC2713D" w14:textId="77777777" w:rsidR="00105B6F" w:rsidRPr="000B7394" w:rsidRDefault="00105B6F" w:rsidP="00BA499D">
            <w:pPr>
              <w:spacing w:line="276" w:lineRule="auto"/>
              <w:jc w:val="center"/>
              <w:rPr>
                <w:rFonts w:ascii="Calibri" w:eastAsia="Calibri" w:hAnsi="Calibri" w:cs="Times New Roman"/>
                <w:sz w:val="18"/>
                <w:szCs w:val="18"/>
              </w:rPr>
            </w:pPr>
            <w:r w:rsidRPr="000B7394">
              <w:rPr>
                <w:rFonts w:ascii="Calibri" w:eastAsia="Calibri" w:hAnsi="Calibri" w:cs="Times New Roman"/>
                <w:sz w:val="18"/>
                <w:szCs w:val="18"/>
              </w:rPr>
              <w:t>2</w:t>
            </w:r>
          </w:p>
        </w:tc>
        <w:tc>
          <w:tcPr>
            <w:tcW w:w="1084" w:type="pct"/>
            <w:tcBorders>
              <w:top w:val="single" w:sz="4" w:space="0" w:color="auto"/>
              <w:left w:val="single" w:sz="4" w:space="0" w:color="auto"/>
              <w:bottom w:val="single" w:sz="4" w:space="0" w:color="auto"/>
              <w:right w:val="single" w:sz="4" w:space="0" w:color="auto"/>
            </w:tcBorders>
            <w:vAlign w:val="center"/>
          </w:tcPr>
          <w:p w14:paraId="3D7EE486" w14:textId="77777777" w:rsidR="00105B6F" w:rsidRDefault="00105B6F" w:rsidP="00BA499D">
            <w:pPr>
              <w:spacing w:line="276" w:lineRule="auto"/>
              <w:jc w:val="center"/>
              <w:rPr>
                <w:rFonts w:ascii="Calibri" w:eastAsia="Calibri" w:hAnsi="Calibri" w:cs="Times New Roman"/>
                <w:sz w:val="18"/>
                <w:szCs w:val="18"/>
              </w:rPr>
            </w:pPr>
            <w:r>
              <w:rPr>
                <w:rFonts w:ascii="Calibri" w:eastAsia="Calibri" w:hAnsi="Calibri" w:cs="Times New Roman"/>
                <w:sz w:val="18"/>
                <w:szCs w:val="18"/>
              </w:rPr>
              <w:t>2</w:t>
            </w:r>
          </w:p>
        </w:tc>
      </w:tr>
      <w:tr w:rsidR="00105B6F" w:rsidRPr="0064411A" w14:paraId="7DAF0269" w14:textId="77777777" w:rsidTr="00BA499D">
        <w:trPr>
          <w:trHeight w:val="227"/>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3E7FF"/>
            <w:vAlign w:val="center"/>
            <w:hideMark/>
          </w:tcPr>
          <w:p w14:paraId="6C75C90E" w14:textId="77777777" w:rsidR="00105B6F" w:rsidRPr="0064411A" w:rsidRDefault="00105B6F" w:rsidP="00BA499D">
            <w:pPr>
              <w:spacing w:line="276" w:lineRule="auto"/>
              <w:rPr>
                <w:rFonts w:ascii="Calibri" w:eastAsia="Calibri" w:hAnsi="Calibri" w:cs="Times New Roman"/>
                <w:color w:val="1A1A1A"/>
                <w:sz w:val="18"/>
                <w:szCs w:val="18"/>
                <w:lang w:eastAsia="hr-HR"/>
              </w:rPr>
            </w:pPr>
            <w:r w:rsidRPr="0064411A">
              <w:rPr>
                <w:rFonts w:ascii="Calibri" w:eastAsia="Calibri" w:hAnsi="Calibri" w:cs="Times New Roman"/>
                <w:color w:val="1A1A1A"/>
                <w:sz w:val="18"/>
                <w:szCs w:val="18"/>
                <w:lang w:eastAsia="hr-HR"/>
              </w:rPr>
              <w:t xml:space="preserve">Povjerenstva i radne skupine </w:t>
            </w:r>
            <w:r w:rsidRPr="0064411A">
              <w:rPr>
                <w:rFonts w:ascii="Calibri" w:eastAsia="Calibri" w:hAnsi="Calibri" w:cs="Times New Roman"/>
                <w:sz w:val="18"/>
                <w:szCs w:val="18"/>
              </w:rPr>
              <w:t>PIC/S-a:</w:t>
            </w:r>
          </w:p>
        </w:tc>
      </w:tr>
      <w:tr w:rsidR="00105B6F" w:rsidRPr="0064411A" w14:paraId="085945E4" w14:textId="77777777" w:rsidTr="00BA499D">
        <w:trPr>
          <w:trHeight w:val="227"/>
          <w:jc w:val="center"/>
        </w:trPr>
        <w:tc>
          <w:tcPr>
            <w:tcW w:w="419" w:type="pct"/>
            <w:tcBorders>
              <w:top w:val="single" w:sz="4" w:space="0" w:color="auto"/>
              <w:left w:val="single" w:sz="4" w:space="0" w:color="auto"/>
              <w:bottom w:val="single" w:sz="4" w:space="0" w:color="auto"/>
              <w:right w:val="single" w:sz="4" w:space="0" w:color="auto"/>
            </w:tcBorders>
            <w:vAlign w:val="center"/>
            <w:hideMark/>
          </w:tcPr>
          <w:p w14:paraId="3DFC7EBD" w14:textId="77777777" w:rsidR="00105B6F" w:rsidRPr="0064411A" w:rsidRDefault="00105B6F" w:rsidP="00BA499D">
            <w:pPr>
              <w:spacing w:line="276" w:lineRule="auto"/>
              <w:jc w:val="center"/>
              <w:rPr>
                <w:rFonts w:ascii="Calibri" w:eastAsia="Calibri" w:hAnsi="Calibri" w:cs="Times New Roman"/>
                <w:sz w:val="18"/>
                <w:szCs w:val="18"/>
              </w:rPr>
            </w:pPr>
            <w:r>
              <w:rPr>
                <w:rFonts w:ascii="Calibri" w:eastAsia="Calibri" w:hAnsi="Calibri" w:cs="Times New Roman"/>
                <w:sz w:val="18"/>
                <w:szCs w:val="18"/>
              </w:rPr>
              <w:t>6</w:t>
            </w:r>
            <w:r w:rsidRPr="0064411A">
              <w:rPr>
                <w:rFonts w:ascii="Calibri" w:eastAsia="Calibri" w:hAnsi="Calibri" w:cs="Times New Roman"/>
                <w:sz w:val="18"/>
                <w:szCs w:val="18"/>
              </w:rPr>
              <w:t>.</w:t>
            </w:r>
          </w:p>
        </w:tc>
        <w:tc>
          <w:tcPr>
            <w:tcW w:w="2564" w:type="pct"/>
            <w:tcBorders>
              <w:top w:val="single" w:sz="4" w:space="0" w:color="auto"/>
              <w:left w:val="single" w:sz="4" w:space="0" w:color="auto"/>
              <w:bottom w:val="single" w:sz="4" w:space="0" w:color="auto"/>
              <w:right w:val="single" w:sz="4" w:space="0" w:color="auto"/>
            </w:tcBorders>
            <w:vAlign w:val="center"/>
            <w:hideMark/>
          </w:tcPr>
          <w:p w14:paraId="1A96F799" w14:textId="77777777" w:rsidR="00105B6F" w:rsidRPr="0064411A" w:rsidRDefault="00105B6F" w:rsidP="00BA499D">
            <w:pPr>
              <w:spacing w:line="276" w:lineRule="auto"/>
              <w:rPr>
                <w:rFonts w:ascii="Calibri" w:eastAsia="Calibri" w:hAnsi="Calibri" w:cs="Times New Roman"/>
                <w:sz w:val="18"/>
                <w:szCs w:val="18"/>
              </w:rPr>
            </w:pPr>
            <w:r w:rsidRPr="0064411A">
              <w:rPr>
                <w:rFonts w:ascii="Calibri" w:eastAsia="Calibri" w:hAnsi="Calibri" w:cs="Times New Roman"/>
                <w:sz w:val="18"/>
                <w:szCs w:val="18"/>
              </w:rPr>
              <w:t>PIC/S COMMITTEE</w:t>
            </w:r>
          </w:p>
        </w:tc>
        <w:tc>
          <w:tcPr>
            <w:tcW w:w="933" w:type="pct"/>
            <w:tcBorders>
              <w:top w:val="single" w:sz="4" w:space="0" w:color="auto"/>
              <w:left w:val="single" w:sz="4" w:space="0" w:color="auto"/>
              <w:bottom w:val="single" w:sz="4" w:space="0" w:color="auto"/>
              <w:right w:val="single" w:sz="4" w:space="0" w:color="auto"/>
            </w:tcBorders>
            <w:vAlign w:val="center"/>
          </w:tcPr>
          <w:p w14:paraId="2CA56161" w14:textId="77777777" w:rsidR="00105B6F" w:rsidRPr="0064411A" w:rsidRDefault="00105B6F" w:rsidP="00BA499D">
            <w:pPr>
              <w:spacing w:line="276" w:lineRule="auto"/>
              <w:jc w:val="center"/>
              <w:rPr>
                <w:rFonts w:ascii="Calibri" w:eastAsia="Calibri" w:hAnsi="Calibri" w:cs="Times New Roman"/>
                <w:sz w:val="18"/>
                <w:szCs w:val="18"/>
              </w:rPr>
            </w:pPr>
            <w:r>
              <w:rPr>
                <w:rFonts w:ascii="Calibri" w:eastAsia="Calibri" w:hAnsi="Calibri" w:cs="Times New Roman"/>
                <w:sz w:val="18"/>
                <w:szCs w:val="18"/>
              </w:rPr>
              <w:t>1</w:t>
            </w:r>
          </w:p>
        </w:tc>
        <w:tc>
          <w:tcPr>
            <w:tcW w:w="1084" w:type="pct"/>
            <w:tcBorders>
              <w:top w:val="single" w:sz="4" w:space="0" w:color="auto"/>
              <w:left w:val="single" w:sz="4" w:space="0" w:color="auto"/>
              <w:bottom w:val="single" w:sz="4" w:space="0" w:color="auto"/>
              <w:right w:val="single" w:sz="4" w:space="0" w:color="auto"/>
            </w:tcBorders>
            <w:vAlign w:val="center"/>
          </w:tcPr>
          <w:p w14:paraId="5F9593F0" w14:textId="77777777" w:rsidR="00105B6F" w:rsidRPr="0064411A" w:rsidRDefault="00105B6F" w:rsidP="00BA499D">
            <w:pPr>
              <w:spacing w:line="276" w:lineRule="auto"/>
              <w:jc w:val="center"/>
              <w:rPr>
                <w:rFonts w:ascii="Calibri" w:eastAsia="Calibri" w:hAnsi="Calibri" w:cs="Times New Roman"/>
                <w:sz w:val="18"/>
                <w:szCs w:val="18"/>
              </w:rPr>
            </w:pPr>
            <w:r>
              <w:rPr>
                <w:rFonts w:ascii="Calibri" w:eastAsia="Calibri" w:hAnsi="Calibri" w:cs="Times New Roman"/>
                <w:sz w:val="18"/>
                <w:szCs w:val="18"/>
              </w:rPr>
              <w:t>2</w:t>
            </w:r>
          </w:p>
        </w:tc>
      </w:tr>
      <w:tr w:rsidR="00105B6F" w:rsidRPr="0064411A" w14:paraId="4AC2512D" w14:textId="77777777" w:rsidTr="00BA499D">
        <w:trPr>
          <w:trHeight w:val="227"/>
          <w:jc w:val="center"/>
        </w:trPr>
        <w:tc>
          <w:tcPr>
            <w:tcW w:w="419" w:type="pct"/>
            <w:tcBorders>
              <w:top w:val="single" w:sz="4" w:space="0" w:color="auto"/>
              <w:left w:val="single" w:sz="4" w:space="0" w:color="auto"/>
              <w:bottom w:val="single" w:sz="4" w:space="0" w:color="auto"/>
              <w:right w:val="single" w:sz="4" w:space="0" w:color="auto"/>
            </w:tcBorders>
            <w:vAlign w:val="center"/>
            <w:hideMark/>
          </w:tcPr>
          <w:p w14:paraId="63DAFE4A" w14:textId="77777777" w:rsidR="00105B6F" w:rsidRPr="0064411A" w:rsidRDefault="00105B6F" w:rsidP="00BA499D">
            <w:pPr>
              <w:spacing w:line="276" w:lineRule="auto"/>
              <w:jc w:val="center"/>
              <w:rPr>
                <w:rFonts w:ascii="Calibri" w:eastAsia="Calibri" w:hAnsi="Calibri" w:cs="Times New Roman"/>
                <w:sz w:val="18"/>
                <w:szCs w:val="18"/>
              </w:rPr>
            </w:pPr>
            <w:r>
              <w:rPr>
                <w:rFonts w:ascii="Calibri" w:eastAsia="Calibri" w:hAnsi="Calibri" w:cs="Times New Roman"/>
                <w:sz w:val="18"/>
                <w:szCs w:val="18"/>
              </w:rPr>
              <w:t>7</w:t>
            </w:r>
            <w:r w:rsidRPr="0064411A">
              <w:rPr>
                <w:rFonts w:ascii="Calibri" w:eastAsia="Calibri" w:hAnsi="Calibri" w:cs="Times New Roman"/>
                <w:sz w:val="18"/>
                <w:szCs w:val="18"/>
              </w:rPr>
              <w:t>.</w:t>
            </w:r>
          </w:p>
        </w:tc>
        <w:tc>
          <w:tcPr>
            <w:tcW w:w="2564" w:type="pct"/>
            <w:tcBorders>
              <w:top w:val="single" w:sz="4" w:space="0" w:color="auto"/>
              <w:left w:val="single" w:sz="4" w:space="0" w:color="auto"/>
              <w:bottom w:val="single" w:sz="4" w:space="0" w:color="auto"/>
              <w:right w:val="single" w:sz="4" w:space="0" w:color="auto"/>
            </w:tcBorders>
            <w:vAlign w:val="center"/>
            <w:hideMark/>
          </w:tcPr>
          <w:p w14:paraId="635A3B24" w14:textId="77777777" w:rsidR="00105B6F" w:rsidRPr="0064411A" w:rsidRDefault="00105B6F" w:rsidP="00BA499D">
            <w:pPr>
              <w:spacing w:line="276" w:lineRule="auto"/>
              <w:rPr>
                <w:rFonts w:ascii="Calibri" w:eastAsia="Calibri" w:hAnsi="Calibri" w:cs="Times New Roman"/>
                <w:sz w:val="18"/>
                <w:szCs w:val="18"/>
              </w:rPr>
            </w:pPr>
            <w:r w:rsidRPr="0064411A">
              <w:rPr>
                <w:rFonts w:ascii="Calibri" w:eastAsia="Calibri" w:hAnsi="Calibri" w:cs="Times New Roman"/>
                <w:sz w:val="18"/>
                <w:szCs w:val="18"/>
              </w:rPr>
              <w:t>PIC/S GCP &amp; GV</w:t>
            </w:r>
            <w:r>
              <w:rPr>
                <w:rFonts w:ascii="Calibri" w:eastAsia="Calibri" w:hAnsi="Calibri" w:cs="Times New Roman"/>
                <w:sz w:val="18"/>
                <w:szCs w:val="18"/>
              </w:rPr>
              <w:t>P</w:t>
            </w:r>
            <w:r w:rsidRPr="0064411A">
              <w:rPr>
                <w:rFonts w:ascii="Calibri" w:eastAsia="Calibri" w:hAnsi="Calibri" w:cs="Times New Roman"/>
                <w:sz w:val="18"/>
                <w:szCs w:val="18"/>
              </w:rPr>
              <w:t xml:space="preserve"> Working Group</w:t>
            </w:r>
          </w:p>
        </w:tc>
        <w:tc>
          <w:tcPr>
            <w:tcW w:w="933" w:type="pct"/>
            <w:tcBorders>
              <w:top w:val="single" w:sz="4" w:space="0" w:color="auto"/>
              <w:left w:val="single" w:sz="4" w:space="0" w:color="auto"/>
              <w:bottom w:val="single" w:sz="4" w:space="0" w:color="auto"/>
              <w:right w:val="single" w:sz="4" w:space="0" w:color="auto"/>
            </w:tcBorders>
            <w:vAlign w:val="center"/>
          </w:tcPr>
          <w:p w14:paraId="179BC140" w14:textId="77777777" w:rsidR="00105B6F" w:rsidRPr="0064411A" w:rsidRDefault="00105B6F" w:rsidP="00BA499D">
            <w:pPr>
              <w:spacing w:line="276" w:lineRule="auto"/>
              <w:jc w:val="center"/>
              <w:rPr>
                <w:rFonts w:ascii="Calibri" w:eastAsia="Calibri" w:hAnsi="Calibri" w:cs="Times New Roman"/>
                <w:sz w:val="18"/>
                <w:szCs w:val="18"/>
              </w:rPr>
            </w:pPr>
            <w:r>
              <w:rPr>
                <w:rFonts w:ascii="Calibri" w:eastAsia="Calibri" w:hAnsi="Calibri" w:cs="Times New Roman"/>
                <w:sz w:val="18"/>
                <w:szCs w:val="18"/>
              </w:rPr>
              <w:t>1</w:t>
            </w:r>
          </w:p>
        </w:tc>
        <w:tc>
          <w:tcPr>
            <w:tcW w:w="1084" w:type="pct"/>
            <w:tcBorders>
              <w:top w:val="single" w:sz="4" w:space="0" w:color="auto"/>
              <w:left w:val="single" w:sz="4" w:space="0" w:color="auto"/>
              <w:bottom w:val="single" w:sz="4" w:space="0" w:color="auto"/>
              <w:right w:val="single" w:sz="4" w:space="0" w:color="auto"/>
            </w:tcBorders>
            <w:vAlign w:val="center"/>
          </w:tcPr>
          <w:p w14:paraId="4D5180AD" w14:textId="77777777" w:rsidR="00105B6F" w:rsidRPr="0064411A" w:rsidRDefault="00105B6F" w:rsidP="00BA499D">
            <w:pPr>
              <w:spacing w:line="276" w:lineRule="auto"/>
              <w:jc w:val="center"/>
              <w:rPr>
                <w:rFonts w:ascii="Calibri" w:eastAsia="Calibri" w:hAnsi="Calibri" w:cs="Times New Roman"/>
                <w:sz w:val="18"/>
                <w:szCs w:val="18"/>
              </w:rPr>
            </w:pPr>
            <w:r>
              <w:rPr>
                <w:rFonts w:ascii="Calibri" w:eastAsia="Calibri" w:hAnsi="Calibri" w:cs="Times New Roman"/>
                <w:sz w:val="18"/>
                <w:szCs w:val="18"/>
              </w:rPr>
              <w:t>0</w:t>
            </w:r>
          </w:p>
        </w:tc>
      </w:tr>
      <w:tr w:rsidR="00105B6F" w:rsidRPr="002F0E86" w14:paraId="725FE5C0" w14:textId="77777777" w:rsidTr="00BA499D">
        <w:trPr>
          <w:trHeight w:val="227"/>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3E7FF"/>
            <w:vAlign w:val="center"/>
          </w:tcPr>
          <w:p w14:paraId="1BB10D82" w14:textId="77777777" w:rsidR="00105B6F" w:rsidRPr="002F0E86" w:rsidRDefault="00105B6F" w:rsidP="00BA499D">
            <w:pPr>
              <w:spacing w:line="276" w:lineRule="auto"/>
              <w:rPr>
                <w:sz w:val="18"/>
                <w:szCs w:val="18"/>
              </w:rPr>
            </w:pPr>
            <w:r w:rsidRPr="0064411A">
              <w:rPr>
                <w:color w:val="1A1A1A"/>
                <w:sz w:val="18"/>
                <w:szCs w:val="18"/>
                <w:lang w:eastAsia="hr-HR"/>
              </w:rPr>
              <w:lastRenderedPageBreak/>
              <w:t xml:space="preserve">Povjerenstva i radne skupine </w:t>
            </w:r>
            <w:r>
              <w:rPr>
                <w:color w:val="1A1A1A"/>
                <w:sz w:val="18"/>
                <w:szCs w:val="18"/>
                <w:lang w:eastAsia="hr-HR"/>
              </w:rPr>
              <w:t>EDQM-a</w:t>
            </w:r>
            <w:r w:rsidRPr="0064411A">
              <w:rPr>
                <w:sz w:val="18"/>
                <w:szCs w:val="18"/>
              </w:rPr>
              <w:t>:</w:t>
            </w:r>
          </w:p>
        </w:tc>
      </w:tr>
      <w:tr w:rsidR="00105B6F" w:rsidRPr="0064411A" w14:paraId="0442DB15" w14:textId="77777777" w:rsidTr="00BA499D">
        <w:trPr>
          <w:trHeight w:val="227"/>
          <w:jc w:val="center"/>
        </w:trPr>
        <w:tc>
          <w:tcPr>
            <w:tcW w:w="419" w:type="pct"/>
            <w:tcBorders>
              <w:top w:val="single" w:sz="4" w:space="0" w:color="auto"/>
              <w:left w:val="single" w:sz="4" w:space="0" w:color="auto"/>
              <w:bottom w:val="single" w:sz="4" w:space="0" w:color="auto"/>
              <w:right w:val="single" w:sz="4" w:space="0" w:color="auto"/>
            </w:tcBorders>
            <w:vAlign w:val="center"/>
            <w:hideMark/>
          </w:tcPr>
          <w:p w14:paraId="63FDF96C" w14:textId="77777777" w:rsidR="00105B6F" w:rsidRPr="0064411A" w:rsidRDefault="00105B6F" w:rsidP="00BA499D">
            <w:pPr>
              <w:spacing w:line="276" w:lineRule="auto"/>
              <w:jc w:val="center"/>
              <w:rPr>
                <w:sz w:val="18"/>
                <w:szCs w:val="18"/>
              </w:rPr>
            </w:pPr>
            <w:r>
              <w:rPr>
                <w:sz w:val="18"/>
                <w:szCs w:val="18"/>
              </w:rPr>
              <w:t>8</w:t>
            </w:r>
            <w:r w:rsidRPr="0064411A">
              <w:rPr>
                <w:sz w:val="18"/>
                <w:szCs w:val="18"/>
              </w:rPr>
              <w:t>.</w:t>
            </w:r>
          </w:p>
        </w:tc>
        <w:tc>
          <w:tcPr>
            <w:tcW w:w="2564" w:type="pct"/>
            <w:tcBorders>
              <w:top w:val="single" w:sz="4" w:space="0" w:color="auto"/>
              <w:left w:val="single" w:sz="4" w:space="0" w:color="auto"/>
              <w:bottom w:val="single" w:sz="4" w:space="0" w:color="auto"/>
              <w:right w:val="single" w:sz="4" w:space="0" w:color="auto"/>
            </w:tcBorders>
            <w:vAlign w:val="center"/>
            <w:hideMark/>
          </w:tcPr>
          <w:p w14:paraId="21569C0C" w14:textId="77777777" w:rsidR="00105B6F" w:rsidRPr="0064411A" w:rsidRDefault="00105B6F" w:rsidP="00BA499D">
            <w:pPr>
              <w:spacing w:line="276" w:lineRule="auto"/>
              <w:rPr>
                <w:sz w:val="18"/>
                <w:szCs w:val="18"/>
              </w:rPr>
            </w:pPr>
            <w:r w:rsidRPr="00A77369">
              <w:rPr>
                <w:sz w:val="18"/>
                <w:szCs w:val="18"/>
              </w:rPr>
              <w:t>Ad Hoc Committee EDQM</w:t>
            </w:r>
          </w:p>
        </w:tc>
        <w:tc>
          <w:tcPr>
            <w:tcW w:w="933" w:type="pct"/>
            <w:tcBorders>
              <w:top w:val="single" w:sz="4" w:space="0" w:color="auto"/>
              <w:left w:val="single" w:sz="4" w:space="0" w:color="auto"/>
              <w:bottom w:val="single" w:sz="4" w:space="0" w:color="auto"/>
              <w:right w:val="single" w:sz="4" w:space="0" w:color="auto"/>
            </w:tcBorders>
            <w:vAlign w:val="center"/>
            <w:hideMark/>
          </w:tcPr>
          <w:p w14:paraId="12AD3CD9" w14:textId="77777777" w:rsidR="00105B6F" w:rsidRPr="0064411A" w:rsidRDefault="00105B6F" w:rsidP="00BA499D">
            <w:pPr>
              <w:spacing w:line="276" w:lineRule="auto"/>
              <w:jc w:val="center"/>
              <w:rPr>
                <w:sz w:val="18"/>
                <w:szCs w:val="18"/>
              </w:rPr>
            </w:pPr>
            <w:r>
              <w:rPr>
                <w:sz w:val="18"/>
                <w:szCs w:val="18"/>
              </w:rPr>
              <w:t>2</w:t>
            </w:r>
          </w:p>
        </w:tc>
        <w:tc>
          <w:tcPr>
            <w:tcW w:w="1084" w:type="pct"/>
            <w:tcBorders>
              <w:top w:val="single" w:sz="4" w:space="0" w:color="auto"/>
              <w:left w:val="single" w:sz="4" w:space="0" w:color="auto"/>
              <w:bottom w:val="single" w:sz="4" w:space="0" w:color="auto"/>
              <w:right w:val="single" w:sz="4" w:space="0" w:color="auto"/>
            </w:tcBorders>
          </w:tcPr>
          <w:p w14:paraId="1B04050F" w14:textId="77777777" w:rsidR="00105B6F" w:rsidRPr="0064411A" w:rsidRDefault="00105B6F" w:rsidP="00BA499D">
            <w:pPr>
              <w:spacing w:line="276" w:lineRule="auto"/>
              <w:jc w:val="center"/>
              <w:rPr>
                <w:sz w:val="18"/>
                <w:szCs w:val="18"/>
              </w:rPr>
            </w:pPr>
            <w:r>
              <w:rPr>
                <w:sz w:val="18"/>
                <w:szCs w:val="18"/>
              </w:rPr>
              <w:t>0</w:t>
            </w:r>
          </w:p>
        </w:tc>
      </w:tr>
      <w:tr w:rsidR="00105B6F" w:rsidRPr="0064411A" w14:paraId="12922582" w14:textId="77777777" w:rsidTr="00BA499D">
        <w:trPr>
          <w:trHeight w:val="227"/>
          <w:jc w:val="center"/>
        </w:trPr>
        <w:tc>
          <w:tcPr>
            <w:tcW w:w="419" w:type="pct"/>
            <w:tcBorders>
              <w:top w:val="single" w:sz="4" w:space="0" w:color="auto"/>
              <w:left w:val="single" w:sz="4" w:space="0" w:color="auto"/>
              <w:bottom w:val="single" w:sz="4" w:space="0" w:color="auto"/>
              <w:right w:val="single" w:sz="4" w:space="0" w:color="auto"/>
            </w:tcBorders>
            <w:vAlign w:val="center"/>
          </w:tcPr>
          <w:p w14:paraId="13DB64D0" w14:textId="77777777" w:rsidR="00105B6F" w:rsidRDefault="00105B6F" w:rsidP="00BA499D">
            <w:pPr>
              <w:spacing w:line="276" w:lineRule="auto"/>
              <w:jc w:val="center"/>
              <w:rPr>
                <w:sz w:val="18"/>
                <w:szCs w:val="18"/>
              </w:rPr>
            </w:pPr>
            <w:r>
              <w:rPr>
                <w:sz w:val="18"/>
                <w:szCs w:val="18"/>
              </w:rPr>
              <w:t>9.</w:t>
            </w:r>
          </w:p>
        </w:tc>
        <w:tc>
          <w:tcPr>
            <w:tcW w:w="2564" w:type="pct"/>
            <w:tcBorders>
              <w:top w:val="single" w:sz="4" w:space="0" w:color="auto"/>
              <w:left w:val="single" w:sz="4" w:space="0" w:color="auto"/>
              <w:bottom w:val="single" w:sz="4" w:space="0" w:color="auto"/>
              <w:right w:val="single" w:sz="4" w:space="0" w:color="auto"/>
            </w:tcBorders>
            <w:vAlign w:val="center"/>
          </w:tcPr>
          <w:p w14:paraId="62B72B2B" w14:textId="77777777" w:rsidR="00105B6F" w:rsidRPr="00A77369" w:rsidRDefault="00105B6F" w:rsidP="00BA499D">
            <w:pPr>
              <w:spacing w:line="276" w:lineRule="auto"/>
              <w:rPr>
                <w:sz w:val="18"/>
                <w:szCs w:val="18"/>
              </w:rPr>
            </w:pPr>
            <w:r w:rsidRPr="005140CA">
              <w:rPr>
                <w:sz w:val="18"/>
                <w:szCs w:val="18"/>
              </w:rPr>
              <w:t xml:space="preserve">Povjerenstvo za standarde kakvoće i sigurnosti u farmaceutskoj praksi i farmaceutskoj skrbi (Committee of Experts on Quality and Safety Standards in Pharmaceutical Practice and Pharmaceutical Care, CD-P-PH/PC)      </w:t>
            </w:r>
          </w:p>
        </w:tc>
        <w:tc>
          <w:tcPr>
            <w:tcW w:w="933" w:type="pct"/>
            <w:tcBorders>
              <w:top w:val="single" w:sz="4" w:space="0" w:color="auto"/>
              <w:left w:val="single" w:sz="4" w:space="0" w:color="auto"/>
              <w:bottom w:val="single" w:sz="4" w:space="0" w:color="auto"/>
              <w:right w:val="single" w:sz="4" w:space="0" w:color="auto"/>
            </w:tcBorders>
            <w:vAlign w:val="center"/>
          </w:tcPr>
          <w:p w14:paraId="280005E3" w14:textId="77777777" w:rsidR="00105B6F" w:rsidRDefault="00105B6F" w:rsidP="00BA499D">
            <w:pPr>
              <w:spacing w:line="276" w:lineRule="auto"/>
              <w:jc w:val="center"/>
              <w:rPr>
                <w:sz w:val="18"/>
                <w:szCs w:val="18"/>
              </w:rPr>
            </w:pPr>
            <w:r>
              <w:rPr>
                <w:sz w:val="18"/>
                <w:szCs w:val="18"/>
              </w:rPr>
              <w:t>2</w:t>
            </w:r>
          </w:p>
        </w:tc>
        <w:tc>
          <w:tcPr>
            <w:tcW w:w="1084" w:type="pct"/>
            <w:tcBorders>
              <w:top w:val="single" w:sz="4" w:space="0" w:color="auto"/>
              <w:left w:val="single" w:sz="4" w:space="0" w:color="auto"/>
              <w:bottom w:val="single" w:sz="4" w:space="0" w:color="auto"/>
              <w:right w:val="single" w:sz="4" w:space="0" w:color="auto"/>
            </w:tcBorders>
            <w:vAlign w:val="center"/>
          </w:tcPr>
          <w:p w14:paraId="23EE9335" w14:textId="77777777" w:rsidR="00105B6F" w:rsidRDefault="00105B6F" w:rsidP="00BA499D">
            <w:pPr>
              <w:spacing w:line="276" w:lineRule="auto"/>
              <w:jc w:val="center"/>
              <w:rPr>
                <w:sz w:val="18"/>
                <w:szCs w:val="18"/>
              </w:rPr>
            </w:pPr>
            <w:r>
              <w:rPr>
                <w:sz w:val="18"/>
                <w:szCs w:val="18"/>
              </w:rPr>
              <w:t>1</w:t>
            </w:r>
          </w:p>
        </w:tc>
      </w:tr>
      <w:tr w:rsidR="00105B6F" w:rsidRPr="002F0E86" w14:paraId="534C1C16" w14:textId="77777777" w:rsidTr="00BA499D">
        <w:trPr>
          <w:trHeight w:val="227"/>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3E7FF"/>
            <w:vAlign w:val="center"/>
          </w:tcPr>
          <w:p w14:paraId="0BB5AA1F" w14:textId="77777777" w:rsidR="00105B6F" w:rsidRPr="002F0E86" w:rsidRDefault="00105B6F" w:rsidP="00BA499D">
            <w:pPr>
              <w:spacing w:line="276" w:lineRule="auto"/>
              <w:rPr>
                <w:sz w:val="18"/>
                <w:szCs w:val="18"/>
              </w:rPr>
            </w:pPr>
            <w:r w:rsidRPr="0064411A">
              <w:rPr>
                <w:color w:val="1A1A1A"/>
                <w:sz w:val="18"/>
                <w:szCs w:val="18"/>
                <w:lang w:eastAsia="hr-HR"/>
              </w:rPr>
              <w:t xml:space="preserve">Povjerenstva i radne skupine </w:t>
            </w:r>
            <w:r>
              <w:rPr>
                <w:color w:val="1A1A1A"/>
                <w:sz w:val="18"/>
                <w:szCs w:val="18"/>
                <w:lang w:eastAsia="hr-HR"/>
              </w:rPr>
              <w:t>pri Ministarstvu zdravstva</w:t>
            </w:r>
            <w:r w:rsidRPr="0064411A">
              <w:rPr>
                <w:sz w:val="18"/>
                <w:szCs w:val="18"/>
              </w:rPr>
              <w:t>:</w:t>
            </w:r>
          </w:p>
        </w:tc>
      </w:tr>
      <w:tr w:rsidR="00105B6F" w:rsidRPr="0064411A" w14:paraId="1F1A364C" w14:textId="77777777" w:rsidTr="00BA499D">
        <w:trPr>
          <w:trHeight w:val="227"/>
          <w:jc w:val="center"/>
        </w:trPr>
        <w:tc>
          <w:tcPr>
            <w:tcW w:w="419" w:type="pct"/>
            <w:tcBorders>
              <w:top w:val="single" w:sz="4" w:space="0" w:color="auto"/>
              <w:left w:val="single" w:sz="4" w:space="0" w:color="auto"/>
              <w:bottom w:val="single" w:sz="4" w:space="0" w:color="auto"/>
              <w:right w:val="single" w:sz="4" w:space="0" w:color="auto"/>
            </w:tcBorders>
            <w:vAlign w:val="center"/>
            <w:hideMark/>
          </w:tcPr>
          <w:p w14:paraId="29DE5401" w14:textId="77777777" w:rsidR="00105B6F" w:rsidRPr="0064411A" w:rsidRDefault="00105B6F" w:rsidP="00BA499D">
            <w:pPr>
              <w:spacing w:line="276" w:lineRule="auto"/>
              <w:jc w:val="center"/>
              <w:rPr>
                <w:sz w:val="18"/>
                <w:szCs w:val="18"/>
              </w:rPr>
            </w:pPr>
            <w:r>
              <w:rPr>
                <w:sz w:val="18"/>
                <w:szCs w:val="18"/>
              </w:rPr>
              <w:t>10</w:t>
            </w:r>
            <w:r w:rsidRPr="0064411A">
              <w:rPr>
                <w:sz w:val="18"/>
                <w:szCs w:val="18"/>
              </w:rPr>
              <w:t>.</w:t>
            </w:r>
          </w:p>
        </w:tc>
        <w:tc>
          <w:tcPr>
            <w:tcW w:w="2564" w:type="pct"/>
            <w:tcBorders>
              <w:top w:val="single" w:sz="4" w:space="0" w:color="auto"/>
              <w:left w:val="single" w:sz="4" w:space="0" w:color="auto"/>
              <w:bottom w:val="single" w:sz="4" w:space="0" w:color="auto"/>
              <w:right w:val="single" w:sz="4" w:space="0" w:color="auto"/>
            </w:tcBorders>
            <w:vAlign w:val="center"/>
            <w:hideMark/>
          </w:tcPr>
          <w:p w14:paraId="5149864D" w14:textId="77777777" w:rsidR="00105B6F" w:rsidRPr="0064411A" w:rsidRDefault="00105B6F" w:rsidP="00BA499D">
            <w:pPr>
              <w:spacing w:line="276" w:lineRule="auto"/>
              <w:rPr>
                <w:sz w:val="18"/>
                <w:szCs w:val="18"/>
              </w:rPr>
            </w:pPr>
            <w:r w:rsidRPr="0001385D">
              <w:rPr>
                <w:sz w:val="18"/>
                <w:szCs w:val="18"/>
              </w:rPr>
              <w:t>Povjerenstvo za dodatke prehrani, zdravstvene tvrdnje i tvari koje se mogu dodavati hrani</w:t>
            </w:r>
          </w:p>
        </w:tc>
        <w:tc>
          <w:tcPr>
            <w:tcW w:w="933" w:type="pct"/>
            <w:tcBorders>
              <w:top w:val="single" w:sz="4" w:space="0" w:color="auto"/>
              <w:left w:val="single" w:sz="4" w:space="0" w:color="auto"/>
              <w:bottom w:val="single" w:sz="4" w:space="0" w:color="auto"/>
              <w:right w:val="single" w:sz="4" w:space="0" w:color="auto"/>
            </w:tcBorders>
            <w:vAlign w:val="center"/>
            <w:hideMark/>
          </w:tcPr>
          <w:p w14:paraId="0CB20CF2" w14:textId="77777777" w:rsidR="00105B6F" w:rsidRPr="0064411A" w:rsidRDefault="00105B6F" w:rsidP="00BA499D">
            <w:pPr>
              <w:spacing w:line="276" w:lineRule="auto"/>
              <w:jc w:val="center"/>
              <w:rPr>
                <w:sz w:val="18"/>
                <w:szCs w:val="18"/>
              </w:rPr>
            </w:pPr>
            <w:r>
              <w:rPr>
                <w:sz w:val="18"/>
                <w:szCs w:val="18"/>
              </w:rPr>
              <w:t>15</w:t>
            </w:r>
          </w:p>
        </w:tc>
        <w:tc>
          <w:tcPr>
            <w:tcW w:w="1084" w:type="pct"/>
            <w:tcBorders>
              <w:top w:val="single" w:sz="4" w:space="0" w:color="auto"/>
              <w:left w:val="single" w:sz="4" w:space="0" w:color="auto"/>
              <w:bottom w:val="single" w:sz="4" w:space="0" w:color="auto"/>
              <w:right w:val="single" w:sz="4" w:space="0" w:color="auto"/>
            </w:tcBorders>
          </w:tcPr>
          <w:p w14:paraId="25A752A4" w14:textId="77777777" w:rsidR="00105B6F" w:rsidRPr="0064411A" w:rsidRDefault="00105B6F" w:rsidP="00BA499D">
            <w:pPr>
              <w:spacing w:line="276" w:lineRule="auto"/>
              <w:jc w:val="center"/>
              <w:rPr>
                <w:sz w:val="18"/>
                <w:szCs w:val="18"/>
              </w:rPr>
            </w:pPr>
            <w:r>
              <w:rPr>
                <w:sz w:val="18"/>
                <w:szCs w:val="18"/>
              </w:rPr>
              <w:t>17</w:t>
            </w:r>
          </w:p>
        </w:tc>
      </w:tr>
      <w:tr w:rsidR="00105B6F" w:rsidRPr="0064411A" w14:paraId="587AFB84" w14:textId="77777777" w:rsidTr="00BA499D">
        <w:trPr>
          <w:trHeight w:val="316"/>
          <w:jc w:val="center"/>
        </w:trPr>
        <w:tc>
          <w:tcPr>
            <w:tcW w:w="2983" w:type="pct"/>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BA1B77C" w14:textId="77777777" w:rsidR="00105B6F" w:rsidRPr="0064411A" w:rsidRDefault="00105B6F" w:rsidP="00BA499D">
            <w:pPr>
              <w:spacing w:line="276" w:lineRule="auto"/>
              <w:rPr>
                <w:rFonts w:ascii="Calibri" w:eastAsia="Calibri" w:hAnsi="Calibri" w:cs="Times New Roman"/>
                <w:b/>
                <w:sz w:val="18"/>
                <w:szCs w:val="18"/>
                <w:lang w:eastAsia="hr-HR"/>
              </w:rPr>
            </w:pPr>
            <w:r w:rsidRPr="0064411A">
              <w:rPr>
                <w:rFonts w:ascii="Calibri" w:eastAsia="Calibri" w:hAnsi="Calibri" w:cs="Times New Roman"/>
                <w:b/>
                <w:sz w:val="18"/>
                <w:szCs w:val="18"/>
                <w:lang w:eastAsia="hr-HR"/>
              </w:rPr>
              <w:t>UKUPNO:</w:t>
            </w:r>
          </w:p>
        </w:tc>
        <w:tc>
          <w:tcPr>
            <w:tcW w:w="933"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608DA87" w14:textId="77777777" w:rsidR="00105B6F" w:rsidRPr="0064411A" w:rsidRDefault="00105B6F" w:rsidP="00BA499D">
            <w:pPr>
              <w:spacing w:line="276" w:lineRule="auto"/>
              <w:jc w:val="center"/>
              <w:rPr>
                <w:rFonts w:ascii="Calibri" w:eastAsia="Calibri" w:hAnsi="Calibri" w:cs="Times New Roman"/>
                <w:b/>
                <w:sz w:val="18"/>
                <w:szCs w:val="18"/>
              </w:rPr>
            </w:pPr>
            <w:r>
              <w:rPr>
                <w:rFonts w:ascii="Calibri" w:eastAsia="Calibri" w:hAnsi="Calibri" w:cs="Times New Roman"/>
                <w:b/>
                <w:sz w:val="18"/>
                <w:szCs w:val="18"/>
              </w:rPr>
              <w:t>37</w:t>
            </w:r>
          </w:p>
        </w:tc>
        <w:tc>
          <w:tcPr>
            <w:tcW w:w="1084"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CB435A5" w14:textId="77777777" w:rsidR="00105B6F" w:rsidRPr="0064411A" w:rsidRDefault="00105B6F" w:rsidP="00BA499D">
            <w:pPr>
              <w:spacing w:line="276" w:lineRule="auto"/>
              <w:jc w:val="center"/>
              <w:rPr>
                <w:rFonts w:ascii="Calibri" w:eastAsia="Calibri" w:hAnsi="Calibri" w:cs="Times New Roman"/>
                <w:b/>
                <w:sz w:val="18"/>
                <w:szCs w:val="18"/>
              </w:rPr>
            </w:pPr>
            <w:r>
              <w:rPr>
                <w:rFonts w:ascii="Calibri" w:eastAsia="Calibri" w:hAnsi="Calibri" w:cs="Times New Roman"/>
                <w:b/>
                <w:sz w:val="18"/>
                <w:szCs w:val="18"/>
              </w:rPr>
              <w:t>31</w:t>
            </w:r>
          </w:p>
        </w:tc>
      </w:tr>
    </w:tbl>
    <w:p w14:paraId="010FEB79" w14:textId="77777777" w:rsidR="00105B6F" w:rsidRDefault="00105B6F" w:rsidP="00105B6F"/>
    <w:p w14:paraId="496BE4D8" w14:textId="3AB7A524" w:rsidR="00526ECF" w:rsidRDefault="00526ECF">
      <w:pPr>
        <w:rPr>
          <w:rFonts w:ascii="Calibri" w:hAnsi="Calibri" w:cs="Calibri"/>
        </w:rPr>
      </w:pPr>
      <w:r>
        <w:rPr>
          <w:rFonts w:ascii="Calibri" w:hAnsi="Calibri" w:cs="Calibri"/>
        </w:rPr>
        <w:br w:type="page"/>
      </w:r>
    </w:p>
    <w:p w14:paraId="191EFE49" w14:textId="77777777" w:rsidR="00526ECF" w:rsidRPr="00982587" w:rsidRDefault="00526ECF" w:rsidP="00526ECF">
      <w:pPr>
        <w:pStyle w:val="Heading2"/>
        <w:rPr>
          <w:b/>
        </w:rPr>
      </w:pPr>
      <w:bookmarkStart w:id="166" w:name="_Toc165035476"/>
      <w:bookmarkStart w:id="167" w:name="_Toc499105049"/>
      <w:bookmarkStart w:id="168" w:name="_Toc88049152"/>
      <w:r w:rsidRPr="00982587">
        <w:lastRenderedPageBreak/>
        <w:t>2.4. Dostupnost lijekova</w:t>
      </w:r>
      <w:bookmarkEnd w:id="166"/>
      <w:r w:rsidRPr="00982587">
        <w:t xml:space="preserve"> </w:t>
      </w:r>
      <w:bookmarkEnd w:id="167"/>
      <w:bookmarkEnd w:id="168"/>
    </w:p>
    <w:p w14:paraId="550DF289" w14:textId="77777777" w:rsidR="00526ECF" w:rsidRPr="0097570C" w:rsidRDefault="00526ECF" w:rsidP="00526ECF">
      <w:pPr>
        <w:spacing w:after="240" w:line="276" w:lineRule="auto"/>
        <w:jc w:val="both"/>
        <w:rPr>
          <w:rFonts w:eastAsia="Times New Roman" w:cs="Calibri"/>
        </w:rPr>
      </w:pPr>
      <w:bookmarkStart w:id="169" w:name="_Toc499105050"/>
      <w:r w:rsidRPr="0097570C">
        <w:rPr>
          <w:rFonts w:eastAsia="Times New Roman" w:cs="Calibri"/>
          <w:color w:val="000000"/>
        </w:rPr>
        <w:t>U skladu s odredbama Zakona o lijekovima i pravilnicima donesenim na temelju Zakona</w:t>
      </w:r>
      <w:r w:rsidRPr="0097570C">
        <w:rPr>
          <w:rFonts w:cs="Calibri"/>
        </w:rPr>
        <w:t xml:space="preserve">, </w:t>
      </w:r>
      <w:r w:rsidRPr="0097570C">
        <w:rPr>
          <w:rFonts w:eastAsia="Times New Roman" w:cs="Calibri"/>
        </w:rPr>
        <w:t xml:space="preserve">u Republici Hrvatskoj </w:t>
      </w:r>
      <w:r>
        <w:rPr>
          <w:rFonts w:eastAsia="Times New Roman" w:cs="Calibri"/>
        </w:rPr>
        <w:t xml:space="preserve">(RH) </w:t>
      </w:r>
      <w:r w:rsidRPr="0097570C">
        <w:rPr>
          <w:rFonts w:eastAsia="Times New Roman" w:cs="Calibri"/>
        </w:rPr>
        <w:t xml:space="preserve">u prometu može biti samo lijek koji ima odobrenje za stavljanje u promet dano od HALMED-a ili Europske komisije te lijek koji ima odobrenje HALMED-a za paralelni uvoz ili paralelni promet. </w:t>
      </w:r>
    </w:p>
    <w:p w14:paraId="131E5E92" w14:textId="77777777" w:rsidR="00526ECF" w:rsidRDefault="00526ECF" w:rsidP="00526ECF">
      <w:pPr>
        <w:spacing w:after="240" w:line="276" w:lineRule="auto"/>
        <w:jc w:val="both"/>
        <w:rPr>
          <w:lang w:eastAsia="hr-HR"/>
        </w:rPr>
      </w:pPr>
      <w:r>
        <w:rPr>
          <w:rFonts w:eastAsia="Times New Roman" w:cs="Calibri"/>
        </w:rPr>
        <w:t xml:space="preserve">U slučaju poremećaja </w:t>
      </w:r>
      <w:r w:rsidRPr="0097570C">
        <w:rPr>
          <w:rFonts w:eastAsia="Times New Roman" w:cs="Calibri"/>
        </w:rPr>
        <w:t>opskrbe hrvatskog tržišta</w:t>
      </w:r>
      <w:r>
        <w:rPr>
          <w:rFonts w:eastAsia="Times New Roman" w:cs="Calibri"/>
        </w:rPr>
        <w:t xml:space="preserve"> odobrenim</w:t>
      </w:r>
      <w:r w:rsidRPr="0097570C">
        <w:rPr>
          <w:rFonts w:eastAsia="Times New Roman" w:cs="Calibri"/>
        </w:rPr>
        <w:t xml:space="preserve"> l</w:t>
      </w:r>
      <w:r>
        <w:rPr>
          <w:rFonts w:eastAsia="Times New Roman" w:cs="Calibri"/>
        </w:rPr>
        <w:t xml:space="preserve">ijekovima kao i u drugim slučajevima medicinski opravdane potrebe, a s ciljem da se </w:t>
      </w:r>
      <w:r>
        <w:rPr>
          <w:rFonts w:ascii="Calibri" w:hAnsi="Calibri" w:cs="Calibri"/>
        </w:rPr>
        <w:t xml:space="preserve">bolesnicima osigura neophodan lijek putem legalnog distribucijskog lanca, </w:t>
      </w:r>
      <w:r w:rsidRPr="0097570C">
        <w:rPr>
          <w:rFonts w:eastAsia="Times New Roman" w:cs="Calibri"/>
        </w:rPr>
        <w:t xml:space="preserve">HALMED daje suglasnost </w:t>
      </w:r>
      <w:r>
        <w:rPr>
          <w:lang w:eastAsia="hr-HR"/>
        </w:rPr>
        <w:t xml:space="preserve">za unošenje ili uvoz lijeka </w:t>
      </w:r>
      <w:r w:rsidRPr="00E92AA0">
        <w:rPr>
          <w:lang w:eastAsia="hr-HR"/>
        </w:rPr>
        <w:t>(</w:t>
      </w:r>
      <w:r>
        <w:rPr>
          <w:lang w:eastAsia="hr-HR"/>
        </w:rPr>
        <w:t xml:space="preserve">„interventni uvoz“), </w:t>
      </w:r>
      <w:r w:rsidRPr="00E92AA0">
        <w:rPr>
          <w:lang w:eastAsia="hr-HR"/>
        </w:rPr>
        <w:t>suglasnost za izuzeće u označivanju i upu</w:t>
      </w:r>
      <w:r>
        <w:rPr>
          <w:lang w:eastAsia="hr-HR"/>
        </w:rPr>
        <w:t>ti o lijeku na hrvatskom jeziku te suglasnost za promet lijeka u postupku obnove odobrenja.</w:t>
      </w:r>
    </w:p>
    <w:p w14:paraId="0F1EB0A1" w14:textId="77777777" w:rsidR="00526ECF" w:rsidRPr="00982587" w:rsidRDefault="00526ECF" w:rsidP="00526ECF">
      <w:pPr>
        <w:pStyle w:val="Heading3"/>
      </w:pPr>
      <w:bookmarkStart w:id="170" w:name="_Toc26534656"/>
      <w:bookmarkStart w:id="171" w:name="_Toc50540930"/>
      <w:bookmarkStart w:id="172" w:name="_Toc88049153"/>
      <w:bookmarkStart w:id="173" w:name="_Toc165035477"/>
      <w:bookmarkStart w:id="174" w:name="_Toc26534657"/>
      <w:bookmarkStart w:id="175" w:name="_Toc50540931"/>
      <w:r w:rsidRPr="00982587">
        <w:t>2.4.1. Evidentiranje lijekova iz paralelnog promet</w:t>
      </w:r>
      <w:bookmarkEnd w:id="170"/>
      <w:bookmarkEnd w:id="171"/>
      <w:r w:rsidRPr="00982587">
        <w:t>a</w:t>
      </w:r>
      <w:bookmarkEnd w:id="172"/>
      <w:bookmarkEnd w:id="173"/>
    </w:p>
    <w:p w14:paraId="276ABCB3" w14:textId="77777777" w:rsidR="00526ECF" w:rsidRPr="00606221" w:rsidRDefault="00526ECF" w:rsidP="00526ECF">
      <w:pPr>
        <w:spacing w:after="240" w:line="276" w:lineRule="auto"/>
        <w:jc w:val="both"/>
        <w:rPr>
          <w:rFonts w:cs="Helvetica"/>
        </w:rPr>
      </w:pPr>
      <w:r w:rsidRPr="00606221">
        <w:rPr>
          <w:rStyle w:val="kurziv"/>
          <w:rFonts w:cs="Helvetica"/>
        </w:rPr>
        <w:t xml:space="preserve">Paralelni promet </w:t>
      </w:r>
      <w:r w:rsidRPr="007B67CB">
        <w:rPr>
          <w:rStyle w:val="kurziv"/>
          <w:rFonts w:cs="Helvetica"/>
        </w:rPr>
        <w:t>(engl. parallel distribution)</w:t>
      </w:r>
      <w:r>
        <w:rPr>
          <w:rStyle w:val="kurziv"/>
          <w:rFonts w:cs="Helvetica"/>
        </w:rPr>
        <w:t xml:space="preserve"> </w:t>
      </w:r>
      <w:r w:rsidRPr="00606221">
        <w:rPr>
          <w:rStyle w:val="kurziv"/>
          <w:rFonts w:cs="Helvetica"/>
        </w:rPr>
        <w:t xml:space="preserve">lijeka na veliko </w:t>
      </w:r>
      <w:r w:rsidRPr="00606221">
        <w:rPr>
          <w:rFonts w:cs="Helvetica"/>
        </w:rPr>
        <w:t xml:space="preserve">je unošenje lijeka za koji je dano odobrenje za stavljanje u promet centraliziranim postupkom davanja odobrenja iz jedne države članice Europske unije u drugu. </w:t>
      </w:r>
    </w:p>
    <w:p w14:paraId="44D5D8F2" w14:textId="77777777" w:rsidR="00526ECF" w:rsidRPr="00982587" w:rsidRDefault="00526ECF" w:rsidP="00526ECF">
      <w:pPr>
        <w:pStyle w:val="Heading3"/>
      </w:pPr>
      <w:bookmarkStart w:id="176" w:name="_Toc88049154"/>
      <w:bookmarkStart w:id="177" w:name="_Toc165035478"/>
      <w:r w:rsidRPr="00982587">
        <w:t>2.4.2. Davanje suglasnosti za uvoz i suglasnosti za unošenje lijeka</w:t>
      </w:r>
      <w:bookmarkEnd w:id="174"/>
      <w:bookmarkEnd w:id="175"/>
      <w:bookmarkEnd w:id="176"/>
      <w:bookmarkEnd w:id="177"/>
    </w:p>
    <w:p w14:paraId="5AF0A569" w14:textId="77777777" w:rsidR="00526ECF" w:rsidRPr="00C75064" w:rsidRDefault="00526ECF" w:rsidP="00526ECF">
      <w:pPr>
        <w:spacing w:after="240" w:line="276" w:lineRule="auto"/>
        <w:jc w:val="both"/>
        <w:rPr>
          <w:rFonts w:cs="Helvetica"/>
        </w:rPr>
      </w:pPr>
      <w:r w:rsidRPr="00C75064">
        <w:rPr>
          <w:rStyle w:val="kurziv"/>
          <w:rFonts w:cs="Helvetica"/>
        </w:rPr>
        <w:t>Uvoz lijeka</w:t>
      </w:r>
      <w:r w:rsidRPr="00C75064">
        <w:rPr>
          <w:rFonts w:cs="Helvetica"/>
        </w:rPr>
        <w:t xml:space="preserve"> je promet na veliko lijek</w:t>
      </w:r>
      <w:r>
        <w:rPr>
          <w:rFonts w:cs="Helvetica"/>
        </w:rPr>
        <w:t>om</w:t>
      </w:r>
      <w:r w:rsidRPr="00C75064">
        <w:rPr>
          <w:rFonts w:cs="Helvetica"/>
        </w:rPr>
        <w:t xml:space="preserve"> </w:t>
      </w:r>
      <w:r>
        <w:rPr>
          <w:rFonts w:cs="Helvetica"/>
        </w:rPr>
        <w:t xml:space="preserve">koji je </w:t>
      </w:r>
      <w:r w:rsidRPr="00C75064">
        <w:rPr>
          <w:rFonts w:cs="Helvetica"/>
        </w:rPr>
        <w:t>uvezen iz treći</w:t>
      </w:r>
      <w:r>
        <w:rPr>
          <w:rFonts w:cs="Helvetica"/>
        </w:rPr>
        <w:t xml:space="preserve">h zemalja u Republiku Hrvatsku. </w:t>
      </w:r>
      <w:r w:rsidRPr="00C75064">
        <w:rPr>
          <w:rStyle w:val="kurziv"/>
          <w:rFonts w:cs="Helvetica"/>
        </w:rPr>
        <w:t>Unošenje lijeka</w:t>
      </w:r>
      <w:r w:rsidRPr="00C75064">
        <w:rPr>
          <w:rFonts w:cs="Helvetica"/>
        </w:rPr>
        <w:t xml:space="preserve"> je promet lijeka na veliko iz države članice Europske unije u Republiku Hrvatsku</w:t>
      </w:r>
      <w:r>
        <w:rPr>
          <w:rFonts w:cs="Helvetica"/>
        </w:rPr>
        <w:t>.</w:t>
      </w:r>
    </w:p>
    <w:p w14:paraId="5D06A3C1" w14:textId="77777777" w:rsidR="00526ECF" w:rsidRDefault="00526ECF" w:rsidP="00526ECF">
      <w:r w:rsidRPr="00914D51">
        <w:t>Podaci o broju danih suglasnosti za uvoz i unošenje lijeka u izvještajnom razdoblju prikazani su u Tablici 14.</w:t>
      </w:r>
      <w:bookmarkStart w:id="178" w:name="_Toc26534658"/>
      <w:bookmarkStart w:id="179" w:name="_Toc50540932"/>
      <w:bookmarkStart w:id="180" w:name="_Toc88049155"/>
    </w:p>
    <w:p w14:paraId="62C5118E" w14:textId="77777777" w:rsidR="00526ECF" w:rsidRPr="00982587" w:rsidRDefault="00526ECF" w:rsidP="00526ECF">
      <w:pPr>
        <w:pStyle w:val="Heading3"/>
      </w:pPr>
      <w:bookmarkStart w:id="181" w:name="_Toc165035479"/>
      <w:r w:rsidRPr="00982587">
        <w:t>2.4.3. Davanje suglasnosti za izuzeće od obveze označivanja i/ili upute o lijeku na hrvatskom jeziku</w:t>
      </w:r>
      <w:bookmarkEnd w:id="178"/>
      <w:bookmarkEnd w:id="179"/>
      <w:bookmarkEnd w:id="180"/>
      <w:bookmarkEnd w:id="181"/>
    </w:p>
    <w:p w14:paraId="3D3F6AC0" w14:textId="77777777" w:rsidR="00526ECF" w:rsidRPr="003630AC" w:rsidRDefault="00526ECF" w:rsidP="00526ECF">
      <w:pPr>
        <w:spacing w:after="240" w:line="276" w:lineRule="auto"/>
        <w:jc w:val="both"/>
        <w:rPr>
          <w:lang w:eastAsia="hr-HR"/>
        </w:rPr>
      </w:pPr>
      <w:r w:rsidRPr="003630AC">
        <w:rPr>
          <w:lang w:eastAsia="hr-HR"/>
        </w:rPr>
        <w:t xml:space="preserve">U iznimnim slučajevima HALMED izdaje suglasnost za izuzeće od obveze označivanja i/ili upute o lijeku na hrvatskom jeziku za lijekove koji su iz opravdanih razloga potrebni za liječenje </w:t>
      </w:r>
      <w:r>
        <w:rPr>
          <w:lang w:eastAsia="hr-HR"/>
        </w:rPr>
        <w:t>bolesnika u RH.</w:t>
      </w:r>
    </w:p>
    <w:p w14:paraId="44EF0C62" w14:textId="77777777" w:rsidR="00526ECF" w:rsidRDefault="00526ECF" w:rsidP="00526ECF">
      <w:r w:rsidRPr="00914D51">
        <w:t>Podaci o broju danih suglasnosti u izvještajnom razdoblju prikazani su u Tablici 14.</w:t>
      </w:r>
      <w:bookmarkStart w:id="182" w:name="_Toc26534659"/>
      <w:bookmarkStart w:id="183" w:name="_Toc50540933"/>
      <w:bookmarkStart w:id="184" w:name="_Toc88049156"/>
    </w:p>
    <w:p w14:paraId="21BAF421" w14:textId="77777777" w:rsidR="00526ECF" w:rsidRPr="00982587" w:rsidRDefault="00526ECF" w:rsidP="00526ECF">
      <w:pPr>
        <w:pStyle w:val="Heading3"/>
      </w:pPr>
      <w:bookmarkStart w:id="185" w:name="_Toc165035480"/>
      <w:r w:rsidRPr="00982587">
        <w:t>2.4.4. Davanje suglasnosti za promet lijeka u postupku obnove odobrenja</w:t>
      </w:r>
      <w:bookmarkEnd w:id="182"/>
      <w:bookmarkEnd w:id="183"/>
      <w:bookmarkEnd w:id="184"/>
      <w:bookmarkEnd w:id="185"/>
    </w:p>
    <w:p w14:paraId="1C345861" w14:textId="77777777" w:rsidR="00526ECF" w:rsidRDefault="00526ECF" w:rsidP="00526ECF">
      <w:pPr>
        <w:spacing w:after="240" w:line="276" w:lineRule="auto"/>
        <w:jc w:val="both"/>
        <w:rPr>
          <w:color w:val="000000"/>
          <w:lang w:eastAsia="hr-HR"/>
        </w:rPr>
      </w:pPr>
      <w:r>
        <w:rPr>
          <w:color w:val="000000"/>
          <w:lang w:eastAsia="hr-HR"/>
        </w:rPr>
        <w:t>K</w:t>
      </w:r>
      <w:r w:rsidRPr="00140FF8">
        <w:rPr>
          <w:color w:val="000000"/>
          <w:lang w:eastAsia="hr-HR"/>
        </w:rPr>
        <w:t xml:space="preserve">ada je </w:t>
      </w:r>
      <w:r>
        <w:rPr>
          <w:color w:val="000000"/>
          <w:lang w:eastAsia="hr-HR"/>
        </w:rPr>
        <w:t xml:space="preserve">rok važenja odobrenja </w:t>
      </w:r>
      <w:r w:rsidRPr="00140FF8">
        <w:rPr>
          <w:color w:val="000000"/>
          <w:lang w:eastAsia="hr-HR"/>
        </w:rPr>
        <w:t>za st</w:t>
      </w:r>
      <w:r>
        <w:rPr>
          <w:color w:val="000000"/>
          <w:lang w:eastAsia="hr-HR"/>
        </w:rPr>
        <w:t>avljanje lijeka u promet istekao</w:t>
      </w:r>
      <w:r w:rsidRPr="00140FF8">
        <w:rPr>
          <w:color w:val="000000"/>
          <w:lang w:eastAsia="hr-HR"/>
        </w:rPr>
        <w:t xml:space="preserve">, a postupak obnove nije završen, </w:t>
      </w:r>
      <w:r>
        <w:rPr>
          <w:color w:val="000000"/>
          <w:lang w:eastAsia="hr-HR"/>
        </w:rPr>
        <w:t xml:space="preserve">na zahtjev nositelja odobrenja </w:t>
      </w:r>
      <w:r w:rsidRPr="00140FF8">
        <w:rPr>
          <w:color w:val="000000"/>
          <w:lang w:eastAsia="hr-HR"/>
        </w:rPr>
        <w:t xml:space="preserve">HALMED daje suglasnost da se </w:t>
      </w:r>
      <w:r>
        <w:rPr>
          <w:color w:val="000000"/>
          <w:lang w:eastAsia="hr-HR"/>
        </w:rPr>
        <w:t xml:space="preserve">u periodu </w:t>
      </w:r>
      <w:r w:rsidRPr="00140FF8">
        <w:rPr>
          <w:color w:val="000000"/>
          <w:lang w:eastAsia="hr-HR"/>
        </w:rPr>
        <w:t xml:space="preserve">do završetka postupka obnove potrebna količina lijeka stavi u promet kako bi se osigurala redovita opskrba hrvatskog tržišta </w:t>
      </w:r>
      <w:r>
        <w:rPr>
          <w:color w:val="000000"/>
          <w:lang w:eastAsia="hr-HR"/>
        </w:rPr>
        <w:t>i spriječila nestašica lijeka.</w:t>
      </w:r>
      <w:r w:rsidRPr="00140FF8">
        <w:rPr>
          <w:color w:val="000000"/>
          <w:lang w:eastAsia="hr-HR"/>
        </w:rPr>
        <w:t xml:space="preserve"> </w:t>
      </w:r>
    </w:p>
    <w:p w14:paraId="1F2F322B" w14:textId="77777777" w:rsidR="00526ECF" w:rsidRDefault="00526ECF" w:rsidP="00526ECF">
      <w:r w:rsidRPr="00914D51">
        <w:t>Podaci o broju danih suglasnosti u izvještajnom razdoblju prikazani su u Tablici 15.</w:t>
      </w:r>
      <w:bookmarkStart w:id="186" w:name="_Toc26534660"/>
      <w:bookmarkStart w:id="187" w:name="_Toc50540934"/>
      <w:bookmarkStart w:id="188" w:name="_Toc88049157"/>
    </w:p>
    <w:p w14:paraId="70A4668C" w14:textId="77777777" w:rsidR="00526ECF" w:rsidRPr="00982587" w:rsidRDefault="00526ECF" w:rsidP="00526ECF">
      <w:pPr>
        <w:pStyle w:val="Heading3"/>
        <w:rPr>
          <w:rFonts w:eastAsia="Calibri" w:cs="Times New Roman"/>
          <w:sz w:val="22"/>
          <w:szCs w:val="22"/>
          <w:lang w:eastAsia="hr-HR"/>
        </w:rPr>
      </w:pPr>
      <w:bookmarkStart w:id="189" w:name="_Toc165035481"/>
      <w:r w:rsidRPr="00982587">
        <w:t>2.4.5. Obavješćivanje o odluci o izuzeću od odredbe „sunset clause“</w:t>
      </w:r>
      <w:bookmarkEnd w:id="186"/>
      <w:bookmarkEnd w:id="187"/>
      <w:bookmarkEnd w:id="188"/>
      <w:bookmarkEnd w:id="189"/>
    </w:p>
    <w:p w14:paraId="6DFEFB46" w14:textId="77777777" w:rsidR="00526ECF" w:rsidRDefault="00526ECF" w:rsidP="00526ECF">
      <w:pPr>
        <w:spacing w:after="240" w:line="276" w:lineRule="auto"/>
        <w:jc w:val="both"/>
        <w:rPr>
          <w:color w:val="000000"/>
          <w:lang w:eastAsia="hr-HR"/>
        </w:rPr>
      </w:pPr>
      <w:r>
        <w:rPr>
          <w:color w:val="000000"/>
          <w:lang w:eastAsia="hr-HR"/>
        </w:rPr>
        <w:t>S</w:t>
      </w:r>
      <w:r w:rsidRPr="00B9720C">
        <w:rPr>
          <w:color w:val="000000"/>
          <w:lang w:eastAsia="hr-HR"/>
        </w:rPr>
        <w:t>ukladno zakonskoj odredbi</w:t>
      </w:r>
      <w:r>
        <w:rPr>
          <w:color w:val="000000"/>
          <w:lang w:eastAsia="hr-HR"/>
        </w:rPr>
        <w:t>, n</w:t>
      </w:r>
      <w:r w:rsidRPr="00B9720C">
        <w:rPr>
          <w:color w:val="000000"/>
          <w:lang w:eastAsia="hr-HR"/>
        </w:rPr>
        <w:t>ositelj odobrenj</w:t>
      </w:r>
      <w:r>
        <w:rPr>
          <w:color w:val="000000"/>
          <w:lang w:eastAsia="hr-HR"/>
        </w:rPr>
        <w:t xml:space="preserve">a za stavljanje lijeka u promet, može </w:t>
      </w:r>
      <w:r w:rsidRPr="00B9720C">
        <w:rPr>
          <w:color w:val="000000"/>
          <w:lang w:eastAsia="hr-HR"/>
        </w:rPr>
        <w:t xml:space="preserve">od HALMED-a zatražiti izuzeće od ukidanja odobrenja za lijek koji nije bio stavljen u promet tri godine od dana davanja odobrenja </w:t>
      </w:r>
      <w:r w:rsidRPr="00B9720C">
        <w:rPr>
          <w:color w:val="000000"/>
          <w:lang w:eastAsia="hr-HR"/>
        </w:rPr>
        <w:lastRenderedPageBreak/>
        <w:t>ili se, nakon što je prvi put bio stavljen u promet nije u prometu nalazio tri uzastopne godine</w:t>
      </w:r>
      <w:r>
        <w:rPr>
          <w:color w:val="000000"/>
          <w:lang w:eastAsia="hr-HR"/>
        </w:rPr>
        <w:t xml:space="preserve"> (izuzeće od tzv. odredbe „sunset clause“)</w:t>
      </w:r>
      <w:r w:rsidRPr="00B9720C">
        <w:rPr>
          <w:color w:val="000000"/>
          <w:lang w:eastAsia="hr-HR"/>
        </w:rPr>
        <w:t>. HALMED zaprimljene zahtjeve razmatra i pisanim putem obavještava nositelja odobrenja o odluci za svaki lijek pojedinačno.</w:t>
      </w:r>
    </w:p>
    <w:p w14:paraId="69FA945A" w14:textId="77777777" w:rsidR="00526ECF" w:rsidRDefault="00526ECF" w:rsidP="00526ECF">
      <w:r w:rsidRPr="00914D51">
        <w:t xml:space="preserve">Podaci o broju donesenih odluka u izvještajnom razdoblju prikazani su u Tablici 15. </w:t>
      </w:r>
      <w:bookmarkStart w:id="190" w:name="_Toc26534661"/>
      <w:bookmarkStart w:id="191" w:name="_Toc50540935"/>
      <w:bookmarkStart w:id="192" w:name="_Toc88049158"/>
    </w:p>
    <w:p w14:paraId="4D1A3E80" w14:textId="77777777" w:rsidR="00526ECF" w:rsidRPr="00982587" w:rsidRDefault="00526ECF" w:rsidP="00526ECF">
      <w:pPr>
        <w:pStyle w:val="Heading3"/>
      </w:pPr>
      <w:bookmarkStart w:id="193" w:name="_Toc165035482"/>
      <w:r w:rsidRPr="00982587">
        <w:t>2.4.6. Izdavanje potvrde o lijeku (CPP) i potvrde o slobodnoj prodaji (FSC)</w:t>
      </w:r>
      <w:bookmarkEnd w:id="190"/>
      <w:bookmarkEnd w:id="191"/>
      <w:bookmarkEnd w:id="192"/>
      <w:bookmarkEnd w:id="193"/>
    </w:p>
    <w:p w14:paraId="02DC8D5E" w14:textId="77777777" w:rsidR="00526ECF" w:rsidRDefault="00526ECF" w:rsidP="00526ECF">
      <w:pPr>
        <w:autoSpaceDE w:val="0"/>
        <w:autoSpaceDN w:val="0"/>
        <w:adjustRightInd w:val="0"/>
        <w:spacing w:line="276" w:lineRule="auto"/>
        <w:jc w:val="both"/>
        <w:rPr>
          <w:color w:val="000000"/>
        </w:rPr>
      </w:pPr>
      <w:r w:rsidRPr="007A08F8">
        <w:rPr>
          <w:color w:val="000000"/>
        </w:rPr>
        <w:t xml:space="preserve">Na zahtjev podnositelja HALMED izdaje potvrdu o lijeku </w:t>
      </w:r>
      <w:r w:rsidRPr="00F3408D">
        <w:rPr>
          <w:color w:val="000000"/>
        </w:rPr>
        <w:t>(</w:t>
      </w:r>
      <w:r>
        <w:rPr>
          <w:color w:val="000000"/>
        </w:rPr>
        <w:t xml:space="preserve">engl. </w:t>
      </w:r>
      <w:r w:rsidRPr="00146C64">
        <w:rPr>
          <w:i/>
          <w:color w:val="000000"/>
        </w:rPr>
        <w:t>Certificate of Pharmaceutical Product</w:t>
      </w:r>
      <w:r>
        <w:rPr>
          <w:i/>
          <w:color w:val="000000"/>
        </w:rPr>
        <w:t>,</w:t>
      </w:r>
      <w:r w:rsidRPr="00D473DB">
        <w:rPr>
          <w:color w:val="000000"/>
        </w:rPr>
        <w:t xml:space="preserve"> </w:t>
      </w:r>
      <w:r w:rsidRPr="00F3408D">
        <w:rPr>
          <w:color w:val="000000"/>
        </w:rPr>
        <w:t xml:space="preserve">CPP) za </w:t>
      </w:r>
      <w:r w:rsidRPr="007A08F8">
        <w:rPr>
          <w:color w:val="000000"/>
        </w:rPr>
        <w:t xml:space="preserve">lijek čije </w:t>
      </w:r>
      <w:r>
        <w:rPr>
          <w:color w:val="000000"/>
        </w:rPr>
        <w:t xml:space="preserve">je </w:t>
      </w:r>
      <w:r w:rsidRPr="007A08F8">
        <w:rPr>
          <w:color w:val="000000"/>
        </w:rPr>
        <w:t>mjesto proizvodnje u Hrvatskoj bez obzira</w:t>
      </w:r>
      <w:r>
        <w:rPr>
          <w:color w:val="000000"/>
        </w:rPr>
        <w:t xml:space="preserve"> na to</w:t>
      </w:r>
      <w:r w:rsidRPr="007A08F8">
        <w:rPr>
          <w:color w:val="000000"/>
        </w:rPr>
        <w:t xml:space="preserve"> ima </w:t>
      </w:r>
      <w:r>
        <w:rPr>
          <w:color w:val="000000"/>
        </w:rPr>
        <w:t xml:space="preserve">li </w:t>
      </w:r>
      <w:r w:rsidRPr="007A08F8">
        <w:rPr>
          <w:color w:val="000000"/>
        </w:rPr>
        <w:t>odobrenje za stavljanje lijeka u promet u RH</w:t>
      </w:r>
      <w:r>
        <w:rPr>
          <w:color w:val="000000"/>
        </w:rPr>
        <w:t xml:space="preserve">. </w:t>
      </w:r>
    </w:p>
    <w:p w14:paraId="622812F5" w14:textId="77777777" w:rsidR="00526ECF" w:rsidRDefault="00526ECF" w:rsidP="00526ECF">
      <w:pPr>
        <w:spacing w:after="240" w:line="276" w:lineRule="auto"/>
        <w:jc w:val="both"/>
        <w:rPr>
          <w:color w:val="000000"/>
        </w:rPr>
      </w:pPr>
      <w:r w:rsidRPr="007A08F8">
        <w:rPr>
          <w:color w:val="000000"/>
        </w:rPr>
        <w:t>Na zahtjev podnositelja HALMED</w:t>
      </w:r>
      <w:r>
        <w:rPr>
          <w:color w:val="000000"/>
        </w:rPr>
        <w:t xml:space="preserve"> izdaje potvrdu o slobodnoj prodaji (engl. </w:t>
      </w:r>
      <w:r w:rsidRPr="00146C64">
        <w:rPr>
          <w:i/>
          <w:color w:val="000000"/>
        </w:rPr>
        <w:t>Free Sales Certificate</w:t>
      </w:r>
      <w:r>
        <w:rPr>
          <w:color w:val="000000"/>
        </w:rPr>
        <w:t>,</w:t>
      </w:r>
      <w:r w:rsidRPr="00D473DB">
        <w:rPr>
          <w:color w:val="000000"/>
        </w:rPr>
        <w:t xml:space="preserve"> </w:t>
      </w:r>
      <w:r>
        <w:rPr>
          <w:color w:val="000000"/>
        </w:rPr>
        <w:t xml:space="preserve">FSC). </w:t>
      </w:r>
    </w:p>
    <w:p w14:paraId="366C299B" w14:textId="77777777" w:rsidR="00526ECF" w:rsidRDefault="00526ECF" w:rsidP="00526ECF">
      <w:r w:rsidRPr="00914D51">
        <w:t>Podaci o broju danih CPP-ova i FSC-ova u izvještajnom razdoblju prikazani su u Tablici 14.</w:t>
      </w:r>
      <w:bookmarkStart w:id="194" w:name="_Toc26534662"/>
      <w:bookmarkStart w:id="195" w:name="_Toc50540936"/>
      <w:bookmarkStart w:id="196" w:name="_Toc88049159"/>
    </w:p>
    <w:p w14:paraId="6E84FFAA" w14:textId="77777777" w:rsidR="00526ECF" w:rsidRPr="00982587" w:rsidRDefault="00526ECF" w:rsidP="00526ECF">
      <w:pPr>
        <w:pStyle w:val="Heading3"/>
      </w:pPr>
      <w:bookmarkStart w:id="197" w:name="_Toc165035483"/>
      <w:r w:rsidRPr="00982587">
        <w:t>2.4.7. Praćenje opskrbe lijekovima</w:t>
      </w:r>
      <w:bookmarkEnd w:id="194"/>
      <w:bookmarkEnd w:id="195"/>
      <w:bookmarkEnd w:id="196"/>
      <w:bookmarkEnd w:id="197"/>
    </w:p>
    <w:p w14:paraId="7F510D39" w14:textId="77777777" w:rsidR="00526ECF" w:rsidRDefault="00526ECF" w:rsidP="00526ECF">
      <w:pPr>
        <w:spacing w:after="240" w:line="276" w:lineRule="auto"/>
        <w:jc w:val="both"/>
        <w:rPr>
          <w:lang w:eastAsia="hr-HR"/>
        </w:rPr>
      </w:pPr>
      <w:r w:rsidRPr="00E92AA0">
        <w:rPr>
          <w:lang w:eastAsia="hr-HR"/>
        </w:rPr>
        <w:t>HALMED je nadležno tijelo za praćenje opskrbe lijekovima u R</w:t>
      </w:r>
      <w:r>
        <w:rPr>
          <w:lang w:eastAsia="hr-HR"/>
        </w:rPr>
        <w:t xml:space="preserve">epublici </w:t>
      </w:r>
      <w:r w:rsidRPr="00E92AA0">
        <w:rPr>
          <w:lang w:eastAsia="hr-HR"/>
        </w:rPr>
        <w:t>H</w:t>
      </w:r>
      <w:r>
        <w:rPr>
          <w:lang w:eastAsia="hr-HR"/>
        </w:rPr>
        <w:t>rvatskoj</w:t>
      </w:r>
      <w:r w:rsidRPr="00E92AA0">
        <w:rPr>
          <w:lang w:eastAsia="hr-HR"/>
        </w:rPr>
        <w:t xml:space="preserve"> te</w:t>
      </w:r>
      <w:r>
        <w:rPr>
          <w:lang w:eastAsia="hr-HR"/>
        </w:rPr>
        <w:t xml:space="preserve"> je,</w:t>
      </w:r>
      <w:r w:rsidRPr="00E92AA0">
        <w:rPr>
          <w:lang w:eastAsia="hr-HR"/>
        </w:rPr>
        <w:t xml:space="preserve"> </w:t>
      </w:r>
      <w:r>
        <w:rPr>
          <w:lang w:eastAsia="hr-HR"/>
        </w:rPr>
        <w:t>zajedno s Ministarstvom zdravstva,</w:t>
      </w:r>
      <w:r w:rsidRPr="00E92AA0">
        <w:rPr>
          <w:lang w:eastAsia="hr-HR"/>
        </w:rPr>
        <w:t xml:space="preserve"> nadležno tijelo za poduzimanje mjera u slučaju poremećaja opskrbe. Način na koji HALMED prati opskrbu hrvatskog tržišta lijekovima je prikupljanje podataka o statusu lijekova u prometu.</w:t>
      </w:r>
      <w:r>
        <w:rPr>
          <w:lang w:eastAsia="hr-HR"/>
        </w:rPr>
        <w:t xml:space="preserve"> N</w:t>
      </w:r>
      <w:r w:rsidRPr="00E92AA0">
        <w:rPr>
          <w:lang w:eastAsia="hr-HR"/>
        </w:rPr>
        <w:t>ositelji od</w:t>
      </w:r>
      <w:r>
        <w:rPr>
          <w:lang w:eastAsia="hr-HR"/>
        </w:rPr>
        <w:t>o</w:t>
      </w:r>
      <w:r w:rsidRPr="00E92AA0">
        <w:rPr>
          <w:lang w:eastAsia="hr-HR"/>
        </w:rPr>
        <w:t xml:space="preserve">brenja su dužni obavijestiti HALMED o prvom danu stavljanja lijeka u promet kao i </w:t>
      </w:r>
      <w:r>
        <w:rPr>
          <w:lang w:eastAsia="hr-HR"/>
        </w:rPr>
        <w:t xml:space="preserve">o </w:t>
      </w:r>
      <w:r w:rsidRPr="00E92AA0">
        <w:rPr>
          <w:lang w:eastAsia="hr-HR"/>
        </w:rPr>
        <w:t>bilo koj</w:t>
      </w:r>
      <w:r>
        <w:rPr>
          <w:lang w:eastAsia="hr-HR"/>
        </w:rPr>
        <w:t>em</w:t>
      </w:r>
      <w:r w:rsidRPr="00E92AA0">
        <w:rPr>
          <w:lang w:eastAsia="hr-HR"/>
        </w:rPr>
        <w:t xml:space="preserve"> slučaj</w:t>
      </w:r>
      <w:r>
        <w:rPr>
          <w:lang w:eastAsia="hr-HR"/>
        </w:rPr>
        <w:t>u</w:t>
      </w:r>
      <w:r w:rsidRPr="00E92AA0">
        <w:rPr>
          <w:lang w:eastAsia="hr-HR"/>
        </w:rPr>
        <w:t xml:space="preserve"> nemogućnosti opskrbe tržišta lijekom, </w:t>
      </w:r>
      <w:r>
        <w:rPr>
          <w:lang w:eastAsia="hr-HR"/>
        </w:rPr>
        <w:t>neovisno o tome</w:t>
      </w:r>
      <w:r w:rsidRPr="00E92AA0">
        <w:rPr>
          <w:lang w:eastAsia="hr-HR"/>
        </w:rPr>
        <w:t xml:space="preserve"> radi </w:t>
      </w:r>
      <w:r>
        <w:rPr>
          <w:lang w:eastAsia="hr-HR"/>
        </w:rPr>
        <w:t xml:space="preserve">li se </w:t>
      </w:r>
      <w:r w:rsidRPr="00E92AA0">
        <w:rPr>
          <w:lang w:eastAsia="hr-HR"/>
        </w:rPr>
        <w:t xml:space="preserve">o kratkotrajnoj nestašici ili privremenom i trajnom prekidu opskrbe. HALMED podatke o statusu lijeka objavljuje na svojim </w:t>
      </w:r>
      <w:r>
        <w:rPr>
          <w:lang w:eastAsia="hr-HR"/>
        </w:rPr>
        <w:t>internetskim</w:t>
      </w:r>
      <w:r w:rsidRPr="00E92AA0">
        <w:rPr>
          <w:lang w:eastAsia="hr-HR"/>
        </w:rPr>
        <w:t xml:space="preserve"> stranicama, a u slučaju potrebe za poduzimanjem određenih mjera u komunikaciji s veleprodajama</w:t>
      </w:r>
      <w:r>
        <w:rPr>
          <w:lang w:eastAsia="hr-HR"/>
        </w:rPr>
        <w:t xml:space="preserve"> lijekova</w:t>
      </w:r>
      <w:r w:rsidRPr="00E92AA0">
        <w:rPr>
          <w:lang w:eastAsia="hr-HR"/>
        </w:rPr>
        <w:t xml:space="preserve"> predlaže moguća rješenja predviđena važećim propisima.</w:t>
      </w:r>
    </w:p>
    <w:p w14:paraId="63753645" w14:textId="77777777" w:rsidR="00526ECF" w:rsidRDefault="00526ECF" w:rsidP="00526ECF">
      <w:pPr>
        <w:spacing w:after="240" w:line="276" w:lineRule="auto"/>
        <w:jc w:val="both"/>
        <w:rPr>
          <w:lang w:eastAsia="hr-HR"/>
        </w:rPr>
      </w:pPr>
      <w:r w:rsidRPr="00914D51">
        <w:rPr>
          <w:lang w:eastAsia="hr-HR"/>
        </w:rPr>
        <w:t>U</w:t>
      </w:r>
      <w:r>
        <w:rPr>
          <w:lang w:eastAsia="hr-HR"/>
        </w:rPr>
        <w:t xml:space="preserve"> izvještajnom razdoblju bilo je 548  </w:t>
      </w:r>
      <w:r w:rsidRPr="00914D51">
        <w:rPr>
          <w:lang w:eastAsia="hr-HR"/>
        </w:rPr>
        <w:t xml:space="preserve">objava o nestašici lijekova na tržištu Republike Hrvatske. </w:t>
      </w:r>
    </w:p>
    <w:p w14:paraId="22AFEAEE" w14:textId="77777777" w:rsidR="00526ECF" w:rsidRPr="00982587" w:rsidRDefault="00526ECF" w:rsidP="00526ECF">
      <w:pPr>
        <w:pStyle w:val="Heading3"/>
      </w:pPr>
      <w:bookmarkStart w:id="198" w:name="_Toc26534664"/>
      <w:bookmarkStart w:id="199" w:name="_Toc50540938"/>
      <w:bookmarkStart w:id="200" w:name="_Toc88049161"/>
      <w:bookmarkStart w:id="201" w:name="_Toc165035484"/>
      <w:r w:rsidRPr="00982587">
        <w:t>2.4.8. Hitno povlačenje lijeka iz prometa</w:t>
      </w:r>
      <w:bookmarkEnd w:id="198"/>
      <w:bookmarkEnd w:id="199"/>
      <w:bookmarkEnd w:id="200"/>
      <w:bookmarkEnd w:id="201"/>
    </w:p>
    <w:p w14:paraId="51D47B96" w14:textId="77777777" w:rsidR="00526ECF" w:rsidRPr="0097570C" w:rsidRDefault="00526ECF" w:rsidP="00526ECF">
      <w:pPr>
        <w:spacing w:after="240" w:line="276" w:lineRule="auto"/>
        <w:jc w:val="both"/>
        <w:rPr>
          <w:rFonts w:eastAsia="Times New Roman" w:cs="Calibri"/>
        </w:rPr>
      </w:pPr>
      <w:r w:rsidRPr="0097570C">
        <w:rPr>
          <w:rFonts w:eastAsia="Times New Roman" w:cs="Calibri"/>
        </w:rPr>
        <w:t xml:space="preserve">Temeljem Zakona o lijekovima HALMED je odgovoran za hitno povlačenje lijeka iz prometa zbog sigurnosnih razloga (nuspojava) ili neispravnosti u kakvoći. Temeljem prijava nuspojava, ocjene sigurnosnog profila lijeka ili neispravnosti u kakvoći koja može uzrokovati oštećenje zdravlja ili smrt, HALMED hitno povlači lijek iz prometa. Putem Državnog centra za obavješćivanje HALMED obavještava veleprodaje, bolničke ustanove, domove zdravlja i zdravstvene radnike o povlačenju lijeka iz prometa, a obavijest o hitnom povlačenju se objavljuje na internetskim stranicama HALMED-a, odnosno ako je to potrebno HALMED daje priopćenje za javnost. </w:t>
      </w:r>
    </w:p>
    <w:p w14:paraId="5F95FC23" w14:textId="77777777" w:rsidR="00526ECF" w:rsidRDefault="00526ECF" w:rsidP="00526ECF">
      <w:r w:rsidRPr="00914D51">
        <w:t xml:space="preserve">Podaci o broju hitnih povlačenja u izvještajnom razdoblju prikazani su u Tablici 15. </w:t>
      </w:r>
      <w:bookmarkStart w:id="202" w:name="_Toc26534665"/>
      <w:bookmarkStart w:id="203" w:name="_Toc50540939"/>
      <w:bookmarkStart w:id="204" w:name="_Toc88049162"/>
    </w:p>
    <w:p w14:paraId="17F6B1F8" w14:textId="77777777" w:rsidR="00526ECF" w:rsidRPr="00982587" w:rsidRDefault="00526ECF" w:rsidP="00526ECF">
      <w:pPr>
        <w:pStyle w:val="Heading3"/>
      </w:pPr>
      <w:bookmarkStart w:id="205" w:name="_Toc165035485"/>
      <w:r w:rsidRPr="00982587">
        <w:t>2.4.9. Praćenje neispravnosti lijekova</w:t>
      </w:r>
      <w:bookmarkEnd w:id="202"/>
      <w:bookmarkEnd w:id="203"/>
      <w:bookmarkEnd w:id="204"/>
      <w:bookmarkEnd w:id="205"/>
      <w:r w:rsidRPr="00982587">
        <w:t xml:space="preserve"> </w:t>
      </w:r>
    </w:p>
    <w:p w14:paraId="6E16361B" w14:textId="77777777" w:rsidR="00526ECF" w:rsidRPr="0097570C" w:rsidRDefault="00526ECF" w:rsidP="00526ECF">
      <w:pPr>
        <w:tabs>
          <w:tab w:val="center" w:pos="858"/>
          <w:tab w:val="center" w:pos="4320"/>
          <w:tab w:val="right" w:pos="8306"/>
          <w:tab w:val="right" w:pos="8640"/>
        </w:tabs>
        <w:spacing w:after="240" w:line="276" w:lineRule="auto"/>
        <w:jc w:val="both"/>
        <w:rPr>
          <w:rFonts w:eastAsia="Times New Roman" w:cs="Calibri"/>
          <w:color w:val="000000"/>
        </w:rPr>
      </w:pPr>
      <w:r w:rsidRPr="0097570C">
        <w:rPr>
          <w:rFonts w:eastAsia="Times New Roman" w:cs="Calibri"/>
          <w:color w:val="000000"/>
        </w:rPr>
        <w:tab/>
        <w:t xml:space="preserve">Neispravnost lijekova odnosno njeno praćenje provodi se prema rasporedu pripravnosti odgovornih djelatnika HALMED-a. Svaku prijavu je potrebno ocijeniti i obraditi po metodi </w:t>
      </w:r>
      <w:r>
        <w:rPr>
          <w:rFonts w:eastAsia="Times New Roman" w:cs="Calibri"/>
          <w:color w:val="000000"/>
        </w:rPr>
        <w:t>pr</w:t>
      </w:r>
      <w:r w:rsidRPr="0097570C">
        <w:rPr>
          <w:rFonts w:eastAsia="Times New Roman" w:cs="Calibri"/>
          <w:color w:val="000000"/>
        </w:rPr>
        <w:t xml:space="preserve">ocjene rizika i utjecaju na zdravlje ljudi uzimajući u obzir i rizik od nedostupnosti odgovarajuće terapije u slučaju povlačenja lijeka iz prometa. </w:t>
      </w:r>
    </w:p>
    <w:p w14:paraId="6526A0CB" w14:textId="77777777" w:rsidR="00526ECF" w:rsidRDefault="00526ECF" w:rsidP="00526ECF">
      <w:pPr>
        <w:tabs>
          <w:tab w:val="center" w:pos="858"/>
          <w:tab w:val="center" w:pos="4320"/>
          <w:tab w:val="right" w:pos="8306"/>
          <w:tab w:val="right" w:pos="8640"/>
        </w:tabs>
        <w:spacing w:after="120"/>
        <w:jc w:val="both"/>
        <w:rPr>
          <w:rFonts w:eastAsia="Times New Roman" w:cs="Calibri"/>
          <w:color w:val="000000"/>
        </w:rPr>
      </w:pPr>
      <w:r w:rsidRPr="00914D51">
        <w:rPr>
          <w:rFonts w:eastAsia="Times New Roman" w:cs="Calibri"/>
          <w:color w:val="000000"/>
        </w:rPr>
        <w:lastRenderedPageBreak/>
        <w:t>Podaci o praćenju prijava sumnji na neispravnost u kakvoći lijekova u izvještajnom razdoblju prikazani su u Tablici 13.</w:t>
      </w:r>
    </w:p>
    <w:p w14:paraId="15F376AC" w14:textId="77777777" w:rsidR="00526ECF" w:rsidRDefault="00526ECF" w:rsidP="00526ECF">
      <w:pPr>
        <w:tabs>
          <w:tab w:val="center" w:pos="858"/>
          <w:tab w:val="center" w:pos="4320"/>
          <w:tab w:val="right" w:pos="8306"/>
          <w:tab w:val="right" w:pos="8640"/>
        </w:tabs>
        <w:spacing w:after="120"/>
        <w:jc w:val="both"/>
        <w:rPr>
          <w:rFonts w:eastAsia="Times New Roman" w:cstheme="minorHAnsi"/>
          <w:b/>
        </w:rPr>
      </w:pPr>
      <w:r w:rsidRPr="00D928B1">
        <w:rPr>
          <w:rFonts w:eastAsia="Times New Roman" w:cstheme="minorHAnsi"/>
          <w:b/>
        </w:rPr>
        <w:t xml:space="preserve">Tablica 13. </w:t>
      </w:r>
      <w:r>
        <w:rPr>
          <w:rFonts w:eastAsia="Times New Roman" w:cstheme="minorHAnsi"/>
          <w:b/>
        </w:rPr>
        <w:t>B</w:t>
      </w:r>
      <w:r w:rsidRPr="00D928B1">
        <w:rPr>
          <w:rFonts w:eastAsia="Times New Roman" w:cstheme="minorHAnsi"/>
          <w:b/>
        </w:rPr>
        <w:t xml:space="preserve">roj </w:t>
      </w:r>
      <w:r>
        <w:rPr>
          <w:rFonts w:eastAsia="Times New Roman" w:cstheme="minorHAnsi"/>
          <w:b/>
        </w:rPr>
        <w:t xml:space="preserve">zaprimljenih i obrađenih </w:t>
      </w:r>
      <w:r w:rsidRPr="00D928B1">
        <w:rPr>
          <w:rFonts w:eastAsia="Times New Roman" w:cstheme="minorHAnsi"/>
          <w:b/>
        </w:rPr>
        <w:t>prijava sumnji na neispravnost u kakvoći lijekova u RH</w:t>
      </w:r>
    </w:p>
    <w:tbl>
      <w:tblPr>
        <w:tblW w:w="9082"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4253"/>
        <w:gridCol w:w="1417"/>
        <w:gridCol w:w="1418"/>
        <w:gridCol w:w="1275"/>
      </w:tblGrid>
      <w:tr w:rsidR="00526ECF" w:rsidRPr="00D77148" w14:paraId="6AAFD773" w14:textId="77777777" w:rsidTr="00BA499D">
        <w:trPr>
          <w:trHeight w:val="453"/>
        </w:trPr>
        <w:tc>
          <w:tcPr>
            <w:tcW w:w="719" w:type="dxa"/>
            <w:vMerge w:val="restart"/>
            <w:shd w:val="clear" w:color="auto" w:fill="A3E7FF"/>
            <w:vAlign w:val="center"/>
            <w:hideMark/>
          </w:tcPr>
          <w:p w14:paraId="381C5FAE" w14:textId="77777777" w:rsidR="00526ECF" w:rsidRPr="00AF1E8F" w:rsidRDefault="00526ECF" w:rsidP="00BA499D">
            <w:pPr>
              <w:jc w:val="center"/>
              <w:rPr>
                <w:rFonts w:eastAsia="Times New Roman" w:cstheme="minorHAnsi"/>
                <w:b/>
                <w:bCs/>
                <w:sz w:val="18"/>
                <w:szCs w:val="18"/>
                <w:lang w:eastAsia="hr-HR"/>
              </w:rPr>
            </w:pPr>
            <w:r w:rsidRPr="00AF1E8F">
              <w:rPr>
                <w:rFonts w:eastAsia="Times New Roman" w:cstheme="minorHAnsi"/>
                <w:b/>
                <w:bCs/>
                <w:sz w:val="18"/>
                <w:szCs w:val="18"/>
                <w:lang w:eastAsia="hr-HR"/>
              </w:rPr>
              <w:t>R.br.</w:t>
            </w:r>
          </w:p>
        </w:tc>
        <w:tc>
          <w:tcPr>
            <w:tcW w:w="4253" w:type="dxa"/>
            <w:vMerge w:val="restart"/>
            <w:shd w:val="clear" w:color="auto" w:fill="A3E7FF"/>
            <w:vAlign w:val="center"/>
            <w:hideMark/>
          </w:tcPr>
          <w:p w14:paraId="338F5CB8" w14:textId="77777777" w:rsidR="00526ECF" w:rsidRPr="00AF1E8F" w:rsidRDefault="00526ECF" w:rsidP="00BA499D">
            <w:pPr>
              <w:jc w:val="center"/>
              <w:rPr>
                <w:rFonts w:eastAsia="Times New Roman" w:cstheme="minorHAnsi"/>
                <w:b/>
                <w:bCs/>
                <w:sz w:val="18"/>
                <w:szCs w:val="18"/>
                <w:lang w:eastAsia="hr-HR"/>
              </w:rPr>
            </w:pPr>
            <w:r w:rsidRPr="00AF1E8F">
              <w:rPr>
                <w:rFonts w:eastAsia="Times New Roman" w:cstheme="minorHAnsi"/>
                <w:b/>
                <w:bCs/>
                <w:sz w:val="18"/>
                <w:szCs w:val="18"/>
                <w:lang w:eastAsia="hr-HR"/>
              </w:rPr>
              <w:t>Naziv prijavitelja</w:t>
            </w:r>
          </w:p>
        </w:tc>
        <w:tc>
          <w:tcPr>
            <w:tcW w:w="1417" w:type="dxa"/>
            <w:vMerge w:val="restart"/>
            <w:shd w:val="clear" w:color="auto" w:fill="A3E7FF"/>
            <w:vAlign w:val="center"/>
            <w:hideMark/>
          </w:tcPr>
          <w:p w14:paraId="1DE4D5C3" w14:textId="77777777" w:rsidR="00526ECF" w:rsidRDefault="00526ECF" w:rsidP="00BA499D">
            <w:pPr>
              <w:jc w:val="center"/>
              <w:rPr>
                <w:rFonts w:eastAsia="Times New Roman" w:cstheme="minorHAnsi"/>
                <w:b/>
                <w:bCs/>
                <w:sz w:val="18"/>
                <w:szCs w:val="18"/>
                <w:lang w:eastAsia="hr-HR"/>
              </w:rPr>
            </w:pPr>
          </w:p>
          <w:p w14:paraId="6EE9684A" w14:textId="77777777" w:rsidR="00526ECF" w:rsidRPr="00AF1E8F" w:rsidRDefault="00526ECF" w:rsidP="00BA499D">
            <w:pPr>
              <w:jc w:val="center"/>
              <w:rPr>
                <w:rFonts w:eastAsia="Times New Roman" w:cstheme="minorHAnsi"/>
                <w:b/>
                <w:bCs/>
                <w:sz w:val="18"/>
                <w:szCs w:val="18"/>
                <w:lang w:eastAsia="hr-HR"/>
              </w:rPr>
            </w:pPr>
            <w:r w:rsidRPr="00AF1E8F">
              <w:rPr>
                <w:rFonts w:eastAsia="Times New Roman" w:cstheme="minorHAnsi"/>
                <w:b/>
                <w:bCs/>
                <w:sz w:val="18"/>
                <w:szCs w:val="18"/>
                <w:lang w:eastAsia="hr-HR"/>
              </w:rPr>
              <w:t>Zaprimljeno</w:t>
            </w:r>
          </w:p>
          <w:p w14:paraId="0B52BF8B" w14:textId="77777777" w:rsidR="00526ECF" w:rsidRPr="00AF1E8F" w:rsidRDefault="00526ECF" w:rsidP="00BA499D">
            <w:pPr>
              <w:jc w:val="center"/>
              <w:rPr>
                <w:rFonts w:eastAsia="Times New Roman" w:cstheme="minorHAnsi"/>
                <w:b/>
                <w:bCs/>
                <w:sz w:val="18"/>
                <w:szCs w:val="18"/>
                <w:lang w:eastAsia="hr-HR"/>
              </w:rPr>
            </w:pPr>
            <w:r w:rsidRPr="00AF1E8F">
              <w:rPr>
                <w:rFonts w:eastAsia="Times New Roman" w:cstheme="minorHAnsi"/>
                <w:b/>
                <w:bCs/>
                <w:sz w:val="18"/>
                <w:szCs w:val="18"/>
                <w:lang w:eastAsia="hr-HR"/>
              </w:rPr>
              <w:t>01.01.</w:t>
            </w:r>
            <w:r>
              <w:rPr>
                <w:rFonts w:eastAsia="Times New Roman" w:cstheme="minorHAnsi"/>
                <w:b/>
                <w:bCs/>
                <w:sz w:val="18"/>
                <w:szCs w:val="18"/>
                <w:lang w:eastAsia="hr-HR"/>
              </w:rPr>
              <w:t>-31.12.2023</w:t>
            </w:r>
            <w:r w:rsidRPr="00AF1E8F">
              <w:rPr>
                <w:rFonts w:eastAsia="Times New Roman" w:cstheme="minorHAnsi"/>
                <w:b/>
                <w:bCs/>
                <w:sz w:val="18"/>
                <w:szCs w:val="18"/>
                <w:lang w:eastAsia="hr-HR"/>
              </w:rPr>
              <w:t>.</w:t>
            </w:r>
          </w:p>
          <w:p w14:paraId="008AF744" w14:textId="77777777" w:rsidR="00526ECF" w:rsidRPr="00AF1E8F" w:rsidRDefault="00526ECF" w:rsidP="00BA499D">
            <w:pPr>
              <w:jc w:val="center"/>
              <w:rPr>
                <w:rFonts w:eastAsia="Times New Roman" w:cstheme="minorHAnsi"/>
                <w:b/>
                <w:bCs/>
                <w:sz w:val="18"/>
                <w:szCs w:val="18"/>
                <w:lang w:eastAsia="hr-HR"/>
              </w:rPr>
            </w:pPr>
          </w:p>
        </w:tc>
        <w:tc>
          <w:tcPr>
            <w:tcW w:w="1418" w:type="dxa"/>
            <w:vMerge w:val="restart"/>
            <w:shd w:val="clear" w:color="auto" w:fill="A3E7FF"/>
            <w:vAlign w:val="center"/>
            <w:hideMark/>
          </w:tcPr>
          <w:p w14:paraId="6E3C8EEB" w14:textId="77777777" w:rsidR="00526ECF" w:rsidRPr="00AF1E8F" w:rsidRDefault="00526ECF" w:rsidP="00BA499D">
            <w:pPr>
              <w:jc w:val="center"/>
              <w:rPr>
                <w:rFonts w:eastAsia="Times New Roman" w:cstheme="minorHAnsi"/>
                <w:b/>
                <w:bCs/>
                <w:sz w:val="18"/>
                <w:szCs w:val="18"/>
                <w:lang w:eastAsia="hr-HR"/>
              </w:rPr>
            </w:pPr>
            <w:r w:rsidRPr="00AF1E8F">
              <w:rPr>
                <w:rFonts w:eastAsia="Times New Roman" w:cstheme="minorHAnsi"/>
                <w:b/>
                <w:bCs/>
                <w:sz w:val="18"/>
                <w:szCs w:val="18"/>
                <w:lang w:eastAsia="hr-HR"/>
              </w:rPr>
              <w:t>Izvršenje</w:t>
            </w:r>
          </w:p>
          <w:p w14:paraId="2443B573" w14:textId="77777777" w:rsidR="00526ECF" w:rsidRPr="00AF1E8F" w:rsidRDefault="00526ECF" w:rsidP="00BA499D">
            <w:pPr>
              <w:jc w:val="center"/>
              <w:rPr>
                <w:rFonts w:eastAsia="Times New Roman" w:cstheme="minorHAnsi"/>
                <w:b/>
                <w:bCs/>
                <w:sz w:val="18"/>
                <w:szCs w:val="18"/>
                <w:lang w:eastAsia="hr-HR"/>
              </w:rPr>
            </w:pPr>
            <w:r w:rsidRPr="00AF1E8F">
              <w:rPr>
                <w:rFonts w:eastAsia="Times New Roman" w:cstheme="minorHAnsi"/>
                <w:b/>
                <w:bCs/>
                <w:sz w:val="18"/>
                <w:szCs w:val="18"/>
                <w:lang w:eastAsia="hr-HR"/>
              </w:rPr>
              <w:t>01.01.-</w:t>
            </w:r>
            <w:r>
              <w:rPr>
                <w:rFonts w:eastAsia="Times New Roman" w:cstheme="minorHAnsi"/>
                <w:b/>
                <w:bCs/>
                <w:sz w:val="18"/>
                <w:szCs w:val="18"/>
                <w:lang w:eastAsia="hr-HR"/>
              </w:rPr>
              <w:t>31.12.2023</w:t>
            </w:r>
            <w:r w:rsidRPr="00AF1E8F">
              <w:rPr>
                <w:rFonts w:eastAsia="Times New Roman" w:cstheme="minorHAnsi"/>
                <w:b/>
                <w:bCs/>
                <w:sz w:val="18"/>
                <w:szCs w:val="18"/>
                <w:lang w:eastAsia="hr-HR"/>
              </w:rPr>
              <w:t>.</w:t>
            </w:r>
          </w:p>
        </w:tc>
        <w:tc>
          <w:tcPr>
            <w:tcW w:w="1275" w:type="dxa"/>
            <w:vMerge w:val="restart"/>
            <w:shd w:val="clear" w:color="auto" w:fill="A3E7FF"/>
            <w:vAlign w:val="center"/>
            <w:hideMark/>
          </w:tcPr>
          <w:p w14:paraId="5494C754" w14:textId="77777777" w:rsidR="00526ECF" w:rsidRPr="00AF1E8F" w:rsidRDefault="00526ECF" w:rsidP="00BA499D">
            <w:pPr>
              <w:jc w:val="center"/>
              <w:rPr>
                <w:rFonts w:eastAsia="Times New Roman" w:cstheme="minorHAnsi"/>
                <w:b/>
                <w:bCs/>
                <w:sz w:val="18"/>
                <w:szCs w:val="18"/>
                <w:lang w:eastAsia="hr-HR"/>
              </w:rPr>
            </w:pPr>
            <w:r w:rsidRPr="00AF1E8F">
              <w:rPr>
                <w:rFonts w:eastAsia="Times New Roman" w:cstheme="minorHAnsi"/>
                <w:b/>
                <w:bCs/>
                <w:sz w:val="18"/>
                <w:szCs w:val="18"/>
                <w:lang w:eastAsia="hr-HR"/>
              </w:rPr>
              <w:t>% izvršenja</w:t>
            </w:r>
          </w:p>
        </w:tc>
      </w:tr>
      <w:tr w:rsidR="00526ECF" w:rsidRPr="00AD459D" w14:paraId="732927F1" w14:textId="77777777" w:rsidTr="00BA499D">
        <w:trPr>
          <w:trHeight w:val="581"/>
        </w:trPr>
        <w:tc>
          <w:tcPr>
            <w:tcW w:w="719" w:type="dxa"/>
            <w:vMerge/>
            <w:shd w:val="clear" w:color="auto" w:fill="A3E7FF"/>
            <w:vAlign w:val="center"/>
            <w:hideMark/>
          </w:tcPr>
          <w:p w14:paraId="76E9533B" w14:textId="77777777" w:rsidR="00526ECF" w:rsidRPr="00C27B5F" w:rsidRDefault="00526ECF" w:rsidP="00BA499D">
            <w:pPr>
              <w:jc w:val="center"/>
              <w:rPr>
                <w:rFonts w:eastAsia="Times New Roman" w:cstheme="minorHAnsi"/>
                <w:b/>
                <w:bCs/>
                <w:color w:val="000000"/>
                <w:sz w:val="18"/>
                <w:szCs w:val="18"/>
                <w:lang w:eastAsia="hr-HR"/>
              </w:rPr>
            </w:pPr>
          </w:p>
        </w:tc>
        <w:tc>
          <w:tcPr>
            <w:tcW w:w="4253" w:type="dxa"/>
            <w:vMerge/>
            <w:shd w:val="clear" w:color="auto" w:fill="A3E7FF"/>
            <w:vAlign w:val="center"/>
            <w:hideMark/>
          </w:tcPr>
          <w:p w14:paraId="702AF352" w14:textId="77777777" w:rsidR="00526ECF" w:rsidRPr="00C27B5F" w:rsidRDefault="00526ECF" w:rsidP="00BA499D">
            <w:pPr>
              <w:rPr>
                <w:rFonts w:eastAsia="Times New Roman" w:cstheme="minorHAnsi"/>
                <w:b/>
                <w:bCs/>
                <w:color w:val="000000"/>
                <w:sz w:val="18"/>
                <w:szCs w:val="18"/>
                <w:lang w:eastAsia="hr-HR"/>
              </w:rPr>
            </w:pPr>
          </w:p>
        </w:tc>
        <w:tc>
          <w:tcPr>
            <w:tcW w:w="1417" w:type="dxa"/>
            <w:vMerge/>
            <w:shd w:val="clear" w:color="auto" w:fill="A3E7FF"/>
            <w:vAlign w:val="center"/>
            <w:hideMark/>
          </w:tcPr>
          <w:p w14:paraId="3AC5786A" w14:textId="77777777" w:rsidR="00526ECF" w:rsidRPr="00C27B5F" w:rsidRDefault="00526ECF" w:rsidP="00BA499D">
            <w:pPr>
              <w:jc w:val="center"/>
              <w:rPr>
                <w:rFonts w:eastAsia="Times New Roman" w:cstheme="minorHAnsi"/>
                <w:b/>
                <w:bCs/>
                <w:color w:val="000000"/>
                <w:sz w:val="18"/>
                <w:szCs w:val="18"/>
                <w:lang w:eastAsia="hr-HR"/>
              </w:rPr>
            </w:pPr>
          </w:p>
        </w:tc>
        <w:tc>
          <w:tcPr>
            <w:tcW w:w="1418" w:type="dxa"/>
            <w:vMerge/>
            <w:shd w:val="clear" w:color="auto" w:fill="A3E7FF"/>
            <w:vAlign w:val="center"/>
            <w:hideMark/>
          </w:tcPr>
          <w:p w14:paraId="44A95C70" w14:textId="77777777" w:rsidR="00526ECF" w:rsidRPr="00C27B5F" w:rsidRDefault="00526ECF" w:rsidP="00BA499D">
            <w:pPr>
              <w:jc w:val="center"/>
              <w:rPr>
                <w:rFonts w:eastAsia="Times New Roman" w:cstheme="minorHAnsi"/>
                <w:b/>
                <w:bCs/>
                <w:color w:val="000000"/>
                <w:sz w:val="18"/>
                <w:szCs w:val="18"/>
                <w:lang w:eastAsia="hr-HR"/>
              </w:rPr>
            </w:pPr>
          </w:p>
        </w:tc>
        <w:tc>
          <w:tcPr>
            <w:tcW w:w="1275" w:type="dxa"/>
            <w:vMerge/>
            <w:shd w:val="clear" w:color="auto" w:fill="A3E7FF"/>
            <w:vAlign w:val="center"/>
            <w:hideMark/>
          </w:tcPr>
          <w:p w14:paraId="304C1E0A" w14:textId="77777777" w:rsidR="00526ECF" w:rsidRPr="00C27B5F" w:rsidRDefault="00526ECF" w:rsidP="00BA499D">
            <w:pPr>
              <w:jc w:val="center"/>
              <w:rPr>
                <w:rFonts w:eastAsia="Times New Roman" w:cstheme="minorHAnsi"/>
                <w:b/>
                <w:bCs/>
                <w:color w:val="000000"/>
                <w:sz w:val="18"/>
                <w:szCs w:val="18"/>
                <w:lang w:eastAsia="hr-HR"/>
              </w:rPr>
            </w:pPr>
          </w:p>
        </w:tc>
      </w:tr>
      <w:tr w:rsidR="00526ECF" w:rsidRPr="007E4A15" w14:paraId="5CD5DA90" w14:textId="77777777" w:rsidTr="00BA499D">
        <w:trPr>
          <w:trHeight w:val="284"/>
        </w:trPr>
        <w:tc>
          <w:tcPr>
            <w:tcW w:w="719" w:type="dxa"/>
            <w:shd w:val="clear" w:color="auto" w:fill="auto"/>
            <w:noWrap/>
            <w:vAlign w:val="center"/>
            <w:hideMark/>
          </w:tcPr>
          <w:p w14:paraId="0CEE3F3E" w14:textId="77777777" w:rsidR="00526ECF" w:rsidRPr="008C7EB2" w:rsidRDefault="00526ECF" w:rsidP="00BA499D">
            <w:pPr>
              <w:jc w:val="center"/>
              <w:rPr>
                <w:rFonts w:eastAsia="Times New Roman" w:cstheme="minorHAnsi"/>
                <w:sz w:val="18"/>
                <w:szCs w:val="18"/>
                <w:lang w:eastAsia="hr-HR"/>
              </w:rPr>
            </w:pPr>
            <w:r w:rsidRPr="008C7EB2">
              <w:rPr>
                <w:rFonts w:eastAsia="Times New Roman" w:cstheme="minorHAnsi"/>
                <w:sz w:val="18"/>
                <w:szCs w:val="18"/>
                <w:lang w:eastAsia="hr-HR"/>
              </w:rPr>
              <w:t>1.</w:t>
            </w:r>
          </w:p>
        </w:tc>
        <w:tc>
          <w:tcPr>
            <w:tcW w:w="4253" w:type="dxa"/>
            <w:shd w:val="clear" w:color="auto" w:fill="auto"/>
            <w:vAlign w:val="center"/>
          </w:tcPr>
          <w:p w14:paraId="2AFCD636" w14:textId="77777777" w:rsidR="00526ECF" w:rsidRPr="008C7EB2" w:rsidRDefault="00526ECF" w:rsidP="00BA499D">
            <w:pPr>
              <w:rPr>
                <w:rFonts w:eastAsia="Times New Roman" w:cstheme="minorHAnsi"/>
                <w:bCs/>
                <w:sz w:val="18"/>
                <w:szCs w:val="18"/>
                <w:lang w:eastAsia="hr-HR"/>
              </w:rPr>
            </w:pPr>
            <w:r w:rsidRPr="007E4A15">
              <w:rPr>
                <w:bCs/>
                <w:sz w:val="18"/>
                <w:szCs w:val="18"/>
                <w:lang w:eastAsia="hr-HR"/>
              </w:rPr>
              <w:t xml:space="preserve">Žurno obavješćivanja </w:t>
            </w:r>
            <w:r w:rsidRPr="007E4A15">
              <w:rPr>
                <w:bCs/>
                <w:i/>
                <w:sz w:val="18"/>
                <w:szCs w:val="18"/>
                <w:lang w:eastAsia="hr-HR"/>
              </w:rPr>
              <w:t>(Rapid Alert)</w:t>
            </w:r>
          </w:p>
        </w:tc>
        <w:tc>
          <w:tcPr>
            <w:tcW w:w="1417" w:type="dxa"/>
            <w:shd w:val="clear" w:color="auto" w:fill="auto"/>
            <w:noWrap/>
            <w:vAlign w:val="center"/>
          </w:tcPr>
          <w:p w14:paraId="40B2A14C" w14:textId="77777777" w:rsidR="00526ECF" w:rsidRPr="00F66724" w:rsidRDefault="00526ECF" w:rsidP="00BA499D">
            <w:pPr>
              <w:jc w:val="center"/>
              <w:rPr>
                <w:sz w:val="18"/>
              </w:rPr>
            </w:pPr>
            <w:r>
              <w:rPr>
                <w:sz w:val="18"/>
              </w:rPr>
              <w:t>245</w:t>
            </w:r>
          </w:p>
        </w:tc>
        <w:tc>
          <w:tcPr>
            <w:tcW w:w="1418" w:type="dxa"/>
            <w:shd w:val="clear" w:color="auto" w:fill="auto"/>
            <w:noWrap/>
            <w:vAlign w:val="center"/>
          </w:tcPr>
          <w:p w14:paraId="1FE2A59F" w14:textId="77777777" w:rsidR="00526ECF" w:rsidRPr="00F66724" w:rsidRDefault="00526ECF" w:rsidP="00BA499D">
            <w:pPr>
              <w:jc w:val="center"/>
              <w:rPr>
                <w:sz w:val="18"/>
              </w:rPr>
            </w:pPr>
            <w:r>
              <w:rPr>
                <w:sz w:val="18"/>
              </w:rPr>
              <w:t>245</w:t>
            </w:r>
          </w:p>
        </w:tc>
        <w:tc>
          <w:tcPr>
            <w:tcW w:w="1275" w:type="dxa"/>
            <w:shd w:val="clear" w:color="auto" w:fill="auto"/>
            <w:noWrap/>
            <w:vAlign w:val="center"/>
          </w:tcPr>
          <w:p w14:paraId="54F88367" w14:textId="77777777" w:rsidR="00526ECF" w:rsidRPr="00F66724" w:rsidRDefault="00526ECF" w:rsidP="00BA499D">
            <w:pPr>
              <w:jc w:val="center"/>
              <w:rPr>
                <w:sz w:val="18"/>
              </w:rPr>
            </w:pPr>
            <w:r w:rsidRPr="00F66724">
              <w:rPr>
                <w:sz w:val="18"/>
              </w:rPr>
              <w:t>100</w:t>
            </w:r>
            <w:r>
              <w:rPr>
                <w:sz w:val="18"/>
              </w:rPr>
              <w:t>%</w:t>
            </w:r>
          </w:p>
        </w:tc>
      </w:tr>
      <w:tr w:rsidR="00526ECF" w:rsidRPr="007E4A15" w14:paraId="130C82F5" w14:textId="77777777" w:rsidTr="00BA499D">
        <w:trPr>
          <w:trHeight w:val="284"/>
        </w:trPr>
        <w:tc>
          <w:tcPr>
            <w:tcW w:w="719" w:type="dxa"/>
            <w:shd w:val="clear" w:color="auto" w:fill="auto"/>
            <w:noWrap/>
            <w:vAlign w:val="center"/>
            <w:hideMark/>
          </w:tcPr>
          <w:p w14:paraId="132E9F7B" w14:textId="77777777" w:rsidR="00526ECF" w:rsidRPr="008C7EB2" w:rsidRDefault="00526ECF" w:rsidP="00BA499D">
            <w:pPr>
              <w:jc w:val="center"/>
              <w:rPr>
                <w:rFonts w:eastAsia="Times New Roman" w:cstheme="minorHAnsi"/>
                <w:sz w:val="18"/>
                <w:szCs w:val="18"/>
                <w:lang w:eastAsia="hr-HR"/>
              </w:rPr>
            </w:pPr>
            <w:r w:rsidRPr="008C7EB2">
              <w:rPr>
                <w:rFonts w:eastAsia="Times New Roman" w:cstheme="minorHAnsi"/>
                <w:sz w:val="18"/>
                <w:szCs w:val="18"/>
                <w:lang w:eastAsia="hr-HR"/>
              </w:rPr>
              <w:t>2.</w:t>
            </w:r>
          </w:p>
        </w:tc>
        <w:tc>
          <w:tcPr>
            <w:tcW w:w="4253" w:type="dxa"/>
            <w:shd w:val="clear" w:color="auto" w:fill="auto"/>
            <w:vAlign w:val="center"/>
          </w:tcPr>
          <w:p w14:paraId="7EA8EB00" w14:textId="77777777" w:rsidR="00526ECF" w:rsidRPr="008C7EB2" w:rsidRDefault="00526ECF" w:rsidP="00BA499D">
            <w:pPr>
              <w:rPr>
                <w:rFonts w:eastAsia="Times New Roman" w:cstheme="minorHAnsi"/>
                <w:bCs/>
                <w:sz w:val="18"/>
                <w:szCs w:val="18"/>
                <w:lang w:eastAsia="hr-HR"/>
              </w:rPr>
            </w:pPr>
            <w:r w:rsidRPr="007E4A15">
              <w:rPr>
                <w:bCs/>
                <w:sz w:val="18"/>
                <w:szCs w:val="18"/>
                <w:lang w:eastAsia="hr-HR"/>
              </w:rPr>
              <w:t>Nositelj odobrenja (uključen lokalni predstavnik)</w:t>
            </w:r>
          </w:p>
        </w:tc>
        <w:tc>
          <w:tcPr>
            <w:tcW w:w="1417" w:type="dxa"/>
            <w:shd w:val="clear" w:color="auto" w:fill="auto"/>
            <w:noWrap/>
            <w:vAlign w:val="center"/>
          </w:tcPr>
          <w:p w14:paraId="314C5D7B" w14:textId="77777777" w:rsidR="00526ECF" w:rsidRPr="00F66724" w:rsidRDefault="00526ECF" w:rsidP="00BA499D">
            <w:pPr>
              <w:jc w:val="center"/>
              <w:rPr>
                <w:sz w:val="18"/>
              </w:rPr>
            </w:pPr>
            <w:r>
              <w:rPr>
                <w:sz w:val="18"/>
              </w:rPr>
              <w:t>191</w:t>
            </w:r>
          </w:p>
        </w:tc>
        <w:tc>
          <w:tcPr>
            <w:tcW w:w="1418" w:type="dxa"/>
            <w:shd w:val="clear" w:color="auto" w:fill="auto"/>
            <w:noWrap/>
            <w:vAlign w:val="center"/>
          </w:tcPr>
          <w:p w14:paraId="59AB0289" w14:textId="77777777" w:rsidR="00526ECF" w:rsidRPr="00F66724" w:rsidRDefault="00526ECF" w:rsidP="00BA499D">
            <w:pPr>
              <w:jc w:val="center"/>
              <w:rPr>
                <w:sz w:val="18"/>
              </w:rPr>
            </w:pPr>
            <w:r>
              <w:rPr>
                <w:sz w:val="18"/>
              </w:rPr>
              <w:t>191</w:t>
            </w:r>
          </w:p>
        </w:tc>
        <w:tc>
          <w:tcPr>
            <w:tcW w:w="1275" w:type="dxa"/>
            <w:shd w:val="clear" w:color="auto" w:fill="auto"/>
            <w:noWrap/>
            <w:vAlign w:val="center"/>
          </w:tcPr>
          <w:p w14:paraId="108D2D38" w14:textId="77777777" w:rsidR="00526ECF" w:rsidRPr="00F66724" w:rsidRDefault="00526ECF" w:rsidP="00BA499D">
            <w:pPr>
              <w:jc w:val="center"/>
              <w:rPr>
                <w:sz w:val="18"/>
              </w:rPr>
            </w:pPr>
            <w:r w:rsidRPr="00F66724">
              <w:rPr>
                <w:sz w:val="18"/>
              </w:rPr>
              <w:t>100</w:t>
            </w:r>
            <w:r>
              <w:rPr>
                <w:sz w:val="18"/>
              </w:rPr>
              <w:t>%</w:t>
            </w:r>
          </w:p>
        </w:tc>
      </w:tr>
      <w:tr w:rsidR="00526ECF" w:rsidRPr="007E4A15" w14:paraId="4EF925EA" w14:textId="77777777" w:rsidTr="00BA499D">
        <w:trPr>
          <w:trHeight w:val="284"/>
        </w:trPr>
        <w:tc>
          <w:tcPr>
            <w:tcW w:w="719" w:type="dxa"/>
            <w:shd w:val="clear" w:color="auto" w:fill="auto"/>
            <w:noWrap/>
            <w:vAlign w:val="center"/>
            <w:hideMark/>
          </w:tcPr>
          <w:p w14:paraId="62089AAA" w14:textId="77777777" w:rsidR="00526ECF" w:rsidRPr="008C7EB2" w:rsidRDefault="00526ECF" w:rsidP="00BA499D">
            <w:pPr>
              <w:jc w:val="center"/>
              <w:rPr>
                <w:rFonts w:eastAsia="Times New Roman" w:cstheme="minorHAnsi"/>
                <w:sz w:val="18"/>
                <w:szCs w:val="18"/>
                <w:lang w:eastAsia="hr-HR"/>
              </w:rPr>
            </w:pPr>
            <w:r w:rsidRPr="008C7EB2">
              <w:rPr>
                <w:rFonts w:eastAsia="Times New Roman" w:cstheme="minorHAnsi"/>
                <w:sz w:val="18"/>
                <w:szCs w:val="18"/>
                <w:lang w:eastAsia="hr-HR"/>
              </w:rPr>
              <w:t>3.</w:t>
            </w:r>
          </w:p>
        </w:tc>
        <w:tc>
          <w:tcPr>
            <w:tcW w:w="4253" w:type="dxa"/>
            <w:shd w:val="clear" w:color="auto" w:fill="auto"/>
            <w:vAlign w:val="center"/>
          </w:tcPr>
          <w:p w14:paraId="7F22454B" w14:textId="77777777" w:rsidR="00526ECF" w:rsidRPr="008C7EB2" w:rsidRDefault="00526ECF" w:rsidP="00BA499D">
            <w:pPr>
              <w:rPr>
                <w:rFonts w:eastAsia="Times New Roman" w:cstheme="minorHAnsi"/>
                <w:bCs/>
                <w:sz w:val="18"/>
                <w:szCs w:val="18"/>
                <w:lang w:eastAsia="hr-HR"/>
              </w:rPr>
            </w:pPr>
            <w:r w:rsidRPr="007E4A15">
              <w:rPr>
                <w:bCs/>
                <w:sz w:val="18"/>
                <w:szCs w:val="18"/>
                <w:lang w:eastAsia="hr-HR"/>
              </w:rPr>
              <w:t>Proizvođač</w:t>
            </w:r>
          </w:p>
        </w:tc>
        <w:tc>
          <w:tcPr>
            <w:tcW w:w="1417" w:type="dxa"/>
            <w:shd w:val="clear" w:color="auto" w:fill="auto"/>
            <w:noWrap/>
            <w:vAlign w:val="center"/>
          </w:tcPr>
          <w:p w14:paraId="60C950C5" w14:textId="77777777" w:rsidR="00526ECF" w:rsidRPr="00F66724" w:rsidRDefault="00526ECF" w:rsidP="00BA499D">
            <w:pPr>
              <w:jc w:val="center"/>
              <w:rPr>
                <w:sz w:val="18"/>
              </w:rPr>
            </w:pPr>
            <w:r>
              <w:rPr>
                <w:sz w:val="18"/>
              </w:rPr>
              <w:t>-</w:t>
            </w:r>
          </w:p>
        </w:tc>
        <w:tc>
          <w:tcPr>
            <w:tcW w:w="1418" w:type="dxa"/>
            <w:shd w:val="clear" w:color="auto" w:fill="auto"/>
            <w:noWrap/>
            <w:vAlign w:val="center"/>
          </w:tcPr>
          <w:p w14:paraId="262C7F98" w14:textId="77777777" w:rsidR="00526ECF" w:rsidRPr="00F66724" w:rsidRDefault="00526ECF" w:rsidP="00BA499D">
            <w:pPr>
              <w:jc w:val="center"/>
              <w:rPr>
                <w:sz w:val="18"/>
              </w:rPr>
            </w:pPr>
            <w:r>
              <w:rPr>
                <w:sz w:val="18"/>
              </w:rPr>
              <w:t>-</w:t>
            </w:r>
          </w:p>
        </w:tc>
        <w:tc>
          <w:tcPr>
            <w:tcW w:w="1275" w:type="dxa"/>
            <w:shd w:val="clear" w:color="auto" w:fill="auto"/>
            <w:noWrap/>
            <w:vAlign w:val="center"/>
          </w:tcPr>
          <w:p w14:paraId="14279E86" w14:textId="77777777" w:rsidR="00526ECF" w:rsidRPr="00F66724" w:rsidRDefault="00526ECF" w:rsidP="00BA499D">
            <w:pPr>
              <w:jc w:val="center"/>
              <w:rPr>
                <w:sz w:val="18"/>
              </w:rPr>
            </w:pPr>
            <w:r>
              <w:rPr>
                <w:sz w:val="18"/>
              </w:rPr>
              <w:t>-</w:t>
            </w:r>
          </w:p>
        </w:tc>
      </w:tr>
      <w:tr w:rsidR="00526ECF" w:rsidRPr="007E4A15" w14:paraId="4F867929" w14:textId="77777777" w:rsidTr="00BA499D">
        <w:trPr>
          <w:trHeight w:val="284"/>
        </w:trPr>
        <w:tc>
          <w:tcPr>
            <w:tcW w:w="719" w:type="dxa"/>
            <w:shd w:val="clear" w:color="auto" w:fill="auto"/>
            <w:noWrap/>
            <w:vAlign w:val="center"/>
            <w:hideMark/>
          </w:tcPr>
          <w:p w14:paraId="4730546E" w14:textId="77777777" w:rsidR="00526ECF" w:rsidRPr="008C7EB2" w:rsidRDefault="00526ECF" w:rsidP="00BA499D">
            <w:pPr>
              <w:jc w:val="center"/>
              <w:rPr>
                <w:rFonts w:eastAsia="Times New Roman" w:cstheme="minorHAnsi"/>
                <w:sz w:val="18"/>
                <w:szCs w:val="18"/>
                <w:lang w:eastAsia="hr-HR"/>
              </w:rPr>
            </w:pPr>
            <w:r w:rsidRPr="008C7EB2">
              <w:rPr>
                <w:rFonts w:eastAsia="Times New Roman" w:cstheme="minorHAnsi"/>
                <w:sz w:val="18"/>
                <w:szCs w:val="18"/>
                <w:lang w:eastAsia="hr-HR"/>
              </w:rPr>
              <w:t>4.</w:t>
            </w:r>
          </w:p>
        </w:tc>
        <w:tc>
          <w:tcPr>
            <w:tcW w:w="4253" w:type="dxa"/>
            <w:shd w:val="clear" w:color="auto" w:fill="auto"/>
            <w:vAlign w:val="center"/>
          </w:tcPr>
          <w:p w14:paraId="2423D24F" w14:textId="77777777" w:rsidR="00526ECF" w:rsidRPr="008C7EB2" w:rsidRDefault="00526ECF" w:rsidP="00BA499D">
            <w:pPr>
              <w:rPr>
                <w:rFonts w:eastAsia="Times New Roman" w:cstheme="minorHAnsi"/>
                <w:bCs/>
                <w:sz w:val="18"/>
                <w:szCs w:val="18"/>
                <w:lang w:eastAsia="hr-HR"/>
              </w:rPr>
            </w:pPr>
            <w:r w:rsidRPr="007E4A15">
              <w:rPr>
                <w:rFonts w:ascii="Calibri" w:hAnsi="Calibri" w:cs="Calibri"/>
                <w:bCs/>
                <w:sz w:val="18"/>
                <w:szCs w:val="18"/>
                <w:lang w:eastAsia="hr-HR"/>
              </w:rPr>
              <w:t>Veleprodaja</w:t>
            </w:r>
          </w:p>
        </w:tc>
        <w:tc>
          <w:tcPr>
            <w:tcW w:w="1417" w:type="dxa"/>
            <w:shd w:val="clear" w:color="auto" w:fill="auto"/>
            <w:noWrap/>
            <w:vAlign w:val="center"/>
          </w:tcPr>
          <w:p w14:paraId="0D47EC15" w14:textId="77777777" w:rsidR="00526ECF" w:rsidRPr="00F66724" w:rsidRDefault="00526ECF" w:rsidP="00BA499D">
            <w:pPr>
              <w:jc w:val="center"/>
              <w:rPr>
                <w:sz w:val="18"/>
              </w:rPr>
            </w:pPr>
            <w:r>
              <w:rPr>
                <w:sz w:val="18"/>
              </w:rPr>
              <w:t>13</w:t>
            </w:r>
          </w:p>
        </w:tc>
        <w:tc>
          <w:tcPr>
            <w:tcW w:w="1418" w:type="dxa"/>
            <w:shd w:val="clear" w:color="auto" w:fill="auto"/>
            <w:noWrap/>
            <w:vAlign w:val="center"/>
          </w:tcPr>
          <w:p w14:paraId="1B388AC4" w14:textId="77777777" w:rsidR="00526ECF" w:rsidRPr="00F66724" w:rsidRDefault="00526ECF" w:rsidP="00BA499D">
            <w:pPr>
              <w:jc w:val="center"/>
              <w:rPr>
                <w:sz w:val="18"/>
              </w:rPr>
            </w:pPr>
            <w:r>
              <w:rPr>
                <w:sz w:val="18"/>
              </w:rPr>
              <w:t>13</w:t>
            </w:r>
          </w:p>
        </w:tc>
        <w:tc>
          <w:tcPr>
            <w:tcW w:w="1275" w:type="dxa"/>
            <w:shd w:val="clear" w:color="auto" w:fill="auto"/>
            <w:noWrap/>
            <w:vAlign w:val="center"/>
          </w:tcPr>
          <w:p w14:paraId="63305053" w14:textId="77777777" w:rsidR="00526ECF" w:rsidRPr="00F66724" w:rsidRDefault="00526ECF" w:rsidP="00BA499D">
            <w:pPr>
              <w:jc w:val="center"/>
              <w:rPr>
                <w:sz w:val="18"/>
              </w:rPr>
            </w:pPr>
            <w:r w:rsidRPr="00F66724">
              <w:rPr>
                <w:sz w:val="18"/>
              </w:rPr>
              <w:t>100</w:t>
            </w:r>
            <w:r>
              <w:rPr>
                <w:sz w:val="18"/>
              </w:rPr>
              <w:t>%</w:t>
            </w:r>
          </w:p>
        </w:tc>
      </w:tr>
      <w:tr w:rsidR="00526ECF" w:rsidRPr="007E4A15" w14:paraId="470AC295" w14:textId="77777777" w:rsidTr="00BA499D">
        <w:trPr>
          <w:trHeight w:val="284"/>
        </w:trPr>
        <w:tc>
          <w:tcPr>
            <w:tcW w:w="719" w:type="dxa"/>
            <w:shd w:val="clear" w:color="auto" w:fill="auto"/>
            <w:noWrap/>
            <w:vAlign w:val="center"/>
            <w:hideMark/>
          </w:tcPr>
          <w:p w14:paraId="74E30125" w14:textId="77777777" w:rsidR="00526ECF" w:rsidRPr="008C7EB2" w:rsidRDefault="00526ECF" w:rsidP="00BA499D">
            <w:pPr>
              <w:jc w:val="center"/>
              <w:rPr>
                <w:rFonts w:eastAsia="Times New Roman" w:cstheme="minorHAnsi"/>
                <w:sz w:val="18"/>
                <w:szCs w:val="18"/>
                <w:lang w:eastAsia="hr-HR"/>
              </w:rPr>
            </w:pPr>
            <w:r w:rsidRPr="008C7EB2">
              <w:rPr>
                <w:rFonts w:eastAsia="Times New Roman" w:cstheme="minorHAnsi"/>
                <w:sz w:val="18"/>
                <w:szCs w:val="18"/>
                <w:lang w:eastAsia="hr-HR"/>
              </w:rPr>
              <w:t>5.</w:t>
            </w:r>
          </w:p>
        </w:tc>
        <w:tc>
          <w:tcPr>
            <w:tcW w:w="4253" w:type="dxa"/>
            <w:shd w:val="clear" w:color="auto" w:fill="auto"/>
            <w:vAlign w:val="center"/>
          </w:tcPr>
          <w:p w14:paraId="43AFCDD2" w14:textId="77777777" w:rsidR="00526ECF" w:rsidRPr="008C7EB2" w:rsidRDefault="00526ECF" w:rsidP="00BA499D">
            <w:pPr>
              <w:rPr>
                <w:rFonts w:eastAsia="Times New Roman" w:cstheme="minorHAnsi"/>
                <w:bCs/>
                <w:sz w:val="18"/>
                <w:szCs w:val="18"/>
                <w:lang w:eastAsia="hr-HR"/>
              </w:rPr>
            </w:pPr>
            <w:r w:rsidRPr="007E4A15">
              <w:rPr>
                <w:bCs/>
                <w:sz w:val="18"/>
                <w:szCs w:val="18"/>
                <w:lang w:eastAsia="hr-HR"/>
              </w:rPr>
              <w:t>Zdravstveni radnici i pacijenti</w:t>
            </w:r>
          </w:p>
        </w:tc>
        <w:tc>
          <w:tcPr>
            <w:tcW w:w="1417" w:type="dxa"/>
            <w:shd w:val="clear" w:color="auto" w:fill="auto"/>
            <w:noWrap/>
            <w:vAlign w:val="center"/>
          </w:tcPr>
          <w:p w14:paraId="4A77C1FD" w14:textId="77777777" w:rsidR="00526ECF" w:rsidRPr="00F66724" w:rsidRDefault="00526ECF" w:rsidP="00BA499D">
            <w:pPr>
              <w:jc w:val="center"/>
              <w:rPr>
                <w:sz w:val="18"/>
              </w:rPr>
            </w:pPr>
            <w:r>
              <w:rPr>
                <w:sz w:val="18"/>
              </w:rPr>
              <w:t>10</w:t>
            </w:r>
          </w:p>
        </w:tc>
        <w:tc>
          <w:tcPr>
            <w:tcW w:w="1418" w:type="dxa"/>
            <w:shd w:val="clear" w:color="auto" w:fill="auto"/>
            <w:noWrap/>
            <w:vAlign w:val="center"/>
          </w:tcPr>
          <w:p w14:paraId="6F59D26F" w14:textId="77777777" w:rsidR="00526ECF" w:rsidRPr="00F66724" w:rsidRDefault="00526ECF" w:rsidP="00BA499D">
            <w:pPr>
              <w:jc w:val="center"/>
              <w:rPr>
                <w:sz w:val="18"/>
              </w:rPr>
            </w:pPr>
            <w:r>
              <w:rPr>
                <w:sz w:val="18"/>
              </w:rPr>
              <w:t>10</w:t>
            </w:r>
          </w:p>
        </w:tc>
        <w:tc>
          <w:tcPr>
            <w:tcW w:w="1275" w:type="dxa"/>
            <w:shd w:val="clear" w:color="auto" w:fill="auto"/>
            <w:noWrap/>
            <w:vAlign w:val="center"/>
          </w:tcPr>
          <w:p w14:paraId="63EAF01F" w14:textId="77777777" w:rsidR="00526ECF" w:rsidRPr="00F66724" w:rsidRDefault="00526ECF" w:rsidP="00BA499D">
            <w:pPr>
              <w:jc w:val="center"/>
              <w:rPr>
                <w:sz w:val="18"/>
              </w:rPr>
            </w:pPr>
            <w:r>
              <w:rPr>
                <w:sz w:val="18"/>
              </w:rPr>
              <w:t>-</w:t>
            </w:r>
          </w:p>
        </w:tc>
      </w:tr>
      <w:tr w:rsidR="00526ECF" w:rsidRPr="007E4A15" w14:paraId="3A2F261E" w14:textId="77777777" w:rsidTr="00BA499D">
        <w:trPr>
          <w:trHeight w:val="284"/>
        </w:trPr>
        <w:tc>
          <w:tcPr>
            <w:tcW w:w="719" w:type="dxa"/>
            <w:shd w:val="clear" w:color="auto" w:fill="auto"/>
            <w:noWrap/>
            <w:vAlign w:val="center"/>
            <w:hideMark/>
          </w:tcPr>
          <w:p w14:paraId="02D7A87F" w14:textId="77777777" w:rsidR="00526ECF" w:rsidRPr="008C7EB2" w:rsidRDefault="00526ECF" w:rsidP="00BA499D">
            <w:pPr>
              <w:jc w:val="center"/>
              <w:rPr>
                <w:rFonts w:eastAsia="Times New Roman" w:cstheme="minorHAnsi"/>
                <w:sz w:val="18"/>
                <w:szCs w:val="18"/>
                <w:lang w:eastAsia="hr-HR"/>
              </w:rPr>
            </w:pPr>
            <w:r w:rsidRPr="008C7EB2">
              <w:rPr>
                <w:rFonts w:eastAsia="Times New Roman" w:cstheme="minorHAnsi"/>
                <w:sz w:val="18"/>
                <w:szCs w:val="18"/>
                <w:lang w:eastAsia="hr-HR"/>
              </w:rPr>
              <w:t>6.</w:t>
            </w:r>
          </w:p>
        </w:tc>
        <w:tc>
          <w:tcPr>
            <w:tcW w:w="4253" w:type="dxa"/>
            <w:shd w:val="clear" w:color="auto" w:fill="auto"/>
            <w:vAlign w:val="center"/>
          </w:tcPr>
          <w:p w14:paraId="2667C5DD" w14:textId="77777777" w:rsidR="00526ECF" w:rsidRPr="008C7EB2" w:rsidRDefault="00526ECF" w:rsidP="00BA499D">
            <w:pPr>
              <w:rPr>
                <w:rFonts w:eastAsia="Times New Roman" w:cstheme="minorHAnsi"/>
                <w:bCs/>
                <w:sz w:val="18"/>
                <w:szCs w:val="18"/>
                <w:lang w:eastAsia="hr-HR"/>
              </w:rPr>
            </w:pPr>
            <w:r w:rsidRPr="007E4A15">
              <w:rPr>
                <w:bCs/>
                <w:sz w:val="18"/>
                <w:szCs w:val="18"/>
                <w:lang w:eastAsia="hr-HR"/>
              </w:rPr>
              <w:t>HALMED</w:t>
            </w:r>
          </w:p>
        </w:tc>
        <w:tc>
          <w:tcPr>
            <w:tcW w:w="1417" w:type="dxa"/>
            <w:shd w:val="clear" w:color="auto" w:fill="auto"/>
            <w:noWrap/>
            <w:vAlign w:val="center"/>
          </w:tcPr>
          <w:p w14:paraId="761E6BD4" w14:textId="77777777" w:rsidR="00526ECF" w:rsidRPr="00F66724" w:rsidRDefault="00526ECF" w:rsidP="00BA499D">
            <w:pPr>
              <w:jc w:val="center"/>
              <w:rPr>
                <w:sz w:val="18"/>
              </w:rPr>
            </w:pPr>
            <w:r>
              <w:rPr>
                <w:sz w:val="18"/>
              </w:rPr>
              <w:t>3</w:t>
            </w:r>
          </w:p>
        </w:tc>
        <w:tc>
          <w:tcPr>
            <w:tcW w:w="1418" w:type="dxa"/>
            <w:shd w:val="clear" w:color="auto" w:fill="auto"/>
            <w:noWrap/>
            <w:vAlign w:val="center"/>
          </w:tcPr>
          <w:p w14:paraId="081B8BDF" w14:textId="77777777" w:rsidR="00526ECF" w:rsidRPr="00F66724" w:rsidRDefault="00526ECF" w:rsidP="00BA499D">
            <w:pPr>
              <w:jc w:val="center"/>
              <w:rPr>
                <w:sz w:val="18"/>
              </w:rPr>
            </w:pPr>
            <w:r>
              <w:rPr>
                <w:sz w:val="18"/>
              </w:rPr>
              <w:t>3</w:t>
            </w:r>
          </w:p>
        </w:tc>
        <w:tc>
          <w:tcPr>
            <w:tcW w:w="1275" w:type="dxa"/>
            <w:shd w:val="clear" w:color="auto" w:fill="auto"/>
            <w:noWrap/>
            <w:vAlign w:val="center"/>
          </w:tcPr>
          <w:p w14:paraId="23D19433" w14:textId="77777777" w:rsidR="00526ECF" w:rsidRPr="00F66724" w:rsidRDefault="00526ECF" w:rsidP="00BA499D">
            <w:pPr>
              <w:jc w:val="center"/>
              <w:rPr>
                <w:sz w:val="18"/>
              </w:rPr>
            </w:pPr>
            <w:r w:rsidRPr="00F66724">
              <w:rPr>
                <w:sz w:val="18"/>
              </w:rPr>
              <w:t>100</w:t>
            </w:r>
            <w:r>
              <w:rPr>
                <w:sz w:val="18"/>
              </w:rPr>
              <w:t>%</w:t>
            </w:r>
          </w:p>
        </w:tc>
      </w:tr>
      <w:tr w:rsidR="00526ECF" w:rsidRPr="007E4A15" w14:paraId="61A3E931" w14:textId="77777777" w:rsidTr="00BA499D">
        <w:trPr>
          <w:trHeight w:val="284"/>
        </w:trPr>
        <w:tc>
          <w:tcPr>
            <w:tcW w:w="719" w:type="dxa"/>
            <w:shd w:val="clear" w:color="auto" w:fill="auto"/>
            <w:noWrap/>
            <w:vAlign w:val="center"/>
            <w:hideMark/>
          </w:tcPr>
          <w:p w14:paraId="3DD63294" w14:textId="77777777" w:rsidR="00526ECF" w:rsidRPr="008C7EB2" w:rsidRDefault="00526ECF" w:rsidP="00BA499D">
            <w:pPr>
              <w:jc w:val="center"/>
              <w:rPr>
                <w:rFonts w:eastAsia="Times New Roman" w:cstheme="minorHAnsi"/>
                <w:sz w:val="18"/>
                <w:szCs w:val="18"/>
                <w:lang w:eastAsia="hr-HR"/>
              </w:rPr>
            </w:pPr>
            <w:r w:rsidRPr="008C7EB2">
              <w:rPr>
                <w:rFonts w:eastAsia="Times New Roman" w:cstheme="minorHAnsi"/>
                <w:sz w:val="18"/>
                <w:szCs w:val="18"/>
                <w:lang w:eastAsia="hr-HR"/>
              </w:rPr>
              <w:t>7.</w:t>
            </w:r>
          </w:p>
        </w:tc>
        <w:tc>
          <w:tcPr>
            <w:tcW w:w="4253" w:type="dxa"/>
            <w:shd w:val="clear" w:color="auto" w:fill="auto"/>
            <w:vAlign w:val="center"/>
          </w:tcPr>
          <w:p w14:paraId="5D5F1DE6" w14:textId="77777777" w:rsidR="00526ECF" w:rsidRPr="008C7EB2" w:rsidRDefault="00526ECF" w:rsidP="00BA499D">
            <w:pPr>
              <w:rPr>
                <w:rFonts w:eastAsia="Times New Roman" w:cstheme="minorHAnsi"/>
                <w:bCs/>
                <w:sz w:val="18"/>
                <w:szCs w:val="18"/>
                <w:lang w:eastAsia="hr-HR"/>
              </w:rPr>
            </w:pPr>
            <w:r w:rsidRPr="007E4A15">
              <w:rPr>
                <w:bCs/>
                <w:sz w:val="18"/>
                <w:szCs w:val="18"/>
                <w:lang w:eastAsia="hr-HR"/>
              </w:rPr>
              <w:t>Ostali</w:t>
            </w:r>
          </w:p>
        </w:tc>
        <w:tc>
          <w:tcPr>
            <w:tcW w:w="1417" w:type="dxa"/>
            <w:shd w:val="clear" w:color="auto" w:fill="auto"/>
            <w:noWrap/>
            <w:vAlign w:val="center"/>
          </w:tcPr>
          <w:p w14:paraId="250ADAFF" w14:textId="77777777" w:rsidR="00526ECF" w:rsidRPr="00F66724" w:rsidRDefault="00526ECF" w:rsidP="00BA499D">
            <w:pPr>
              <w:jc w:val="center"/>
              <w:rPr>
                <w:sz w:val="18"/>
              </w:rPr>
            </w:pPr>
            <w:r>
              <w:rPr>
                <w:sz w:val="18"/>
              </w:rPr>
              <w:t>1</w:t>
            </w:r>
          </w:p>
        </w:tc>
        <w:tc>
          <w:tcPr>
            <w:tcW w:w="1418" w:type="dxa"/>
            <w:shd w:val="clear" w:color="auto" w:fill="auto"/>
            <w:noWrap/>
            <w:vAlign w:val="center"/>
          </w:tcPr>
          <w:p w14:paraId="2C802555" w14:textId="77777777" w:rsidR="00526ECF" w:rsidRPr="00F66724" w:rsidRDefault="00526ECF" w:rsidP="00BA499D">
            <w:pPr>
              <w:jc w:val="center"/>
              <w:rPr>
                <w:sz w:val="18"/>
              </w:rPr>
            </w:pPr>
            <w:r>
              <w:rPr>
                <w:sz w:val="18"/>
              </w:rPr>
              <w:t>1</w:t>
            </w:r>
          </w:p>
        </w:tc>
        <w:tc>
          <w:tcPr>
            <w:tcW w:w="1275" w:type="dxa"/>
            <w:shd w:val="clear" w:color="auto" w:fill="auto"/>
            <w:noWrap/>
            <w:vAlign w:val="center"/>
          </w:tcPr>
          <w:p w14:paraId="4B24E64D" w14:textId="77777777" w:rsidR="00526ECF" w:rsidRPr="00F66724" w:rsidRDefault="00526ECF" w:rsidP="00BA499D">
            <w:pPr>
              <w:jc w:val="center"/>
              <w:rPr>
                <w:sz w:val="18"/>
              </w:rPr>
            </w:pPr>
            <w:r>
              <w:rPr>
                <w:sz w:val="18"/>
              </w:rPr>
              <w:t>-</w:t>
            </w:r>
          </w:p>
        </w:tc>
      </w:tr>
      <w:tr w:rsidR="00526ECF" w:rsidRPr="007E4A15" w14:paraId="4D2A6432" w14:textId="77777777" w:rsidTr="00BA499D">
        <w:trPr>
          <w:trHeight w:val="284"/>
        </w:trPr>
        <w:tc>
          <w:tcPr>
            <w:tcW w:w="4972" w:type="dxa"/>
            <w:gridSpan w:val="2"/>
            <w:shd w:val="clear" w:color="000000" w:fill="BFBFBF"/>
            <w:vAlign w:val="center"/>
            <w:hideMark/>
          </w:tcPr>
          <w:p w14:paraId="6835F91B" w14:textId="77777777" w:rsidR="00526ECF" w:rsidRPr="008C7EB2" w:rsidRDefault="00526ECF" w:rsidP="00BA499D">
            <w:pPr>
              <w:rPr>
                <w:rFonts w:eastAsia="Times New Roman" w:cstheme="minorHAnsi"/>
                <w:b/>
                <w:bCs/>
                <w:sz w:val="18"/>
                <w:szCs w:val="18"/>
                <w:lang w:eastAsia="hr-HR"/>
              </w:rPr>
            </w:pPr>
            <w:r w:rsidRPr="008C7EB2">
              <w:rPr>
                <w:rFonts w:eastAsia="Times New Roman" w:cstheme="minorHAnsi"/>
                <w:b/>
                <w:bCs/>
                <w:sz w:val="18"/>
                <w:szCs w:val="18"/>
                <w:lang w:eastAsia="hr-HR"/>
              </w:rPr>
              <w:t>UKUPNO:</w:t>
            </w:r>
          </w:p>
        </w:tc>
        <w:tc>
          <w:tcPr>
            <w:tcW w:w="1417" w:type="dxa"/>
            <w:shd w:val="clear" w:color="000000" w:fill="BFBFBF"/>
            <w:noWrap/>
            <w:vAlign w:val="center"/>
          </w:tcPr>
          <w:p w14:paraId="79A267C2" w14:textId="77777777" w:rsidR="00526ECF" w:rsidRPr="007E4A15" w:rsidRDefault="00526ECF" w:rsidP="00BA499D">
            <w:pPr>
              <w:jc w:val="center"/>
              <w:rPr>
                <w:rFonts w:eastAsia="Times New Roman" w:cstheme="minorHAnsi"/>
                <w:b/>
                <w:bCs/>
                <w:sz w:val="18"/>
                <w:szCs w:val="18"/>
                <w:lang w:eastAsia="hr-HR"/>
              </w:rPr>
            </w:pPr>
            <w:r>
              <w:rPr>
                <w:rFonts w:eastAsia="Times New Roman" w:cstheme="minorHAnsi"/>
                <w:b/>
                <w:bCs/>
                <w:sz w:val="18"/>
                <w:szCs w:val="18"/>
                <w:lang w:eastAsia="hr-HR"/>
              </w:rPr>
              <w:t>463</w:t>
            </w:r>
          </w:p>
        </w:tc>
        <w:tc>
          <w:tcPr>
            <w:tcW w:w="1418" w:type="dxa"/>
            <w:shd w:val="clear" w:color="000000" w:fill="BFBFBF"/>
            <w:noWrap/>
            <w:vAlign w:val="center"/>
          </w:tcPr>
          <w:p w14:paraId="66736D58" w14:textId="77777777" w:rsidR="00526ECF" w:rsidRPr="006F586E" w:rsidRDefault="00526ECF" w:rsidP="00BA499D">
            <w:pPr>
              <w:spacing w:line="276" w:lineRule="auto"/>
              <w:jc w:val="center"/>
              <w:rPr>
                <w:b/>
                <w:bCs/>
                <w:sz w:val="18"/>
                <w:szCs w:val="18"/>
                <w:lang w:eastAsia="hr-HR"/>
              </w:rPr>
            </w:pPr>
            <w:r>
              <w:rPr>
                <w:b/>
                <w:bCs/>
                <w:sz w:val="18"/>
                <w:szCs w:val="18"/>
                <w:lang w:eastAsia="hr-HR"/>
              </w:rPr>
              <w:t>463</w:t>
            </w:r>
          </w:p>
        </w:tc>
        <w:tc>
          <w:tcPr>
            <w:tcW w:w="1275" w:type="dxa"/>
            <w:shd w:val="clear" w:color="000000" w:fill="BFBFBF"/>
            <w:noWrap/>
            <w:vAlign w:val="center"/>
          </w:tcPr>
          <w:p w14:paraId="7536AA26" w14:textId="77777777" w:rsidR="00526ECF" w:rsidRPr="008C7EB2" w:rsidRDefault="00526ECF" w:rsidP="00BA499D">
            <w:pPr>
              <w:jc w:val="center"/>
              <w:rPr>
                <w:rFonts w:eastAsia="Times New Roman" w:cstheme="minorHAnsi"/>
                <w:b/>
                <w:bCs/>
                <w:sz w:val="18"/>
                <w:szCs w:val="18"/>
                <w:lang w:eastAsia="hr-HR"/>
              </w:rPr>
            </w:pPr>
            <w:r>
              <w:rPr>
                <w:rFonts w:eastAsia="Times New Roman" w:cstheme="minorHAnsi"/>
                <w:b/>
                <w:bCs/>
                <w:sz w:val="18"/>
                <w:szCs w:val="18"/>
                <w:lang w:eastAsia="hr-HR"/>
              </w:rPr>
              <w:t>100%</w:t>
            </w:r>
          </w:p>
        </w:tc>
      </w:tr>
    </w:tbl>
    <w:p w14:paraId="6E52BDAF" w14:textId="77777777" w:rsidR="00526ECF" w:rsidRDefault="00526ECF" w:rsidP="00526ECF"/>
    <w:p w14:paraId="7743D583" w14:textId="77777777" w:rsidR="00526ECF" w:rsidRPr="00982587" w:rsidRDefault="00526ECF" w:rsidP="00526ECF">
      <w:pPr>
        <w:pStyle w:val="Heading3"/>
        <w:rPr>
          <w:sz w:val="32"/>
        </w:rPr>
      </w:pPr>
      <w:bookmarkStart w:id="206" w:name="_Toc26534668"/>
      <w:bookmarkStart w:id="207" w:name="_Toc50540942"/>
      <w:bookmarkStart w:id="208" w:name="_Toc88049165"/>
      <w:bookmarkStart w:id="209" w:name="_Toc165035486"/>
      <w:r w:rsidRPr="00982587">
        <w:rPr>
          <w:sz w:val="32"/>
        </w:rPr>
        <w:t>2.4.10. Europski poslovi</w:t>
      </w:r>
      <w:bookmarkEnd w:id="206"/>
      <w:bookmarkEnd w:id="207"/>
      <w:bookmarkEnd w:id="208"/>
      <w:bookmarkEnd w:id="209"/>
    </w:p>
    <w:p w14:paraId="0062F502" w14:textId="77777777" w:rsidR="00526ECF" w:rsidRPr="00982587" w:rsidRDefault="00526ECF" w:rsidP="00526ECF">
      <w:pPr>
        <w:pStyle w:val="Heading4"/>
      </w:pPr>
      <w:r w:rsidRPr="00982587">
        <w:t>2.4.10.1. Sudjelovanje HALMED-a u povjerenstvima i radnim skupinama EK-a i EMA-e</w:t>
      </w:r>
    </w:p>
    <w:p w14:paraId="6F5E0F49" w14:textId="610A83D2" w:rsidR="00526ECF" w:rsidRPr="00513454" w:rsidRDefault="00526ECF" w:rsidP="00526ECF">
      <w:pPr>
        <w:spacing w:line="276" w:lineRule="auto"/>
        <w:jc w:val="both"/>
        <w:rPr>
          <w:rFonts w:cstheme="minorHAnsi"/>
          <w:b/>
        </w:rPr>
      </w:pPr>
      <w:r>
        <w:rPr>
          <w:b/>
        </w:rPr>
        <w:t xml:space="preserve">A) </w:t>
      </w:r>
      <w:r w:rsidRPr="00513454">
        <w:rPr>
          <w:rFonts w:cstheme="minorHAnsi"/>
          <w:b/>
        </w:rPr>
        <w:t xml:space="preserve">Radna </w:t>
      </w:r>
      <w:r w:rsidR="0012108C">
        <w:rPr>
          <w:rFonts w:cstheme="minorHAnsi"/>
          <w:b/>
        </w:rPr>
        <w:t>skupina</w:t>
      </w:r>
      <w:r w:rsidR="0012108C" w:rsidRPr="00513454">
        <w:rPr>
          <w:rFonts w:cstheme="minorHAnsi"/>
          <w:b/>
        </w:rPr>
        <w:t xml:space="preserve"> </w:t>
      </w:r>
      <w:r w:rsidRPr="00513454">
        <w:rPr>
          <w:rFonts w:cstheme="minorHAnsi"/>
          <w:b/>
        </w:rPr>
        <w:t>SPOC (jedinstvena kontaktna točka) za nestašice lijekova (</w:t>
      </w:r>
      <w:r w:rsidRPr="009E3051">
        <w:rPr>
          <w:rFonts w:cstheme="minorHAnsi"/>
          <w:b/>
          <w:i/>
        </w:rPr>
        <w:t>Medicine Shortages (SPOC) Working Party, SPOC WP</w:t>
      </w:r>
      <w:r w:rsidRPr="00136B03">
        <w:rPr>
          <w:rFonts w:cstheme="minorHAnsi"/>
          <w:b/>
        </w:rPr>
        <w:t>)</w:t>
      </w:r>
    </w:p>
    <w:p w14:paraId="067D6141" w14:textId="77777777" w:rsidR="00526ECF" w:rsidRDefault="00526ECF" w:rsidP="00526ECF">
      <w:pPr>
        <w:spacing w:line="276" w:lineRule="auto"/>
        <w:jc w:val="both"/>
        <w:rPr>
          <w:rFonts w:cstheme="minorHAnsi"/>
        </w:rPr>
      </w:pPr>
    </w:p>
    <w:p w14:paraId="1308B489" w14:textId="6B6FFE68" w:rsidR="00526ECF" w:rsidRDefault="00526ECF" w:rsidP="00526ECF">
      <w:pPr>
        <w:spacing w:line="276" w:lineRule="auto"/>
        <w:jc w:val="both"/>
        <w:rPr>
          <w:iCs/>
        </w:rPr>
      </w:pPr>
      <w:r>
        <w:rPr>
          <w:iCs/>
        </w:rPr>
        <w:t>HALMED</w:t>
      </w:r>
      <w:r w:rsidRPr="009350F7">
        <w:rPr>
          <w:iCs/>
        </w:rPr>
        <w:t xml:space="preserve"> je umrežen u europsku mrežu jedinstven</w:t>
      </w:r>
      <w:r>
        <w:rPr>
          <w:iCs/>
        </w:rPr>
        <w:t>ih</w:t>
      </w:r>
      <w:r w:rsidRPr="009350F7">
        <w:rPr>
          <w:iCs/>
        </w:rPr>
        <w:t xml:space="preserve"> kontakt toč</w:t>
      </w:r>
      <w:r>
        <w:rPr>
          <w:iCs/>
        </w:rPr>
        <w:t>aka</w:t>
      </w:r>
      <w:r w:rsidRPr="009350F7">
        <w:rPr>
          <w:iCs/>
        </w:rPr>
        <w:t xml:space="preserve"> (SPOC) koja je osnovana u travnju 2019. u okviru HMA/EMA radne </w:t>
      </w:r>
      <w:r w:rsidR="0012108C">
        <w:rPr>
          <w:iCs/>
        </w:rPr>
        <w:t>skupine</w:t>
      </w:r>
      <w:r w:rsidR="0012108C" w:rsidRPr="009350F7">
        <w:rPr>
          <w:iCs/>
        </w:rPr>
        <w:t xml:space="preserve"> </w:t>
      </w:r>
      <w:r w:rsidRPr="009350F7">
        <w:rPr>
          <w:iCs/>
        </w:rPr>
        <w:t>o dostupnosti odobrenih lijekova. Kroz mrežu EU SPOC, HALMED je aktivno uključen u razmjen</w:t>
      </w:r>
      <w:r>
        <w:rPr>
          <w:iCs/>
        </w:rPr>
        <w:t>u</w:t>
      </w:r>
      <w:r w:rsidRPr="009350F7">
        <w:rPr>
          <w:iCs/>
        </w:rPr>
        <w:t xml:space="preserve"> informacija između država članica, EMA-e i Europske komisije (EC) o nedostatku kritičnih lijekova kao i o dostupnim alternativnim lijekovima. U kontekstu pandemije COVID-19, </w:t>
      </w:r>
      <w:r>
        <w:rPr>
          <w:iCs/>
        </w:rPr>
        <w:t xml:space="preserve">HALMED je proveo </w:t>
      </w:r>
      <w:r w:rsidRPr="009350F7">
        <w:rPr>
          <w:iCs/>
        </w:rPr>
        <w:t>analiz</w:t>
      </w:r>
      <w:r>
        <w:rPr>
          <w:iCs/>
        </w:rPr>
        <w:t>u</w:t>
      </w:r>
      <w:r w:rsidRPr="009350F7">
        <w:rPr>
          <w:iCs/>
        </w:rPr>
        <w:t xml:space="preserve"> koju je pokrenula EU SPOC mreža vezano uz</w:t>
      </w:r>
      <w:r>
        <w:rPr>
          <w:iCs/>
        </w:rPr>
        <w:t xml:space="preserve"> </w:t>
      </w:r>
      <w:r w:rsidRPr="009350F7">
        <w:rPr>
          <w:iCs/>
        </w:rPr>
        <w:t>kritični nedostatak lijekova koji se odnosi na COVID-19</w:t>
      </w:r>
      <w:r>
        <w:rPr>
          <w:iCs/>
        </w:rPr>
        <w:t xml:space="preserve"> i </w:t>
      </w:r>
      <w:r w:rsidRPr="009350F7">
        <w:rPr>
          <w:iCs/>
        </w:rPr>
        <w:t xml:space="preserve">prikupljanje podataka o lijekovima koji se koriste u jedinicama intenzivne njege (anestetici, antibiotici, analgetici, sedativi) za </w:t>
      </w:r>
      <w:r>
        <w:rPr>
          <w:iCs/>
        </w:rPr>
        <w:t>koje postoji rizik od nestašice.</w:t>
      </w:r>
    </w:p>
    <w:p w14:paraId="5002AEE8" w14:textId="77777777" w:rsidR="00526ECF" w:rsidRPr="00513454" w:rsidRDefault="00526ECF" w:rsidP="00526ECF">
      <w:pPr>
        <w:spacing w:line="276" w:lineRule="auto"/>
        <w:jc w:val="both"/>
        <w:rPr>
          <w:rFonts w:cstheme="minorHAnsi"/>
        </w:rPr>
      </w:pPr>
    </w:p>
    <w:p w14:paraId="11FCCA88" w14:textId="3A8C6DE2" w:rsidR="00526ECF" w:rsidRPr="00513454" w:rsidRDefault="00526ECF" w:rsidP="00526ECF">
      <w:pPr>
        <w:spacing w:line="276" w:lineRule="auto"/>
        <w:jc w:val="both"/>
        <w:rPr>
          <w:rFonts w:cstheme="minorHAnsi"/>
        </w:rPr>
      </w:pPr>
      <w:r w:rsidRPr="00513454">
        <w:rPr>
          <w:rFonts w:cstheme="minorHAnsi"/>
        </w:rPr>
        <w:t xml:space="preserve">Radna </w:t>
      </w:r>
      <w:r w:rsidR="0012108C">
        <w:rPr>
          <w:rFonts w:cstheme="minorHAnsi"/>
        </w:rPr>
        <w:t>skupina</w:t>
      </w:r>
      <w:r w:rsidR="0012108C" w:rsidRPr="00513454">
        <w:rPr>
          <w:rFonts w:cstheme="minorHAnsi"/>
        </w:rPr>
        <w:t xml:space="preserve"> </w:t>
      </w:r>
      <w:r w:rsidRPr="00513454">
        <w:rPr>
          <w:rFonts w:cstheme="minorHAnsi"/>
        </w:rPr>
        <w:t xml:space="preserve">SPOC za nestašice lijekova (ranije </w:t>
      </w:r>
      <w:r>
        <w:rPr>
          <w:rFonts w:cstheme="minorHAnsi"/>
        </w:rPr>
        <w:t>„</w:t>
      </w:r>
      <w:r w:rsidRPr="00513454">
        <w:rPr>
          <w:rFonts w:cstheme="minorHAnsi"/>
        </w:rPr>
        <w:t>EU SPOC mreža</w:t>
      </w:r>
      <w:r>
        <w:rPr>
          <w:rFonts w:cstheme="minorHAnsi"/>
        </w:rPr>
        <w:t>“</w:t>
      </w:r>
      <w:r w:rsidRPr="00513454">
        <w:rPr>
          <w:rFonts w:cstheme="minorHAnsi"/>
        </w:rPr>
        <w:t>) prvobitno je osnovana 2019.</w:t>
      </w:r>
      <w:r>
        <w:rPr>
          <w:rFonts w:cstheme="minorHAnsi"/>
        </w:rPr>
        <w:t xml:space="preserve"> godine</w:t>
      </w:r>
      <w:r w:rsidRPr="00513454">
        <w:rPr>
          <w:rFonts w:cstheme="minorHAnsi"/>
        </w:rPr>
        <w:t>, kao rezultat zajedničke radne skupine HMA-EMA za dostupnost odobrenih lijekova kako bi se poboljšala razmjena informacija o problemima nestašice i dostupnosti lijekova (kako za ljudsku tako i za veterinarsku uporabu) između država članica, EMA-e i Europske komisije.</w:t>
      </w:r>
    </w:p>
    <w:p w14:paraId="29F28B7D" w14:textId="6119AA37" w:rsidR="00526ECF" w:rsidRPr="00513454" w:rsidRDefault="00526ECF" w:rsidP="00526ECF">
      <w:pPr>
        <w:spacing w:line="276" w:lineRule="auto"/>
        <w:jc w:val="both"/>
        <w:rPr>
          <w:rFonts w:cstheme="minorHAnsi"/>
        </w:rPr>
      </w:pPr>
      <w:r w:rsidRPr="00136B03">
        <w:rPr>
          <w:rFonts w:cstheme="minorHAnsi"/>
        </w:rPr>
        <w:t xml:space="preserve">Rad SPOC </w:t>
      </w:r>
      <w:r>
        <w:rPr>
          <w:rFonts w:cstheme="minorHAnsi"/>
        </w:rPr>
        <w:t xml:space="preserve">radne </w:t>
      </w:r>
      <w:r w:rsidR="0012108C">
        <w:rPr>
          <w:rFonts w:cstheme="minorHAnsi"/>
        </w:rPr>
        <w:t>skupine</w:t>
      </w:r>
      <w:r w:rsidR="0012108C" w:rsidRPr="00136B03">
        <w:rPr>
          <w:rFonts w:cstheme="minorHAnsi"/>
        </w:rPr>
        <w:t xml:space="preserve"> </w:t>
      </w:r>
      <w:r w:rsidRPr="00136B03">
        <w:rPr>
          <w:rFonts w:cstheme="minorHAnsi"/>
        </w:rPr>
        <w:t>nastavlja se na dosadašnju mrežu jedinstvenih kontaktnih točaka nacionalnih tijela za lijekove za razmjenu informacija o nestašicama i dostupnosti lijekova (tzv. EU SPOC mrežu, prema engl. single point of contact), a formaliziran je novom Uredbom (EU) 2022/123 o pojačanoj ulozi EMA-e u pripravnosti za krizne situacije i upravljanju njima u području lijekova i medicinskih proizvoda. Uredba je stupila na snagu 01. ožujka 2022. god.</w:t>
      </w:r>
    </w:p>
    <w:p w14:paraId="58DE0A35" w14:textId="77777777" w:rsidR="00526ECF" w:rsidRPr="00513454" w:rsidRDefault="00526ECF" w:rsidP="00526ECF">
      <w:pPr>
        <w:spacing w:line="276" w:lineRule="auto"/>
        <w:jc w:val="both"/>
        <w:rPr>
          <w:rFonts w:cstheme="minorHAnsi"/>
          <w:lang w:val="en-GB"/>
        </w:rPr>
      </w:pPr>
      <w:r w:rsidRPr="00136B03">
        <w:rPr>
          <w:rFonts w:cstheme="minorHAnsi"/>
        </w:rPr>
        <w:t xml:space="preserve">Uredbom su </w:t>
      </w:r>
      <w:r>
        <w:rPr>
          <w:rFonts w:cstheme="minorHAnsi"/>
        </w:rPr>
        <w:t>postale službene</w:t>
      </w:r>
      <w:r w:rsidRPr="00136B03">
        <w:rPr>
          <w:rFonts w:cstheme="minorHAnsi"/>
        </w:rPr>
        <w:t xml:space="preserve"> dosadašnje aktivnosti nadležnih tijela unutar EU SPOC mreže povezane </w:t>
      </w:r>
      <w:r>
        <w:rPr>
          <w:rFonts w:cstheme="minorHAnsi"/>
        </w:rPr>
        <w:t>s praćenjem</w:t>
      </w:r>
      <w:r w:rsidRPr="00136B03">
        <w:rPr>
          <w:rFonts w:cstheme="minorHAnsi"/>
        </w:rPr>
        <w:t xml:space="preserve"> dostupnosti lijekova, posebice onih čija je opskrba bila ugrožena uslijed trenutne pandemije. </w:t>
      </w:r>
      <w:r w:rsidRPr="00513454">
        <w:rPr>
          <w:rFonts w:cstheme="minorHAnsi"/>
          <w:lang w:val="en-GB"/>
        </w:rPr>
        <w:lastRenderedPageBreak/>
        <w:t>Temeljem Uredbe, EU SPOC mreža poprima status radne skupine naziva Medicine Shortages (SPOC) Working Party ili kraće SPOC WP.</w:t>
      </w:r>
    </w:p>
    <w:p w14:paraId="593A7E40" w14:textId="77777777" w:rsidR="00526ECF" w:rsidRPr="00513454" w:rsidRDefault="00526ECF" w:rsidP="00526ECF">
      <w:pPr>
        <w:spacing w:line="276" w:lineRule="auto"/>
        <w:jc w:val="both"/>
        <w:rPr>
          <w:rFonts w:cstheme="minorHAnsi"/>
          <w:lang w:val="en-GB"/>
        </w:rPr>
      </w:pPr>
      <w:r w:rsidRPr="00513454">
        <w:rPr>
          <w:rFonts w:cstheme="minorHAnsi"/>
          <w:lang w:val="en-GB"/>
        </w:rPr>
        <w:t>Uredba kao glavnu aktivnost SPOC WP-a propisuje prikupljanje i analizu različitih podataka iz područja opskrbe lijekovima kako bi se pravovremeno procijenio utjecaj nestašice lijeka na zdravlje ljudi (i životinja) te poduzele odgovarajuće preventivne mjere. U tom smislu u planu je razvoj IT rješenja za prikupljanje i obradu propisanih podataka od nositelja odobrenja te povezivanje s ESMP-om (European Shortages Monitoring Platform</w:t>
      </w:r>
      <w:r>
        <w:rPr>
          <w:rFonts w:cstheme="minorHAnsi"/>
          <w:lang w:val="en-GB"/>
        </w:rPr>
        <w:t>)</w:t>
      </w:r>
      <w:r w:rsidRPr="00513454">
        <w:rPr>
          <w:rFonts w:cstheme="minorHAnsi"/>
          <w:lang w:val="en-GB"/>
        </w:rPr>
        <w:t xml:space="preserve"> - IT platform</w:t>
      </w:r>
      <w:r>
        <w:rPr>
          <w:rFonts w:cstheme="minorHAnsi"/>
          <w:lang w:val="en-GB"/>
        </w:rPr>
        <w:t>om</w:t>
      </w:r>
      <w:r w:rsidRPr="00513454">
        <w:rPr>
          <w:rFonts w:cstheme="minorHAnsi"/>
          <w:lang w:val="en-GB"/>
        </w:rPr>
        <w:t xml:space="preserve"> za prikupljanje i analizu podataka o nestašicama lijekova u EU.</w:t>
      </w:r>
    </w:p>
    <w:p w14:paraId="340A45C7" w14:textId="77777777" w:rsidR="00526ECF" w:rsidRPr="008C7EB2" w:rsidRDefault="00526ECF" w:rsidP="00526ECF">
      <w:pPr>
        <w:spacing w:line="276" w:lineRule="auto"/>
        <w:jc w:val="both"/>
      </w:pPr>
      <w:r w:rsidRPr="00914D51">
        <w:t>U izv</w:t>
      </w:r>
      <w:r>
        <w:t xml:space="preserve">ještajnom razdoblju održano je 14 </w:t>
      </w:r>
      <w:r w:rsidRPr="00914D51">
        <w:t xml:space="preserve"> sastan</w:t>
      </w:r>
      <w:r>
        <w:t>aka</w:t>
      </w:r>
      <w:r w:rsidRPr="00914D51">
        <w:t>.</w:t>
      </w:r>
    </w:p>
    <w:p w14:paraId="0923A5AF" w14:textId="77777777" w:rsidR="00526ECF" w:rsidRPr="008C7EB2" w:rsidRDefault="00526ECF" w:rsidP="00526ECF">
      <w:pPr>
        <w:spacing w:line="276" w:lineRule="auto"/>
        <w:jc w:val="both"/>
      </w:pPr>
    </w:p>
    <w:p w14:paraId="3797DB81" w14:textId="77777777" w:rsidR="00526ECF" w:rsidRDefault="00526ECF" w:rsidP="00526ECF">
      <w:pPr>
        <w:spacing w:after="240"/>
        <w:rPr>
          <w:b/>
        </w:rPr>
      </w:pPr>
      <w:r>
        <w:rPr>
          <w:b/>
        </w:rPr>
        <w:t>B</w:t>
      </w:r>
      <w:r w:rsidRPr="007F6596">
        <w:rPr>
          <w:b/>
        </w:rPr>
        <w:t xml:space="preserve">) </w:t>
      </w:r>
      <w:r>
        <w:rPr>
          <w:b/>
        </w:rPr>
        <w:t xml:space="preserve">HMA/EMA radna skupina o dostupnosti odobrenih lijekova za humanu i veterinarsku primjenu </w:t>
      </w:r>
    </w:p>
    <w:p w14:paraId="57CCAECA" w14:textId="77777777" w:rsidR="00526ECF" w:rsidRDefault="00526ECF" w:rsidP="00526ECF">
      <w:pPr>
        <w:spacing w:line="276" w:lineRule="auto"/>
        <w:jc w:val="both"/>
        <w:rPr>
          <w:rFonts w:cs="Calibri"/>
          <w:bCs/>
        </w:rPr>
      </w:pPr>
      <w:r w:rsidRPr="0097570C">
        <w:rPr>
          <w:rFonts w:cs="Calibri"/>
          <w:bCs/>
        </w:rPr>
        <w:t xml:space="preserve">Aktivnosti radne skupine vezane su uz tematiku osiguravanja dostupnosti lijekova za ljudsku i veterinarsku primjenu i učinkovitog upravljanja nestašicama. U središtu interesa radne skupine su razlozi zbog kojih odobreni lijekovi nisu stavljeni u promet te razlozi zbog kojih dolazi do prekida opskrbe tržišta lijekovima što je osnovna prepreka u dostupnosti lijekova za pacijente. Oformljene su </w:t>
      </w:r>
      <w:r>
        <w:rPr>
          <w:rFonts w:cs="Calibri"/>
          <w:bCs/>
        </w:rPr>
        <w:t>2</w:t>
      </w:r>
      <w:r w:rsidRPr="0097570C">
        <w:rPr>
          <w:rFonts w:cs="Calibri"/>
          <w:bCs/>
        </w:rPr>
        <w:t xml:space="preserve"> radne tematske podskupine:</w:t>
      </w:r>
      <w:r>
        <w:rPr>
          <w:rFonts w:cs="Calibri"/>
          <w:bCs/>
        </w:rPr>
        <w:t xml:space="preserve"> dostupnost i poremećaj opskrbe lijekovima te komunikacija o dostupnosti lijekova. </w:t>
      </w:r>
    </w:p>
    <w:p w14:paraId="625A6DCC" w14:textId="77777777" w:rsidR="00526ECF" w:rsidRDefault="00526ECF" w:rsidP="00526ECF">
      <w:pPr>
        <w:spacing w:after="160" w:line="276" w:lineRule="auto"/>
        <w:jc w:val="both"/>
      </w:pPr>
      <w:r>
        <w:t xml:space="preserve">HALMED volontira u radu Drafting grupe za izradu popisa kritičnih lijekova na razini EU-a (engl. </w:t>
      </w:r>
      <w:r>
        <w:rPr>
          <w:i/>
          <w:iCs/>
        </w:rPr>
        <w:t>EU list of critical medicinal products - drafting group</w:t>
      </w:r>
      <w:r>
        <w:t xml:space="preserve">). Izrada  popisa kritičnih lijekova na razini EU-a dodijeljena je Tematskoj radnoj grupi 1 (engl. </w:t>
      </w:r>
      <w:r>
        <w:rPr>
          <w:i/>
          <w:iCs/>
        </w:rPr>
        <w:t>Thematic working group 1 – availability and supply disruptions</w:t>
      </w:r>
      <w:r>
        <w:t xml:space="preserve">) unutar HMA/EMA-ine radne skupine za dostupnost odobrenih lijekova za humanu i veterinarskuupotrebu (engl. </w:t>
      </w:r>
      <w:r>
        <w:rPr>
          <w:i/>
          <w:iCs/>
        </w:rPr>
        <w:t>HMA/EMA Task Force on Availability of Authorised Medicines for Human and Veterinary Use, HMA/EMA TFAAM</w:t>
      </w:r>
      <w:r>
        <w:t xml:space="preserve">) u suradnji s Radnim paketom 6 (Work Package 6 Identification of best practices) unutar projekta CHESSMEN (engl. </w:t>
      </w:r>
      <w:r>
        <w:rPr>
          <w:i/>
          <w:iCs/>
        </w:rPr>
        <w:t>Coordination and Harmonisation of the Existing Systems against Shortages of Medicines – European Network</w:t>
      </w:r>
      <w:r>
        <w:t>). Aktivnosti vezane uz izradu  popisa kritičnih lijekova na razini EU-a uključuju finalizaciju nacrta metodologije i kriterija za identifikaciju lijekova koji se smatraju ključnima za javno zdravlje te uspostavu EU liste kritičnih lijekova.</w:t>
      </w:r>
    </w:p>
    <w:p w14:paraId="423312F6" w14:textId="77777777" w:rsidR="00526ECF" w:rsidRPr="0097570C" w:rsidRDefault="00526ECF" w:rsidP="00526ECF">
      <w:pPr>
        <w:spacing w:line="276" w:lineRule="auto"/>
        <w:jc w:val="both"/>
        <w:rPr>
          <w:rFonts w:cs="Calibri"/>
          <w:bCs/>
        </w:rPr>
      </w:pPr>
      <w:r w:rsidRPr="00914D51">
        <w:rPr>
          <w:rFonts w:cs="Calibri"/>
          <w:bCs/>
        </w:rPr>
        <w:t>U izvještajnom razdoblju</w:t>
      </w:r>
      <w:r>
        <w:rPr>
          <w:rFonts w:cs="Calibri"/>
          <w:bCs/>
        </w:rPr>
        <w:t xml:space="preserve"> održano je 9 sastanaka.</w:t>
      </w:r>
    </w:p>
    <w:p w14:paraId="3C6B37C4" w14:textId="77777777" w:rsidR="00526ECF" w:rsidRDefault="00526ECF" w:rsidP="00526ECF">
      <w:pPr>
        <w:spacing w:line="276" w:lineRule="auto"/>
        <w:jc w:val="both"/>
        <w:rPr>
          <w:iCs/>
        </w:rPr>
      </w:pPr>
    </w:p>
    <w:p w14:paraId="78473038" w14:textId="77777777" w:rsidR="00526ECF" w:rsidRPr="008C7EB2" w:rsidRDefault="00526ECF" w:rsidP="00526ECF">
      <w:pPr>
        <w:spacing w:after="200" w:line="276" w:lineRule="auto"/>
        <w:rPr>
          <w:b/>
        </w:rPr>
      </w:pPr>
      <w:r>
        <w:rPr>
          <w:b/>
        </w:rPr>
        <w:t>C) P</w:t>
      </w:r>
      <w:r w:rsidRPr="008C7EB2">
        <w:rPr>
          <w:b/>
        </w:rPr>
        <w:t>rojekt Program EU za zdravlje 2021.-2027. (</w:t>
      </w:r>
      <w:r w:rsidRPr="009E3051">
        <w:rPr>
          <w:b/>
          <w:i/>
        </w:rPr>
        <w:t>EU4Heath Programme</w:t>
      </w:r>
      <w:r w:rsidRPr="008C7EB2">
        <w:rPr>
          <w:b/>
        </w:rPr>
        <w:t>):</w:t>
      </w:r>
    </w:p>
    <w:p w14:paraId="5E11C243" w14:textId="77777777" w:rsidR="00526ECF" w:rsidRDefault="00526ECF" w:rsidP="00526ECF">
      <w:pPr>
        <w:spacing w:line="276" w:lineRule="auto"/>
        <w:jc w:val="both"/>
        <w:rPr>
          <w:b/>
          <w:bCs/>
          <w:iCs/>
        </w:rPr>
      </w:pPr>
      <w:r>
        <w:t>U okviru projekta Program</w:t>
      </w:r>
      <w:r w:rsidRPr="00C0636E">
        <w:t xml:space="preserve"> „EU za zdravlje 2021.-2027. ” (</w:t>
      </w:r>
      <w:r w:rsidRPr="00136B03">
        <w:rPr>
          <w:i/>
        </w:rPr>
        <w:t>EU4Health Programme</w:t>
      </w:r>
      <w:r w:rsidRPr="00C0636E">
        <w:t xml:space="preserve">) Europske komisije ukupne vrijednosti 5,3 milijarde eura HALMED </w:t>
      </w:r>
      <w:r>
        <w:t>je u 2023. godini sudjelovao</w:t>
      </w:r>
      <w:r w:rsidRPr="00C0636E">
        <w:t xml:space="preserve"> u </w:t>
      </w:r>
      <w:r>
        <w:t xml:space="preserve">modulu </w:t>
      </w:r>
      <w:r w:rsidRPr="00CC72B2">
        <w:rPr>
          <w:b/>
        </w:rPr>
        <w:t>EU4H-2021-JA-06</w:t>
      </w:r>
      <w:r w:rsidRPr="00CC72B2">
        <w:t xml:space="preserve">: </w:t>
      </w:r>
      <w:r w:rsidRPr="00CC72B2">
        <w:rPr>
          <w:b/>
          <w:bCs/>
          <w:iCs/>
        </w:rPr>
        <w:t>availability of medicines, shortages and security of supply</w:t>
      </w:r>
      <w:r>
        <w:rPr>
          <w:b/>
          <w:bCs/>
          <w:iCs/>
        </w:rPr>
        <w:t>.</w:t>
      </w:r>
    </w:p>
    <w:p w14:paraId="6A567029" w14:textId="77777777" w:rsidR="00526ECF" w:rsidRPr="0093299C" w:rsidRDefault="00526ECF" w:rsidP="00526ECF">
      <w:pPr>
        <w:spacing w:line="276" w:lineRule="auto"/>
        <w:rPr>
          <w:rFonts w:cstheme="minorHAnsi"/>
          <w:color w:val="262626"/>
        </w:rPr>
      </w:pPr>
      <w:r>
        <w:rPr>
          <w:rFonts w:cstheme="minorHAnsi"/>
          <w:color w:val="262626"/>
        </w:rPr>
        <w:t>O</w:t>
      </w:r>
      <w:r w:rsidRPr="0093299C">
        <w:rPr>
          <w:rFonts w:cstheme="minorHAnsi"/>
          <w:color w:val="262626"/>
        </w:rPr>
        <w:t xml:space="preserve">sim u općim radnim paketima (WP1-4) projekta, </w:t>
      </w:r>
      <w:r>
        <w:rPr>
          <w:rFonts w:cstheme="minorHAnsi"/>
          <w:color w:val="262626"/>
        </w:rPr>
        <w:t xml:space="preserve">HALMED </w:t>
      </w:r>
      <w:r w:rsidRPr="0093299C">
        <w:rPr>
          <w:rFonts w:cstheme="minorHAnsi"/>
          <w:color w:val="262626"/>
        </w:rPr>
        <w:t xml:space="preserve">sudjeluje </w:t>
      </w:r>
      <w:r>
        <w:t xml:space="preserve">u paketima broj </w:t>
      </w:r>
      <w:r w:rsidRPr="00BA3E0A">
        <w:rPr>
          <w:rFonts w:cstheme="minorHAnsi"/>
          <w:b/>
          <w:color w:val="262626"/>
        </w:rPr>
        <w:t>WP6 Identification of best practices</w:t>
      </w:r>
      <w:r>
        <w:rPr>
          <w:rFonts w:cstheme="minorHAnsi"/>
          <w:color w:val="262626"/>
        </w:rPr>
        <w:t xml:space="preserve">, </w:t>
      </w:r>
      <w:r>
        <w:rPr>
          <w:rFonts w:ascii="Tahoma" w:hAnsi="Tahoma" w:cs="Tahoma"/>
          <w:b/>
          <w:bCs/>
          <w:color w:val="262626"/>
          <w:sz w:val="20"/>
          <w:szCs w:val="20"/>
          <w:lang w:val="en-GB"/>
        </w:rPr>
        <w:t>WP 7 Digital Information Exchange for Monitoring and reporting medicine shortages</w:t>
      </w:r>
      <w:r w:rsidRPr="00BA3E0A">
        <w:rPr>
          <w:rFonts w:cstheme="minorHAnsi"/>
          <w:b/>
          <w:bCs/>
          <w:color w:val="262626"/>
          <w:lang w:val="en-GB"/>
        </w:rPr>
        <w:t xml:space="preserve"> </w:t>
      </w:r>
      <w:r w:rsidRPr="00BA3E0A">
        <w:rPr>
          <w:rFonts w:cstheme="minorHAnsi"/>
          <w:bCs/>
          <w:color w:val="262626"/>
          <w:lang w:val="en-GB"/>
        </w:rPr>
        <w:t xml:space="preserve">te u paketu </w:t>
      </w:r>
      <w:r w:rsidRPr="00BA3E0A">
        <w:rPr>
          <w:rFonts w:cstheme="minorHAnsi"/>
          <w:b/>
          <w:color w:val="262626"/>
        </w:rPr>
        <w:t>WP8 Reducing likelihood of shortages</w:t>
      </w:r>
      <w:r w:rsidRPr="00393FEA">
        <w:rPr>
          <w:rFonts w:cstheme="minorHAnsi"/>
          <w:b/>
          <w:color w:val="262626"/>
        </w:rPr>
        <w:t>.</w:t>
      </w:r>
    </w:p>
    <w:p w14:paraId="1119BD59" w14:textId="77777777" w:rsidR="00526ECF" w:rsidRPr="00BA3E0A" w:rsidRDefault="00526ECF" w:rsidP="00526ECF">
      <w:pPr>
        <w:spacing w:line="276" w:lineRule="auto"/>
        <w:rPr>
          <w:rFonts w:cstheme="minorHAnsi"/>
          <w:color w:val="262626"/>
        </w:rPr>
      </w:pPr>
    </w:p>
    <w:p w14:paraId="2381BAC1" w14:textId="77777777" w:rsidR="00526ECF" w:rsidRPr="00CC72B2" w:rsidRDefault="00526ECF" w:rsidP="00526ECF">
      <w:pPr>
        <w:spacing w:line="276" w:lineRule="auto"/>
        <w:jc w:val="both"/>
        <w:rPr>
          <w:b/>
          <w:bCs/>
          <w:i/>
          <w:iCs/>
        </w:rPr>
      </w:pPr>
    </w:p>
    <w:p w14:paraId="42E6332A" w14:textId="77777777" w:rsidR="00526ECF" w:rsidRDefault="00526ECF" w:rsidP="00526ECF">
      <w:pPr>
        <w:spacing w:line="276" w:lineRule="auto"/>
        <w:jc w:val="both"/>
      </w:pPr>
      <w:r w:rsidRPr="00E413E7">
        <w:t>Detaljniji podaci prikazani su u dijelu 2.1</w:t>
      </w:r>
      <w:r>
        <w:t>5</w:t>
      </w:r>
      <w:r w:rsidRPr="00E413E7">
        <w:t xml:space="preserve">. </w:t>
      </w:r>
      <w:r>
        <w:t>Izvješće o provedbi projekata.</w:t>
      </w:r>
    </w:p>
    <w:p w14:paraId="14459CD1" w14:textId="77777777" w:rsidR="00526ECF" w:rsidRDefault="00526ECF" w:rsidP="00526ECF">
      <w:pPr>
        <w:spacing w:line="276" w:lineRule="auto"/>
        <w:jc w:val="both"/>
      </w:pPr>
    </w:p>
    <w:p w14:paraId="4D9DA723" w14:textId="77777777" w:rsidR="00526ECF" w:rsidRPr="00982587" w:rsidRDefault="00526ECF" w:rsidP="00526ECF">
      <w:pPr>
        <w:pStyle w:val="Heading4"/>
      </w:pPr>
      <w:r w:rsidRPr="00982587">
        <w:lastRenderedPageBreak/>
        <w:t>2.4.11. Sudjelovanje HALMED-a u povjerenstvima i radnim skupinama na nacionalnom nivou</w:t>
      </w:r>
    </w:p>
    <w:p w14:paraId="3421BFCF" w14:textId="77777777" w:rsidR="00526ECF" w:rsidRDefault="00526ECF" w:rsidP="00526ECF">
      <w:pPr>
        <w:spacing w:line="276" w:lineRule="auto"/>
        <w:jc w:val="both"/>
      </w:pPr>
    </w:p>
    <w:p w14:paraId="0DC836BA" w14:textId="77777777" w:rsidR="00526ECF" w:rsidRDefault="00526ECF" w:rsidP="00526ECF">
      <w:pPr>
        <w:spacing w:line="276" w:lineRule="auto"/>
        <w:jc w:val="both"/>
        <w:rPr>
          <w:rFonts w:eastAsia="Times New Roman"/>
          <w:b/>
          <w:bCs/>
        </w:rPr>
      </w:pPr>
      <w:r>
        <w:rPr>
          <w:b/>
        </w:rPr>
        <w:t>A</w:t>
      </w:r>
      <w:r w:rsidRPr="0005088A">
        <w:rPr>
          <w:b/>
        </w:rPr>
        <w:t xml:space="preserve">) </w:t>
      </w:r>
      <w:r w:rsidRPr="0005088A">
        <w:rPr>
          <w:rFonts w:eastAsia="Times New Roman"/>
          <w:b/>
        </w:rPr>
        <w:t>Radn</w:t>
      </w:r>
      <w:r>
        <w:rPr>
          <w:rFonts w:eastAsia="Times New Roman"/>
          <w:b/>
        </w:rPr>
        <w:t>a</w:t>
      </w:r>
      <w:r w:rsidRPr="0005088A">
        <w:rPr>
          <w:rFonts w:eastAsia="Times New Roman"/>
          <w:b/>
        </w:rPr>
        <w:t xml:space="preserve"> skupin</w:t>
      </w:r>
      <w:r>
        <w:rPr>
          <w:rFonts w:eastAsia="Times New Roman"/>
          <w:b/>
        </w:rPr>
        <w:t>a</w:t>
      </w:r>
      <w:r w:rsidRPr="0005088A">
        <w:rPr>
          <w:rFonts w:eastAsia="Times New Roman"/>
          <w:b/>
        </w:rPr>
        <w:t xml:space="preserve"> za pripremu i provedbu projekta (investicije) </w:t>
      </w:r>
      <w:r w:rsidRPr="0005088A">
        <w:rPr>
          <w:rFonts w:eastAsia="Times New Roman"/>
          <w:b/>
          <w:bCs/>
        </w:rPr>
        <w:t>„Izrada sustava praćenja i preveniranja nestašice lijekova u Republici Hrvatskoj“</w:t>
      </w:r>
      <w:r>
        <w:rPr>
          <w:rFonts w:eastAsia="Times New Roman"/>
          <w:b/>
          <w:bCs/>
        </w:rPr>
        <w:t xml:space="preserve"> u okviru Nacionalnog plana oporavka i otpornosti Vlade RH 2021.-2026.</w:t>
      </w:r>
    </w:p>
    <w:p w14:paraId="54E83ED5" w14:textId="77777777" w:rsidR="00526ECF" w:rsidRDefault="00526ECF" w:rsidP="00526ECF">
      <w:pPr>
        <w:spacing w:line="276" w:lineRule="auto"/>
        <w:jc w:val="both"/>
        <w:rPr>
          <w:rFonts w:eastAsia="Times New Roman"/>
          <w:b/>
          <w:bCs/>
        </w:rPr>
      </w:pPr>
    </w:p>
    <w:p w14:paraId="6CBF533C" w14:textId="77777777" w:rsidR="00526ECF" w:rsidRDefault="00526ECF" w:rsidP="00526ECF">
      <w:pPr>
        <w:spacing w:after="120" w:line="276" w:lineRule="auto"/>
        <w:jc w:val="both"/>
        <w:rPr>
          <w:rFonts w:cstheme="minorHAnsi"/>
        </w:rPr>
      </w:pPr>
      <w:r>
        <w:rPr>
          <w:rFonts w:cstheme="minorHAnsi"/>
        </w:rPr>
        <w:t>U okviru Nacionalnog plana oporavka i otpornosti Vlade RH koji uključuje i program za Jačanje otpornosti zdravstvenog sustava pokrenut je projekt za Izradu sustava praćenja i preveniranja nestašica lijekova u Hrvatskoj. Sustav bi trebao dati potpuni uvid u promet lijekovima na našem tržištu te model za predviđanje i preveniranje nestašica lijekova.</w:t>
      </w:r>
    </w:p>
    <w:p w14:paraId="02E9072F" w14:textId="77777777" w:rsidR="00526ECF" w:rsidRDefault="00526ECF" w:rsidP="00526ECF">
      <w:pPr>
        <w:spacing w:line="276" w:lineRule="auto"/>
        <w:jc w:val="both"/>
        <w:rPr>
          <w:rFonts w:cstheme="minorHAnsi"/>
        </w:rPr>
      </w:pPr>
      <w:r>
        <w:rPr>
          <w:rFonts w:cstheme="minorHAnsi"/>
        </w:rPr>
        <w:t>Projekt proizlazi iz mehanizama oporavka i otpornosti Europske komisije kao dio sveobuhvatnog odgovora na javno zdravstvene krize, a ima za cilj ublažiti gospodarske i socijalne posljedice pandemije koronavirusa i učiniti europska gospodarstva i društva održivijima, otpornijima i spremnijima za izazove koje donose zelena i digitalna tranzicija.</w:t>
      </w:r>
    </w:p>
    <w:p w14:paraId="40C53638" w14:textId="77777777" w:rsidR="00526ECF" w:rsidRDefault="00526ECF" w:rsidP="00526ECF">
      <w:pPr>
        <w:spacing w:after="120" w:line="276" w:lineRule="auto"/>
        <w:jc w:val="both"/>
        <w:rPr>
          <w:rFonts w:cstheme="minorHAnsi"/>
        </w:rPr>
      </w:pPr>
      <w:r>
        <w:rPr>
          <w:rFonts w:cstheme="minorHAnsi"/>
        </w:rPr>
        <w:t>Koordinator projekta je Ministarstvo zdravstva, a uz HALMED sudjeluju Ljekarnička komora i HZZO te se završetak razvoja sustava očekuje sredinom 2025. g.</w:t>
      </w:r>
    </w:p>
    <w:p w14:paraId="68BDD943" w14:textId="77777777" w:rsidR="00526ECF" w:rsidRPr="005250A9" w:rsidRDefault="00526ECF" w:rsidP="00526ECF">
      <w:pPr>
        <w:spacing w:line="276" w:lineRule="auto"/>
        <w:jc w:val="both"/>
      </w:pPr>
      <w:r w:rsidRPr="00914D51">
        <w:t>U izv</w:t>
      </w:r>
      <w:r>
        <w:t xml:space="preserve">ještajnom razdoblju održano je 10 </w:t>
      </w:r>
      <w:r w:rsidRPr="00914D51">
        <w:t xml:space="preserve"> sastan</w:t>
      </w:r>
      <w:r>
        <w:t>aka</w:t>
      </w:r>
      <w:r w:rsidRPr="00914D51">
        <w:t>.</w:t>
      </w:r>
    </w:p>
    <w:p w14:paraId="5644C4CB" w14:textId="77777777" w:rsidR="00526ECF" w:rsidRPr="00982587" w:rsidRDefault="00526ECF" w:rsidP="00526ECF">
      <w:pPr>
        <w:pStyle w:val="Heading3"/>
      </w:pPr>
      <w:bookmarkStart w:id="210" w:name="_Toc88049166"/>
      <w:bookmarkStart w:id="211" w:name="_Toc165035487"/>
      <w:r w:rsidRPr="00982587">
        <w:t>2.4.12. Prihodovni poslovi</w:t>
      </w:r>
      <w:bookmarkEnd w:id="210"/>
      <w:bookmarkEnd w:id="211"/>
    </w:p>
    <w:p w14:paraId="273E7757" w14:textId="77777777" w:rsidR="00526ECF" w:rsidRDefault="00526ECF" w:rsidP="00526ECF">
      <w:pPr>
        <w:tabs>
          <w:tab w:val="left" w:pos="2300"/>
        </w:tabs>
        <w:spacing w:after="120"/>
        <w:jc w:val="both"/>
        <w:rPr>
          <w:rFonts w:eastAsia="Times New Roman" w:cs="Calibri"/>
          <w:b/>
          <w:bCs/>
          <w:color w:val="1D1B11"/>
          <w:lang w:eastAsia="hr-HR"/>
        </w:rPr>
      </w:pPr>
      <w:r w:rsidRPr="00120737">
        <w:rPr>
          <w:b/>
        </w:rPr>
        <w:t xml:space="preserve">Tablica 14. </w:t>
      </w:r>
      <w:r>
        <w:rPr>
          <w:b/>
        </w:rPr>
        <w:t>Izvršenje</w:t>
      </w:r>
      <w:r w:rsidRPr="00120737">
        <w:rPr>
          <w:b/>
        </w:rPr>
        <w:t xml:space="preserve"> prihodovnih usluga</w:t>
      </w:r>
      <w:r w:rsidRPr="00120737">
        <w:t xml:space="preserve"> </w:t>
      </w:r>
      <w:r>
        <w:rPr>
          <w:rFonts w:eastAsia="Times New Roman" w:cs="Calibri"/>
          <w:b/>
          <w:bCs/>
          <w:color w:val="1D1B11"/>
          <w:lang w:eastAsia="hr-HR"/>
        </w:rPr>
        <w:t>u području dostupnosti lijekova</w:t>
      </w:r>
    </w:p>
    <w:tbl>
      <w:tblPr>
        <w:tblW w:w="1042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4148"/>
        <w:gridCol w:w="1276"/>
        <w:gridCol w:w="1504"/>
        <w:gridCol w:w="1275"/>
        <w:gridCol w:w="1254"/>
      </w:tblGrid>
      <w:tr w:rsidR="00526ECF" w:rsidRPr="00E27B57" w14:paraId="66C3170A" w14:textId="77777777" w:rsidTr="00BA499D">
        <w:trPr>
          <w:gridAfter w:val="1"/>
          <w:wAfter w:w="1254" w:type="dxa"/>
          <w:trHeight w:val="142"/>
          <w:tblHeader/>
        </w:trPr>
        <w:tc>
          <w:tcPr>
            <w:tcW w:w="972" w:type="dxa"/>
            <w:shd w:val="clear" w:color="000000" w:fill="A3E7FF"/>
            <w:vAlign w:val="center"/>
            <w:hideMark/>
          </w:tcPr>
          <w:p w14:paraId="2275050C" w14:textId="77777777" w:rsidR="00526ECF" w:rsidRPr="00B037D6" w:rsidRDefault="00526ECF" w:rsidP="00BA499D">
            <w:pPr>
              <w:rPr>
                <w:b/>
                <w:sz w:val="18"/>
                <w:szCs w:val="18"/>
                <w:lang w:eastAsia="hr-HR"/>
              </w:rPr>
            </w:pPr>
            <w:r w:rsidRPr="00B037D6">
              <w:rPr>
                <w:b/>
                <w:sz w:val="18"/>
                <w:szCs w:val="18"/>
                <w:lang w:eastAsia="hr-HR"/>
              </w:rPr>
              <w:t>R.br.</w:t>
            </w:r>
          </w:p>
        </w:tc>
        <w:tc>
          <w:tcPr>
            <w:tcW w:w="4148" w:type="dxa"/>
            <w:shd w:val="clear" w:color="000000" w:fill="A3E7FF"/>
            <w:noWrap/>
            <w:vAlign w:val="center"/>
            <w:hideMark/>
          </w:tcPr>
          <w:p w14:paraId="7E4F58ED" w14:textId="77777777" w:rsidR="00526ECF" w:rsidRPr="00B037D6" w:rsidRDefault="00526ECF" w:rsidP="00BA499D">
            <w:pPr>
              <w:rPr>
                <w:b/>
                <w:sz w:val="18"/>
                <w:szCs w:val="18"/>
                <w:lang w:eastAsia="hr-HR"/>
              </w:rPr>
            </w:pPr>
            <w:r w:rsidRPr="00B037D6">
              <w:rPr>
                <w:b/>
                <w:sz w:val="18"/>
                <w:szCs w:val="18"/>
                <w:lang w:eastAsia="hr-HR"/>
              </w:rPr>
              <w:t>Naziv usluge</w:t>
            </w:r>
          </w:p>
        </w:tc>
        <w:tc>
          <w:tcPr>
            <w:tcW w:w="1276" w:type="dxa"/>
            <w:shd w:val="clear" w:color="000000" w:fill="A3E7FF"/>
            <w:vAlign w:val="center"/>
            <w:hideMark/>
          </w:tcPr>
          <w:p w14:paraId="45136572" w14:textId="77777777" w:rsidR="00526ECF" w:rsidRPr="00B037D6" w:rsidRDefault="00526ECF" w:rsidP="00BA499D">
            <w:pPr>
              <w:rPr>
                <w:b/>
                <w:sz w:val="18"/>
                <w:szCs w:val="18"/>
                <w:lang w:eastAsia="hr-HR"/>
              </w:rPr>
            </w:pPr>
            <w:r>
              <w:rPr>
                <w:b/>
                <w:sz w:val="18"/>
                <w:szCs w:val="18"/>
                <w:lang w:eastAsia="hr-HR"/>
              </w:rPr>
              <w:t>Plan za 2023</w:t>
            </w:r>
            <w:r w:rsidRPr="00B037D6">
              <w:rPr>
                <w:b/>
                <w:sz w:val="18"/>
                <w:szCs w:val="18"/>
                <w:lang w:eastAsia="hr-HR"/>
              </w:rPr>
              <w:t>.</w:t>
            </w:r>
          </w:p>
        </w:tc>
        <w:tc>
          <w:tcPr>
            <w:tcW w:w="1504" w:type="dxa"/>
            <w:shd w:val="clear" w:color="000000" w:fill="A3E7FF"/>
            <w:vAlign w:val="center"/>
            <w:hideMark/>
          </w:tcPr>
          <w:p w14:paraId="1427AF3E" w14:textId="77777777" w:rsidR="00526ECF" w:rsidRPr="00B037D6" w:rsidRDefault="00526ECF" w:rsidP="00BA499D">
            <w:pPr>
              <w:jc w:val="center"/>
              <w:rPr>
                <w:b/>
                <w:sz w:val="18"/>
                <w:szCs w:val="18"/>
                <w:lang w:eastAsia="hr-HR"/>
              </w:rPr>
            </w:pPr>
            <w:r>
              <w:rPr>
                <w:b/>
                <w:sz w:val="18"/>
                <w:szCs w:val="18"/>
                <w:lang w:eastAsia="hr-HR"/>
              </w:rPr>
              <w:t>Izvršenje 01.01.-31.12.2023</w:t>
            </w:r>
            <w:r w:rsidRPr="00B037D6">
              <w:rPr>
                <w:b/>
                <w:sz w:val="18"/>
                <w:szCs w:val="18"/>
                <w:lang w:eastAsia="hr-HR"/>
              </w:rPr>
              <w:t>.</w:t>
            </w:r>
          </w:p>
        </w:tc>
        <w:tc>
          <w:tcPr>
            <w:tcW w:w="1275" w:type="dxa"/>
            <w:shd w:val="clear" w:color="000000" w:fill="A3E7FF"/>
            <w:vAlign w:val="center"/>
            <w:hideMark/>
          </w:tcPr>
          <w:p w14:paraId="517A956B" w14:textId="77777777" w:rsidR="00526ECF" w:rsidRPr="00B037D6" w:rsidRDefault="00526ECF" w:rsidP="00BA499D">
            <w:pPr>
              <w:jc w:val="center"/>
              <w:rPr>
                <w:b/>
                <w:sz w:val="18"/>
                <w:szCs w:val="18"/>
                <w:lang w:eastAsia="hr-HR"/>
              </w:rPr>
            </w:pPr>
            <w:r w:rsidRPr="00B037D6">
              <w:rPr>
                <w:b/>
                <w:sz w:val="18"/>
                <w:szCs w:val="18"/>
                <w:lang w:eastAsia="hr-HR"/>
              </w:rPr>
              <w:t>% izvršenja</w:t>
            </w:r>
          </w:p>
        </w:tc>
      </w:tr>
      <w:tr w:rsidR="00526ECF" w:rsidRPr="00E27B57" w14:paraId="04E6C0A7" w14:textId="77777777" w:rsidTr="00BA499D">
        <w:trPr>
          <w:gridAfter w:val="1"/>
          <w:wAfter w:w="1254" w:type="dxa"/>
          <w:trHeight w:val="142"/>
        </w:trPr>
        <w:tc>
          <w:tcPr>
            <w:tcW w:w="972" w:type="dxa"/>
            <w:shd w:val="clear" w:color="auto" w:fill="auto"/>
            <w:vAlign w:val="center"/>
            <w:hideMark/>
          </w:tcPr>
          <w:p w14:paraId="6557CD6C" w14:textId="77777777" w:rsidR="00526ECF" w:rsidRPr="005545C3" w:rsidRDefault="00526ECF" w:rsidP="00BA499D">
            <w:pPr>
              <w:jc w:val="center"/>
              <w:rPr>
                <w:color w:val="1A1A1A"/>
                <w:sz w:val="18"/>
                <w:szCs w:val="18"/>
                <w:lang w:eastAsia="hr-HR"/>
              </w:rPr>
            </w:pPr>
            <w:r w:rsidRPr="005545C3">
              <w:rPr>
                <w:color w:val="1A1A1A"/>
                <w:sz w:val="18"/>
                <w:szCs w:val="18"/>
                <w:lang w:eastAsia="hr-HR"/>
              </w:rPr>
              <w:t>1.</w:t>
            </w:r>
          </w:p>
        </w:tc>
        <w:tc>
          <w:tcPr>
            <w:tcW w:w="4148" w:type="dxa"/>
            <w:shd w:val="clear" w:color="auto" w:fill="auto"/>
            <w:vAlign w:val="center"/>
            <w:hideMark/>
          </w:tcPr>
          <w:p w14:paraId="74708C8F" w14:textId="77777777" w:rsidR="00526ECF" w:rsidRPr="005545C3" w:rsidRDefault="00526ECF" w:rsidP="00BA499D">
            <w:pPr>
              <w:rPr>
                <w:color w:val="1A1A1A"/>
                <w:sz w:val="18"/>
                <w:szCs w:val="18"/>
                <w:lang w:eastAsia="hr-HR"/>
              </w:rPr>
            </w:pPr>
            <w:r w:rsidRPr="005545C3">
              <w:rPr>
                <w:color w:val="1A1A1A"/>
                <w:sz w:val="18"/>
                <w:szCs w:val="18"/>
                <w:lang w:eastAsia="hr-HR"/>
              </w:rPr>
              <w:t>Suglasnost za uvoz djelatnih tvari</w:t>
            </w:r>
          </w:p>
        </w:tc>
        <w:tc>
          <w:tcPr>
            <w:tcW w:w="1276" w:type="dxa"/>
            <w:shd w:val="clear" w:color="auto" w:fill="auto"/>
            <w:noWrap/>
            <w:vAlign w:val="center"/>
          </w:tcPr>
          <w:p w14:paraId="1CCD5279" w14:textId="77777777" w:rsidR="00526ECF" w:rsidRPr="001F011A" w:rsidRDefault="00526ECF" w:rsidP="00BA499D">
            <w:pPr>
              <w:jc w:val="center"/>
              <w:rPr>
                <w:sz w:val="18"/>
              </w:rPr>
            </w:pPr>
            <w:r w:rsidRPr="00A244E7">
              <w:rPr>
                <w:bCs/>
                <w:sz w:val="20"/>
                <w:szCs w:val="20"/>
              </w:rPr>
              <w:t>0</w:t>
            </w:r>
          </w:p>
        </w:tc>
        <w:tc>
          <w:tcPr>
            <w:tcW w:w="1504" w:type="dxa"/>
            <w:shd w:val="clear" w:color="auto" w:fill="auto"/>
            <w:noWrap/>
            <w:vAlign w:val="center"/>
          </w:tcPr>
          <w:p w14:paraId="0BE19DA3" w14:textId="77777777" w:rsidR="00526ECF" w:rsidRPr="00A464D7" w:rsidRDefault="00526ECF" w:rsidP="00BA499D">
            <w:pPr>
              <w:jc w:val="center"/>
              <w:rPr>
                <w:sz w:val="18"/>
              </w:rPr>
            </w:pPr>
            <w:r w:rsidRPr="000F5298">
              <w:rPr>
                <w:bCs/>
                <w:sz w:val="20"/>
                <w:szCs w:val="20"/>
              </w:rPr>
              <w:t>0</w:t>
            </w:r>
          </w:p>
        </w:tc>
        <w:tc>
          <w:tcPr>
            <w:tcW w:w="1275" w:type="dxa"/>
            <w:shd w:val="clear" w:color="auto" w:fill="auto"/>
            <w:noWrap/>
            <w:vAlign w:val="center"/>
          </w:tcPr>
          <w:p w14:paraId="69693A19" w14:textId="77777777" w:rsidR="00526ECF" w:rsidRPr="00A464D7" w:rsidRDefault="00526ECF" w:rsidP="00BA499D">
            <w:pPr>
              <w:jc w:val="center"/>
              <w:rPr>
                <w:sz w:val="18"/>
              </w:rPr>
            </w:pPr>
            <w:r>
              <w:rPr>
                <w:sz w:val="20"/>
                <w:szCs w:val="20"/>
              </w:rPr>
              <w:t>-</w:t>
            </w:r>
          </w:p>
        </w:tc>
      </w:tr>
      <w:tr w:rsidR="00526ECF" w:rsidRPr="00E27B57" w14:paraId="5B572615" w14:textId="77777777" w:rsidTr="00BA499D">
        <w:trPr>
          <w:gridAfter w:val="1"/>
          <w:wAfter w:w="1254" w:type="dxa"/>
          <w:trHeight w:val="142"/>
        </w:trPr>
        <w:tc>
          <w:tcPr>
            <w:tcW w:w="972" w:type="dxa"/>
            <w:shd w:val="clear" w:color="auto" w:fill="auto"/>
            <w:vAlign w:val="center"/>
            <w:hideMark/>
          </w:tcPr>
          <w:p w14:paraId="23798BE7" w14:textId="77777777" w:rsidR="00526ECF" w:rsidRPr="005545C3" w:rsidRDefault="00526ECF" w:rsidP="00BA499D">
            <w:pPr>
              <w:jc w:val="center"/>
              <w:rPr>
                <w:color w:val="1A1A1A"/>
                <w:sz w:val="18"/>
                <w:szCs w:val="18"/>
                <w:lang w:eastAsia="hr-HR"/>
              </w:rPr>
            </w:pPr>
            <w:r w:rsidRPr="005545C3">
              <w:rPr>
                <w:color w:val="1A1A1A"/>
                <w:sz w:val="18"/>
                <w:szCs w:val="18"/>
                <w:lang w:eastAsia="hr-HR"/>
              </w:rPr>
              <w:t>2.</w:t>
            </w:r>
          </w:p>
        </w:tc>
        <w:tc>
          <w:tcPr>
            <w:tcW w:w="4148" w:type="dxa"/>
            <w:shd w:val="clear" w:color="auto" w:fill="auto"/>
            <w:vAlign w:val="center"/>
            <w:hideMark/>
          </w:tcPr>
          <w:p w14:paraId="08F8F077" w14:textId="77777777" w:rsidR="00526ECF" w:rsidRPr="005545C3" w:rsidRDefault="00526ECF" w:rsidP="00BA499D">
            <w:pPr>
              <w:rPr>
                <w:color w:val="1A1A1A"/>
                <w:sz w:val="18"/>
                <w:szCs w:val="18"/>
                <w:lang w:eastAsia="hr-HR"/>
              </w:rPr>
            </w:pPr>
            <w:r w:rsidRPr="005545C3">
              <w:rPr>
                <w:color w:val="1A1A1A"/>
                <w:sz w:val="18"/>
                <w:szCs w:val="18"/>
                <w:lang w:eastAsia="hr-HR"/>
              </w:rPr>
              <w:t>Suglasnost za izuzeće od obveze označivanja i/ili upute o lijeku na hrvatskom jeziku</w:t>
            </w:r>
          </w:p>
        </w:tc>
        <w:tc>
          <w:tcPr>
            <w:tcW w:w="1276" w:type="dxa"/>
            <w:shd w:val="clear" w:color="auto" w:fill="auto"/>
            <w:noWrap/>
            <w:vAlign w:val="center"/>
          </w:tcPr>
          <w:p w14:paraId="512DCD03" w14:textId="77777777" w:rsidR="00526ECF" w:rsidRPr="001F011A" w:rsidRDefault="00526ECF" w:rsidP="00BA499D">
            <w:pPr>
              <w:jc w:val="center"/>
              <w:rPr>
                <w:sz w:val="18"/>
              </w:rPr>
            </w:pPr>
            <w:r w:rsidRPr="00A244E7">
              <w:rPr>
                <w:bCs/>
                <w:sz w:val="20"/>
                <w:szCs w:val="20"/>
              </w:rPr>
              <w:t>354</w:t>
            </w:r>
          </w:p>
        </w:tc>
        <w:tc>
          <w:tcPr>
            <w:tcW w:w="1504" w:type="dxa"/>
            <w:shd w:val="clear" w:color="auto" w:fill="auto"/>
            <w:noWrap/>
            <w:vAlign w:val="center"/>
          </w:tcPr>
          <w:p w14:paraId="651EC660" w14:textId="77777777" w:rsidR="00526ECF" w:rsidRPr="00A464D7" w:rsidRDefault="00526ECF" w:rsidP="00BA499D">
            <w:pPr>
              <w:jc w:val="center"/>
              <w:rPr>
                <w:sz w:val="18"/>
              </w:rPr>
            </w:pPr>
            <w:r w:rsidRPr="000F5298">
              <w:rPr>
                <w:bCs/>
                <w:sz w:val="20"/>
                <w:szCs w:val="20"/>
              </w:rPr>
              <w:t>454</w:t>
            </w:r>
          </w:p>
        </w:tc>
        <w:tc>
          <w:tcPr>
            <w:tcW w:w="1275" w:type="dxa"/>
            <w:shd w:val="clear" w:color="auto" w:fill="auto"/>
            <w:noWrap/>
            <w:vAlign w:val="center"/>
          </w:tcPr>
          <w:p w14:paraId="68AD4C5B" w14:textId="77777777" w:rsidR="00526ECF" w:rsidRPr="00A464D7" w:rsidRDefault="00526ECF" w:rsidP="00BA499D">
            <w:pPr>
              <w:jc w:val="center"/>
              <w:rPr>
                <w:sz w:val="18"/>
              </w:rPr>
            </w:pPr>
            <w:r w:rsidRPr="00A464D7">
              <w:rPr>
                <w:sz w:val="20"/>
                <w:szCs w:val="20"/>
              </w:rPr>
              <w:t>128%</w:t>
            </w:r>
          </w:p>
        </w:tc>
      </w:tr>
      <w:tr w:rsidR="00526ECF" w:rsidRPr="00E27B57" w14:paraId="3C9BB438" w14:textId="77777777" w:rsidTr="00BA499D">
        <w:trPr>
          <w:gridAfter w:val="1"/>
          <w:wAfter w:w="1254" w:type="dxa"/>
          <w:trHeight w:val="142"/>
        </w:trPr>
        <w:tc>
          <w:tcPr>
            <w:tcW w:w="9175" w:type="dxa"/>
            <w:gridSpan w:val="5"/>
            <w:shd w:val="clear" w:color="auto" w:fill="auto"/>
            <w:vAlign w:val="center"/>
            <w:hideMark/>
          </w:tcPr>
          <w:p w14:paraId="395CEA77" w14:textId="77777777" w:rsidR="00526ECF" w:rsidRPr="005A5F6A" w:rsidRDefault="00526ECF" w:rsidP="00BA499D">
            <w:pPr>
              <w:jc w:val="center"/>
              <w:rPr>
                <w:rFonts w:cstheme="minorHAnsi"/>
                <w:sz w:val="18"/>
                <w:szCs w:val="18"/>
              </w:rPr>
            </w:pPr>
            <w:r w:rsidRPr="005A5F6A">
              <w:rPr>
                <w:color w:val="1A1A1A"/>
                <w:sz w:val="18"/>
                <w:szCs w:val="18"/>
                <w:lang w:eastAsia="hr-HR"/>
              </w:rPr>
              <w:t>Suglasnost za unošenje/uvoz neodobrenog lijeka u slučajevima:</w:t>
            </w:r>
          </w:p>
        </w:tc>
      </w:tr>
      <w:tr w:rsidR="00526ECF" w:rsidRPr="00E27B57" w14:paraId="7B372D24" w14:textId="77777777" w:rsidTr="00BA499D">
        <w:trPr>
          <w:gridAfter w:val="1"/>
          <w:wAfter w:w="1254" w:type="dxa"/>
          <w:trHeight w:val="142"/>
        </w:trPr>
        <w:tc>
          <w:tcPr>
            <w:tcW w:w="972" w:type="dxa"/>
            <w:shd w:val="clear" w:color="auto" w:fill="auto"/>
            <w:vAlign w:val="center"/>
            <w:hideMark/>
          </w:tcPr>
          <w:p w14:paraId="3C5D8BC8" w14:textId="77777777" w:rsidR="00526ECF" w:rsidRPr="005545C3" w:rsidRDefault="00526ECF" w:rsidP="00BA499D">
            <w:pPr>
              <w:jc w:val="center"/>
              <w:rPr>
                <w:sz w:val="18"/>
                <w:szCs w:val="18"/>
                <w:lang w:eastAsia="hr-HR"/>
              </w:rPr>
            </w:pPr>
            <w:r w:rsidRPr="005545C3">
              <w:rPr>
                <w:sz w:val="18"/>
                <w:szCs w:val="18"/>
                <w:lang w:eastAsia="hr-HR"/>
              </w:rPr>
              <w:t>3.</w:t>
            </w:r>
          </w:p>
        </w:tc>
        <w:tc>
          <w:tcPr>
            <w:tcW w:w="4148" w:type="dxa"/>
            <w:shd w:val="clear" w:color="auto" w:fill="auto"/>
            <w:vAlign w:val="center"/>
            <w:hideMark/>
          </w:tcPr>
          <w:p w14:paraId="6BC83D6A" w14:textId="77777777" w:rsidR="00526ECF" w:rsidRPr="005545C3" w:rsidRDefault="00526ECF" w:rsidP="00BA499D">
            <w:pPr>
              <w:rPr>
                <w:sz w:val="18"/>
                <w:szCs w:val="18"/>
                <w:lang w:eastAsia="hr-HR"/>
              </w:rPr>
            </w:pPr>
            <w:r w:rsidRPr="005545C3">
              <w:rPr>
                <w:sz w:val="18"/>
                <w:szCs w:val="18"/>
                <w:lang w:eastAsia="hr-HR"/>
              </w:rPr>
              <w:t>– da se radi o medicinski opravdanoj potrebi, radi zaštite zdravlja ljudi,</w:t>
            </w:r>
          </w:p>
        </w:tc>
        <w:tc>
          <w:tcPr>
            <w:tcW w:w="1276" w:type="dxa"/>
            <w:shd w:val="clear" w:color="auto" w:fill="auto"/>
            <w:noWrap/>
            <w:vAlign w:val="center"/>
          </w:tcPr>
          <w:p w14:paraId="7BE8E977" w14:textId="77777777" w:rsidR="00526ECF" w:rsidRPr="001F011A" w:rsidRDefault="00526ECF" w:rsidP="00BA499D">
            <w:pPr>
              <w:jc w:val="center"/>
              <w:rPr>
                <w:sz w:val="18"/>
              </w:rPr>
            </w:pPr>
            <w:r w:rsidRPr="00A244E7">
              <w:rPr>
                <w:bCs/>
                <w:sz w:val="20"/>
                <w:szCs w:val="20"/>
              </w:rPr>
              <w:t>319</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51720B" w14:textId="77777777" w:rsidR="00526ECF" w:rsidRPr="00A464D7" w:rsidRDefault="00526ECF" w:rsidP="00BA499D">
            <w:pPr>
              <w:jc w:val="center"/>
              <w:rPr>
                <w:sz w:val="18"/>
              </w:rPr>
            </w:pPr>
            <w:r w:rsidRPr="000F5298">
              <w:rPr>
                <w:bCs/>
                <w:sz w:val="20"/>
                <w:szCs w:val="20"/>
              </w:rPr>
              <w:t>427</w:t>
            </w:r>
          </w:p>
        </w:tc>
        <w:tc>
          <w:tcPr>
            <w:tcW w:w="1275" w:type="dxa"/>
            <w:shd w:val="clear" w:color="auto" w:fill="auto"/>
            <w:noWrap/>
            <w:vAlign w:val="center"/>
          </w:tcPr>
          <w:p w14:paraId="1C90D48F" w14:textId="77777777" w:rsidR="00526ECF" w:rsidRPr="00A464D7" w:rsidRDefault="00526ECF" w:rsidP="00BA499D">
            <w:pPr>
              <w:jc w:val="center"/>
              <w:rPr>
                <w:sz w:val="18"/>
              </w:rPr>
            </w:pPr>
            <w:r w:rsidRPr="00A464D7">
              <w:rPr>
                <w:sz w:val="20"/>
                <w:szCs w:val="20"/>
              </w:rPr>
              <w:t>134%</w:t>
            </w:r>
          </w:p>
        </w:tc>
      </w:tr>
      <w:tr w:rsidR="00526ECF" w:rsidRPr="00E27B57" w14:paraId="5C39672B" w14:textId="77777777" w:rsidTr="00BA499D">
        <w:trPr>
          <w:gridAfter w:val="1"/>
          <w:wAfter w:w="1254" w:type="dxa"/>
          <w:trHeight w:val="142"/>
        </w:trPr>
        <w:tc>
          <w:tcPr>
            <w:tcW w:w="972" w:type="dxa"/>
            <w:shd w:val="clear" w:color="auto" w:fill="auto"/>
            <w:vAlign w:val="center"/>
            <w:hideMark/>
          </w:tcPr>
          <w:p w14:paraId="0ECBAAF4" w14:textId="77777777" w:rsidR="00526ECF" w:rsidRPr="005545C3" w:rsidRDefault="00526ECF" w:rsidP="00BA499D">
            <w:pPr>
              <w:jc w:val="center"/>
              <w:rPr>
                <w:sz w:val="18"/>
                <w:szCs w:val="18"/>
                <w:lang w:eastAsia="hr-HR"/>
              </w:rPr>
            </w:pPr>
            <w:r w:rsidRPr="005545C3">
              <w:rPr>
                <w:sz w:val="18"/>
                <w:szCs w:val="18"/>
                <w:lang w:eastAsia="hr-HR"/>
              </w:rPr>
              <w:t>4.</w:t>
            </w:r>
          </w:p>
        </w:tc>
        <w:tc>
          <w:tcPr>
            <w:tcW w:w="4148" w:type="dxa"/>
            <w:shd w:val="clear" w:color="auto" w:fill="auto"/>
            <w:vAlign w:val="center"/>
            <w:hideMark/>
          </w:tcPr>
          <w:p w14:paraId="366A0345" w14:textId="77777777" w:rsidR="00526ECF" w:rsidRPr="005545C3" w:rsidRDefault="00526ECF" w:rsidP="00BA499D">
            <w:pPr>
              <w:rPr>
                <w:sz w:val="18"/>
                <w:szCs w:val="18"/>
                <w:lang w:eastAsia="hr-HR"/>
              </w:rPr>
            </w:pPr>
            <w:r w:rsidRPr="005545C3">
              <w:rPr>
                <w:sz w:val="18"/>
                <w:szCs w:val="18"/>
                <w:lang w:eastAsia="hr-HR"/>
              </w:rPr>
              <w:t>– za istraživačke svrhe,</w:t>
            </w:r>
          </w:p>
        </w:tc>
        <w:tc>
          <w:tcPr>
            <w:tcW w:w="1276" w:type="dxa"/>
            <w:shd w:val="clear" w:color="auto" w:fill="auto"/>
            <w:noWrap/>
            <w:vAlign w:val="center"/>
          </w:tcPr>
          <w:p w14:paraId="1C0C437D" w14:textId="77777777" w:rsidR="00526ECF" w:rsidRPr="001F011A" w:rsidRDefault="00526ECF" w:rsidP="00BA499D">
            <w:pPr>
              <w:jc w:val="center"/>
              <w:rPr>
                <w:sz w:val="18"/>
              </w:rPr>
            </w:pPr>
            <w:r w:rsidRPr="00A244E7">
              <w:rPr>
                <w:bCs/>
                <w:sz w:val="20"/>
                <w:szCs w:val="20"/>
              </w:rPr>
              <w:t>32</w:t>
            </w:r>
          </w:p>
        </w:tc>
        <w:tc>
          <w:tcPr>
            <w:tcW w:w="1504" w:type="dxa"/>
            <w:tcBorders>
              <w:top w:val="nil"/>
              <w:left w:val="single" w:sz="4" w:space="0" w:color="auto"/>
              <w:bottom w:val="single" w:sz="4" w:space="0" w:color="auto"/>
              <w:right w:val="single" w:sz="4" w:space="0" w:color="auto"/>
            </w:tcBorders>
            <w:shd w:val="clear" w:color="auto" w:fill="auto"/>
            <w:noWrap/>
            <w:vAlign w:val="center"/>
          </w:tcPr>
          <w:p w14:paraId="1D85C896" w14:textId="77777777" w:rsidR="00526ECF" w:rsidRPr="00A464D7" w:rsidRDefault="00526ECF" w:rsidP="00BA499D">
            <w:pPr>
              <w:jc w:val="center"/>
              <w:rPr>
                <w:sz w:val="18"/>
              </w:rPr>
            </w:pPr>
            <w:r w:rsidRPr="000F5298">
              <w:rPr>
                <w:bCs/>
                <w:sz w:val="20"/>
                <w:szCs w:val="20"/>
              </w:rPr>
              <w:t>23</w:t>
            </w:r>
          </w:p>
        </w:tc>
        <w:tc>
          <w:tcPr>
            <w:tcW w:w="1275" w:type="dxa"/>
            <w:shd w:val="clear" w:color="auto" w:fill="auto"/>
            <w:noWrap/>
            <w:vAlign w:val="center"/>
          </w:tcPr>
          <w:p w14:paraId="306CE27B" w14:textId="77777777" w:rsidR="00526ECF" w:rsidRPr="00A464D7" w:rsidRDefault="00526ECF" w:rsidP="00BA499D">
            <w:pPr>
              <w:jc w:val="center"/>
              <w:rPr>
                <w:sz w:val="18"/>
              </w:rPr>
            </w:pPr>
            <w:r w:rsidRPr="00A464D7">
              <w:rPr>
                <w:sz w:val="20"/>
                <w:szCs w:val="20"/>
              </w:rPr>
              <w:t>72%</w:t>
            </w:r>
          </w:p>
        </w:tc>
      </w:tr>
      <w:tr w:rsidR="00526ECF" w:rsidRPr="00E27B57" w14:paraId="70ABE4B0" w14:textId="77777777" w:rsidTr="00BA499D">
        <w:trPr>
          <w:gridAfter w:val="1"/>
          <w:wAfter w:w="1254" w:type="dxa"/>
          <w:trHeight w:val="142"/>
        </w:trPr>
        <w:tc>
          <w:tcPr>
            <w:tcW w:w="972" w:type="dxa"/>
            <w:shd w:val="clear" w:color="auto" w:fill="auto"/>
            <w:vAlign w:val="center"/>
            <w:hideMark/>
          </w:tcPr>
          <w:p w14:paraId="2137B856" w14:textId="77777777" w:rsidR="00526ECF" w:rsidRPr="005545C3" w:rsidRDefault="00526ECF" w:rsidP="00BA499D">
            <w:pPr>
              <w:jc w:val="center"/>
              <w:rPr>
                <w:sz w:val="18"/>
                <w:szCs w:val="18"/>
                <w:lang w:eastAsia="hr-HR"/>
              </w:rPr>
            </w:pPr>
            <w:r w:rsidRPr="005545C3">
              <w:rPr>
                <w:sz w:val="18"/>
                <w:szCs w:val="18"/>
                <w:lang w:eastAsia="hr-HR"/>
              </w:rPr>
              <w:t>5.</w:t>
            </w:r>
          </w:p>
        </w:tc>
        <w:tc>
          <w:tcPr>
            <w:tcW w:w="4148" w:type="dxa"/>
            <w:shd w:val="clear" w:color="auto" w:fill="auto"/>
            <w:vAlign w:val="center"/>
            <w:hideMark/>
          </w:tcPr>
          <w:p w14:paraId="71A77B4E" w14:textId="77777777" w:rsidR="00526ECF" w:rsidRPr="005545C3" w:rsidRDefault="00526ECF" w:rsidP="00BA499D">
            <w:pPr>
              <w:rPr>
                <w:sz w:val="18"/>
                <w:szCs w:val="18"/>
                <w:lang w:eastAsia="hr-HR"/>
              </w:rPr>
            </w:pPr>
            <w:r w:rsidRPr="005545C3">
              <w:rPr>
                <w:sz w:val="18"/>
                <w:szCs w:val="18"/>
                <w:lang w:eastAsia="hr-HR"/>
              </w:rPr>
              <w:t>– za farmaceutska ispitivanja,</w:t>
            </w:r>
          </w:p>
        </w:tc>
        <w:tc>
          <w:tcPr>
            <w:tcW w:w="1276" w:type="dxa"/>
            <w:shd w:val="clear" w:color="auto" w:fill="auto"/>
            <w:noWrap/>
            <w:vAlign w:val="center"/>
          </w:tcPr>
          <w:p w14:paraId="413244CA" w14:textId="77777777" w:rsidR="00526ECF" w:rsidRPr="001F011A" w:rsidRDefault="00526ECF" w:rsidP="00BA499D">
            <w:pPr>
              <w:jc w:val="center"/>
              <w:rPr>
                <w:sz w:val="18"/>
              </w:rPr>
            </w:pPr>
            <w:r w:rsidRPr="00A244E7">
              <w:rPr>
                <w:bCs/>
                <w:sz w:val="20"/>
                <w:szCs w:val="20"/>
              </w:rPr>
              <w:t>0</w:t>
            </w:r>
          </w:p>
        </w:tc>
        <w:tc>
          <w:tcPr>
            <w:tcW w:w="1504" w:type="dxa"/>
            <w:tcBorders>
              <w:top w:val="nil"/>
              <w:left w:val="single" w:sz="4" w:space="0" w:color="auto"/>
              <w:bottom w:val="single" w:sz="4" w:space="0" w:color="auto"/>
              <w:right w:val="single" w:sz="4" w:space="0" w:color="auto"/>
            </w:tcBorders>
            <w:shd w:val="clear" w:color="auto" w:fill="auto"/>
            <w:noWrap/>
            <w:vAlign w:val="center"/>
          </w:tcPr>
          <w:p w14:paraId="4085D120" w14:textId="77777777" w:rsidR="00526ECF" w:rsidRPr="00A464D7" w:rsidRDefault="00526ECF" w:rsidP="00BA499D">
            <w:pPr>
              <w:jc w:val="center"/>
              <w:rPr>
                <w:sz w:val="18"/>
              </w:rPr>
            </w:pPr>
            <w:r w:rsidRPr="000F5298">
              <w:rPr>
                <w:bCs/>
                <w:sz w:val="20"/>
                <w:szCs w:val="20"/>
              </w:rPr>
              <w:t>0</w:t>
            </w:r>
          </w:p>
        </w:tc>
        <w:tc>
          <w:tcPr>
            <w:tcW w:w="1275" w:type="dxa"/>
            <w:shd w:val="clear" w:color="auto" w:fill="auto"/>
            <w:noWrap/>
            <w:vAlign w:val="center"/>
          </w:tcPr>
          <w:p w14:paraId="68B486FF" w14:textId="77777777" w:rsidR="00526ECF" w:rsidRPr="00A464D7" w:rsidRDefault="00526ECF" w:rsidP="00BA499D">
            <w:pPr>
              <w:jc w:val="center"/>
              <w:rPr>
                <w:sz w:val="18"/>
              </w:rPr>
            </w:pPr>
            <w:r>
              <w:rPr>
                <w:sz w:val="20"/>
                <w:szCs w:val="20"/>
              </w:rPr>
              <w:t>-</w:t>
            </w:r>
          </w:p>
        </w:tc>
      </w:tr>
      <w:tr w:rsidR="00526ECF" w:rsidRPr="00E27B57" w14:paraId="181770CE" w14:textId="77777777" w:rsidTr="00BA499D">
        <w:trPr>
          <w:gridAfter w:val="1"/>
          <w:wAfter w:w="1254" w:type="dxa"/>
          <w:trHeight w:val="142"/>
        </w:trPr>
        <w:tc>
          <w:tcPr>
            <w:tcW w:w="972" w:type="dxa"/>
            <w:shd w:val="clear" w:color="auto" w:fill="auto"/>
            <w:vAlign w:val="center"/>
            <w:hideMark/>
          </w:tcPr>
          <w:p w14:paraId="0D711E0A" w14:textId="77777777" w:rsidR="00526ECF" w:rsidRPr="005545C3" w:rsidRDefault="00526ECF" w:rsidP="00BA499D">
            <w:pPr>
              <w:jc w:val="center"/>
              <w:rPr>
                <w:sz w:val="18"/>
                <w:szCs w:val="18"/>
                <w:lang w:eastAsia="hr-HR"/>
              </w:rPr>
            </w:pPr>
            <w:r w:rsidRPr="005545C3">
              <w:rPr>
                <w:sz w:val="18"/>
                <w:szCs w:val="18"/>
                <w:lang w:eastAsia="hr-HR"/>
              </w:rPr>
              <w:t>6.</w:t>
            </w:r>
          </w:p>
        </w:tc>
        <w:tc>
          <w:tcPr>
            <w:tcW w:w="4148" w:type="dxa"/>
            <w:shd w:val="clear" w:color="auto" w:fill="auto"/>
            <w:vAlign w:val="center"/>
            <w:hideMark/>
          </w:tcPr>
          <w:p w14:paraId="479A20E7" w14:textId="77777777" w:rsidR="00526ECF" w:rsidRPr="005545C3" w:rsidRDefault="00526ECF" w:rsidP="00BA499D">
            <w:pPr>
              <w:rPr>
                <w:sz w:val="18"/>
                <w:szCs w:val="18"/>
                <w:lang w:eastAsia="hr-HR"/>
              </w:rPr>
            </w:pPr>
            <w:r w:rsidRPr="005545C3">
              <w:rPr>
                <w:sz w:val="18"/>
                <w:szCs w:val="18"/>
                <w:lang w:eastAsia="hr-HR"/>
              </w:rPr>
              <w:t>– za neklinička ispitivanja,</w:t>
            </w:r>
          </w:p>
        </w:tc>
        <w:tc>
          <w:tcPr>
            <w:tcW w:w="1276" w:type="dxa"/>
            <w:shd w:val="clear" w:color="auto" w:fill="auto"/>
            <w:noWrap/>
            <w:vAlign w:val="center"/>
          </w:tcPr>
          <w:p w14:paraId="7EED0B64" w14:textId="77777777" w:rsidR="00526ECF" w:rsidRPr="001F011A" w:rsidRDefault="00526ECF" w:rsidP="00BA499D">
            <w:pPr>
              <w:jc w:val="center"/>
              <w:rPr>
                <w:sz w:val="18"/>
              </w:rPr>
            </w:pPr>
            <w:r w:rsidRPr="00A244E7">
              <w:rPr>
                <w:bCs/>
                <w:sz w:val="20"/>
                <w:szCs w:val="20"/>
              </w:rPr>
              <w:t>0</w:t>
            </w:r>
          </w:p>
        </w:tc>
        <w:tc>
          <w:tcPr>
            <w:tcW w:w="1504" w:type="dxa"/>
            <w:tcBorders>
              <w:top w:val="nil"/>
              <w:left w:val="single" w:sz="4" w:space="0" w:color="auto"/>
              <w:bottom w:val="single" w:sz="4" w:space="0" w:color="auto"/>
              <w:right w:val="single" w:sz="4" w:space="0" w:color="auto"/>
            </w:tcBorders>
            <w:shd w:val="clear" w:color="auto" w:fill="auto"/>
            <w:noWrap/>
            <w:vAlign w:val="center"/>
          </w:tcPr>
          <w:p w14:paraId="66DAF47C" w14:textId="77777777" w:rsidR="00526ECF" w:rsidRPr="00A464D7" w:rsidRDefault="00526ECF" w:rsidP="00BA499D">
            <w:pPr>
              <w:jc w:val="center"/>
              <w:rPr>
                <w:sz w:val="18"/>
              </w:rPr>
            </w:pPr>
            <w:r w:rsidRPr="000F5298">
              <w:rPr>
                <w:bCs/>
                <w:sz w:val="20"/>
                <w:szCs w:val="20"/>
              </w:rPr>
              <w:t>0</w:t>
            </w:r>
          </w:p>
        </w:tc>
        <w:tc>
          <w:tcPr>
            <w:tcW w:w="1275" w:type="dxa"/>
            <w:shd w:val="clear" w:color="auto" w:fill="auto"/>
            <w:noWrap/>
            <w:vAlign w:val="center"/>
          </w:tcPr>
          <w:p w14:paraId="78E22E4E" w14:textId="77777777" w:rsidR="00526ECF" w:rsidRPr="00A464D7" w:rsidRDefault="00526ECF" w:rsidP="00BA499D">
            <w:pPr>
              <w:jc w:val="center"/>
              <w:rPr>
                <w:sz w:val="18"/>
              </w:rPr>
            </w:pPr>
            <w:r>
              <w:rPr>
                <w:sz w:val="20"/>
                <w:szCs w:val="20"/>
              </w:rPr>
              <w:t>-</w:t>
            </w:r>
          </w:p>
        </w:tc>
      </w:tr>
      <w:tr w:rsidR="00526ECF" w:rsidRPr="00E27B57" w14:paraId="253900E2" w14:textId="77777777" w:rsidTr="00BA499D">
        <w:trPr>
          <w:gridAfter w:val="1"/>
          <w:wAfter w:w="1254" w:type="dxa"/>
          <w:trHeight w:val="142"/>
        </w:trPr>
        <w:tc>
          <w:tcPr>
            <w:tcW w:w="972" w:type="dxa"/>
            <w:shd w:val="clear" w:color="auto" w:fill="auto"/>
            <w:vAlign w:val="center"/>
          </w:tcPr>
          <w:p w14:paraId="564F5C16" w14:textId="77777777" w:rsidR="00526ECF" w:rsidRPr="005545C3" w:rsidRDefault="00526ECF" w:rsidP="00BA499D">
            <w:pPr>
              <w:jc w:val="center"/>
              <w:rPr>
                <w:sz w:val="18"/>
                <w:szCs w:val="18"/>
                <w:lang w:eastAsia="hr-HR"/>
              </w:rPr>
            </w:pPr>
            <w:r>
              <w:rPr>
                <w:sz w:val="18"/>
                <w:szCs w:val="18"/>
                <w:lang w:eastAsia="hr-HR"/>
              </w:rPr>
              <w:t>7.</w:t>
            </w:r>
          </w:p>
        </w:tc>
        <w:tc>
          <w:tcPr>
            <w:tcW w:w="4148" w:type="dxa"/>
            <w:shd w:val="clear" w:color="auto" w:fill="auto"/>
            <w:vAlign w:val="center"/>
          </w:tcPr>
          <w:p w14:paraId="3D8C9C3F" w14:textId="77777777" w:rsidR="00526ECF" w:rsidRPr="005545C3" w:rsidRDefault="00526ECF" w:rsidP="00BA499D">
            <w:pPr>
              <w:rPr>
                <w:sz w:val="18"/>
                <w:szCs w:val="18"/>
                <w:lang w:eastAsia="hr-HR"/>
              </w:rPr>
            </w:pPr>
            <w:r>
              <w:rPr>
                <w:sz w:val="18"/>
                <w:szCs w:val="18"/>
                <w:lang w:eastAsia="hr-HR"/>
              </w:rPr>
              <w:t xml:space="preserve">– za </w:t>
            </w:r>
            <w:r w:rsidRPr="005545C3">
              <w:rPr>
                <w:sz w:val="18"/>
                <w:szCs w:val="18"/>
                <w:lang w:eastAsia="hr-HR"/>
              </w:rPr>
              <w:t>klinička ispitivanja,</w:t>
            </w:r>
          </w:p>
        </w:tc>
        <w:tc>
          <w:tcPr>
            <w:tcW w:w="1276" w:type="dxa"/>
            <w:shd w:val="clear" w:color="auto" w:fill="auto"/>
            <w:noWrap/>
            <w:vAlign w:val="center"/>
          </w:tcPr>
          <w:p w14:paraId="5652F813" w14:textId="77777777" w:rsidR="00526ECF" w:rsidRPr="001F011A" w:rsidRDefault="00526ECF" w:rsidP="00BA499D">
            <w:pPr>
              <w:jc w:val="center"/>
              <w:rPr>
                <w:sz w:val="18"/>
              </w:rPr>
            </w:pPr>
            <w:r w:rsidRPr="00A244E7">
              <w:rPr>
                <w:bCs/>
                <w:sz w:val="20"/>
                <w:szCs w:val="20"/>
              </w:rPr>
              <w:t>96</w:t>
            </w:r>
          </w:p>
        </w:tc>
        <w:tc>
          <w:tcPr>
            <w:tcW w:w="1504" w:type="dxa"/>
            <w:tcBorders>
              <w:top w:val="nil"/>
              <w:left w:val="single" w:sz="4" w:space="0" w:color="auto"/>
              <w:bottom w:val="single" w:sz="4" w:space="0" w:color="auto"/>
              <w:right w:val="single" w:sz="4" w:space="0" w:color="auto"/>
            </w:tcBorders>
            <w:shd w:val="clear" w:color="auto" w:fill="auto"/>
            <w:noWrap/>
            <w:vAlign w:val="center"/>
          </w:tcPr>
          <w:p w14:paraId="4803CCEA" w14:textId="77777777" w:rsidR="00526ECF" w:rsidRPr="00A464D7" w:rsidRDefault="00526ECF" w:rsidP="00BA499D">
            <w:pPr>
              <w:jc w:val="center"/>
              <w:rPr>
                <w:sz w:val="18"/>
              </w:rPr>
            </w:pPr>
            <w:r w:rsidRPr="000F5298">
              <w:rPr>
                <w:bCs/>
                <w:sz w:val="20"/>
                <w:szCs w:val="20"/>
              </w:rPr>
              <w:t>114</w:t>
            </w:r>
          </w:p>
        </w:tc>
        <w:tc>
          <w:tcPr>
            <w:tcW w:w="1275" w:type="dxa"/>
            <w:shd w:val="clear" w:color="auto" w:fill="auto"/>
            <w:noWrap/>
            <w:vAlign w:val="center"/>
          </w:tcPr>
          <w:p w14:paraId="54D908F2" w14:textId="77777777" w:rsidR="00526ECF" w:rsidRPr="00A464D7" w:rsidRDefault="00526ECF" w:rsidP="00BA499D">
            <w:pPr>
              <w:jc w:val="center"/>
              <w:rPr>
                <w:sz w:val="18"/>
              </w:rPr>
            </w:pPr>
            <w:r w:rsidRPr="00A464D7">
              <w:rPr>
                <w:sz w:val="20"/>
                <w:szCs w:val="20"/>
              </w:rPr>
              <w:t>119%</w:t>
            </w:r>
          </w:p>
        </w:tc>
      </w:tr>
      <w:tr w:rsidR="00526ECF" w:rsidRPr="00E27B57" w14:paraId="2C119E21" w14:textId="77777777" w:rsidTr="00BA499D">
        <w:trPr>
          <w:gridAfter w:val="1"/>
          <w:wAfter w:w="1254" w:type="dxa"/>
          <w:trHeight w:val="142"/>
        </w:trPr>
        <w:tc>
          <w:tcPr>
            <w:tcW w:w="972" w:type="dxa"/>
            <w:shd w:val="clear" w:color="auto" w:fill="auto"/>
            <w:vAlign w:val="center"/>
            <w:hideMark/>
          </w:tcPr>
          <w:p w14:paraId="16E3B732" w14:textId="77777777" w:rsidR="00526ECF" w:rsidRPr="005545C3" w:rsidRDefault="00526ECF" w:rsidP="00BA499D">
            <w:pPr>
              <w:jc w:val="center"/>
              <w:rPr>
                <w:sz w:val="18"/>
                <w:szCs w:val="18"/>
                <w:lang w:eastAsia="hr-HR"/>
              </w:rPr>
            </w:pPr>
            <w:r>
              <w:rPr>
                <w:sz w:val="18"/>
                <w:szCs w:val="18"/>
                <w:lang w:eastAsia="hr-HR"/>
              </w:rPr>
              <w:t>8.</w:t>
            </w:r>
          </w:p>
        </w:tc>
        <w:tc>
          <w:tcPr>
            <w:tcW w:w="4148" w:type="dxa"/>
            <w:shd w:val="clear" w:color="auto" w:fill="auto"/>
            <w:vAlign w:val="center"/>
            <w:hideMark/>
          </w:tcPr>
          <w:p w14:paraId="38F7AB84" w14:textId="77777777" w:rsidR="00526ECF" w:rsidRPr="005545C3" w:rsidRDefault="00526ECF" w:rsidP="00BA499D">
            <w:pPr>
              <w:rPr>
                <w:sz w:val="18"/>
                <w:szCs w:val="18"/>
                <w:lang w:eastAsia="hr-HR"/>
              </w:rPr>
            </w:pPr>
            <w:r w:rsidRPr="005545C3">
              <w:rPr>
                <w:sz w:val="18"/>
                <w:szCs w:val="18"/>
                <w:lang w:eastAsia="hr-HR"/>
              </w:rPr>
              <w:t>– za slučaj elementarnih nepogoda ili drugih izvanrednih stanja,</w:t>
            </w:r>
          </w:p>
        </w:tc>
        <w:tc>
          <w:tcPr>
            <w:tcW w:w="1276" w:type="dxa"/>
            <w:shd w:val="clear" w:color="auto" w:fill="auto"/>
            <w:noWrap/>
            <w:vAlign w:val="center"/>
          </w:tcPr>
          <w:p w14:paraId="107BC331" w14:textId="77777777" w:rsidR="00526ECF" w:rsidRPr="001F011A" w:rsidRDefault="00526ECF" w:rsidP="00BA499D">
            <w:pPr>
              <w:jc w:val="center"/>
              <w:rPr>
                <w:sz w:val="18"/>
              </w:rPr>
            </w:pPr>
            <w:r w:rsidRPr="00A244E7">
              <w:rPr>
                <w:bCs/>
                <w:sz w:val="20"/>
                <w:szCs w:val="20"/>
              </w:rPr>
              <w:t>0</w:t>
            </w:r>
          </w:p>
        </w:tc>
        <w:tc>
          <w:tcPr>
            <w:tcW w:w="1504" w:type="dxa"/>
            <w:tcBorders>
              <w:top w:val="nil"/>
              <w:left w:val="single" w:sz="4" w:space="0" w:color="auto"/>
              <w:bottom w:val="single" w:sz="4" w:space="0" w:color="auto"/>
              <w:right w:val="single" w:sz="4" w:space="0" w:color="auto"/>
            </w:tcBorders>
            <w:shd w:val="clear" w:color="auto" w:fill="auto"/>
            <w:noWrap/>
            <w:vAlign w:val="center"/>
          </w:tcPr>
          <w:p w14:paraId="76FBF947" w14:textId="77777777" w:rsidR="00526ECF" w:rsidRPr="00A464D7" w:rsidRDefault="00526ECF" w:rsidP="00BA499D">
            <w:pPr>
              <w:jc w:val="center"/>
              <w:rPr>
                <w:sz w:val="18"/>
              </w:rPr>
            </w:pPr>
            <w:r w:rsidRPr="000F5298">
              <w:rPr>
                <w:bCs/>
                <w:sz w:val="20"/>
                <w:szCs w:val="20"/>
              </w:rPr>
              <w:t>0</w:t>
            </w:r>
          </w:p>
        </w:tc>
        <w:tc>
          <w:tcPr>
            <w:tcW w:w="1275" w:type="dxa"/>
            <w:shd w:val="clear" w:color="auto" w:fill="auto"/>
            <w:noWrap/>
            <w:vAlign w:val="center"/>
          </w:tcPr>
          <w:p w14:paraId="3B9707C3" w14:textId="77777777" w:rsidR="00526ECF" w:rsidRPr="00A464D7" w:rsidRDefault="00526ECF" w:rsidP="00BA499D">
            <w:pPr>
              <w:jc w:val="center"/>
              <w:rPr>
                <w:sz w:val="18"/>
              </w:rPr>
            </w:pPr>
            <w:r>
              <w:rPr>
                <w:sz w:val="20"/>
                <w:szCs w:val="20"/>
              </w:rPr>
              <w:t>-</w:t>
            </w:r>
          </w:p>
        </w:tc>
      </w:tr>
      <w:tr w:rsidR="00526ECF" w:rsidRPr="00E27B57" w14:paraId="3F8B4F2A" w14:textId="77777777" w:rsidTr="00BA499D">
        <w:trPr>
          <w:gridAfter w:val="1"/>
          <w:wAfter w:w="1254" w:type="dxa"/>
          <w:trHeight w:val="142"/>
        </w:trPr>
        <w:tc>
          <w:tcPr>
            <w:tcW w:w="972" w:type="dxa"/>
            <w:shd w:val="clear" w:color="auto" w:fill="auto"/>
            <w:vAlign w:val="center"/>
            <w:hideMark/>
          </w:tcPr>
          <w:p w14:paraId="3AEC2D1C" w14:textId="77777777" w:rsidR="00526ECF" w:rsidRPr="005545C3" w:rsidRDefault="00526ECF" w:rsidP="00BA499D">
            <w:pPr>
              <w:jc w:val="center"/>
              <w:rPr>
                <w:color w:val="1A1A1A"/>
                <w:sz w:val="18"/>
                <w:szCs w:val="18"/>
                <w:lang w:eastAsia="hr-HR"/>
              </w:rPr>
            </w:pPr>
            <w:r>
              <w:rPr>
                <w:color w:val="1A1A1A"/>
                <w:sz w:val="18"/>
                <w:szCs w:val="18"/>
                <w:lang w:eastAsia="hr-HR"/>
              </w:rPr>
              <w:t>9</w:t>
            </w:r>
            <w:r w:rsidRPr="005545C3">
              <w:rPr>
                <w:color w:val="1A1A1A"/>
                <w:sz w:val="18"/>
                <w:szCs w:val="18"/>
                <w:lang w:eastAsia="hr-HR"/>
              </w:rPr>
              <w:t>.</w:t>
            </w:r>
          </w:p>
        </w:tc>
        <w:tc>
          <w:tcPr>
            <w:tcW w:w="4148" w:type="dxa"/>
            <w:shd w:val="clear" w:color="auto" w:fill="auto"/>
            <w:vAlign w:val="center"/>
            <w:hideMark/>
          </w:tcPr>
          <w:p w14:paraId="118B4BD7" w14:textId="77777777" w:rsidR="00526ECF" w:rsidRPr="005545C3" w:rsidRDefault="00526ECF" w:rsidP="00BA499D">
            <w:pPr>
              <w:rPr>
                <w:color w:val="1A1A1A"/>
                <w:sz w:val="18"/>
                <w:szCs w:val="18"/>
                <w:lang w:eastAsia="hr-HR"/>
              </w:rPr>
            </w:pPr>
            <w:r w:rsidRPr="005545C3">
              <w:rPr>
                <w:color w:val="1A1A1A"/>
                <w:sz w:val="18"/>
                <w:szCs w:val="18"/>
                <w:lang w:eastAsia="hr-HR"/>
              </w:rPr>
              <w:t>– za nužne slučajeve pojedinačnog liječenja lijekom koji je na vlastitu odgovornost propisao doktor medicine ili doktor dentalne medicine koji provodi liječenje.</w:t>
            </w:r>
          </w:p>
        </w:tc>
        <w:tc>
          <w:tcPr>
            <w:tcW w:w="1276" w:type="dxa"/>
            <w:shd w:val="clear" w:color="auto" w:fill="auto"/>
            <w:noWrap/>
            <w:vAlign w:val="center"/>
          </w:tcPr>
          <w:p w14:paraId="27E92138" w14:textId="77777777" w:rsidR="00526ECF" w:rsidRPr="001F011A" w:rsidRDefault="00526ECF" w:rsidP="00BA499D">
            <w:pPr>
              <w:jc w:val="center"/>
              <w:rPr>
                <w:sz w:val="18"/>
              </w:rPr>
            </w:pPr>
            <w:r w:rsidRPr="00A244E7">
              <w:rPr>
                <w:bCs/>
                <w:sz w:val="20"/>
                <w:szCs w:val="20"/>
              </w:rPr>
              <w:t>480</w:t>
            </w:r>
          </w:p>
        </w:tc>
        <w:tc>
          <w:tcPr>
            <w:tcW w:w="1504" w:type="dxa"/>
            <w:tcBorders>
              <w:top w:val="nil"/>
              <w:left w:val="single" w:sz="4" w:space="0" w:color="auto"/>
              <w:bottom w:val="single" w:sz="4" w:space="0" w:color="auto"/>
              <w:right w:val="single" w:sz="4" w:space="0" w:color="auto"/>
            </w:tcBorders>
            <w:shd w:val="clear" w:color="auto" w:fill="auto"/>
            <w:noWrap/>
            <w:vAlign w:val="center"/>
          </w:tcPr>
          <w:p w14:paraId="35AC17F8" w14:textId="77777777" w:rsidR="00526ECF" w:rsidRPr="00A464D7" w:rsidRDefault="00526ECF" w:rsidP="00BA499D">
            <w:pPr>
              <w:jc w:val="center"/>
              <w:rPr>
                <w:sz w:val="18"/>
              </w:rPr>
            </w:pPr>
            <w:r w:rsidRPr="000F5298">
              <w:rPr>
                <w:bCs/>
                <w:sz w:val="20"/>
                <w:szCs w:val="20"/>
              </w:rPr>
              <w:t>463</w:t>
            </w:r>
          </w:p>
        </w:tc>
        <w:tc>
          <w:tcPr>
            <w:tcW w:w="1275" w:type="dxa"/>
            <w:shd w:val="clear" w:color="auto" w:fill="auto"/>
            <w:noWrap/>
            <w:vAlign w:val="center"/>
          </w:tcPr>
          <w:p w14:paraId="26204888" w14:textId="77777777" w:rsidR="00526ECF" w:rsidRPr="00A464D7" w:rsidRDefault="00526ECF" w:rsidP="00BA499D">
            <w:pPr>
              <w:jc w:val="center"/>
              <w:rPr>
                <w:sz w:val="18"/>
              </w:rPr>
            </w:pPr>
            <w:r w:rsidRPr="00A464D7">
              <w:rPr>
                <w:sz w:val="20"/>
                <w:szCs w:val="20"/>
              </w:rPr>
              <w:t>96%</w:t>
            </w:r>
          </w:p>
        </w:tc>
      </w:tr>
      <w:tr w:rsidR="00526ECF" w:rsidRPr="00E27B57" w14:paraId="0B14C002" w14:textId="77777777" w:rsidTr="00BA499D">
        <w:trPr>
          <w:gridAfter w:val="1"/>
          <w:wAfter w:w="1254" w:type="dxa"/>
          <w:trHeight w:val="142"/>
        </w:trPr>
        <w:tc>
          <w:tcPr>
            <w:tcW w:w="972" w:type="dxa"/>
            <w:shd w:val="clear" w:color="auto" w:fill="auto"/>
            <w:vAlign w:val="center"/>
            <w:hideMark/>
          </w:tcPr>
          <w:p w14:paraId="5E68DC37" w14:textId="77777777" w:rsidR="00526ECF" w:rsidRPr="005545C3" w:rsidRDefault="00526ECF" w:rsidP="00BA499D">
            <w:pPr>
              <w:jc w:val="center"/>
              <w:rPr>
                <w:color w:val="1A1A1A"/>
                <w:sz w:val="18"/>
                <w:szCs w:val="18"/>
                <w:lang w:eastAsia="hr-HR"/>
              </w:rPr>
            </w:pPr>
            <w:r>
              <w:rPr>
                <w:color w:val="1A1A1A"/>
                <w:sz w:val="18"/>
                <w:szCs w:val="18"/>
                <w:lang w:eastAsia="hr-HR"/>
              </w:rPr>
              <w:t>10.</w:t>
            </w:r>
          </w:p>
        </w:tc>
        <w:tc>
          <w:tcPr>
            <w:tcW w:w="4148" w:type="dxa"/>
            <w:shd w:val="clear" w:color="auto" w:fill="auto"/>
            <w:vAlign w:val="center"/>
            <w:hideMark/>
          </w:tcPr>
          <w:p w14:paraId="77D521A3" w14:textId="77777777" w:rsidR="00526ECF" w:rsidRPr="005545C3" w:rsidRDefault="00526ECF" w:rsidP="00BA499D">
            <w:pPr>
              <w:rPr>
                <w:color w:val="1A1A1A"/>
                <w:sz w:val="18"/>
                <w:szCs w:val="18"/>
                <w:lang w:eastAsia="hr-HR"/>
              </w:rPr>
            </w:pPr>
            <w:r w:rsidRPr="005545C3">
              <w:rPr>
                <w:color w:val="1A1A1A"/>
                <w:sz w:val="18"/>
                <w:szCs w:val="18"/>
                <w:lang w:eastAsia="hr-HR"/>
              </w:rPr>
              <w:t>Suglasnost za unošenje/uvoz odobrenog lijeka:</w:t>
            </w:r>
            <w:r>
              <w:rPr>
                <w:color w:val="1A1A1A"/>
                <w:sz w:val="18"/>
                <w:szCs w:val="18"/>
                <w:lang w:eastAsia="hr-HR"/>
              </w:rPr>
              <w:t xml:space="preserve">                             </w:t>
            </w:r>
            <w:r w:rsidRPr="005545C3">
              <w:rPr>
                <w:color w:val="1A1A1A"/>
                <w:sz w:val="18"/>
                <w:szCs w:val="18"/>
                <w:lang w:eastAsia="hr-HR"/>
              </w:rPr>
              <w:t xml:space="preserve"> - </w:t>
            </w:r>
            <w:r w:rsidRPr="00722C0C">
              <w:rPr>
                <w:color w:val="1A1A1A"/>
                <w:sz w:val="18"/>
                <w:szCs w:val="18"/>
                <w:lang w:eastAsia="hr-HR"/>
              </w:rPr>
              <w:t>ljudske</w:t>
            </w:r>
            <w:r w:rsidRPr="005545C3">
              <w:rPr>
                <w:color w:val="1A1A1A"/>
                <w:sz w:val="18"/>
                <w:szCs w:val="18"/>
                <w:lang w:eastAsia="hr-HR"/>
              </w:rPr>
              <w:t xml:space="preserve"> krvi ili ljudske plazme</w:t>
            </w:r>
            <w:r>
              <w:rPr>
                <w:color w:val="1A1A1A"/>
                <w:sz w:val="18"/>
                <w:szCs w:val="18"/>
                <w:lang w:eastAsia="hr-HR"/>
              </w:rPr>
              <w:t xml:space="preserve">                                               </w:t>
            </w:r>
            <w:r w:rsidRPr="005545C3">
              <w:rPr>
                <w:color w:val="1A1A1A"/>
                <w:sz w:val="18"/>
                <w:szCs w:val="18"/>
                <w:lang w:eastAsia="hr-HR"/>
              </w:rPr>
              <w:t>-imunološkog lijeka</w:t>
            </w:r>
            <w:r>
              <w:rPr>
                <w:color w:val="1A1A1A"/>
                <w:sz w:val="18"/>
                <w:szCs w:val="18"/>
                <w:lang w:eastAsia="hr-HR"/>
              </w:rPr>
              <w:t xml:space="preserve">                                                          </w:t>
            </w:r>
            <w:r w:rsidRPr="005545C3">
              <w:rPr>
                <w:color w:val="1A1A1A"/>
                <w:sz w:val="18"/>
                <w:szCs w:val="18"/>
                <w:lang w:eastAsia="hr-HR"/>
              </w:rPr>
              <w:t xml:space="preserve"> -radiofarmaceutika</w:t>
            </w:r>
          </w:p>
        </w:tc>
        <w:tc>
          <w:tcPr>
            <w:tcW w:w="1276" w:type="dxa"/>
            <w:shd w:val="clear" w:color="auto" w:fill="auto"/>
            <w:noWrap/>
            <w:vAlign w:val="center"/>
          </w:tcPr>
          <w:p w14:paraId="46786D7D" w14:textId="77777777" w:rsidR="00526ECF" w:rsidRPr="001F011A" w:rsidRDefault="00526ECF" w:rsidP="00BA499D">
            <w:pPr>
              <w:jc w:val="center"/>
              <w:rPr>
                <w:sz w:val="18"/>
              </w:rPr>
            </w:pPr>
            <w:r w:rsidRPr="00A244E7">
              <w:rPr>
                <w:bCs/>
                <w:sz w:val="20"/>
                <w:szCs w:val="20"/>
              </w:rPr>
              <w:t>36</w:t>
            </w:r>
          </w:p>
        </w:tc>
        <w:tc>
          <w:tcPr>
            <w:tcW w:w="1504" w:type="dxa"/>
            <w:tcBorders>
              <w:top w:val="nil"/>
              <w:left w:val="single" w:sz="4" w:space="0" w:color="auto"/>
              <w:bottom w:val="single" w:sz="4" w:space="0" w:color="auto"/>
              <w:right w:val="single" w:sz="4" w:space="0" w:color="auto"/>
            </w:tcBorders>
            <w:shd w:val="clear" w:color="auto" w:fill="auto"/>
            <w:noWrap/>
            <w:vAlign w:val="center"/>
          </w:tcPr>
          <w:p w14:paraId="150D373E" w14:textId="77777777" w:rsidR="00526ECF" w:rsidRPr="00A464D7" w:rsidRDefault="00526ECF" w:rsidP="00BA499D">
            <w:pPr>
              <w:jc w:val="center"/>
              <w:rPr>
                <w:sz w:val="18"/>
              </w:rPr>
            </w:pPr>
            <w:r w:rsidRPr="000F5298">
              <w:rPr>
                <w:bCs/>
                <w:sz w:val="20"/>
                <w:szCs w:val="20"/>
              </w:rPr>
              <w:t>37</w:t>
            </w:r>
          </w:p>
        </w:tc>
        <w:tc>
          <w:tcPr>
            <w:tcW w:w="1275" w:type="dxa"/>
            <w:shd w:val="clear" w:color="auto" w:fill="auto"/>
            <w:noWrap/>
            <w:vAlign w:val="center"/>
          </w:tcPr>
          <w:p w14:paraId="370D0F67" w14:textId="77777777" w:rsidR="00526ECF" w:rsidRPr="00A464D7" w:rsidRDefault="00526ECF" w:rsidP="00BA499D">
            <w:pPr>
              <w:jc w:val="center"/>
              <w:rPr>
                <w:sz w:val="18"/>
              </w:rPr>
            </w:pPr>
            <w:r w:rsidRPr="00A464D7">
              <w:rPr>
                <w:sz w:val="20"/>
                <w:szCs w:val="20"/>
              </w:rPr>
              <w:t>103%</w:t>
            </w:r>
          </w:p>
        </w:tc>
      </w:tr>
      <w:tr w:rsidR="00526ECF" w:rsidRPr="00E27B57" w14:paraId="0A26926B" w14:textId="77777777" w:rsidTr="00BA499D">
        <w:trPr>
          <w:gridAfter w:val="1"/>
          <w:wAfter w:w="1254" w:type="dxa"/>
          <w:trHeight w:val="142"/>
        </w:trPr>
        <w:tc>
          <w:tcPr>
            <w:tcW w:w="972" w:type="dxa"/>
            <w:shd w:val="clear" w:color="auto" w:fill="auto"/>
            <w:vAlign w:val="center"/>
            <w:hideMark/>
          </w:tcPr>
          <w:p w14:paraId="3616BB2F" w14:textId="77777777" w:rsidR="00526ECF" w:rsidRPr="005545C3" w:rsidRDefault="00526ECF" w:rsidP="00BA499D">
            <w:pPr>
              <w:jc w:val="center"/>
              <w:rPr>
                <w:color w:val="1A1A1A"/>
                <w:sz w:val="18"/>
                <w:szCs w:val="18"/>
                <w:lang w:eastAsia="hr-HR"/>
              </w:rPr>
            </w:pPr>
            <w:r>
              <w:rPr>
                <w:color w:val="1A1A1A"/>
                <w:sz w:val="18"/>
                <w:szCs w:val="18"/>
                <w:lang w:eastAsia="hr-HR"/>
              </w:rPr>
              <w:t>11.</w:t>
            </w:r>
          </w:p>
        </w:tc>
        <w:tc>
          <w:tcPr>
            <w:tcW w:w="4148" w:type="dxa"/>
            <w:shd w:val="clear" w:color="auto" w:fill="auto"/>
            <w:vAlign w:val="center"/>
            <w:hideMark/>
          </w:tcPr>
          <w:p w14:paraId="2117C53B" w14:textId="77777777" w:rsidR="00526ECF" w:rsidRPr="005545C3" w:rsidRDefault="00526ECF" w:rsidP="00BA499D">
            <w:pPr>
              <w:rPr>
                <w:color w:val="1A1A1A"/>
                <w:sz w:val="18"/>
                <w:szCs w:val="18"/>
                <w:lang w:eastAsia="hr-HR"/>
              </w:rPr>
            </w:pPr>
            <w:r w:rsidRPr="005545C3">
              <w:rPr>
                <w:color w:val="1A1A1A"/>
                <w:sz w:val="18"/>
                <w:szCs w:val="18"/>
                <w:lang w:eastAsia="hr-HR"/>
              </w:rPr>
              <w:t>Potvrda o lijeku (CPP)</w:t>
            </w:r>
          </w:p>
        </w:tc>
        <w:tc>
          <w:tcPr>
            <w:tcW w:w="1276" w:type="dxa"/>
            <w:shd w:val="clear" w:color="auto" w:fill="auto"/>
            <w:noWrap/>
            <w:vAlign w:val="center"/>
          </w:tcPr>
          <w:p w14:paraId="27F62308" w14:textId="77777777" w:rsidR="00526ECF" w:rsidRPr="001F011A" w:rsidRDefault="00526ECF" w:rsidP="00BA499D">
            <w:pPr>
              <w:jc w:val="center"/>
              <w:rPr>
                <w:sz w:val="18"/>
              </w:rPr>
            </w:pPr>
            <w:r w:rsidRPr="00A244E7">
              <w:rPr>
                <w:bCs/>
                <w:sz w:val="20"/>
                <w:szCs w:val="20"/>
              </w:rPr>
              <w:t>270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AA9F08" w14:textId="77777777" w:rsidR="00526ECF" w:rsidRPr="00A464D7" w:rsidRDefault="00526ECF" w:rsidP="00BA499D">
            <w:pPr>
              <w:jc w:val="center"/>
              <w:rPr>
                <w:sz w:val="18"/>
              </w:rPr>
            </w:pPr>
            <w:r w:rsidRPr="000F5298">
              <w:rPr>
                <w:bCs/>
                <w:sz w:val="20"/>
                <w:szCs w:val="20"/>
              </w:rPr>
              <w:t>314</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4A3C76E" w14:textId="77777777" w:rsidR="00526ECF" w:rsidRPr="00A464D7" w:rsidRDefault="00526ECF" w:rsidP="00BA499D">
            <w:pPr>
              <w:jc w:val="center"/>
              <w:rPr>
                <w:sz w:val="18"/>
              </w:rPr>
            </w:pPr>
            <w:r w:rsidRPr="00A464D7">
              <w:rPr>
                <w:sz w:val="20"/>
                <w:szCs w:val="20"/>
              </w:rPr>
              <w:t>116%</w:t>
            </w:r>
          </w:p>
        </w:tc>
      </w:tr>
      <w:tr w:rsidR="00526ECF" w:rsidRPr="00E27B57" w14:paraId="23302E9D" w14:textId="77777777" w:rsidTr="00BA499D">
        <w:trPr>
          <w:gridAfter w:val="1"/>
          <w:wAfter w:w="1254" w:type="dxa"/>
          <w:trHeight w:val="142"/>
        </w:trPr>
        <w:tc>
          <w:tcPr>
            <w:tcW w:w="972" w:type="dxa"/>
            <w:shd w:val="clear" w:color="auto" w:fill="auto"/>
            <w:vAlign w:val="center"/>
            <w:hideMark/>
          </w:tcPr>
          <w:p w14:paraId="04CBC2FB" w14:textId="77777777" w:rsidR="00526ECF" w:rsidRPr="005545C3" w:rsidRDefault="00526ECF" w:rsidP="00BA499D">
            <w:pPr>
              <w:jc w:val="center"/>
              <w:rPr>
                <w:color w:val="1A1A1A"/>
                <w:sz w:val="18"/>
                <w:szCs w:val="18"/>
                <w:lang w:eastAsia="hr-HR"/>
              </w:rPr>
            </w:pPr>
            <w:r>
              <w:rPr>
                <w:color w:val="1A1A1A"/>
                <w:sz w:val="18"/>
                <w:szCs w:val="18"/>
                <w:lang w:eastAsia="hr-HR"/>
              </w:rPr>
              <w:t>12</w:t>
            </w:r>
            <w:r w:rsidRPr="005545C3">
              <w:rPr>
                <w:color w:val="1A1A1A"/>
                <w:sz w:val="18"/>
                <w:szCs w:val="18"/>
                <w:lang w:eastAsia="hr-HR"/>
              </w:rPr>
              <w:t>.</w:t>
            </w:r>
          </w:p>
        </w:tc>
        <w:tc>
          <w:tcPr>
            <w:tcW w:w="4148" w:type="dxa"/>
            <w:shd w:val="clear" w:color="auto" w:fill="auto"/>
            <w:vAlign w:val="center"/>
            <w:hideMark/>
          </w:tcPr>
          <w:p w14:paraId="1803BBD4" w14:textId="77777777" w:rsidR="00526ECF" w:rsidRPr="005545C3" w:rsidRDefault="00526ECF" w:rsidP="00BA499D">
            <w:pPr>
              <w:rPr>
                <w:color w:val="1A1A1A"/>
                <w:sz w:val="18"/>
                <w:szCs w:val="18"/>
                <w:lang w:eastAsia="hr-HR"/>
              </w:rPr>
            </w:pPr>
            <w:r w:rsidRPr="005545C3">
              <w:rPr>
                <w:color w:val="1A1A1A"/>
                <w:sz w:val="18"/>
                <w:szCs w:val="18"/>
                <w:lang w:eastAsia="hr-HR"/>
              </w:rPr>
              <w:t>Potvrda o slobodnoj prodaji (FSC)</w:t>
            </w:r>
          </w:p>
        </w:tc>
        <w:tc>
          <w:tcPr>
            <w:tcW w:w="1276" w:type="dxa"/>
            <w:shd w:val="clear" w:color="auto" w:fill="auto"/>
            <w:noWrap/>
            <w:vAlign w:val="center"/>
          </w:tcPr>
          <w:p w14:paraId="624960AC" w14:textId="77777777" w:rsidR="00526ECF" w:rsidRPr="001F011A" w:rsidRDefault="00526ECF" w:rsidP="00BA499D">
            <w:pPr>
              <w:jc w:val="center"/>
              <w:rPr>
                <w:sz w:val="18"/>
              </w:rPr>
            </w:pPr>
            <w:r w:rsidRPr="00A244E7">
              <w:rPr>
                <w:bCs/>
                <w:sz w:val="20"/>
                <w:szCs w:val="20"/>
              </w:rPr>
              <w:t>1</w:t>
            </w:r>
          </w:p>
        </w:tc>
        <w:tc>
          <w:tcPr>
            <w:tcW w:w="1504" w:type="dxa"/>
            <w:tcBorders>
              <w:top w:val="nil"/>
              <w:left w:val="single" w:sz="4" w:space="0" w:color="auto"/>
              <w:bottom w:val="single" w:sz="4" w:space="0" w:color="auto"/>
              <w:right w:val="single" w:sz="4" w:space="0" w:color="auto"/>
            </w:tcBorders>
            <w:shd w:val="clear" w:color="auto" w:fill="auto"/>
            <w:noWrap/>
            <w:vAlign w:val="center"/>
          </w:tcPr>
          <w:p w14:paraId="340E8A37" w14:textId="77777777" w:rsidR="00526ECF" w:rsidRPr="00A464D7" w:rsidRDefault="00526ECF" w:rsidP="00BA499D">
            <w:pPr>
              <w:jc w:val="center"/>
              <w:rPr>
                <w:sz w:val="18"/>
              </w:rPr>
            </w:pPr>
            <w:r w:rsidRPr="000F5298">
              <w:rPr>
                <w:bCs/>
                <w:sz w:val="20"/>
                <w:szCs w:val="20"/>
              </w:rPr>
              <w:t>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CD930C1" w14:textId="77777777" w:rsidR="00526ECF" w:rsidRPr="00A464D7" w:rsidRDefault="00526ECF" w:rsidP="00BA499D">
            <w:pPr>
              <w:jc w:val="center"/>
              <w:rPr>
                <w:sz w:val="18"/>
              </w:rPr>
            </w:pPr>
            <w:r w:rsidRPr="00A464D7">
              <w:rPr>
                <w:sz w:val="20"/>
                <w:szCs w:val="20"/>
              </w:rPr>
              <w:t>0%</w:t>
            </w:r>
          </w:p>
        </w:tc>
      </w:tr>
      <w:tr w:rsidR="00526ECF" w:rsidRPr="00E27B57" w14:paraId="2130FDF0" w14:textId="77777777" w:rsidTr="00BA499D">
        <w:trPr>
          <w:gridAfter w:val="1"/>
          <w:wAfter w:w="1254" w:type="dxa"/>
          <w:trHeight w:val="142"/>
        </w:trPr>
        <w:tc>
          <w:tcPr>
            <w:tcW w:w="972" w:type="dxa"/>
            <w:shd w:val="clear" w:color="auto" w:fill="auto"/>
            <w:noWrap/>
            <w:vAlign w:val="center"/>
            <w:hideMark/>
          </w:tcPr>
          <w:p w14:paraId="0A78EFFD" w14:textId="77777777" w:rsidR="00526ECF" w:rsidRPr="005545C3" w:rsidRDefault="00526ECF" w:rsidP="00BA499D">
            <w:pPr>
              <w:jc w:val="center"/>
              <w:rPr>
                <w:color w:val="1A1A1A"/>
                <w:sz w:val="18"/>
                <w:szCs w:val="18"/>
                <w:lang w:eastAsia="hr-HR"/>
              </w:rPr>
            </w:pPr>
            <w:r>
              <w:rPr>
                <w:color w:val="1A1A1A"/>
                <w:sz w:val="18"/>
                <w:szCs w:val="18"/>
                <w:lang w:eastAsia="hr-HR"/>
              </w:rPr>
              <w:t>13</w:t>
            </w:r>
            <w:r w:rsidRPr="005545C3">
              <w:rPr>
                <w:color w:val="1A1A1A"/>
                <w:sz w:val="18"/>
                <w:szCs w:val="18"/>
                <w:lang w:eastAsia="hr-HR"/>
              </w:rPr>
              <w:t>.</w:t>
            </w:r>
          </w:p>
        </w:tc>
        <w:tc>
          <w:tcPr>
            <w:tcW w:w="4148" w:type="dxa"/>
            <w:shd w:val="clear" w:color="auto" w:fill="auto"/>
            <w:vAlign w:val="center"/>
            <w:hideMark/>
          </w:tcPr>
          <w:p w14:paraId="5C9B842A" w14:textId="77777777" w:rsidR="00526ECF" w:rsidRPr="005545C3" w:rsidRDefault="00526ECF" w:rsidP="00BA499D">
            <w:pPr>
              <w:rPr>
                <w:color w:val="1A1A1A"/>
                <w:sz w:val="18"/>
                <w:szCs w:val="18"/>
                <w:lang w:eastAsia="hr-HR"/>
              </w:rPr>
            </w:pPr>
            <w:r w:rsidRPr="005545C3">
              <w:rPr>
                <w:color w:val="1A1A1A"/>
                <w:sz w:val="18"/>
                <w:szCs w:val="18"/>
                <w:lang w:eastAsia="hr-HR"/>
              </w:rPr>
              <w:t>Odobrenje za paralelni uvoz lijeka</w:t>
            </w:r>
          </w:p>
        </w:tc>
        <w:tc>
          <w:tcPr>
            <w:tcW w:w="1276" w:type="dxa"/>
            <w:shd w:val="clear" w:color="auto" w:fill="auto"/>
            <w:noWrap/>
            <w:vAlign w:val="center"/>
          </w:tcPr>
          <w:p w14:paraId="552A357E" w14:textId="77777777" w:rsidR="00526ECF" w:rsidRPr="001F011A" w:rsidRDefault="00526ECF" w:rsidP="00BA499D">
            <w:pPr>
              <w:jc w:val="center"/>
              <w:rPr>
                <w:sz w:val="18"/>
              </w:rPr>
            </w:pPr>
            <w:r w:rsidRPr="00A244E7">
              <w:rPr>
                <w:bCs/>
                <w:sz w:val="20"/>
                <w:szCs w:val="20"/>
              </w:rPr>
              <w:t>0</w:t>
            </w:r>
          </w:p>
        </w:tc>
        <w:tc>
          <w:tcPr>
            <w:tcW w:w="1504" w:type="dxa"/>
            <w:tcBorders>
              <w:top w:val="nil"/>
              <w:left w:val="single" w:sz="4" w:space="0" w:color="auto"/>
              <w:bottom w:val="single" w:sz="4" w:space="0" w:color="auto"/>
              <w:right w:val="single" w:sz="4" w:space="0" w:color="auto"/>
            </w:tcBorders>
            <w:shd w:val="clear" w:color="auto" w:fill="auto"/>
            <w:noWrap/>
            <w:vAlign w:val="center"/>
          </w:tcPr>
          <w:p w14:paraId="4F5314BD" w14:textId="77777777" w:rsidR="00526ECF" w:rsidRPr="00A464D7" w:rsidRDefault="00526ECF" w:rsidP="00BA499D">
            <w:pPr>
              <w:jc w:val="center"/>
              <w:rPr>
                <w:sz w:val="18"/>
              </w:rPr>
            </w:pPr>
            <w:r w:rsidRPr="000F5298">
              <w:rPr>
                <w:bCs/>
                <w:sz w:val="20"/>
                <w:szCs w:val="20"/>
              </w:rPr>
              <w:t>1</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14F7B10" w14:textId="77777777" w:rsidR="00526ECF" w:rsidRPr="00A464D7" w:rsidRDefault="00526ECF" w:rsidP="00BA499D">
            <w:pPr>
              <w:jc w:val="center"/>
              <w:rPr>
                <w:sz w:val="18"/>
              </w:rPr>
            </w:pPr>
            <w:r>
              <w:rPr>
                <w:sz w:val="20"/>
                <w:szCs w:val="20"/>
              </w:rPr>
              <w:t>-</w:t>
            </w:r>
          </w:p>
        </w:tc>
      </w:tr>
      <w:tr w:rsidR="00526ECF" w:rsidRPr="00E27B57" w14:paraId="541A7645" w14:textId="77777777" w:rsidTr="00BA499D">
        <w:trPr>
          <w:gridAfter w:val="1"/>
          <w:wAfter w:w="1254" w:type="dxa"/>
          <w:trHeight w:val="142"/>
        </w:trPr>
        <w:tc>
          <w:tcPr>
            <w:tcW w:w="972" w:type="dxa"/>
            <w:shd w:val="clear" w:color="auto" w:fill="auto"/>
            <w:noWrap/>
            <w:vAlign w:val="center"/>
          </w:tcPr>
          <w:p w14:paraId="6F8AB3F4" w14:textId="77777777" w:rsidR="00526ECF" w:rsidRPr="00C844D3" w:rsidRDefault="00526ECF" w:rsidP="00BA499D">
            <w:pPr>
              <w:jc w:val="center"/>
              <w:rPr>
                <w:color w:val="1A1A1A"/>
                <w:sz w:val="18"/>
                <w:szCs w:val="18"/>
                <w:lang w:eastAsia="hr-HR"/>
              </w:rPr>
            </w:pPr>
            <w:r>
              <w:rPr>
                <w:color w:val="1A1A1A"/>
                <w:sz w:val="18"/>
                <w:szCs w:val="18"/>
                <w:lang w:eastAsia="hr-HR"/>
              </w:rPr>
              <w:t>14</w:t>
            </w:r>
            <w:r w:rsidRPr="00C844D3">
              <w:rPr>
                <w:color w:val="1A1A1A"/>
                <w:sz w:val="18"/>
                <w:szCs w:val="18"/>
                <w:lang w:eastAsia="hr-HR"/>
              </w:rPr>
              <w:t>.</w:t>
            </w:r>
          </w:p>
        </w:tc>
        <w:tc>
          <w:tcPr>
            <w:tcW w:w="4148" w:type="dxa"/>
            <w:shd w:val="clear" w:color="auto" w:fill="auto"/>
            <w:vAlign w:val="center"/>
          </w:tcPr>
          <w:p w14:paraId="37269AB1" w14:textId="77777777" w:rsidR="00526ECF" w:rsidRPr="00C844D3" w:rsidRDefault="00526ECF" w:rsidP="00BA499D">
            <w:pPr>
              <w:rPr>
                <w:color w:val="1A1A1A"/>
                <w:sz w:val="18"/>
                <w:szCs w:val="18"/>
                <w:lang w:eastAsia="hr-HR"/>
              </w:rPr>
            </w:pPr>
            <w:r w:rsidRPr="00C844D3">
              <w:rPr>
                <w:color w:val="1A1A1A"/>
                <w:sz w:val="18"/>
                <w:szCs w:val="18"/>
                <w:lang w:eastAsia="hr-HR"/>
              </w:rPr>
              <w:t>Izmjena odobrenja za paralelni uvoz lijeka</w:t>
            </w:r>
          </w:p>
        </w:tc>
        <w:tc>
          <w:tcPr>
            <w:tcW w:w="1276" w:type="dxa"/>
            <w:shd w:val="clear" w:color="auto" w:fill="auto"/>
            <w:noWrap/>
            <w:vAlign w:val="center"/>
          </w:tcPr>
          <w:p w14:paraId="5F09464D" w14:textId="77777777" w:rsidR="00526ECF" w:rsidRPr="001F011A" w:rsidRDefault="00526ECF" w:rsidP="00BA499D">
            <w:pPr>
              <w:jc w:val="center"/>
              <w:rPr>
                <w:sz w:val="18"/>
              </w:rPr>
            </w:pPr>
            <w:r w:rsidRPr="00A244E7">
              <w:rPr>
                <w:bCs/>
                <w:sz w:val="20"/>
                <w:szCs w:val="20"/>
              </w:rPr>
              <w:t>0</w:t>
            </w:r>
          </w:p>
        </w:tc>
        <w:tc>
          <w:tcPr>
            <w:tcW w:w="1504" w:type="dxa"/>
            <w:tcBorders>
              <w:top w:val="nil"/>
              <w:left w:val="single" w:sz="4" w:space="0" w:color="auto"/>
              <w:bottom w:val="single" w:sz="4" w:space="0" w:color="auto"/>
              <w:right w:val="single" w:sz="4" w:space="0" w:color="auto"/>
            </w:tcBorders>
            <w:shd w:val="clear" w:color="auto" w:fill="auto"/>
            <w:noWrap/>
            <w:vAlign w:val="center"/>
          </w:tcPr>
          <w:p w14:paraId="01DAD530" w14:textId="77777777" w:rsidR="00526ECF" w:rsidRPr="00A464D7" w:rsidRDefault="00526ECF" w:rsidP="00BA499D">
            <w:pPr>
              <w:jc w:val="center"/>
              <w:rPr>
                <w:sz w:val="18"/>
              </w:rPr>
            </w:pPr>
            <w:r w:rsidRPr="000F5298">
              <w:rPr>
                <w:bCs/>
                <w:sz w:val="20"/>
                <w:szCs w:val="20"/>
              </w:rPr>
              <w:t>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331446A" w14:textId="77777777" w:rsidR="00526ECF" w:rsidRPr="00A464D7" w:rsidRDefault="00526ECF" w:rsidP="00BA499D">
            <w:pPr>
              <w:jc w:val="center"/>
              <w:rPr>
                <w:sz w:val="18"/>
              </w:rPr>
            </w:pPr>
            <w:r>
              <w:rPr>
                <w:sz w:val="20"/>
                <w:szCs w:val="20"/>
              </w:rPr>
              <w:t>-</w:t>
            </w:r>
          </w:p>
        </w:tc>
      </w:tr>
      <w:tr w:rsidR="00526ECF" w:rsidRPr="00E27B57" w14:paraId="5283AD59" w14:textId="77777777" w:rsidTr="00BA499D">
        <w:trPr>
          <w:trHeight w:val="142"/>
        </w:trPr>
        <w:tc>
          <w:tcPr>
            <w:tcW w:w="5120" w:type="dxa"/>
            <w:gridSpan w:val="2"/>
            <w:shd w:val="clear" w:color="auto" w:fill="BFBFBF"/>
            <w:vAlign w:val="center"/>
            <w:hideMark/>
          </w:tcPr>
          <w:p w14:paraId="163804CB" w14:textId="77777777" w:rsidR="00526ECF" w:rsidRPr="00CD4EA4" w:rsidRDefault="00526ECF" w:rsidP="00BA499D">
            <w:pPr>
              <w:rPr>
                <w:b/>
                <w:color w:val="1A1A1A"/>
                <w:sz w:val="20"/>
                <w:szCs w:val="20"/>
                <w:lang w:eastAsia="hr-HR"/>
              </w:rPr>
            </w:pPr>
            <w:r w:rsidRPr="00CD4EA4">
              <w:rPr>
                <w:b/>
                <w:color w:val="1A1A1A"/>
                <w:sz w:val="20"/>
                <w:szCs w:val="20"/>
                <w:lang w:eastAsia="hr-HR"/>
              </w:rPr>
              <w:lastRenderedPageBreak/>
              <w:t>UKUPNO:</w:t>
            </w:r>
          </w:p>
        </w:tc>
        <w:tc>
          <w:tcPr>
            <w:tcW w:w="1276" w:type="dxa"/>
            <w:shd w:val="clear" w:color="auto" w:fill="BFBFBF"/>
            <w:noWrap/>
            <w:vAlign w:val="center"/>
          </w:tcPr>
          <w:p w14:paraId="7E1C9D69" w14:textId="77777777" w:rsidR="00526ECF" w:rsidRPr="00CA4777" w:rsidRDefault="00526ECF" w:rsidP="00BA499D">
            <w:pPr>
              <w:jc w:val="center"/>
              <w:rPr>
                <w:b/>
                <w:sz w:val="18"/>
              </w:rPr>
            </w:pPr>
            <w:r w:rsidRPr="00CA4777">
              <w:rPr>
                <w:b/>
                <w:bCs/>
                <w:sz w:val="20"/>
                <w:szCs w:val="20"/>
              </w:rPr>
              <w:t>1.588</w:t>
            </w:r>
          </w:p>
        </w:tc>
        <w:tc>
          <w:tcPr>
            <w:tcW w:w="1504" w:type="dxa"/>
            <w:shd w:val="clear" w:color="auto" w:fill="BFBFBF"/>
            <w:noWrap/>
            <w:vAlign w:val="center"/>
          </w:tcPr>
          <w:p w14:paraId="2ACFB1CB" w14:textId="77777777" w:rsidR="00526ECF" w:rsidRPr="00A464D7" w:rsidRDefault="00526ECF" w:rsidP="00BA499D">
            <w:pPr>
              <w:jc w:val="center"/>
              <w:rPr>
                <w:b/>
                <w:sz w:val="18"/>
              </w:rPr>
            </w:pPr>
            <w:r w:rsidRPr="00A464D7">
              <w:rPr>
                <w:b/>
                <w:bCs/>
                <w:sz w:val="20"/>
                <w:szCs w:val="20"/>
              </w:rPr>
              <w:t>1.833</w:t>
            </w:r>
          </w:p>
        </w:tc>
        <w:tc>
          <w:tcPr>
            <w:tcW w:w="1275" w:type="dxa"/>
            <w:tcBorders>
              <w:top w:val="single" w:sz="4" w:space="0" w:color="auto"/>
            </w:tcBorders>
            <w:shd w:val="clear" w:color="auto" w:fill="BFBFBF"/>
            <w:noWrap/>
            <w:vAlign w:val="center"/>
          </w:tcPr>
          <w:p w14:paraId="7CE47AE8" w14:textId="77777777" w:rsidR="00526ECF" w:rsidRPr="00A464D7" w:rsidRDefault="00526ECF" w:rsidP="00BA499D">
            <w:pPr>
              <w:jc w:val="center"/>
              <w:rPr>
                <w:b/>
                <w:sz w:val="18"/>
              </w:rPr>
            </w:pPr>
            <w:r w:rsidRPr="000F5298">
              <w:rPr>
                <w:b/>
                <w:sz w:val="20"/>
                <w:szCs w:val="20"/>
              </w:rPr>
              <w:t>115%</w:t>
            </w:r>
          </w:p>
        </w:tc>
        <w:tc>
          <w:tcPr>
            <w:tcW w:w="1254" w:type="dxa"/>
            <w:tcBorders>
              <w:top w:val="nil"/>
              <w:left w:val="nil"/>
              <w:bottom w:val="nil"/>
              <w:right w:val="nil"/>
            </w:tcBorders>
            <w:shd w:val="clear" w:color="auto" w:fill="auto"/>
            <w:vAlign w:val="center"/>
          </w:tcPr>
          <w:p w14:paraId="644BFF07" w14:textId="77777777" w:rsidR="00526ECF" w:rsidRPr="00E27B57" w:rsidRDefault="00526ECF" w:rsidP="00BA499D"/>
        </w:tc>
      </w:tr>
    </w:tbl>
    <w:p w14:paraId="209E0833" w14:textId="77777777" w:rsidR="00526ECF" w:rsidRPr="00982587" w:rsidRDefault="00526ECF" w:rsidP="00526ECF">
      <w:pPr>
        <w:pStyle w:val="Heading3"/>
      </w:pPr>
      <w:bookmarkStart w:id="212" w:name="_Toc88049247"/>
      <w:bookmarkStart w:id="213" w:name="_Toc165035488"/>
      <w:r w:rsidRPr="00982587">
        <w:t>2.4.13. Neprihodovni poslovi</w:t>
      </w:r>
      <w:bookmarkEnd w:id="212"/>
      <w:bookmarkEnd w:id="213"/>
    </w:p>
    <w:p w14:paraId="69AD5056" w14:textId="77777777" w:rsidR="00526ECF" w:rsidRPr="00BA07D7" w:rsidRDefault="00526ECF" w:rsidP="00526ECF">
      <w:pPr>
        <w:spacing w:after="120"/>
        <w:rPr>
          <w:b/>
          <w:lang w:eastAsia="hr-HR"/>
        </w:rPr>
      </w:pPr>
      <w:r w:rsidRPr="00BA07D7">
        <w:rPr>
          <w:b/>
        </w:rPr>
        <w:t>Tablica 15. I</w:t>
      </w:r>
      <w:r w:rsidRPr="00BA07D7">
        <w:rPr>
          <w:b/>
          <w:lang w:eastAsia="hr-HR"/>
        </w:rPr>
        <w:t xml:space="preserve">zvršenje neprihodovnih usluga </w:t>
      </w:r>
      <w:r>
        <w:rPr>
          <w:b/>
          <w:lang w:eastAsia="hr-HR"/>
        </w:rPr>
        <w:t>u području dostupnosti</w:t>
      </w:r>
      <w:r w:rsidRPr="00BA07D7">
        <w:rPr>
          <w:b/>
          <w:lang w:eastAsia="hr-HR"/>
        </w:rPr>
        <w:t xml:space="preserve"> lijekova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4423"/>
        <w:gridCol w:w="1247"/>
        <w:gridCol w:w="1418"/>
        <w:gridCol w:w="1446"/>
      </w:tblGrid>
      <w:tr w:rsidR="00526ECF" w:rsidRPr="00BA07D7" w14:paraId="28AE4CCE" w14:textId="77777777" w:rsidTr="00BA499D">
        <w:trPr>
          <w:trHeight w:val="453"/>
        </w:trPr>
        <w:tc>
          <w:tcPr>
            <w:tcW w:w="822" w:type="dxa"/>
            <w:vMerge w:val="restart"/>
            <w:shd w:val="clear" w:color="auto" w:fill="A3E7FF"/>
            <w:vAlign w:val="center"/>
            <w:hideMark/>
          </w:tcPr>
          <w:p w14:paraId="38EFDBD8" w14:textId="77777777" w:rsidR="00526ECF" w:rsidRPr="00BA07D7" w:rsidRDefault="00526ECF" w:rsidP="00BA499D">
            <w:pPr>
              <w:rPr>
                <w:b/>
                <w:sz w:val="18"/>
                <w:szCs w:val="18"/>
                <w:lang w:eastAsia="hr-HR"/>
              </w:rPr>
            </w:pPr>
            <w:r w:rsidRPr="00BA07D7">
              <w:rPr>
                <w:b/>
                <w:sz w:val="18"/>
                <w:szCs w:val="18"/>
                <w:lang w:eastAsia="hr-HR"/>
              </w:rPr>
              <w:t>R.br.</w:t>
            </w:r>
          </w:p>
        </w:tc>
        <w:tc>
          <w:tcPr>
            <w:tcW w:w="4423" w:type="dxa"/>
            <w:vMerge w:val="restart"/>
            <w:shd w:val="clear" w:color="auto" w:fill="A3E7FF"/>
            <w:vAlign w:val="center"/>
            <w:hideMark/>
          </w:tcPr>
          <w:p w14:paraId="64D1B6D2" w14:textId="77777777" w:rsidR="00526ECF" w:rsidRPr="00BA07D7" w:rsidRDefault="00526ECF" w:rsidP="00BA499D">
            <w:pPr>
              <w:rPr>
                <w:b/>
                <w:sz w:val="18"/>
                <w:szCs w:val="18"/>
                <w:lang w:eastAsia="hr-HR"/>
              </w:rPr>
            </w:pPr>
            <w:r w:rsidRPr="00BA07D7">
              <w:rPr>
                <w:b/>
                <w:sz w:val="18"/>
                <w:szCs w:val="18"/>
                <w:lang w:eastAsia="hr-HR"/>
              </w:rPr>
              <w:t>Naziv usluge</w:t>
            </w:r>
          </w:p>
        </w:tc>
        <w:tc>
          <w:tcPr>
            <w:tcW w:w="1247" w:type="dxa"/>
            <w:vMerge w:val="restart"/>
            <w:shd w:val="clear" w:color="auto" w:fill="A3E7FF"/>
            <w:vAlign w:val="center"/>
            <w:hideMark/>
          </w:tcPr>
          <w:p w14:paraId="5C5F8FD2" w14:textId="77777777" w:rsidR="00526ECF" w:rsidRPr="00BA07D7" w:rsidRDefault="00526ECF" w:rsidP="00BA499D">
            <w:pPr>
              <w:rPr>
                <w:b/>
                <w:sz w:val="18"/>
                <w:szCs w:val="18"/>
                <w:lang w:eastAsia="hr-HR"/>
              </w:rPr>
            </w:pPr>
            <w:r>
              <w:rPr>
                <w:b/>
                <w:sz w:val="18"/>
                <w:szCs w:val="18"/>
                <w:lang w:eastAsia="hr-HR"/>
              </w:rPr>
              <w:t>Plan za 2023</w:t>
            </w:r>
            <w:r w:rsidRPr="00BA07D7">
              <w:rPr>
                <w:b/>
                <w:sz w:val="18"/>
                <w:szCs w:val="18"/>
                <w:lang w:eastAsia="hr-HR"/>
              </w:rPr>
              <w:t xml:space="preserve">. </w:t>
            </w:r>
          </w:p>
        </w:tc>
        <w:tc>
          <w:tcPr>
            <w:tcW w:w="1418" w:type="dxa"/>
            <w:vMerge w:val="restart"/>
            <w:shd w:val="clear" w:color="auto" w:fill="A3E7FF"/>
            <w:vAlign w:val="center"/>
            <w:hideMark/>
          </w:tcPr>
          <w:p w14:paraId="591D5CF4" w14:textId="77777777" w:rsidR="00526ECF" w:rsidRPr="00BA07D7" w:rsidRDefault="00526ECF" w:rsidP="00BA499D">
            <w:pPr>
              <w:jc w:val="center"/>
              <w:rPr>
                <w:b/>
                <w:sz w:val="18"/>
                <w:szCs w:val="18"/>
                <w:lang w:eastAsia="hr-HR"/>
              </w:rPr>
            </w:pPr>
          </w:p>
          <w:p w14:paraId="5683EB89" w14:textId="77777777" w:rsidR="00526ECF" w:rsidRPr="00BA07D7" w:rsidRDefault="00526ECF" w:rsidP="00BA499D">
            <w:pPr>
              <w:jc w:val="center"/>
              <w:rPr>
                <w:b/>
                <w:sz w:val="18"/>
                <w:szCs w:val="18"/>
                <w:lang w:eastAsia="hr-HR"/>
              </w:rPr>
            </w:pPr>
            <w:r w:rsidRPr="00BA07D7">
              <w:rPr>
                <w:b/>
                <w:sz w:val="18"/>
                <w:szCs w:val="18"/>
                <w:lang w:eastAsia="hr-HR"/>
              </w:rPr>
              <w:t>Izvršenje</w:t>
            </w:r>
          </w:p>
          <w:p w14:paraId="1DEFBA04" w14:textId="77777777" w:rsidR="00526ECF" w:rsidRPr="00BA07D7" w:rsidRDefault="00526ECF" w:rsidP="00BA499D">
            <w:pPr>
              <w:jc w:val="center"/>
              <w:rPr>
                <w:b/>
                <w:sz w:val="18"/>
                <w:szCs w:val="18"/>
                <w:lang w:eastAsia="hr-HR"/>
              </w:rPr>
            </w:pPr>
            <w:r w:rsidRPr="00BA07D7">
              <w:rPr>
                <w:b/>
                <w:sz w:val="18"/>
                <w:szCs w:val="18"/>
                <w:lang w:eastAsia="hr-HR"/>
              </w:rPr>
              <w:t>01.01.-</w:t>
            </w:r>
            <w:r>
              <w:rPr>
                <w:b/>
                <w:sz w:val="18"/>
                <w:szCs w:val="18"/>
                <w:lang w:eastAsia="hr-HR"/>
              </w:rPr>
              <w:t>31.12.2023</w:t>
            </w:r>
            <w:r w:rsidRPr="00BA07D7">
              <w:rPr>
                <w:b/>
                <w:sz w:val="18"/>
                <w:szCs w:val="18"/>
                <w:lang w:eastAsia="hr-HR"/>
              </w:rPr>
              <w:t>.</w:t>
            </w:r>
          </w:p>
          <w:p w14:paraId="10BFFDBA" w14:textId="77777777" w:rsidR="00526ECF" w:rsidRPr="00BA07D7" w:rsidRDefault="00526ECF" w:rsidP="00BA499D">
            <w:pPr>
              <w:jc w:val="center"/>
              <w:rPr>
                <w:b/>
                <w:sz w:val="18"/>
                <w:szCs w:val="18"/>
                <w:lang w:eastAsia="hr-HR"/>
              </w:rPr>
            </w:pPr>
          </w:p>
        </w:tc>
        <w:tc>
          <w:tcPr>
            <w:tcW w:w="1446" w:type="dxa"/>
            <w:vMerge w:val="restart"/>
            <w:shd w:val="clear" w:color="auto" w:fill="A3E7FF"/>
            <w:vAlign w:val="center"/>
            <w:hideMark/>
          </w:tcPr>
          <w:p w14:paraId="30758CFB" w14:textId="77777777" w:rsidR="00526ECF" w:rsidRPr="00BA07D7" w:rsidRDefault="00526ECF" w:rsidP="00BA499D">
            <w:pPr>
              <w:jc w:val="center"/>
              <w:rPr>
                <w:b/>
                <w:sz w:val="18"/>
                <w:szCs w:val="18"/>
                <w:lang w:eastAsia="hr-HR"/>
              </w:rPr>
            </w:pPr>
            <w:r w:rsidRPr="00BA07D7">
              <w:rPr>
                <w:b/>
                <w:sz w:val="18"/>
                <w:szCs w:val="18"/>
                <w:lang w:eastAsia="hr-HR"/>
              </w:rPr>
              <w:t>% izvršenja</w:t>
            </w:r>
          </w:p>
        </w:tc>
      </w:tr>
      <w:tr w:rsidR="00526ECF" w:rsidRPr="00BA07D7" w14:paraId="4AB1B703" w14:textId="77777777" w:rsidTr="00BA499D">
        <w:trPr>
          <w:trHeight w:val="581"/>
        </w:trPr>
        <w:tc>
          <w:tcPr>
            <w:tcW w:w="822" w:type="dxa"/>
            <w:vMerge/>
            <w:shd w:val="clear" w:color="auto" w:fill="A3E7FF"/>
            <w:vAlign w:val="center"/>
            <w:hideMark/>
          </w:tcPr>
          <w:p w14:paraId="41C54996" w14:textId="77777777" w:rsidR="00526ECF" w:rsidRPr="00BA07D7" w:rsidRDefault="00526ECF" w:rsidP="00BA499D">
            <w:pPr>
              <w:rPr>
                <w:color w:val="000000"/>
                <w:sz w:val="18"/>
                <w:szCs w:val="18"/>
                <w:lang w:eastAsia="hr-HR"/>
              </w:rPr>
            </w:pPr>
          </w:p>
        </w:tc>
        <w:tc>
          <w:tcPr>
            <w:tcW w:w="4423" w:type="dxa"/>
            <w:vMerge/>
            <w:shd w:val="clear" w:color="auto" w:fill="A3E7FF"/>
            <w:vAlign w:val="center"/>
            <w:hideMark/>
          </w:tcPr>
          <w:p w14:paraId="48A4D5A9" w14:textId="77777777" w:rsidR="00526ECF" w:rsidRPr="00BA07D7" w:rsidRDefault="00526ECF" w:rsidP="00BA499D">
            <w:pPr>
              <w:rPr>
                <w:color w:val="000000"/>
                <w:sz w:val="18"/>
                <w:szCs w:val="18"/>
                <w:lang w:eastAsia="hr-HR"/>
              </w:rPr>
            </w:pPr>
          </w:p>
        </w:tc>
        <w:tc>
          <w:tcPr>
            <w:tcW w:w="1247" w:type="dxa"/>
            <w:vMerge/>
            <w:shd w:val="clear" w:color="auto" w:fill="A3E7FF"/>
            <w:vAlign w:val="center"/>
            <w:hideMark/>
          </w:tcPr>
          <w:p w14:paraId="76A589E2" w14:textId="77777777" w:rsidR="00526ECF" w:rsidRPr="00BA07D7" w:rsidRDefault="00526ECF" w:rsidP="00BA499D">
            <w:pPr>
              <w:rPr>
                <w:color w:val="000000"/>
                <w:sz w:val="18"/>
                <w:szCs w:val="18"/>
                <w:lang w:eastAsia="hr-HR"/>
              </w:rPr>
            </w:pPr>
          </w:p>
        </w:tc>
        <w:tc>
          <w:tcPr>
            <w:tcW w:w="1418" w:type="dxa"/>
            <w:vMerge/>
            <w:shd w:val="clear" w:color="auto" w:fill="A3E7FF"/>
            <w:vAlign w:val="center"/>
            <w:hideMark/>
          </w:tcPr>
          <w:p w14:paraId="47A7ACF8" w14:textId="77777777" w:rsidR="00526ECF" w:rsidRPr="00BA07D7" w:rsidRDefault="00526ECF" w:rsidP="00BA499D">
            <w:pPr>
              <w:rPr>
                <w:color w:val="000000"/>
                <w:sz w:val="18"/>
                <w:szCs w:val="18"/>
                <w:lang w:eastAsia="hr-HR"/>
              </w:rPr>
            </w:pPr>
          </w:p>
        </w:tc>
        <w:tc>
          <w:tcPr>
            <w:tcW w:w="1446" w:type="dxa"/>
            <w:vMerge/>
            <w:shd w:val="clear" w:color="auto" w:fill="A3E7FF"/>
            <w:vAlign w:val="center"/>
            <w:hideMark/>
          </w:tcPr>
          <w:p w14:paraId="06A38854" w14:textId="77777777" w:rsidR="00526ECF" w:rsidRPr="00BA07D7" w:rsidRDefault="00526ECF" w:rsidP="00BA499D">
            <w:pPr>
              <w:rPr>
                <w:color w:val="000000"/>
                <w:sz w:val="18"/>
                <w:szCs w:val="18"/>
                <w:lang w:eastAsia="hr-HR"/>
              </w:rPr>
            </w:pPr>
          </w:p>
        </w:tc>
      </w:tr>
      <w:tr w:rsidR="00526ECF" w:rsidRPr="00BA07D7" w14:paraId="6F301465" w14:textId="77777777" w:rsidTr="00BA499D">
        <w:trPr>
          <w:trHeight w:val="284"/>
        </w:trPr>
        <w:tc>
          <w:tcPr>
            <w:tcW w:w="822" w:type="dxa"/>
            <w:shd w:val="clear" w:color="auto" w:fill="auto"/>
            <w:noWrap/>
            <w:vAlign w:val="center"/>
            <w:hideMark/>
          </w:tcPr>
          <w:p w14:paraId="1EC6C648" w14:textId="77777777" w:rsidR="00526ECF" w:rsidRPr="00BA07D7" w:rsidRDefault="00526ECF" w:rsidP="00BA499D">
            <w:pPr>
              <w:jc w:val="center"/>
              <w:rPr>
                <w:color w:val="1A1A1A"/>
                <w:sz w:val="18"/>
                <w:szCs w:val="18"/>
                <w:lang w:eastAsia="hr-HR"/>
              </w:rPr>
            </w:pPr>
            <w:r w:rsidRPr="00BA07D7">
              <w:rPr>
                <w:color w:val="1A1A1A"/>
                <w:sz w:val="18"/>
                <w:szCs w:val="18"/>
                <w:lang w:eastAsia="hr-HR"/>
              </w:rPr>
              <w:t>1.</w:t>
            </w:r>
          </w:p>
        </w:tc>
        <w:tc>
          <w:tcPr>
            <w:tcW w:w="4423" w:type="dxa"/>
            <w:shd w:val="clear" w:color="auto" w:fill="auto"/>
            <w:vAlign w:val="center"/>
          </w:tcPr>
          <w:p w14:paraId="4AB189FA" w14:textId="77777777" w:rsidR="00526ECF" w:rsidRPr="00BA07D7" w:rsidRDefault="00526ECF" w:rsidP="00BA499D">
            <w:pPr>
              <w:rPr>
                <w:color w:val="1A1A1A"/>
                <w:sz w:val="18"/>
                <w:szCs w:val="18"/>
                <w:lang w:eastAsia="hr-HR"/>
              </w:rPr>
            </w:pPr>
            <w:r w:rsidRPr="00BA07D7">
              <w:rPr>
                <w:color w:val="1A1A1A"/>
                <w:sz w:val="18"/>
                <w:szCs w:val="18"/>
                <w:lang w:eastAsia="hr-HR"/>
              </w:rPr>
              <w:t>Suglasnost za stavljanje u promet lijeka koji je u postupku obnove odobrenja</w:t>
            </w:r>
          </w:p>
        </w:tc>
        <w:tc>
          <w:tcPr>
            <w:tcW w:w="1247" w:type="dxa"/>
            <w:shd w:val="clear" w:color="auto" w:fill="auto"/>
            <w:noWrap/>
            <w:vAlign w:val="center"/>
          </w:tcPr>
          <w:p w14:paraId="18072326" w14:textId="77777777" w:rsidR="00526ECF" w:rsidRPr="00BA07D7" w:rsidRDefault="00526ECF" w:rsidP="00BA499D">
            <w:pPr>
              <w:jc w:val="center"/>
              <w:rPr>
                <w:rFonts w:eastAsiaTheme="minorEastAsia"/>
                <w:color w:val="000000"/>
                <w:sz w:val="18"/>
                <w:szCs w:val="18"/>
                <w:lang w:eastAsia="hr-HR"/>
              </w:rPr>
            </w:pPr>
            <w:r>
              <w:rPr>
                <w:rFonts w:eastAsiaTheme="minorEastAsia"/>
                <w:color w:val="000000"/>
                <w:sz w:val="18"/>
                <w:szCs w:val="18"/>
                <w:lang w:eastAsia="hr-HR"/>
              </w:rPr>
              <w:t>6</w:t>
            </w:r>
          </w:p>
        </w:tc>
        <w:tc>
          <w:tcPr>
            <w:tcW w:w="1418" w:type="dxa"/>
            <w:shd w:val="clear" w:color="auto" w:fill="auto"/>
            <w:noWrap/>
            <w:vAlign w:val="center"/>
          </w:tcPr>
          <w:p w14:paraId="64DC2EC9" w14:textId="77777777" w:rsidR="00526ECF" w:rsidRPr="00BA07D7" w:rsidRDefault="00526ECF" w:rsidP="00BA499D">
            <w:pPr>
              <w:jc w:val="center"/>
              <w:rPr>
                <w:color w:val="000000"/>
                <w:sz w:val="18"/>
                <w:szCs w:val="18"/>
                <w:lang w:eastAsia="hr-HR"/>
              </w:rPr>
            </w:pPr>
            <w:r>
              <w:rPr>
                <w:color w:val="000000"/>
                <w:sz w:val="18"/>
                <w:szCs w:val="18"/>
                <w:lang w:eastAsia="hr-HR"/>
              </w:rPr>
              <w:t>0</w:t>
            </w:r>
          </w:p>
        </w:tc>
        <w:tc>
          <w:tcPr>
            <w:tcW w:w="1446" w:type="dxa"/>
            <w:shd w:val="clear" w:color="auto" w:fill="auto"/>
            <w:noWrap/>
            <w:vAlign w:val="center"/>
          </w:tcPr>
          <w:p w14:paraId="6DFBC7E2" w14:textId="77777777" w:rsidR="00526ECF" w:rsidRPr="00BA07D7" w:rsidRDefault="00526ECF" w:rsidP="00BA499D">
            <w:pPr>
              <w:jc w:val="center"/>
              <w:rPr>
                <w:color w:val="000000"/>
                <w:sz w:val="18"/>
                <w:szCs w:val="18"/>
                <w:lang w:eastAsia="hr-HR"/>
              </w:rPr>
            </w:pPr>
            <w:r>
              <w:rPr>
                <w:color w:val="000000"/>
                <w:sz w:val="18"/>
                <w:szCs w:val="18"/>
                <w:lang w:eastAsia="hr-HR"/>
              </w:rPr>
              <w:t>0</w:t>
            </w:r>
          </w:p>
        </w:tc>
      </w:tr>
      <w:tr w:rsidR="00526ECF" w:rsidRPr="00BA07D7" w14:paraId="299FDD24" w14:textId="77777777" w:rsidTr="00BA499D">
        <w:trPr>
          <w:trHeight w:val="284"/>
        </w:trPr>
        <w:tc>
          <w:tcPr>
            <w:tcW w:w="822" w:type="dxa"/>
            <w:shd w:val="clear" w:color="auto" w:fill="auto"/>
            <w:noWrap/>
            <w:vAlign w:val="center"/>
            <w:hideMark/>
          </w:tcPr>
          <w:p w14:paraId="228B6B18" w14:textId="77777777" w:rsidR="00526ECF" w:rsidRPr="00BA07D7" w:rsidRDefault="00526ECF" w:rsidP="00BA499D">
            <w:pPr>
              <w:jc w:val="center"/>
              <w:rPr>
                <w:color w:val="1A1A1A"/>
                <w:sz w:val="18"/>
                <w:szCs w:val="18"/>
                <w:lang w:eastAsia="hr-HR"/>
              </w:rPr>
            </w:pPr>
            <w:r w:rsidRPr="00BA07D7">
              <w:rPr>
                <w:color w:val="1A1A1A"/>
                <w:sz w:val="18"/>
                <w:szCs w:val="18"/>
                <w:lang w:eastAsia="hr-HR"/>
              </w:rPr>
              <w:t>2.</w:t>
            </w:r>
          </w:p>
        </w:tc>
        <w:tc>
          <w:tcPr>
            <w:tcW w:w="4423" w:type="dxa"/>
            <w:shd w:val="clear" w:color="auto" w:fill="auto"/>
            <w:vAlign w:val="center"/>
          </w:tcPr>
          <w:p w14:paraId="599829B2" w14:textId="77777777" w:rsidR="00526ECF" w:rsidRPr="00BA07D7" w:rsidRDefault="00526ECF" w:rsidP="00BA499D">
            <w:pPr>
              <w:rPr>
                <w:color w:val="1A1A1A"/>
                <w:sz w:val="18"/>
                <w:szCs w:val="18"/>
                <w:lang w:eastAsia="hr-HR"/>
              </w:rPr>
            </w:pPr>
            <w:r w:rsidRPr="00BA07D7">
              <w:rPr>
                <w:color w:val="1A1A1A"/>
                <w:sz w:val="18"/>
                <w:szCs w:val="18"/>
                <w:lang w:eastAsia="hr-HR"/>
              </w:rPr>
              <w:t>Upućivanje odluke o prihvaćanju/neprihvaćanju izuzeća od odredbi „sunset clause“</w:t>
            </w:r>
          </w:p>
        </w:tc>
        <w:tc>
          <w:tcPr>
            <w:tcW w:w="1247" w:type="dxa"/>
            <w:shd w:val="clear" w:color="auto" w:fill="auto"/>
            <w:noWrap/>
            <w:vAlign w:val="center"/>
          </w:tcPr>
          <w:p w14:paraId="3D84716C" w14:textId="77777777" w:rsidR="00526ECF" w:rsidRPr="00BA07D7" w:rsidRDefault="00526ECF" w:rsidP="00BA499D">
            <w:pPr>
              <w:jc w:val="center"/>
              <w:rPr>
                <w:rFonts w:eastAsiaTheme="minorEastAsia"/>
                <w:color w:val="000000"/>
                <w:sz w:val="18"/>
                <w:szCs w:val="18"/>
                <w:lang w:eastAsia="hr-HR"/>
              </w:rPr>
            </w:pPr>
            <w:r>
              <w:rPr>
                <w:rFonts w:eastAsiaTheme="minorEastAsia"/>
                <w:color w:val="000000"/>
                <w:sz w:val="18"/>
                <w:szCs w:val="18"/>
                <w:lang w:eastAsia="hr-HR"/>
              </w:rPr>
              <w:t>35</w:t>
            </w:r>
          </w:p>
        </w:tc>
        <w:tc>
          <w:tcPr>
            <w:tcW w:w="1418" w:type="dxa"/>
            <w:shd w:val="clear" w:color="auto" w:fill="auto"/>
            <w:noWrap/>
            <w:vAlign w:val="center"/>
          </w:tcPr>
          <w:p w14:paraId="1D001B52" w14:textId="77777777" w:rsidR="00526ECF" w:rsidRPr="00BA07D7" w:rsidRDefault="00526ECF" w:rsidP="00BA499D">
            <w:pPr>
              <w:jc w:val="center"/>
              <w:rPr>
                <w:color w:val="000000"/>
                <w:sz w:val="18"/>
                <w:szCs w:val="18"/>
                <w:lang w:eastAsia="hr-HR"/>
              </w:rPr>
            </w:pPr>
            <w:r>
              <w:rPr>
                <w:color w:val="000000"/>
                <w:sz w:val="18"/>
                <w:szCs w:val="18"/>
                <w:lang w:eastAsia="hr-HR"/>
              </w:rPr>
              <w:t>29</w:t>
            </w:r>
          </w:p>
        </w:tc>
        <w:tc>
          <w:tcPr>
            <w:tcW w:w="1446" w:type="dxa"/>
            <w:shd w:val="clear" w:color="auto" w:fill="auto"/>
            <w:noWrap/>
            <w:vAlign w:val="center"/>
          </w:tcPr>
          <w:p w14:paraId="2824DF86" w14:textId="77777777" w:rsidR="00526ECF" w:rsidRPr="00BA07D7" w:rsidRDefault="00526ECF" w:rsidP="00BA499D">
            <w:pPr>
              <w:jc w:val="center"/>
              <w:rPr>
                <w:color w:val="000000"/>
                <w:sz w:val="18"/>
                <w:szCs w:val="18"/>
                <w:lang w:eastAsia="hr-HR"/>
              </w:rPr>
            </w:pPr>
            <w:r>
              <w:rPr>
                <w:color w:val="000000"/>
                <w:sz w:val="18"/>
                <w:szCs w:val="18"/>
                <w:lang w:eastAsia="hr-HR"/>
              </w:rPr>
              <w:t>83</w:t>
            </w:r>
          </w:p>
        </w:tc>
      </w:tr>
      <w:tr w:rsidR="00526ECF" w:rsidRPr="00BA07D7" w14:paraId="6406D46C" w14:textId="77777777" w:rsidTr="00BA499D">
        <w:trPr>
          <w:trHeight w:val="284"/>
        </w:trPr>
        <w:tc>
          <w:tcPr>
            <w:tcW w:w="822" w:type="dxa"/>
            <w:shd w:val="clear" w:color="auto" w:fill="auto"/>
            <w:noWrap/>
            <w:vAlign w:val="center"/>
          </w:tcPr>
          <w:p w14:paraId="74F37029" w14:textId="77777777" w:rsidR="00526ECF" w:rsidRPr="00BA07D7" w:rsidRDefault="00526ECF" w:rsidP="00BA499D">
            <w:pPr>
              <w:jc w:val="center"/>
              <w:rPr>
                <w:color w:val="1A1A1A"/>
                <w:sz w:val="18"/>
                <w:szCs w:val="18"/>
                <w:lang w:eastAsia="hr-HR"/>
              </w:rPr>
            </w:pPr>
            <w:r>
              <w:rPr>
                <w:color w:val="1A1A1A"/>
                <w:sz w:val="18"/>
                <w:szCs w:val="18"/>
                <w:lang w:eastAsia="hr-HR"/>
              </w:rPr>
              <w:t>3</w:t>
            </w:r>
            <w:r w:rsidRPr="00BA07D7">
              <w:rPr>
                <w:color w:val="1A1A1A"/>
                <w:sz w:val="18"/>
                <w:szCs w:val="18"/>
                <w:lang w:eastAsia="hr-HR"/>
              </w:rPr>
              <w:t>.</w:t>
            </w:r>
          </w:p>
        </w:tc>
        <w:tc>
          <w:tcPr>
            <w:tcW w:w="4423" w:type="dxa"/>
            <w:shd w:val="clear" w:color="auto" w:fill="auto"/>
            <w:vAlign w:val="center"/>
          </w:tcPr>
          <w:p w14:paraId="3A22DD0A" w14:textId="77777777" w:rsidR="00526ECF" w:rsidRPr="00BA07D7" w:rsidRDefault="00526ECF" w:rsidP="00BA499D">
            <w:pPr>
              <w:rPr>
                <w:color w:val="1A1A1A"/>
                <w:sz w:val="18"/>
                <w:szCs w:val="18"/>
                <w:lang w:eastAsia="hr-HR"/>
              </w:rPr>
            </w:pPr>
            <w:r w:rsidRPr="00BA07D7">
              <w:rPr>
                <w:color w:val="1A1A1A"/>
                <w:sz w:val="18"/>
                <w:szCs w:val="18"/>
                <w:lang w:eastAsia="hr-HR"/>
              </w:rPr>
              <w:t>Zaprimanje podataka o stavljanju lijeka u promet, trajnom ili privremenom prekidu opskrbe tržišta lijekom i nestašici lijeka</w:t>
            </w:r>
          </w:p>
        </w:tc>
        <w:tc>
          <w:tcPr>
            <w:tcW w:w="1247" w:type="dxa"/>
            <w:shd w:val="clear" w:color="auto" w:fill="auto"/>
            <w:noWrap/>
            <w:vAlign w:val="center"/>
          </w:tcPr>
          <w:p w14:paraId="6686A41E" w14:textId="77777777" w:rsidR="00526ECF" w:rsidRPr="00BA07D7" w:rsidRDefault="00526ECF" w:rsidP="00BA499D">
            <w:pPr>
              <w:jc w:val="center"/>
              <w:rPr>
                <w:rFonts w:eastAsiaTheme="minorEastAsia"/>
                <w:color w:val="000000"/>
                <w:sz w:val="18"/>
                <w:szCs w:val="18"/>
                <w:lang w:eastAsia="hr-HR"/>
              </w:rPr>
            </w:pPr>
            <w:r>
              <w:rPr>
                <w:rFonts w:eastAsiaTheme="minorEastAsia"/>
                <w:color w:val="000000"/>
                <w:sz w:val="18"/>
                <w:szCs w:val="18"/>
                <w:lang w:eastAsia="hr-HR"/>
              </w:rPr>
              <w:t>450</w:t>
            </w:r>
          </w:p>
        </w:tc>
        <w:tc>
          <w:tcPr>
            <w:tcW w:w="1418" w:type="dxa"/>
            <w:shd w:val="clear" w:color="auto" w:fill="auto"/>
            <w:noWrap/>
            <w:vAlign w:val="center"/>
          </w:tcPr>
          <w:p w14:paraId="56530AC8" w14:textId="77777777" w:rsidR="00526ECF" w:rsidRPr="00BA07D7" w:rsidRDefault="00526ECF" w:rsidP="00BA499D">
            <w:pPr>
              <w:jc w:val="center"/>
              <w:rPr>
                <w:color w:val="000000"/>
                <w:sz w:val="18"/>
                <w:szCs w:val="18"/>
                <w:lang w:eastAsia="hr-HR"/>
              </w:rPr>
            </w:pPr>
            <w:r>
              <w:rPr>
                <w:color w:val="000000"/>
                <w:sz w:val="18"/>
                <w:szCs w:val="18"/>
                <w:lang w:eastAsia="hr-HR"/>
              </w:rPr>
              <w:t>996</w:t>
            </w:r>
          </w:p>
        </w:tc>
        <w:tc>
          <w:tcPr>
            <w:tcW w:w="1446" w:type="dxa"/>
            <w:shd w:val="clear" w:color="auto" w:fill="auto"/>
            <w:noWrap/>
            <w:vAlign w:val="center"/>
          </w:tcPr>
          <w:p w14:paraId="4AD18C79" w14:textId="77777777" w:rsidR="00526ECF" w:rsidRPr="00BA07D7" w:rsidRDefault="00526ECF" w:rsidP="00BA499D">
            <w:pPr>
              <w:jc w:val="center"/>
              <w:rPr>
                <w:color w:val="000000"/>
                <w:sz w:val="18"/>
                <w:szCs w:val="18"/>
                <w:lang w:eastAsia="hr-HR"/>
              </w:rPr>
            </w:pPr>
            <w:r>
              <w:rPr>
                <w:color w:val="000000"/>
                <w:sz w:val="18"/>
                <w:szCs w:val="18"/>
                <w:lang w:eastAsia="hr-HR"/>
              </w:rPr>
              <w:t>221</w:t>
            </w:r>
          </w:p>
        </w:tc>
      </w:tr>
      <w:tr w:rsidR="00526ECF" w:rsidRPr="00BA07D7" w14:paraId="0A2FD3F6" w14:textId="77777777" w:rsidTr="00BA499D">
        <w:trPr>
          <w:trHeight w:val="284"/>
        </w:trPr>
        <w:tc>
          <w:tcPr>
            <w:tcW w:w="822" w:type="dxa"/>
            <w:shd w:val="clear" w:color="auto" w:fill="auto"/>
            <w:noWrap/>
            <w:vAlign w:val="center"/>
          </w:tcPr>
          <w:p w14:paraId="75102499" w14:textId="77777777" w:rsidR="00526ECF" w:rsidRPr="00BA07D7" w:rsidRDefault="00526ECF" w:rsidP="00BA499D">
            <w:pPr>
              <w:jc w:val="center"/>
              <w:rPr>
                <w:color w:val="1A1A1A"/>
                <w:sz w:val="18"/>
                <w:szCs w:val="18"/>
                <w:lang w:eastAsia="hr-HR"/>
              </w:rPr>
            </w:pPr>
            <w:r w:rsidRPr="00BA07D7">
              <w:rPr>
                <w:color w:val="1A1A1A"/>
                <w:sz w:val="18"/>
                <w:szCs w:val="18"/>
                <w:lang w:eastAsia="hr-HR"/>
              </w:rPr>
              <w:t>5.</w:t>
            </w:r>
          </w:p>
        </w:tc>
        <w:tc>
          <w:tcPr>
            <w:tcW w:w="4423" w:type="dxa"/>
            <w:shd w:val="clear" w:color="auto" w:fill="auto"/>
            <w:vAlign w:val="center"/>
          </w:tcPr>
          <w:p w14:paraId="0758FAF8" w14:textId="77777777" w:rsidR="00526ECF" w:rsidRPr="00BA07D7" w:rsidRDefault="00526ECF" w:rsidP="00BA499D">
            <w:pPr>
              <w:rPr>
                <w:color w:val="1A1A1A"/>
                <w:sz w:val="18"/>
                <w:szCs w:val="18"/>
                <w:lang w:eastAsia="hr-HR"/>
              </w:rPr>
            </w:pPr>
            <w:r w:rsidRPr="00BA07D7">
              <w:rPr>
                <w:color w:val="1A1A1A"/>
                <w:sz w:val="18"/>
                <w:szCs w:val="18"/>
                <w:lang w:eastAsia="hr-HR"/>
              </w:rPr>
              <w:t>Povlačenje lijeka iz prometa</w:t>
            </w:r>
          </w:p>
        </w:tc>
        <w:tc>
          <w:tcPr>
            <w:tcW w:w="1247" w:type="dxa"/>
            <w:shd w:val="clear" w:color="auto" w:fill="auto"/>
            <w:noWrap/>
            <w:vAlign w:val="center"/>
          </w:tcPr>
          <w:p w14:paraId="7BA0B975" w14:textId="77777777" w:rsidR="00526ECF" w:rsidRPr="00BA07D7" w:rsidRDefault="00526ECF" w:rsidP="00BA499D">
            <w:pPr>
              <w:jc w:val="center"/>
              <w:rPr>
                <w:rFonts w:eastAsiaTheme="minorEastAsia"/>
                <w:color w:val="000000"/>
                <w:sz w:val="18"/>
                <w:szCs w:val="18"/>
                <w:lang w:eastAsia="hr-HR"/>
              </w:rPr>
            </w:pPr>
            <w:r w:rsidRPr="00BA07D7">
              <w:rPr>
                <w:rFonts w:eastAsiaTheme="minorEastAsia"/>
                <w:color w:val="000000"/>
                <w:sz w:val="18"/>
                <w:szCs w:val="18"/>
                <w:lang w:eastAsia="hr-HR"/>
              </w:rPr>
              <w:t>10</w:t>
            </w:r>
          </w:p>
        </w:tc>
        <w:tc>
          <w:tcPr>
            <w:tcW w:w="1418" w:type="dxa"/>
            <w:shd w:val="clear" w:color="auto" w:fill="auto"/>
            <w:noWrap/>
            <w:vAlign w:val="center"/>
          </w:tcPr>
          <w:p w14:paraId="5FF7B4A3" w14:textId="77777777" w:rsidR="00526ECF" w:rsidRPr="00BA07D7" w:rsidRDefault="00526ECF" w:rsidP="00BA499D">
            <w:pPr>
              <w:jc w:val="center"/>
              <w:rPr>
                <w:color w:val="000000"/>
                <w:sz w:val="18"/>
                <w:szCs w:val="18"/>
                <w:lang w:eastAsia="hr-HR"/>
              </w:rPr>
            </w:pPr>
            <w:r>
              <w:rPr>
                <w:color w:val="000000"/>
                <w:sz w:val="18"/>
                <w:szCs w:val="18"/>
                <w:lang w:eastAsia="hr-HR"/>
              </w:rPr>
              <w:t>23</w:t>
            </w:r>
          </w:p>
        </w:tc>
        <w:tc>
          <w:tcPr>
            <w:tcW w:w="1446" w:type="dxa"/>
            <w:shd w:val="clear" w:color="auto" w:fill="auto"/>
            <w:noWrap/>
            <w:vAlign w:val="center"/>
          </w:tcPr>
          <w:p w14:paraId="3CD9CA39" w14:textId="77777777" w:rsidR="00526ECF" w:rsidRPr="00BA07D7" w:rsidRDefault="00526ECF" w:rsidP="00BA499D">
            <w:pPr>
              <w:jc w:val="center"/>
              <w:rPr>
                <w:color w:val="000000"/>
                <w:sz w:val="18"/>
                <w:szCs w:val="18"/>
                <w:lang w:eastAsia="hr-HR"/>
              </w:rPr>
            </w:pPr>
            <w:r>
              <w:rPr>
                <w:color w:val="000000"/>
                <w:sz w:val="18"/>
                <w:szCs w:val="18"/>
                <w:lang w:eastAsia="hr-HR"/>
              </w:rPr>
              <w:t>230</w:t>
            </w:r>
          </w:p>
        </w:tc>
      </w:tr>
    </w:tbl>
    <w:p w14:paraId="67E34361" w14:textId="77777777" w:rsidR="00526ECF" w:rsidRPr="00BA0FAE" w:rsidRDefault="00526ECF" w:rsidP="00526ECF">
      <w:pPr>
        <w:rPr>
          <w:rFonts w:cs="Calibri"/>
          <w:b/>
          <w:bCs/>
        </w:rPr>
      </w:pPr>
    </w:p>
    <w:p w14:paraId="149CD73A" w14:textId="77777777" w:rsidR="00526ECF" w:rsidRDefault="00526ECF" w:rsidP="00526ECF">
      <w:pPr>
        <w:tabs>
          <w:tab w:val="center" w:pos="858"/>
          <w:tab w:val="center" w:pos="4320"/>
          <w:tab w:val="right" w:pos="8306"/>
          <w:tab w:val="right" w:pos="8640"/>
        </w:tabs>
        <w:spacing w:before="240"/>
        <w:jc w:val="both"/>
        <w:rPr>
          <w:rFonts w:cs="Calibri"/>
          <w:b/>
          <w:bCs/>
        </w:rPr>
      </w:pPr>
    </w:p>
    <w:p w14:paraId="5FF990A1" w14:textId="77777777" w:rsidR="00526ECF" w:rsidRPr="00BA07D7" w:rsidRDefault="00526ECF" w:rsidP="00526ECF">
      <w:pPr>
        <w:rPr>
          <w:b/>
          <w:lang w:eastAsia="hr-HR"/>
        </w:rPr>
      </w:pPr>
      <w:r w:rsidRPr="00BA07D7">
        <w:rPr>
          <w:b/>
          <w:lang w:eastAsia="hr-HR"/>
        </w:rPr>
        <w:t xml:space="preserve">Tablica 16. Sudjelovanja na radnim sastancima u europskim poslovima </w:t>
      </w:r>
      <w:r>
        <w:rPr>
          <w:b/>
          <w:lang w:eastAsia="hr-HR"/>
        </w:rPr>
        <w:t>za dostupnost lijekova</w:t>
      </w:r>
    </w:p>
    <w:p w14:paraId="042E520D" w14:textId="77777777" w:rsidR="00526ECF" w:rsidRPr="00BA07D7" w:rsidRDefault="00526ECF" w:rsidP="00526ECF">
      <w:pPr>
        <w:rPr>
          <w:b/>
          <w:lang w:eastAsia="hr-H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
        <w:gridCol w:w="7057"/>
        <w:gridCol w:w="852"/>
        <w:gridCol w:w="1091"/>
      </w:tblGrid>
      <w:tr w:rsidR="00526ECF" w:rsidRPr="00BA07D7" w14:paraId="243BCA48" w14:textId="77777777" w:rsidTr="00B609FC">
        <w:trPr>
          <w:trHeight w:val="227"/>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3E7FF"/>
            <w:vAlign w:val="center"/>
            <w:hideMark/>
          </w:tcPr>
          <w:p w14:paraId="000E5CDF" w14:textId="77777777" w:rsidR="00526ECF" w:rsidRPr="00BA07D7" w:rsidRDefault="00526ECF" w:rsidP="00BA499D">
            <w:pPr>
              <w:spacing w:line="276" w:lineRule="auto"/>
              <w:jc w:val="center"/>
              <w:rPr>
                <w:rFonts w:eastAsia="Times New Roman" w:cs="Times New Roman"/>
                <w:b/>
                <w:bCs/>
                <w:color w:val="1A1A1A"/>
                <w:sz w:val="18"/>
                <w:szCs w:val="18"/>
                <w:lang w:eastAsia="hr-HR"/>
              </w:rPr>
            </w:pPr>
            <w:r w:rsidRPr="00BA07D7">
              <w:rPr>
                <w:rFonts w:eastAsia="Times New Roman" w:cs="Times New Roman"/>
                <w:b/>
                <w:bCs/>
                <w:color w:val="1A1A1A"/>
                <w:sz w:val="18"/>
                <w:szCs w:val="18"/>
                <w:lang w:eastAsia="hr-HR"/>
              </w:rPr>
              <w:t>Rb</w:t>
            </w:r>
          </w:p>
        </w:tc>
        <w:tc>
          <w:tcPr>
            <w:tcW w:w="0" w:type="auto"/>
            <w:tcBorders>
              <w:top w:val="single" w:sz="4" w:space="0" w:color="auto"/>
              <w:left w:val="single" w:sz="4" w:space="0" w:color="auto"/>
              <w:bottom w:val="single" w:sz="4" w:space="0" w:color="auto"/>
              <w:right w:val="single" w:sz="4" w:space="0" w:color="auto"/>
            </w:tcBorders>
            <w:shd w:val="clear" w:color="auto" w:fill="A3E7FF"/>
            <w:vAlign w:val="center"/>
            <w:hideMark/>
          </w:tcPr>
          <w:p w14:paraId="420D8791" w14:textId="77777777" w:rsidR="00526ECF" w:rsidRPr="00BA07D7" w:rsidRDefault="00526ECF" w:rsidP="00BA499D">
            <w:pPr>
              <w:spacing w:line="276" w:lineRule="auto"/>
              <w:rPr>
                <w:rFonts w:eastAsia="Times New Roman" w:cs="Times New Roman"/>
                <w:b/>
                <w:bCs/>
                <w:color w:val="1A1A1A"/>
                <w:sz w:val="18"/>
                <w:szCs w:val="18"/>
                <w:lang w:eastAsia="hr-HR"/>
              </w:rPr>
            </w:pPr>
            <w:r w:rsidRPr="00BA07D7">
              <w:rPr>
                <w:rFonts w:eastAsia="Times New Roman" w:cs="Times New Roman"/>
                <w:b/>
                <w:bCs/>
                <w:color w:val="1A1A1A"/>
                <w:sz w:val="18"/>
                <w:szCs w:val="18"/>
                <w:lang w:eastAsia="hr-HR"/>
              </w:rPr>
              <w:t>Sudjelovanje HALMED-a na radnim sastancima</w:t>
            </w:r>
          </w:p>
        </w:tc>
        <w:tc>
          <w:tcPr>
            <w:tcW w:w="0" w:type="auto"/>
            <w:tcBorders>
              <w:top w:val="single" w:sz="4" w:space="0" w:color="auto"/>
              <w:left w:val="single" w:sz="4" w:space="0" w:color="auto"/>
              <w:bottom w:val="single" w:sz="4" w:space="0" w:color="auto"/>
              <w:right w:val="single" w:sz="4" w:space="0" w:color="auto"/>
            </w:tcBorders>
            <w:shd w:val="clear" w:color="auto" w:fill="A3E7FF"/>
          </w:tcPr>
          <w:p w14:paraId="1C169421" w14:textId="77777777" w:rsidR="00526ECF" w:rsidRPr="00BA07D7" w:rsidRDefault="00526ECF" w:rsidP="00BA499D">
            <w:pPr>
              <w:jc w:val="center"/>
              <w:rPr>
                <w:rFonts w:eastAsia="Times New Roman" w:cs="Times New Roman"/>
                <w:b/>
                <w:color w:val="000000"/>
                <w:sz w:val="18"/>
                <w:szCs w:val="18"/>
                <w:lang w:eastAsia="hr-HR"/>
              </w:rPr>
            </w:pPr>
          </w:p>
          <w:p w14:paraId="293D7DEC" w14:textId="77777777" w:rsidR="00526ECF" w:rsidRPr="00BA07D7" w:rsidRDefault="00526ECF" w:rsidP="00BA499D">
            <w:pPr>
              <w:spacing w:line="276" w:lineRule="auto"/>
              <w:jc w:val="center"/>
              <w:rPr>
                <w:rFonts w:eastAsia="Times New Roman" w:cs="Times New Roman"/>
                <w:b/>
                <w:color w:val="000000"/>
                <w:sz w:val="18"/>
                <w:szCs w:val="18"/>
                <w:lang w:eastAsia="hr-HR"/>
              </w:rPr>
            </w:pPr>
            <w:r>
              <w:rPr>
                <w:rFonts w:eastAsia="Times New Roman" w:cs="Times New Roman"/>
                <w:b/>
                <w:color w:val="000000"/>
                <w:sz w:val="18"/>
                <w:szCs w:val="18"/>
                <w:lang w:eastAsia="hr-HR"/>
              </w:rPr>
              <w:t>Plan za 2023</w:t>
            </w:r>
            <w:r w:rsidRPr="00BA07D7">
              <w:rPr>
                <w:rFonts w:eastAsia="Times New Roman" w:cs="Times New Roman"/>
                <w:b/>
                <w:color w:val="000000"/>
                <w:sz w:val="18"/>
                <w:szCs w:val="18"/>
                <w:lang w:eastAsia="hr-HR"/>
              </w:rPr>
              <w:t>.</w:t>
            </w:r>
          </w:p>
        </w:tc>
        <w:tc>
          <w:tcPr>
            <w:tcW w:w="871" w:type="dxa"/>
            <w:tcBorders>
              <w:top w:val="single" w:sz="4" w:space="0" w:color="auto"/>
              <w:left w:val="single" w:sz="4" w:space="0" w:color="auto"/>
              <w:bottom w:val="single" w:sz="4" w:space="0" w:color="auto"/>
              <w:right w:val="single" w:sz="4" w:space="0" w:color="auto"/>
            </w:tcBorders>
            <w:shd w:val="clear" w:color="auto" w:fill="A3E7FF"/>
            <w:vAlign w:val="center"/>
            <w:hideMark/>
          </w:tcPr>
          <w:p w14:paraId="37148899" w14:textId="77777777" w:rsidR="00526ECF" w:rsidRPr="00BA07D7" w:rsidRDefault="00526ECF" w:rsidP="00BA499D">
            <w:pPr>
              <w:spacing w:line="276" w:lineRule="auto"/>
              <w:jc w:val="center"/>
              <w:rPr>
                <w:rFonts w:eastAsia="Times New Roman" w:cs="Times New Roman"/>
                <w:b/>
                <w:color w:val="000000"/>
                <w:sz w:val="18"/>
                <w:szCs w:val="18"/>
                <w:lang w:eastAsia="hr-HR"/>
              </w:rPr>
            </w:pPr>
            <w:r w:rsidRPr="00BA07D7">
              <w:rPr>
                <w:rFonts w:eastAsia="Times New Roman" w:cs="Times New Roman"/>
                <w:b/>
                <w:color w:val="000000"/>
                <w:sz w:val="18"/>
                <w:szCs w:val="18"/>
                <w:lang w:eastAsia="hr-HR"/>
              </w:rPr>
              <w:t>Izvršenje</w:t>
            </w:r>
          </w:p>
          <w:p w14:paraId="29C92276" w14:textId="77777777" w:rsidR="00526ECF" w:rsidRPr="00BA07D7" w:rsidRDefault="00526ECF" w:rsidP="00BA499D">
            <w:pPr>
              <w:spacing w:line="276" w:lineRule="auto"/>
              <w:jc w:val="center"/>
              <w:rPr>
                <w:rFonts w:eastAsia="Times New Roman" w:cs="Times New Roman"/>
                <w:b/>
                <w:color w:val="000000"/>
                <w:sz w:val="18"/>
                <w:szCs w:val="18"/>
                <w:lang w:eastAsia="hr-HR"/>
              </w:rPr>
            </w:pPr>
            <w:r w:rsidRPr="00BA07D7">
              <w:rPr>
                <w:rFonts w:eastAsia="Times New Roman" w:cs="Times New Roman"/>
                <w:b/>
                <w:color w:val="000000"/>
                <w:sz w:val="18"/>
                <w:szCs w:val="18"/>
                <w:lang w:eastAsia="hr-HR"/>
              </w:rPr>
              <w:t>01.01.-</w:t>
            </w:r>
            <w:r>
              <w:rPr>
                <w:rFonts w:eastAsia="Times New Roman" w:cs="Times New Roman"/>
                <w:b/>
                <w:color w:val="000000"/>
                <w:sz w:val="18"/>
                <w:szCs w:val="18"/>
                <w:lang w:eastAsia="hr-HR"/>
              </w:rPr>
              <w:t>31.12.2023</w:t>
            </w:r>
            <w:r w:rsidRPr="00BA07D7">
              <w:rPr>
                <w:rFonts w:eastAsia="Times New Roman" w:cs="Times New Roman"/>
                <w:b/>
                <w:color w:val="000000"/>
                <w:sz w:val="18"/>
                <w:szCs w:val="18"/>
                <w:lang w:eastAsia="hr-HR"/>
              </w:rPr>
              <w:t>.</w:t>
            </w:r>
          </w:p>
        </w:tc>
      </w:tr>
      <w:tr w:rsidR="00526ECF" w:rsidRPr="00BA07D7" w14:paraId="05BCF52E" w14:textId="77777777" w:rsidTr="00B609FC">
        <w:trPr>
          <w:trHeight w:val="227"/>
          <w:tblHeader/>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3E7FF"/>
            <w:vAlign w:val="center"/>
            <w:hideMark/>
          </w:tcPr>
          <w:p w14:paraId="24CBF597" w14:textId="77777777" w:rsidR="00526ECF" w:rsidRPr="00BA07D7" w:rsidRDefault="00526ECF" w:rsidP="00BA499D">
            <w:pPr>
              <w:spacing w:line="276" w:lineRule="auto"/>
              <w:rPr>
                <w:rFonts w:eastAsia="Times New Roman" w:cs="Times New Roman"/>
                <w:b/>
                <w:bCs/>
                <w:color w:val="1A1A1A"/>
                <w:sz w:val="18"/>
                <w:szCs w:val="18"/>
                <w:lang w:eastAsia="hr-HR"/>
              </w:rPr>
            </w:pPr>
            <w:r w:rsidRPr="00BA07D7">
              <w:rPr>
                <w:rFonts w:eastAsia="Times New Roman" w:cs="Times New Roman"/>
                <w:b/>
                <w:bCs/>
                <w:color w:val="1A1A1A"/>
                <w:sz w:val="18"/>
                <w:szCs w:val="18"/>
                <w:lang w:eastAsia="hr-HR"/>
              </w:rPr>
              <w:t xml:space="preserve">                      Povjerenstva i radne skupine EMA-e </w:t>
            </w:r>
          </w:p>
        </w:tc>
        <w:tc>
          <w:tcPr>
            <w:tcW w:w="0" w:type="auto"/>
            <w:tcBorders>
              <w:top w:val="single" w:sz="4" w:space="0" w:color="auto"/>
              <w:left w:val="single" w:sz="4" w:space="0" w:color="auto"/>
              <w:bottom w:val="single" w:sz="4" w:space="0" w:color="auto"/>
              <w:right w:val="single" w:sz="4" w:space="0" w:color="auto"/>
            </w:tcBorders>
            <w:shd w:val="clear" w:color="auto" w:fill="A3E7FF"/>
          </w:tcPr>
          <w:p w14:paraId="3F9955A2" w14:textId="77777777" w:rsidR="00526ECF" w:rsidRPr="00BA07D7" w:rsidRDefault="00526ECF" w:rsidP="00BA499D">
            <w:pPr>
              <w:spacing w:line="276" w:lineRule="auto"/>
              <w:jc w:val="center"/>
              <w:rPr>
                <w:rFonts w:eastAsia="Times New Roman" w:cs="Times New Roman"/>
                <w:b/>
                <w:bCs/>
                <w:color w:val="1A1A1A"/>
                <w:sz w:val="18"/>
                <w:szCs w:val="18"/>
                <w:lang w:eastAsia="hr-HR"/>
              </w:rPr>
            </w:pPr>
          </w:p>
        </w:tc>
        <w:tc>
          <w:tcPr>
            <w:tcW w:w="871" w:type="dxa"/>
            <w:tcBorders>
              <w:top w:val="single" w:sz="4" w:space="0" w:color="auto"/>
              <w:left w:val="single" w:sz="4" w:space="0" w:color="auto"/>
              <w:bottom w:val="single" w:sz="4" w:space="0" w:color="auto"/>
              <w:right w:val="single" w:sz="4" w:space="0" w:color="auto"/>
            </w:tcBorders>
            <w:shd w:val="clear" w:color="auto" w:fill="A3E7FF"/>
            <w:vAlign w:val="center"/>
          </w:tcPr>
          <w:p w14:paraId="7876EF08" w14:textId="77777777" w:rsidR="00526ECF" w:rsidRPr="00BA07D7" w:rsidRDefault="00526ECF" w:rsidP="00BA499D">
            <w:pPr>
              <w:spacing w:line="276" w:lineRule="auto"/>
              <w:rPr>
                <w:rFonts w:eastAsia="Times New Roman" w:cs="Times New Roman"/>
                <w:b/>
                <w:bCs/>
                <w:color w:val="1A1A1A"/>
                <w:sz w:val="18"/>
                <w:szCs w:val="18"/>
                <w:lang w:eastAsia="hr-HR"/>
              </w:rPr>
            </w:pPr>
          </w:p>
        </w:tc>
      </w:tr>
      <w:tr w:rsidR="00526ECF" w:rsidRPr="00BA07D7" w14:paraId="5D38F397" w14:textId="77777777" w:rsidTr="00B609FC">
        <w:trPr>
          <w:trHeight w:val="227"/>
          <w:tblHeader/>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68F26" w14:textId="77777777" w:rsidR="00526ECF" w:rsidRPr="00BA07D7" w:rsidRDefault="00526ECF" w:rsidP="00BA499D">
            <w:pPr>
              <w:spacing w:line="276" w:lineRule="auto"/>
              <w:rPr>
                <w:rFonts w:eastAsia="Times New Roman" w:cs="Times New Roman"/>
                <w:bCs/>
                <w:color w:val="1A1A1A"/>
                <w:sz w:val="18"/>
                <w:szCs w:val="18"/>
                <w:lang w:eastAsia="hr-HR"/>
              </w:rPr>
            </w:pPr>
            <w:r w:rsidRPr="00BA07D7">
              <w:rPr>
                <w:rFonts w:eastAsia="Times New Roman" w:cs="Times New Roman"/>
                <w:bCs/>
                <w:color w:val="1A1A1A"/>
                <w:sz w:val="18"/>
                <w:szCs w:val="18"/>
                <w:lang w:eastAsia="hr-HR"/>
              </w:rPr>
              <w:t xml:space="preserve">1.      </w:t>
            </w:r>
            <w:r w:rsidRPr="00BA07D7">
              <w:rPr>
                <w:rFonts w:cstheme="minorHAnsi"/>
                <w:color w:val="262626"/>
                <w:sz w:val="18"/>
                <w:szCs w:val="18"/>
                <w:lang w:val="en-GB"/>
              </w:rPr>
              <w:t>Medicine Shortages (SPOC) Working Party</w:t>
            </w:r>
            <w:r>
              <w:rPr>
                <w:rFonts w:cstheme="minorHAnsi"/>
                <w:color w:val="262626"/>
                <w:sz w:val="18"/>
                <w:szCs w:val="18"/>
                <w:lang w:val="en-GB"/>
              </w:rPr>
              <w:t xml:space="preserve"> (incl. SPOC WP Subgroup on GLP1 Receptor Agonists)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257E6971" w14:textId="77777777" w:rsidR="00526ECF" w:rsidRDefault="00526ECF" w:rsidP="00BA499D">
            <w:pPr>
              <w:jc w:val="center"/>
              <w:rPr>
                <w:sz w:val="18"/>
                <w:szCs w:val="18"/>
              </w:rPr>
            </w:pPr>
          </w:p>
          <w:p w14:paraId="7D9FD636" w14:textId="77777777" w:rsidR="00526ECF" w:rsidRPr="00BA07D7" w:rsidRDefault="00526ECF" w:rsidP="00BA499D">
            <w:pPr>
              <w:jc w:val="center"/>
              <w:rPr>
                <w:sz w:val="18"/>
                <w:szCs w:val="18"/>
              </w:rPr>
            </w:pPr>
            <w:r w:rsidRPr="00BA07D7">
              <w:rPr>
                <w:sz w:val="18"/>
                <w:szCs w:val="18"/>
              </w:rPr>
              <w:t>12</w:t>
            </w:r>
          </w:p>
        </w:tc>
        <w:tc>
          <w:tcPr>
            <w:tcW w:w="8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E9BE5D" w14:textId="77777777" w:rsidR="00526ECF" w:rsidRPr="00BA07D7" w:rsidRDefault="00526ECF" w:rsidP="00BA499D">
            <w:pPr>
              <w:spacing w:line="276" w:lineRule="auto"/>
              <w:jc w:val="center"/>
              <w:rPr>
                <w:rFonts w:eastAsia="Times New Roman" w:cs="Times New Roman"/>
                <w:bCs/>
                <w:color w:val="1A1A1A"/>
                <w:sz w:val="18"/>
                <w:szCs w:val="18"/>
                <w:lang w:eastAsia="hr-HR"/>
              </w:rPr>
            </w:pPr>
            <w:r>
              <w:rPr>
                <w:rFonts w:eastAsia="Times New Roman" w:cs="Times New Roman"/>
                <w:bCs/>
                <w:color w:val="1A1A1A"/>
                <w:sz w:val="18"/>
                <w:szCs w:val="18"/>
                <w:lang w:eastAsia="hr-HR"/>
              </w:rPr>
              <w:t>14</w:t>
            </w:r>
          </w:p>
        </w:tc>
      </w:tr>
      <w:tr w:rsidR="00526ECF" w:rsidRPr="00BA07D7" w14:paraId="4C251162" w14:textId="77777777" w:rsidTr="00B609FC">
        <w:trPr>
          <w:trHeight w:val="227"/>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3E7FF"/>
            <w:vAlign w:val="center"/>
            <w:hideMark/>
          </w:tcPr>
          <w:p w14:paraId="6CE5C0CB" w14:textId="77777777" w:rsidR="00526ECF" w:rsidRPr="00BA07D7" w:rsidRDefault="00526ECF" w:rsidP="00BA499D">
            <w:pPr>
              <w:spacing w:line="276" w:lineRule="auto"/>
              <w:rPr>
                <w:rFonts w:cs="Times New Roman"/>
                <w:b/>
                <w:bCs/>
                <w:sz w:val="18"/>
                <w:szCs w:val="18"/>
              </w:rPr>
            </w:pPr>
            <w:r w:rsidRPr="00BA07D7">
              <w:rPr>
                <w:rFonts w:cs="Times New Roman"/>
                <w:b/>
                <w:bCs/>
                <w:sz w:val="18"/>
                <w:szCs w:val="18"/>
              </w:rPr>
              <w:t xml:space="preserve">                     Koordinacijske i radne skupine HMA-a</w:t>
            </w:r>
          </w:p>
        </w:tc>
        <w:tc>
          <w:tcPr>
            <w:tcW w:w="0" w:type="auto"/>
            <w:tcBorders>
              <w:top w:val="single" w:sz="4" w:space="0" w:color="auto"/>
              <w:left w:val="single" w:sz="4" w:space="0" w:color="auto"/>
              <w:bottom w:val="single" w:sz="4" w:space="0" w:color="auto"/>
              <w:right w:val="single" w:sz="4" w:space="0" w:color="auto"/>
            </w:tcBorders>
            <w:shd w:val="clear" w:color="auto" w:fill="A3E7FF"/>
          </w:tcPr>
          <w:p w14:paraId="45221CE3" w14:textId="77777777" w:rsidR="00526ECF" w:rsidRPr="00BA07D7" w:rsidRDefault="00526ECF" w:rsidP="00BA499D">
            <w:pPr>
              <w:spacing w:line="276" w:lineRule="auto"/>
              <w:jc w:val="center"/>
              <w:rPr>
                <w:rFonts w:cs="Times New Roman"/>
                <w:b/>
                <w:bCs/>
                <w:sz w:val="18"/>
                <w:szCs w:val="18"/>
              </w:rPr>
            </w:pPr>
          </w:p>
        </w:tc>
        <w:tc>
          <w:tcPr>
            <w:tcW w:w="871" w:type="dxa"/>
            <w:tcBorders>
              <w:top w:val="single" w:sz="4" w:space="0" w:color="auto"/>
              <w:left w:val="single" w:sz="4" w:space="0" w:color="auto"/>
              <w:bottom w:val="single" w:sz="4" w:space="0" w:color="auto"/>
              <w:right w:val="single" w:sz="4" w:space="0" w:color="auto"/>
            </w:tcBorders>
            <w:shd w:val="clear" w:color="auto" w:fill="A3E7FF"/>
            <w:vAlign w:val="center"/>
          </w:tcPr>
          <w:p w14:paraId="48BB1518" w14:textId="77777777" w:rsidR="00526ECF" w:rsidRPr="00BA07D7" w:rsidRDefault="00526ECF" w:rsidP="00BA499D">
            <w:pPr>
              <w:spacing w:line="276" w:lineRule="auto"/>
              <w:rPr>
                <w:rFonts w:cs="Times New Roman"/>
                <w:b/>
                <w:bCs/>
                <w:sz w:val="18"/>
                <w:szCs w:val="18"/>
              </w:rPr>
            </w:pPr>
          </w:p>
        </w:tc>
      </w:tr>
      <w:tr w:rsidR="00526ECF" w:rsidRPr="00BA07D7" w14:paraId="7CA8801A" w14:textId="77777777" w:rsidTr="00B609FC">
        <w:trPr>
          <w:trHeight w:val="227"/>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18CA5F" w14:textId="77777777" w:rsidR="00526ECF" w:rsidRPr="00BA07D7" w:rsidRDefault="00526ECF" w:rsidP="00BA499D">
            <w:pPr>
              <w:spacing w:line="276" w:lineRule="auto"/>
              <w:rPr>
                <w:sz w:val="18"/>
                <w:szCs w:val="18"/>
              </w:rPr>
            </w:pPr>
            <w:r w:rsidRPr="00BA07D7">
              <w:rPr>
                <w:rFonts w:cs="Times New Roman"/>
                <w:b/>
                <w:bCs/>
                <w:sz w:val="18"/>
                <w:szCs w:val="18"/>
              </w:rPr>
              <w:t xml:space="preserve">2.      </w:t>
            </w:r>
            <w:r w:rsidRPr="00BA07D7">
              <w:rPr>
                <w:sz w:val="18"/>
                <w:szCs w:val="18"/>
              </w:rPr>
              <w:t>HMA/EMA radna grupa o dostupnosti odobrenih lijekova za humanu i veterinarsku primjenu</w:t>
            </w:r>
            <w:r w:rsidRPr="00BA07D7">
              <w:rPr>
                <w:b/>
              </w:rPr>
              <w:t xml:space="preserve"> </w:t>
            </w:r>
            <w:r w:rsidRPr="00BA07D7">
              <w:rPr>
                <w:sz w:val="18"/>
                <w:szCs w:val="18"/>
              </w:rPr>
              <w:t>(Thematic Working Group</w:t>
            </w:r>
            <w:r>
              <w:rPr>
                <w:sz w:val="18"/>
                <w:szCs w:val="18"/>
              </w:rPr>
              <w:t>1 on availbility and supply distruptions – Drafting group of the EU list of critical medicinal products)</w:t>
            </w:r>
            <w:r w:rsidRPr="00BA07D7">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14:paraId="63187C52" w14:textId="77777777" w:rsidR="00526ECF" w:rsidRPr="00BA07D7" w:rsidRDefault="00526ECF" w:rsidP="00BA499D">
            <w:pPr>
              <w:jc w:val="center"/>
              <w:rPr>
                <w:sz w:val="18"/>
                <w:szCs w:val="18"/>
              </w:rPr>
            </w:pPr>
          </w:p>
          <w:p w14:paraId="3D663F83" w14:textId="77777777" w:rsidR="00526ECF" w:rsidRPr="00BA07D7" w:rsidRDefault="00526ECF" w:rsidP="00BA499D">
            <w:pPr>
              <w:jc w:val="center"/>
              <w:rPr>
                <w:sz w:val="18"/>
                <w:szCs w:val="18"/>
              </w:rPr>
            </w:pPr>
            <w:r w:rsidRPr="00BA07D7">
              <w:rPr>
                <w:sz w:val="18"/>
                <w:szCs w:val="18"/>
              </w:rPr>
              <w:t>2</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14:paraId="169F69BF" w14:textId="77777777" w:rsidR="00526ECF" w:rsidRPr="00BA07D7" w:rsidRDefault="00526ECF" w:rsidP="00BA499D">
            <w:pPr>
              <w:jc w:val="center"/>
              <w:rPr>
                <w:rFonts w:cs="Times New Roman"/>
                <w:bCs/>
                <w:sz w:val="18"/>
                <w:szCs w:val="18"/>
              </w:rPr>
            </w:pPr>
            <w:r>
              <w:rPr>
                <w:rFonts w:cs="Times New Roman"/>
                <w:bCs/>
                <w:sz w:val="18"/>
                <w:szCs w:val="18"/>
              </w:rPr>
              <w:t>9</w:t>
            </w:r>
          </w:p>
        </w:tc>
      </w:tr>
      <w:tr w:rsidR="00526ECF" w:rsidRPr="00BA07D7" w14:paraId="29549FB7" w14:textId="77777777" w:rsidTr="00B609FC">
        <w:trPr>
          <w:trHeight w:val="227"/>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3E7FF"/>
            <w:vAlign w:val="center"/>
            <w:hideMark/>
          </w:tcPr>
          <w:p w14:paraId="67475CBB" w14:textId="77777777" w:rsidR="00526ECF" w:rsidRPr="00BA07D7" w:rsidRDefault="00526ECF" w:rsidP="00BA499D">
            <w:pPr>
              <w:spacing w:line="276" w:lineRule="auto"/>
              <w:rPr>
                <w:rFonts w:cs="Times New Roman"/>
                <w:b/>
                <w:bCs/>
                <w:sz w:val="18"/>
                <w:szCs w:val="18"/>
              </w:rPr>
            </w:pPr>
            <w:r w:rsidRPr="00BA07D7">
              <w:rPr>
                <w:rFonts w:cs="Times New Roman"/>
                <w:b/>
                <w:bCs/>
                <w:sz w:val="18"/>
                <w:szCs w:val="18"/>
              </w:rPr>
              <w:t xml:space="preserve">                    </w:t>
            </w:r>
            <w:r>
              <w:rPr>
                <w:rFonts w:cs="Times New Roman"/>
                <w:b/>
                <w:bCs/>
                <w:sz w:val="18"/>
                <w:szCs w:val="18"/>
              </w:rPr>
              <w:t>Projekt</w:t>
            </w:r>
            <w:r w:rsidRPr="00BA07D7">
              <w:rPr>
                <w:rFonts w:cs="Times New Roman"/>
                <w:b/>
                <w:bCs/>
                <w:sz w:val="18"/>
                <w:szCs w:val="18"/>
              </w:rPr>
              <w:t xml:space="preserve"> EK-a</w:t>
            </w:r>
          </w:p>
        </w:tc>
        <w:tc>
          <w:tcPr>
            <w:tcW w:w="0" w:type="auto"/>
            <w:tcBorders>
              <w:top w:val="single" w:sz="4" w:space="0" w:color="auto"/>
              <w:left w:val="single" w:sz="4" w:space="0" w:color="auto"/>
              <w:bottom w:val="single" w:sz="4" w:space="0" w:color="auto"/>
              <w:right w:val="single" w:sz="4" w:space="0" w:color="auto"/>
            </w:tcBorders>
            <w:shd w:val="clear" w:color="auto" w:fill="A3E7FF"/>
          </w:tcPr>
          <w:p w14:paraId="37BD525E" w14:textId="77777777" w:rsidR="00526ECF" w:rsidRPr="00BA07D7" w:rsidRDefault="00526ECF" w:rsidP="00BA499D">
            <w:pPr>
              <w:spacing w:line="276" w:lineRule="auto"/>
              <w:jc w:val="center"/>
              <w:rPr>
                <w:rFonts w:cs="Times New Roman"/>
                <w:b/>
                <w:bCs/>
                <w:sz w:val="18"/>
                <w:szCs w:val="18"/>
              </w:rPr>
            </w:pPr>
          </w:p>
        </w:tc>
        <w:tc>
          <w:tcPr>
            <w:tcW w:w="871" w:type="dxa"/>
            <w:tcBorders>
              <w:top w:val="single" w:sz="4" w:space="0" w:color="auto"/>
              <w:left w:val="single" w:sz="4" w:space="0" w:color="auto"/>
              <w:bottom w:val="single" w:sz="4" w:space="0" w:color="auto"/>
              <w:right w:val="single" w:sz="4" w:space="0" w:color="auto"/>
            </w:tcBorders>
            <w:shd w:val="clear" w:color="auto" w:fill="A3E7FF"/>
            <w:vAlign w:val="center"/>
          </w:tcPr>
          <w:p w14:paraId="750DB138" w14:textId="77777777" w:rsidR="00526ECF" w:rsidRPr="00BA07D7" w:rsidRDefault="00526ECF" w:rsidP="00BA499D">
            <w:pPr>
              <w:spacing w:line="276" w:lineRule="auto"/>
              <w:rPr>
                <w:rFonts w:cs="Times New Roman"/>
                <w:b/>
                <w:bCs/>
                <w:sz w:val="18"/>
                <w:szCs w:val="18"/>
              </w:rPr>
            </w:pPr>
          </w:p>
        </w:tc>
      </w:tr>
      <w:tr w:rsidR="00526ECF" w:rsidRPr="00BA07D7" w14:paraId="1C7826F5" w14:textId="77777777" w:rsidTr="00B609FC">
        <w:trPr>
          <w:trHeight w:val="227"/>
          <w:jc w:val="center"/>
        </w:trPr>
        <w:tc>
          <w:tcPr>
            <w:tcW w:w="0" w:type="auto"/>
            <w:tcBorders>
              <w:top w:val="single" w:sz="4" w:space="0" w:color="auto"/>
              <w:left w:val="single" w:sz="4" w:space="0" w:color="auto"/>
              <w:bottom w:val="single" w:sz="4" w:space="0" w:color="auto"/>
              <w:right w:val="single" w:sz="4" w:space="0" w:color="auto"/>
            </w:tcBorders>
            <w:vAlign w:val="center"/>
          </w:tcPr>
          <w:p w14:paraId="2E7FF863" w14:textId="77777777" w:rsidR="00526ECF" w:rsidRPr="00BA07D7" w:rsidRDefault="00526ECF" w:rsidP="00BA499D">
            <w:pPr>
              <w:spacing w:line="276" w:lineRule="auto"/>
              <w:rPr>
                <w:rFonts w:eastAsia="Times New Roman" w:cs="Times New Roman"/>
                <w:sz w:val="18"/>
                <w:szCs w:val="18"/>
              </w:rPr>
            </w:pPr>
            <w:r w:rsidRPr="00BA07D7">
              <w:rPr>
                <w:rFonts w:eastAsia="Times New Roman" w:cs="Times New Roman"/>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7E68BDAF" w14:textId="77777777" w:rsidR="00526ECF" w:rsidRPr="00BA07D7" w:rsidRDefault="00526ECF" w:rsidP="00BA499D">
            <w:pPr>
              <w:spacing w:line="276" w:lineRule="auto"/>
              <w:jc w:val="both"/>
              <w:rPr>
                <w:rFonts w:eastAsia="Times New Roman" w:cstheme="minorHAnsi"/>
                <w:sz w:val="18"/>
                <w:szCs w:val="18"/>
              </w:rPr>
            </w:pPr>
            <w:r>
              <w:rPr>
                <w:rFonts w:eastAsia="Times New Roman" w:cstheme="minorHAnsi"/>
                <w:sz w:val="18"/>
                <w:szCs w:val="18"/>
              </w:rPr>
              <w:t xml:space="preserve">EU4H – 2021 – JA – 06 :Coordination and Harmonisation of the Existing Systems against Shortages of Meedicines – European Network (CHESSMEN) </w:t>
            </w:r>
          </w:p>
        </w:tc>
        <w:tc>
          <w:tcPr>
            <w:tcW w:w="0" w:type="auto"/>
            <w:tcBorders>
              <w:top w:val="single" w:sz="4" w:space="0" w:color="auto"/>
              <w:left w:val="single" w:sz="4" w:space="0" w:color="auto"/>
              <w:bottom w:val="single" w:sz="4" w:space="0" w:color="auto"/>
              <w:right w:val="single" w:sz="4" w:space="0" w:color="auto"/>
            </w:tcBorders>
          </w:tcPr>
          <w:p w14:paraId="1341ECF8" w14:textId="77777777" w:rsidR="00526ECF" w:rsidRPr="00BA07D7" w:rsidRDefault="00526ECF" w:rsidP="00BA499D">
            <w:pPr>
              <w:spacing w:line="276" w:lineRule="auto"/>
              <w:jc w:val="center"/>
              <w:rPr>
                <w:rFonts w:cs="Times New Roman"/>
                <w:bCs/>
                <w:sz w:val="18"/>
                <w:szCs w:val="18"/>
              </w:rPr>
            </w:pPr>
          </w:p>
          <w:p w14:paraId="632CAC73" w14:textId="77777777" w:rsidR="00526ECF" w:rsidRPr="00BA07D7" w:rsidRDefault="00526ECF" w:rsidP="00BA499D">
            <w:pPr>
              <w:spacing w:line="276" w:lineRule="auto"/>
              <w:jc w:val="center"/>
              <w:rPr>
                <w:rFonts w:cs="Times New Roman"/>
                <w:bCs/>
                <w:sz w:val="18"/>
                <w:szCs w:val="18"/>
              </w:rPr>
            </w:pPr>
            <w:r>
              <w:rPr>
                <w:rFonts w:cs="Times New Roman"/>
                <w:bCs/>
                <w:sz w:val="18"/>
                <w:szCs w:val="18"/>
              </w:rPr>
              <w:t>12</w:t>
            </w:r>
          </w:p>
        </w:tc>
        <w:tc>
          <w:tcPr>
            <w:tcW w:w="871" w:type="dxa"/>
            <w:tcBorders>
              <w:top w:val="single" w:sz="4" w:space="0" w:color="auto"/>
              <w:left w:val="single" w:sz="4" w:space="0" w:color="auto"/>
              <w:bottom w:val="single" w:sz="4" w:space="0" w:color="auto"/>
              <w:right w:val="single" w:sz="4" w:space="0" w:color="auto"/>
            </w:tcBorders>
            <w:vAlign w:val="center"/>
          </w:tcPr>
          <w:p w14:paraId="43E0A71F" w14:textId="77777777" w:rsidR="00526ECF" w:rsidRPr="00BA07D7" w:rsidRDefault="00526ECF" w:rsidP="00BA499D">
            <w:pPr>
              <w:spacing w:line="276" w:lineRule="auto"/>
              <w:jc w:val="center"/>
              <w:rPr>
                <w:rFonts w:cs="Times New Roman"/>
                <w:bCs/>
                <w:sz w:val="18"/>
                <w:szCs w:val="18"/>
              </w:rPr>
            </w:pPr>
            <w:r>
              <w:rPr>
                <w:rFonts w:cs="Times New Roman"/>
                <w:bCs/>
                <w:sz w:val="18"/>
                <w:szCs w:val="18"/>
              </w:rPr>
              <w:t>12</w:t>
            </w:r>
          </w:p>
        </w:tc>
      </w:tr>
      <w:tr w:rsidR="00526ECF" w:rsidRPr="00BA07D7" w14:paraId="613BCE6D" w14:textId="77777777" w:rsidTr="00B609FC">
        <w:trPr>
          <w:trHeight w:val="316"/>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87B3E8C" w14:textId="77777777" w:rsidR="00526ECF" w:rsidRPr="00BA07D7" w:rsidRDefault="00526ECF" w:rsidP="00BA499D">
            <w:pPr>
              <w:spacing w:line="276" w:lineRule="auto"/>
              <w:rPr>
                <w:rFonts w:eastAsia="Times New Roman" w:cs="Times New Roman"/>
                <w:b/>
                <w:sz w:val="18"/>
                <w:szCs w:val="18"/>
                <w:lang w:eastAsia="hr-HR"/>
              </w:rPr>
            </w:pPr>
            <w:r w:rsidRPr="00BA07D7">
              <w:rPr>
                <w:rFonts w:eastAsia="Times New Roman" w:cs="Times New Roman"/>
                <w:b/>
                <w:sz w:val="18"/>
                <w:szCs w:val="18"/>
                <w:lang w:eastAsia="hr-HR"/>
              </w:rPr>
              <w:t>UKUPNO:</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B1B6DE1" w14:textId="77777777" w:rsidR="00526ECF" w:rsidRPr="00BA07D7" w:rsidRDefault="00526ECF" w:rsidP="00BA499D">
            <w:pPr>
              <w:spacing w:line="276" w:lineRule="auto"/>
              <w:jc w:val="center"/>
              <w:rPr>
                <w:rFonts w:eastAsiaTheme="minorEastAsia" w:cs="Times New Roman"/>
                <w:b/>
                <w:sz w:val="18"/>
                <w:szCs w:val="18"/>
              </w:rPr>
            </w:pPr>
            <w:r>
              <w:rPr>
                <w:rFonts w:eastAsiaTheme="minorEastAsia" w:cs="Times New Roman"/>
                <w:b/>
                <w:sz w:val="18"/>
                <w:szCs w:val="18"/>
              </w:rPr>
              <w:t>26</w:t>
            </w:r>
          </w:p>
        </w:tc>
        <w:tc>
          <w:tcPr>
            <w:tcW w:w="87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533598" w14:textId="77777777" w:rsidR="00526ECF" w:rsidRPr="00BA07D7" w:rsidRDefault="00526ECF" w:rsidP="00BA499D">
            <w:pPr>
              <w:spacing w:line="276" w:lineRule="auto"/>
              <w:jc w:val="center"/>
              <w:rPr>
                <w:rFonts w:eastAsiaTheme="minorEastAsia" w:cs="Times New Roman"/>
                <w:b/>
                <w:sz w:val="18"/>
                <w:szCs w:val="18"/>
              </w:rPr>
            </w:pPr>
            <w:r>
              <w:rPr>
                <w:rFonts w:eastAsiaTheme="minorEastAsia" w:cs="Times New Roman"/>
                <w:b/>
                <w:sz w:val="18"/>
                <w:szCs w:val="18"/>
              </w:rPr>
              <w:t>35</w:t>
            </w:r>
          </w:p>
        </w:tc>
      </w:tr>
    </w:tbl>
    <w:p w14:paraId="1D737707" w14:textId="77777777" w:rsidR="00526ECF" w:rsidRPr="005250A9" w:rsidRDefault="00526ECF" w:rsidP="00526ECF">
      <w:pPr>
        <w:tabs>
          <w:tab w:val="center" w:pos="858"/>
          <w:tab w:val="center" w:pos="4320"/>
          <w:tab w:val="right" w:pos="8306"/>
          <w:tab w:val="right" w:pos="8640"/>
        </w:tabs>
        <w:spacing w:before="240"/>
        <w:jc w:val="both"/>
        <w:rPr>
          <w:rFonts w:cs="Calibri"/>
          <w:b/>
          <w:bCs/>
        </w:rPr>
      </w:pPr>
      <w:r>
        <w:rPr>
          <w:rFonts w:cs="Calibri"/>
          <w:b/>
          <w:bCs/>
        </w:rPr>
        <w:t>Tablica 17. Sudjelovanja na radnim sastancima</w:t>
      </w:r>
      <w:r w:rsidRPr="00120737">
        <w:rPr>
          <w:rFonts w:cs="Calibri"/>
          <w:b/>
          <w:bCs/>
        </w:rPr>
        <w:t xml:space="preserve"> u </w:t>
      </w:r>
      <w:r>
        <w:rPr>
          <w:rFonts w:cs="Calibri"/>
          <w:b/>
          <w:bCs/>
        </w:rPr>
        <w:t>nacionalnim</w:t>
      </w:r>
      <w:r w:rsidRPr="00120737">
        <w:rPr>
          <w:rFonts w:cs="Calibri"/>
          <w:b/>
          <w:bCs/>
        </w:rPr>
        <w:t xml:space="preserve"> poslovima </w:t>
      </w:r>
      <w:r>
        <w:rPr>
          <w:rFonts w:cs="Calibri"/>
          <w:b/>
          <w:bCs/>
        </w:rPr>
        <w:t>za dostupnost lijekova</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5274"/>
        <w:gridCol w:w="1701"/>
        <w:gridCol w:w="1701"/>
      </w:tblGrid>
      <w:tr w:rsidR="00526ECF" w:rsidRPr="00B128DE" w14:paraId="44026774" w14:textId="77777777" w:rsidTr="00BA499D">
        <w:trPr>
          <w:trHeight w:val="284"/>
        </w:trPr>
        <w:tc>
          <w:tcPr>
            <w:tcW w:w="822" w:type="dxa"/>
            <w:vMerge w:val="restart"/>
            <w:shd w:val="clear" w:color="auto" w:fill="A3E7FF"/>
            <w:vAlign w:val="center"/>
            <w:hideMark/>
          </w:tcPr>
          <w:p w14:paraId="71AA1730" w14:textId="77777777" w:rsidR="00526ECF" w:rsidRPr="0097570C" w:rsidRDefault="00526ECF" w:rsidP="00BA499D">
            <w:pPr>
              <w:pStyle w:val="NoSpacing"/>
              <w:rPr>
                <w:rFonts w:cs="Calibri"/>
                <w:b/>
                <w:sz w:val="18"/>
                <w:szCs w:val="18"/>
              </w:rPr>
            </w:pPr>
            <w:r w:rsidRPr="0097570C">
              <w:rPr>
                <w:rFonts w:cs="Calibri"/>
                <w:b/>
                <w:sz w:val="18"/>
                <w:szCs w:val="18"/>
              </w:rPr>
              <w:t>R.br.</w:t>
            </w:r>
          </w:p>
        </w:tc>
        <w:tc>
          <w:tcPr>
            <w:tcW w:w="5274" w:type="dxa"/>
            <w:vMerge w:val="restart"/>
            <w:shd w:val="clear" w:color="auto" w:fill="A3E7FF"/>
            <w:vAlign w:val="center"/>
            <w:hideMark/>
          </w:tcPr>
          <w:p w14:paraId="25488FDD" w14:textId="77777777" w:rsidR="00526ECF" w:rsidRPr="0097570C" w:rsidRDefault="00526ECF" w:rsidP="00BA499D">
            <w:pPr>
              <w:pStyle w:val="NoSpacing"/>
              <w:rPr>
                <w:rFonts w:cs="Calibri"/>
                <w:b/>
                <w:sz w:val="18"/>
                <w:szCs w:val="18"/>
              </w:rPr>
            </w:pPr>
            <w:r w:rsidRPr="0097570C">
              <w:rPr>
                <w:rFonts w:cs="Calibri"/>
                <w:b/>
                <w:sz w:val="18"/>
                <w:szCs w:val="18"/>
              </w:rPr>
              <w:t>Naziv povjerenstva/radne skupine/odbora</w:t>
            </w:r>
          </w:p>
        </w:tc>
        <w:tc>
          <w:tcPr>
            <w:tcW w:w="1701" w:type="dxa"/>
            <w:vMerge w:val="restart"/>
            <w:shd w:val="clear" w:color="auto" w:fill="A3E7FF"/>
            <w:vAlign w:val="center"/>
            <w:hideMark/>
          </w:tcPr>
          <w:p w14:paraId="6BC3DBD6" w14:textId="77777777" w:rsidR="00526ECF" w:rsidRPr="0097570C" w:rsidRDefault="00526ECF" w:rsidP="00BA499D">
            <w:pPr>
              <w:pStyle w:val="NoSpacing"/>
              <w:jc w:val="center"/>
              <w:rPr>
                <w:rFonts w:cs="Calibri"/>
                <w:b/>
                <w:sz w:val="18"/>
                <w:szCs w:val="18"/>
              </w:rPr>
            </w:pPr>
            <w:r w:rsidRPr="0097570C">
              <w:rPr>
                <w:rFonts w:cs="Calibri"/>
                <w:b/>
                <w:sz w:val="18"/>
                <w:szCs w:val="18"/>
              </w:rPr>
              <w:t>Plan za 202</w:t>
            </w:r>
            <w:r>
              <w:rPr>
                <w:rFonts w:cs="Calibri"/>
                <w:b/>
                <w:sz w:val="18"/>
                <w:szCs w:val="18"/>
              </w:rPr>
              <w:t>3</w:t>
            </w:r>
            <w:r w:rsidRPr="0097570C">
              <w:rPr>
                <w:rFonts w:cs="Calibri"/>
                <w:b/>
                <w:sz w:val="18"/>
                <w:szCs w:val="18"/>
              </w:rPr>
              <w:t xml:space="preserve">. </w:t>
            </w:r>
          </w:p>
        </w:tc>
        <w:tc>
          <w:tcPr>
            <w:tcW w:w="1701" w:type="dxa"/>
            <w:tcBorders>
              <w:bottom w:val="nil"/>
            </w:tcBorders>
            <w:shd w:val="clear" w:color="auto" w:fill="A3E7FF"/>
          </w:tcPr>
          <w:p w14:paraId="53D596AE" w14:textId="77777777" w:rsidR="00526ECF" w:rsidRPr="0097570C" w:rsidRDefault="00526ECF" w:rsidP="00BA499D">
            <w:pPr>
              <w:pStyle w:val="NoSpacing"/>
              <w:jc w:val="center"/>
              <w:rPr>
                <w:rFonts w:cs="Calibri"/>
                <w:b/>
                <w:sz w:val="18"/>
                <w:szCs w:val="18"/>
              </w:rPr>
            </w:pPr>
            <w:r w:rsidRPr="007F42E9">
              <w:t>Izvršenje</w:t>
            </w:r>
          </w:p>
        </w:tc>
      </w:tr>
      <w:tr w:rsidR="00526ECF" w:rsidRPr="00B128DE" w14:paraId="16E01089" w14:textId="77777777" w:rsidTr="00BA499D">
        <w:trPr>
          <w:trHeight w:val="509"/>
        </w:trPr>
        <w:tc>
          <w:tcPr>
            <w:tcW w:w="822" w:type="dxa"/>
            <w:vMerge/>
            <w:shd w:val="clear" w:color="auto" w:fill="A3E7FF"/>
            <w:vAlign w:val="center"/>
            <w:hideMark/>
          </w:tcPr>
          <w:p w14:paraId="2B47A99B" w14:textId="77777777" w:rsidR="00526ECF" w:rsidRPr="0097570C" w:rsidRDefault="00526ECF" w:rsidP="00BA499D">
            <w:pPr>
              <w:pStyle w:val="NoSpacing"/>
              <w:rPr>
                <w:rFonts w:cs="Calibri"/>
                <w:color w:val="000000"/>
                <w:sz w:val="18"/>
                <w:szCs w:val="18"/>
              </w:rPr>
            </w:pPr>
          </w:p>
        </w:tc>
        <w:tc>
          <w:tcPr>
            <w:tcW w:w="5274" w:type="dxa"/>
            <w:vMerge/>
            <w:shd w:val="clear" w:color="auto" w:fill="A3E7FF"/>
            <w:vAlign w:val="center"/>
            <w:hideMark/>
          </w:tcPr>
          <w:p w14:paraId="77425853" w14:textId="77777777" w:rsidR="00526ECF" w:rsidRPr="0097570C" w:rsidRDefault="00526ECF" w:rsidP="00BA499D">
            <w:pPr>
              <w:pStyle w:val="NoSpacing"/>
              <w:rPr>
                <w:rFonts w:cs="Calibri"/>
                <w:color w:val="000000"/>
                <w:sz w:val="18"/>
                <w:szCs w:val="18"/>
              </w:rPr>
            </w:pPr>
          </w:p>
        </w:tc>
        <w:tc>
          <w:tcPr>
            <w:tcW w:w="1701" w:type="dxa"/>
            <w:vMerge/>
            <w:shd w:val="clear" w:color="auto" w:fill="A3E7FF"/>
            <w:vAlign w:val="center"/>
            <w:hideMark/>
          </w:tcPr>
          <w:p w14:paraId="4743711F" w14:textId="77777777" w:rsidR="00526ECF" w:rsidRPr="0097570C" w:rsidRDefault="00526ECF" w:rsidP="00BA499D">
            <w:pPr>
              <w:pStyle w:val="NoSpacing"/>
              <w:jc w:val="center"/>
              <w:rPr>
                <w:rFonts w:cs="Calibri"/>
                <w:color w:val="000000"/>
                <w:sz w:val="18"/>
                <w:szCs w:val="18"/>
              </w:rPr>
            </w:pPr>
          </w:p>
        </w:tc>
        <w:tc>
          <w:tcPr>
            <w:tcW w:w="1701" w:type="dxa"/>
            <w:tcBorders>
              <w:top w:val="nil"/>
            </w:tcBorders>
            <w:shd w:val="clear" w:color="auto" w:fill="A3E7FF"/>
          </w:tcPr>
          <w:p w14:paraId="01578D9A" w14:textId="77777777" w:rsidR="00526ECF" w:rsidRPr="0097570C" w:rsidRDefault="00526ECF" w:rsidP="00BA499D">
            <w:pPr>
              <w:pStyle w:val="NoSpacing"/>
              <w:jc w:val="center"/>
              <w:rPr>
                <w:rFonts w:cs="Calibri"/>
                <w:color w:val="000000"/>
                <w:sz w:val="18"/>
                <w:szCs w:val="18"/>
              </w:rPr>
            </w:pPr>
            <w:r>
              <w:t xml:space="preserve">01.01.- </w:t>
            </w:r>
            <w:r w:rsidRPr="007F42E9">
              <w:t>31.</w:t>
            </w:r>
            <w:r>
              <w:t>12</w:t>
            </w:r>
            <w:r w:rsidRPr="007F42E9">
              <w:t>.2023.</w:t>
            </w:r>
          </w:p>
        </w:tc>
      </w:tr>
      <w:tr w:rsidR="00526ECF" w:rsidRPr="00B128DE" w14:paraId="3F288C17" w14:textId="77777777" w:rsidTr="00BA499D">
        <w:trPr>
          <w:trHeight w:val="227"/>
        </w:trPr>
        <w:tc>
          <w:tcPr>
            <w:tcW w:w="822" w:type="dxa"/>
            <w:tcBorders>
              <w:top w:val="single" w:sz="4" w:space="0" w:color="auto"/>
              <w:left w:val="single" w:sz="4" w:space="0" w:color="auto"/>
              <w:bottom w:val="single" w:sz="4" w:space="0" w:color="auto"/>
              <w:right w:val="single" w:sz="4" w:space="0" w:color="auto"/>
            </w:tcBorders>
            <w:vAlign w:val="center"/>
          </w:tcPr>
          <w:p w14:paraId="2CE7051B" w14:textId="77777777" w:rsidR="00526ECF" w:rsidRPr="0097570C" w:rsidRDefault="00526ECF" w:rsidP="00BA499D">
            <w:pPr>
              <w:pStyle w:val="NoSpacing"/>
              <w:spacing w:line="276" w:lineRule="auto"/>
              <w:jc w:val="center"/>
              <w:rPr>
                <w:rFonts w:cs="Calibri"/>
                <w:sz w:val="18"/>
                <w:szCs w:val="18"/>
              </w:rPr>
            </w:pPr>
            <w:r>
              <w:rPr>
                <w:rFonts w:cs="Calibri"/>
                <w:sz w:val="18"/>
                <w:szCs w:val="18"/>
              </w:rPr>
              <w:t>1.</w:t>
            </w:r>
          </w:p>
        </w:tc>
        <w:tc>
          <w:tcPr>
            <w:tcW w:w="5274" w:type="dxa"/>
            <w:tcBorders>
              <w:top w:val="single" w:sz="4" w:space="0" w:color="auto"/>
              <w:left w:val="single" w:sz="4" w:space="0" w:color="auto"/>
              <w:bottom w:val="single" w:sz="4" w:space="0" w:color="auto"/>
              <w:right w:val="single" w:sz="4" w:space="0" w:color="auto"/>
            </w:tcBorders>
            <w:vAlign w:val="center"/>
          </w:tcPr>
          <w:p w14:paraId="35BB97AA" w14:textId="77777777" w:rsidR="00526ECF" w:rsidRPr="003E6BED" w:rsidRDefault="00526ECF" w:rsidP="00BA499D">
            <w:pPr>
              <w:spacing w:after="120" w:line="276" w:lineRule="auto"/>
              <w:jc w:val="both"/>
              <w:rPr>
                <w:b/>
                <w:sz w:val="18"/>
                <w:szCs w:val="18"/>
              </w:rPr>
            </w:pPr>
            <w:r w:rsidRPr="003E6BED">
              <w:rPr>
                <w:rFonts w:eastAsia="Times New Roman"/>
                <w:b/>
                <w:bCs/>
                <w:sz w:val="18"/>
                <w:szCs w:val="18"/>
              </w:rPr>
              <w:t>„Izrada sustava praćenja i preveniranja nestašice lijekova u Republici Hrvatskoj“ u okviru Nacionalnog plana oporavka i otpornosti Vlade RH 2021.-2026.</w:t>
            </w:r>
          </w:p>
        </w:tc>
        <w:tc>
          <w:tcPr>
            <w:tcW w:w="1701" w:type="dxa"/>
            <w:tcBorders>
              <w:top w:val="single" w:sz="4" w:space="0" w:color="auto"/>
              <w:left w:val="single" w:sz="4" w:space="0" w:color="auto"/>
              <w:bottom w:val="single" w:sz="4" w:space="0" w:color="auto"/>
              <w:right w:val="single" w:sz="4" w:space="0" w:color="auto"/>
            </w:tcBorders>
            <w:vAlign w:val="center"/>
          </w:tcPr>
          <w:p w14:paraId="78B63573" w14:textId="77777777" w:rsidR="00526ECF" w:rsidRDefault="00526ECF" w:rsidP="00BA499D">
            <w:pPr>
              <w:spacing w:line="276" w:lineRule="auto"/>
              <w:jc w:val="center"/>
              <w:rPr>
                <w:rFonts w:cs="Calibri"/>
                <w:bCs/>
                <w:sz w:val="18"/>
                <w:szCs w:val="18"/>
              </w:rPr>
            </w:pPr>
            <w:r>
              <w:rPr>
                <w:rFonts w:cs="Calibri"/>
                <w:bCs/>
                <w:sz w:val="18"/>
                <w:szCs w:val="18"/>
              </w:rPr>
              <w:t>24</w:t>
            </w:r>
          </w:p>
        </w:tc>
        <w:tc>
          <w:tcPr>
            <w:tcW w:w="1701" w:type="dxa"/>
            <w:tcBorders>
              <w:top w:val="single" w:sz="4" w:space="0" w:color="auto"/>
              <w:left w:val="single" w:sz="4" w:space="0" w:color="auto"/>
              <w:bottom w:val="single" w:sz="4" w:space="0" w:color="auto"/>
              <w:right w:val="single" w:sz="4" w:space="0" w:color="auto"/>
            </w:tcBorders>
          </w:tcPr>
          <w:p w14:paraId="012D7976" w14:textId="77777777" w:rsidR="00526ECF" w:rsidRDefault="00526ECF" w:rsidP="00BA499D">
            <w:pPr>
              <w:spacing w:line="276" w:lineRule="auto"/>
              <w:jc w:val="center"/>
              <w:rPr>
                <w:rFonts w:cs="Calibri"/>
                <w:bCs/>
                <w:sz w:val="18"/>
                <w:szCs w:val="18"/>
              </w:rPr>
            </w:pPr>
          </w:p>
          <w:p w14:paraId="489960EF" w14:textId="77777777" w:rsidR="00526ECF" w:rsidRDefault="00526ECF" w:rsidP="00BA499D">
            <w:pPr>
              <w:spacing w:line="276" w:lineRule="auto"/>
              <w:jc w:val="center"/>
              <w:rPr>
                <w:rFonts w:cs="Calibri"/>
                <w:bCs/>
                <w:sz w:val="18"/>
                <w:szCs w:val="18"/>
              </w:rPr>
            </w:pPr>
            <w:r>
              <w:rPr>
                <w:rFonts w:cs="Calibri"/>
                <w:bCs/>
                <w:sz w:val="18"/>
                <w:szCs w:val="18"/>
              </w:rPr>
              <w:t>10</w:t>
            </w:r>
          </w:p>
        </w:tc>
      </w:tr>
      <w:tr w:rsidR="00526ECF" w:rsidRPr="00B128DE" w14:paraId="1103D486" w14:textId="77777777" w:rsidTr="00BA499D">
        <w:trPr>
          <w:trHeight w:val="316"/>
        </w:trPr>
        <w:tc>
          <w:tcPr>
            <w:tcW w:w="6096"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11931671" w14:textId="77777777" w:rsidR="00526ECF" w:rsidRPr="0097570C" w:rsidRDefault="00526ECF" w:rsidP="00BA499D">
            <w:pPr>
              <w:pStyle w:val="NoSpacing"/>
              <w:spacing w:line="276" w:lineRule="auto"/>
              <w:rPr>
                <w:rFonts w:cs="Calibri"/>
                <w:b/>
                <w:sz w:val="18"/>
                <w:szCs w:val="18"/>
              </w:rPr>
            </w:pPr>
            <w:r w:rsidRPr="0097570C">
              <w:rPr>
                <w:rFonts w:cs="Calibri"/>
                <w:b/>
                <w:sz w:val="18"/>
                <w:szCs w:val="18"/>
              </w:rPr>
              <w:t>UKUPNO:</w:t>
            </w:r>
          </w:p>
        </w:tc>
        <w:tc>
          <w:tcPr>
            <w:tcW w:w="1701" w:type="dxa"/>
            <w:tcBorders>
              <w:top w:val="single" w:sz="4" w:space="0" w:color="auto"/>
              <w:left w:val="single" w:sz="4" w:space="0" w:color="auto"/>
              <w:bottom w:val="single" w:sz="4" w:space="0" w:color="auto"/>
              <w:right w:val="single" w:sz="4" w:space="0" w:color="auto"/>
            </w:tcBorders>
            <w:shd w:val="clear" w:color="auto" w:fill="BFBFBF"/>
            <w:vAlign w:val="center"/>
          </w:tcPr>
          <w:p w14:paraId="52D0967C" w14:textId="77777777" w:rsidR="00526ECF" w:rsidRPr="0097570C" w:rsidRDefault="00526ECF" w:rsidP="00BA499D">
            <w:pPr>
              <w:pStyle w:val="NoSpacing"/>
              <w:spacing w:line="276" w:lineRule="auto"/>
              <w:jc w:val="center"/>
              <w:rPr>
                <w:rFonts w:cs="Calibri"/>
                <w:b/>
                <w:sz w:val="18"/>
                <w:szCs w:val="18"/>
              </w:rPr>
            </w:pPr>
            <w:r>
              <w:rPr>
                <w:rFonts w:cs="Calibri"/>
                <w:b/>
                <w:sz w:val="18"/>
                <w:szCs w:val="18"/>
              </w:rPr>
              <w:t>24</w:t>
            </w:r>
          </w:p>
        </w:tc>
        <w:tc>
          <w:tcPr>
            <w:tcW w:w="1701" w:type="dxa"/>
            <w:tcBorders>
              <w:top w:val="single" w:sz="4" w:space="0" w:color="auto"/>
              <w:left w:val="single" w:sz="4" w:space="0" w:color="auto"/>
              <w:bottom w:val="single" w:sz="4" w:space="0" w:color="auto"/>
              <w:right w:val="single" w:sz="4" w:space="0" w:color="auto"/>
            </w:tcBorders>
            <w:shd w:val="clear" w:color="auto" w:fill="BFBFBF"/>
          </w:tcPr>
          <w:p w14:paraId="2729FE0C" w14:textId="77777777" w:rsidR="00526ECF" w:rsidRDefault="00526ECF" w:rsidP="00BA499D">
            <w:pPr>
              <w:pStyle w:val="NoSpacing"/>
              <w:spacing w:line="276" w:lineRule="auto"/>
              <w:jc w:val="center"/>
              <w:rPr>
                <w:rFonts w:cs="Calibri"/>
                <w:b/>
                <w:sz w:val="18"/>
                <w:szCs w:val="18"/>
              </w:rPr>
            </w:pPr>
            <w:r>
              <w:rPr>
                <w:rFonts w:cs="Calibri"/>
                <w:b/>
                <w:sz w:val="18"/>
                <w:szCs w:val="18"/>
              </w:rPr>
              <w:t>10</w:t>
            </w:r>
          </w:p>
        </w:tc>
      </w:tr>
      <w:bookmarkEnd w:id="169"/>
    </w:tbl>
    <w:p w14:paraId="5AFCDB11" w14:textId="2B82B6C8" w:rsidR="00D118DE" w:rsidRDefault="00D118DE" w:rsidP="00526ECF">
      <w:pPr>
        <w:spacing w:after="240"/>
      </w:pPr>
    </w:p>
    <w:p w14:paraId="50AAE5DB" w14:textId="77777777" w:rsidR="00D118DE" w:rsidRDefault="00D118DE">
      <w:r>
        <w:br w:type="page"/>
      </w:r>
    </w:p>
    <w:p w14:paraId="0EA57BEC" w14:textId="77777777" w:rsidR="00D118DE" w:rsidRPr="00F257A0" w:rsidRDefault="00D118DE" w:rsidP="00D118DE">
      <w:pPr>
        <w:pStyle w:val="Heading2"/>
      </w:pPr>
      <w:bookmarkStart w:id="214" w:name="_Toc165035489"/>
      <w:r w:rsidRPr="00153C3F">
        <w:lastRenderedPageBreak/>
        <w:t>2.5. Potrošnja i cijene lijekova</w:t>
      </w:r>
      <w:bookmarkEnd w:id="214"/>
    </w:p>
    <w:p w14:paraId="7D8FB830" w14:textId="77777777" w:rsidR="00D118DE" w:rsidRPr="001E738D" w:rsidRDefault="00D118DE" w:rsidP="00D118DE">
      <w:pPr>
        <w:spacing w:line="276" w:lineRule="auto"/>
        <w:jc w:val="both"/>
        <w:rPr>
          <w:rFonts w:cstheme="minorHAnsi"/>
        </w:rPr>
      </w:pPr>
      <w:r w:rsidRPr="006F7590">
        <w:rPr>
          <w:rFonts w:cstheme="minorHAnsi"/>
        </w:rPr>
        <w:t>Na temelju odredbi Zakona o lijekovima i pravilnika donesenih na temelju Zakona, HALMED prikuplja i obrađuje podatke o potrošnji lije</w:t>
      </w:r>
      <w:r w:rsidRPr="00C02141">
        <w:rPr>
          <w:rFonts w:cstheme="minorHAnsi"/>
        </w:rPr>
        <w:t xml:space="preserve">kova u prometu na malo i prometu na veliko lijekovima te izrađuje i objavljuje Izvješće o potrošnji lijekova. </w:t>
      </w:r>
    </w:p>
    <w:p w14:paraId="0D9A1721" w14:textId="77777777" w:rsidR="00D118DE" w:rsidRPr="00513E19" w:rsidRDefault="00D118DE" w:rsidP="00D118DE">
      <w:pPr>
        <w:spacing w:line="276" w:lineRule="auto"/>
        <w:jc w:val="both"/>
        <w:rPr>
          <w:rFonts w:cstheme="minorHAnsi"/>
        </w:rPr>
      </w:pPr>
      <w:r w:rsidRPr="00513E19">
        <w:rPr>
          <w:rFonts w:cstheme="minorHAnsi"/>
        </w:rPr>
        <w:t xml:space="preserve">HALMED određuje najvišu dozvoljenu cijenu lijekova na veliko za sve lijekove u prometu koji se izdaju na liječnički recept. </w:t>
      </w:r>
    </w:p>
    <w:p w14:paraId="6B76130B" w14:textId="77777777" w:rsidR="00D118DE" w:rsidRPr="00F257A0" w:rsidRDefault="00D118DE" w:rsidP="00D118DE"/>
    <w:p w14:paraId="2BC586D5" w14:textId="77777777" w:rsidR="00D118DE" w:rsidRPr="00F257A0" w:rsidRDefault="00D118DE" w:rsidP="00D118DE">
      <w:pPr>
        <w:pStyle w:val="Heading3"/>
      </w:pPr>
      <w:bookmarkStart w:id="215" w:name="_Toc165035490"/>
      <w:r w:rsidRPr="00D8106F">
        <w:t>2.5.1. Zaprimanje i obrada podataka o potrošnji lijekova</w:t>
      </w:r>
      <w:bookmarkEnd w:id="215"/>
    </w:p>
    <w:p w14:paraId="53D25A57" w14:textId="77777777" w:rsidR="00D118DE" w:rsidRPr="001E738D" w:rsidRDefault="00D118DE" w:rsidP="00D118DE">
      <w:pPr>
        <w:spacing w:line="276" w:lineRule="auto"/>
        <w:jc w:val="both"/>
        <w:rPr>
          <w:rFonts w:cstheme="minorHAnsi"/>
        </w:rPr>
      </w:pPr>
      <w:r w:rsidRPr="006F7590">
        <w:rPr>
          <w:rFonts w:cstheme="minorHAnsi"/>
        </w:rPr>
        <w:t>Sukladno odredbama Zakona o lijekovima i Pravilnika o vrsti podataka i načinu izrade izvješća o potrošnji lijekova, sve fizičke i pravne osobe koje obavljaju promet na veliko lijekovima te pravne ili fizičke osobe koje obavljaju promet na malo lijekovima obvezne su HALMED-u dostaviti godišnje izvješće o potrošnji lijekova. U skladu s propisanim rokovima, djelatnici HALMED-a tijekom prve polovice godine prikupljaju podatke o potrošnji lijekova u prethodnoj godini od sud</w:t>
      </w:r>
      <w:r w:rsidRPr="00C02141">
        <w:rPr>
          <w:rFonts w:cstheme="minorHAnsi"/>
        </w:rPr>
        <w:t>ionika u prometu na malo i prometu na veliko lijekovima. Prikupljeni podaci su obrađeni i pripremljeno je godišnje izvješće za 202</w:t>
      </w:r>
      <w:r w:rsidRPr="001E738D">
        <w:rPr>
          <w:rFonts w:cstheme="minorHAnsi"/>
        </w:rPr>
        <w:t xml:space="preserve">2. godinu koje je objavljeno na internetskoj stranici HALMED-a. </w:t>
      </w:r>
      <w:bookmarkStart w:id="216" w:name="_Toc26534666"/>
      <w:bookmarkStart w:id="217" w:name="_Toc50540940"/>
    </w:p>
    <w:p w14:paraId="47E0A7F4" w14:textId="77777777" w:rsidR="00D118DE" w:rsidRPr="00762B91" w:rsidRDefault="00D118DE" w:rsidP="00D118DE"/>
    <w:p w14:paraId="10980825" w14:textId="77777777" w:rsidR="00D118DE" w:rsidRPr="008466FA" w:rsidRDefault="00D118DE" w:rsidP="00D118DE">
      <w:pPr>
        <w:pStyle w:val="Heading3"/>
        <w:spacing w:line="276" w:lineRule="auto"/>
        <w:rPr>
          <w:lang w:eastAsia="hr-HR"/>
        </w:rPr>
      </w:pPr>
      <w:bookmarkStart w:id="218" w:name="_Toc165035491"/>
      <w:r w:rsidRPr="00D8106F">
        <w:rPr>
          <w:rFonts w:ascii="Calibri" w:eastAsia="Times New Roman" w:hAnsi="Calibri" w:cs="Calibri"/>
          <w:lang w:eastAsia="hr-HR"/>
        </w:rPr>
        <w:t>2.5.2. Izračun najviše dozvoljene cijene lijekova na veliko</w:t>
      </w:r>
      <w:bookmarkEnd w:id="216"/>
      <w:bookmarkEnd w:id="217"/>
      <w:bookmarkEnd w:id="218"/>
    </w:p>
    <w:p w14:paraId="337D3860" w14:textId="77777777" w:rsidR="00D118DE" w:rsidRPr="00AE558F" w:rsidRDefault="00D118DE" w:rsidP="00D118DE">
      <w:pPr>
        <w:spacing w:after="240" w:line="276" w:lineRule="auto"/>
        <w:jc w:val="both"/>
        <w:rPr>
          <w:rFonts w:cstheme="minorHAnsi"/>
        </w:rPr>
      </w:pPr>
      <w:r w:rsidRPr="00AE558F">
        <w:rPr>
          <w:rFonts w:cstheme="minorHAnsi"/>
        </w:rPr>
        <w:t>Najvišu dozvoljenu cijenu lijeka na veliko za lijekove koji su, sukladno odobrenju za stavljanje lijeka u promet u Republici Hrvatskoj, s obzirom na način izdavanja razvrstani u lijekove koji se izdaju na recept određuje HALMED. Najviša dozvoljena cijena lijeka na veliko određuje se za svaku jačinu, farmaceutski oblik i pakiranje lijeka.</w:t>
      </w:r>
    </w:p>
    <w:p w14:paraId="65E898E8" w14:textId="77777777" w:rsidR="00D118DE" w:rsidRPr="00AE558F" w:rsidRDefault="00D118DE" w:rsidP="00D118DE">
      <w:pPr>
        <w:spacing w:after="240" w:line="276" w:lineRule="auto"/>
        <w:jc w:val="both"/>
        <w:rPr>
          <w:rFonts w:cstheme="minorHAnsi"/>
        </w:rPr>
      </w:pPr>
      <w:r w:rsidRPr="00AE558F">
        <w:rPr>
          <w:rFonts w:cstheme="minorHAnsi"/>
        </w:rPr>
        <w:t xml:space="preserve">Najviše dozvoljene cijene lijekova na veliko za pakiranja lijekova koja se već nalaze u prometu u Republici Hrvatskoj reguliraju se postupkom godišnjeg izračuna cijena. </w:t>
      </w:r>
    </w:p>
    <w:p w14:paraId="273EFAE9" w14:textId="77777777" w:rsidR="00D118DE" w:rsidRPr="00AE558F" w:rsidRDefault="00D118DE" w:rsidP="00D118DE">
      <w:pPr>
        <w:spacing w:after="240" w:line="276" w:lineRule="auto"/>
        <w:jc w:val="both"/>
        <w:rPr>
          <w:rFonts w:cstheme="minorHAnsi"/>
        </w:rPr>
      </w:pPr>
      <w:r w:rsidRPr="00AE558F">
        <w:rPr>
          <w:rFonts w:cstheme="minorHAnsi"/>
        </w:rPr>
        <w:t xml:space="preserve">Za pakiranja lijekova koja se tek namjeravaju staviti u promet u Republici Hrvatskoj najviša dozvoljena cijena lijeka na veliko određuje se na temelju zahtjeva nositelja odobrenja za stavljanje lijeka u promet odnosno veleprodaje s odobrenjem za paralelni uvoz/unos lijeka. </w:t>
      </w:r>
    </w:p>
    <w:p w14:paraId="362C956F" w14:textId="77777777" w:rsidR="00D118DE" w:rsidRPr="00762B91" w:rsidRDefault="00D118DE" w:rsidP="00D118DE">
      <w:pPr>
        <w:spacing w:after="240" w:line="276" w:lineRule="auto"/>
        <w:jc w:val="both"/>
        <w:rPr>
          <w:lang w:eastAsia="hr-HR"/>
        </w:rPr>
      </w:pPr>
      <w:r w:rsidRPr="00762B91">
        <w:rPr>
          <w:lang w:eastAsia="hr-HR"/>
        </w:rPr>
        <w:t xml:space="preserve">Iznimno, zahtjev nije obvezno podnijeti ako je HALMED već odredio najvišu dozvoljenu cijenu za lijek s istom djelatnom tvari te iste jačine, farmaceutskog oblika i pakiranja kao lijek koji se namjerava staviti u promet. U tom slučaju, nositelj odobrenja za stavljanje lijeka u promet odnosno veleprodaja s odobrenjem za paralelni uvoz/promet lijeka koristi već određenu najvišu dozvoljenu cijenu lijeka na veliko i o tome obavještava HALMED prije stavljanja lijeka u promet. Na temelju obavijesti, HALMED izdaje potvrdu o određivanju najviše dozvoljene cijene lijeka na veliko. </w:t>
      </w:r>
    </w:p>
    <w:p w14:paraId="676DA687" w14:textId="77777777" w:rsidR="00D118DE" w:rsidRPr="00762B91" w:rsidRDefault="00D118DE" w:rsidP="00D118DE">
      <w:pPr>
        <w:spacing w:after="240" w:line="276" w:lineRule="auto"/>
        <w:jc w:val="both"/>
        <w:rPr>
          <w:lang w:eastAsia="hr-HR"/>
        </w:rPr>
      </w:pPr>
      <w:r w:rsidRPr="00762B91">
        <w:rPr>
          <w:lang w:eastAsia="hr-HR"/>
        </w:rPr>
        <w:t xml:space="preserve">HALMED na svojim mrežnim stranicama objavljuje godišnji izračun cijena lijekova kao i ažurni popis lijekova s utvrđenom najvišom dozvoljenom cijenom na veliko na temelju zahtjeva za određivanjem cijene odnosno obavijesti o korištenju cijene. </w:t>
      </w:r>
    </w:p>
    <w:p w14:paraId="749A75C3" w14:textId="77777777" w:rsidR="00D118DE" w:rsidRPr="002C0A44" w:rsidRDefault="00D118DE" w:rsidP="00D118DE">
      <w:pPr>
        <w:spacing w:after="240" w:line="276" w:lineRule="auto"/>
        <w:jc w:val="both"/>
        <w:rPr>
          <w:lang w:eastAsia="hr-HR"/>
        </w:rPr>
      </w:pPr>
      <w:r w:rsidRPr="002C0A44">
        <w:rPr>
          <w:lang w:eastAsia="hr-HR"/>
        </w:rPr>
        <w:lastRenderedPageBreak/>
        <w:t>Popis lijekova s utvrđenom najvišom dozvoljenom cijenom u postupku godišnjeg izračuna objavljuje se i u »Narodnim novinama«.</w:t>
      </w:r>
    </w:p>
    <w:p w14:paraId="64A4A92E" w14:textId="77777777" w:rsidR="00D118DE" w:rsidRPr="00762B91" w:rsidRDefault="00D118DE" w:rsidP="00D118DE">
      <w:pPr>
        <w:spacing w:after="240" w:line="276" w:lineRule="auto"/>
        <w:jc w:val="both"/>
        <w:rPr>
          <w:lang w:eastAsia="hr-HR"/>
        </w:rPr>
      </w:pPr>
      <w:r w:rsidRPr="002C0A44">
        <w:rPr>
          <w:lang w:eastAsia="hr-HR"/>
        </w:rPr>
        <w:t>Jednom godišnje HALMED dostavlja Europskoj komisiji popis lijekova s utvrđenom najvišom dozvoljenom cijenom na veliko.</w:t>
      </w:r>
    </w:p>
    <w:p w14:paraId="1BFB46EB" w14:textId="77777777" w:rsidR="00D118DE" w:rsidRPr="00762B91" w:rsidRDefault="00D118DE" w:rsidP="00D118DE">
      <w:pPr>
        <w:spacing w:line="276" w:lineRule="auto"/>
        <w:rPr>
          <w:lang w:eastAsia="hr-HR"/>
        </w:rPr>
      </w:pPr>
      <w:r w:rsidRPr="00762B91">
        <w:rPr>
          <w:lang w:eastAsia="hr-HR"/>
        </w:rPr>
        <w:t>Podaci o broju izdanih Rješenja o cijeni u izvještajnom razdoblju prikazani su u Tablici 18, dok su podaci za Potvrde o cijeni prikazani u Tablici 19.</w:t>
      </w:r>
      <w:bookmarkStart w:id="219" w:name="_Toc26534667"/>
      <w:bookmarkStart w:id="220" w:name="_Toc50540941"/>
    </w:p>
    <w:p w14:paraId="11DC6CDB" w14:textId="77777777" w:rsidR="00D118DE" w:rsidRPr="00D8106F" w:rsidRDefault="00D118DE" w:rsidP="00D118DE">
      <w:pPr>
        <w:keepNext/>
        <w:keepLines/>
        <w:spacing w:before="240" w:after="240"/>
        <w:outlineLvl w:val="2"/>
        <w:rPr>
          <w:rFonts w:ascii="Calibri" w:eastAsia="Times New Roman" w:hAnsi="Calibri" w:cs="Calibri"/>
          <w:bCs/>
          <w:color w:val="4472C4" w:themeColor="accent5"/>
          <w:sz w:val="28"/>
          <w:szCs w:val="28"/>
        </w:rPr>
      </w:pPr>
      <w:bookmarkStart w:id="221" w:name="_Toc165035492"/>
      <w:r w:rsidRPr="00D8106F">
        <w:rPr>
          <w:rFonts w:ascii="Calibri" w:eastAsia="Times New Roman" w:hAnsi="Calibri" w:cs="Calibri"/>
          <w:bCs/>
          <w:color w:val="4472C4" w:themeColor="accent5"/>
          <w:sz w:val="28"/>
          <w:szCs w:val="28"/>
          <w:lang w:eastAsia="hr-HR"/>
        </w:rPr>
        <w:t>2.5.3. Određivanje iznimno više od najviše dozvoljene cijene lijeka na veliko</w:t>
      </w:r>
      <w:bookmarkEnd w:id="219"/>
      <w:bookmarkEnd w:id="220"/>
      <w:bookmarkEnd w:id="221"/>
      <w:r w:rsidRPr="00D8106F">
        <w:rPr>
          <w:rFonts w:ascii="Calibri" w:eastAsia="Times New Roman" w:hAnsi="Calibri" w:cs="Calibri"/>
          <w:bCs/>
          <w:color w:val="4472C4" w:themeColor="accent5"/>
          <w:sz w:val="28"/>
          <w:szCs w:val="28"/>
          <w:lang w:eastAsia="hr-HR"/>
        </w:rPr>
        <w:t xml:space="preserve"> </w:t>
      </w:r>
    </w:p>
    <w:p w14:paraId="5048CBF9" w14:textId="77777777" w:rsidR="00D118DE" w:rsidRPr="00762B91" w:rsidRDefault="00D118DE" w:rsidP="00D118DE">
      <w:pPr>
        <w:spacing w:after="240" w:line="276" w:lineRule="auto"/>
        <w:jc w:val="both"/>
        <w:rPr>
          <w:lang w:eastAsia="hr-HR"/>
        </w:rPr>
      </w:pPr>
      <w:r w:rsidRPr="00762B91">
        <w:rPr>
          <w:lang w:eastAsia="hr-HR"/>
        </w:rPr>
        <w:t>U slučajevima povezanima s optimalnom opskrbom lijekovima nužnima za provođenje zdravstvene zaštite, HALMED može na osnovu zahtjeva nositelja odobrenja za stavljanje lijeka u promet i uz prethodno pribavljenu suglasnost ministra nadležnog za zdravstvo odrediti iznimno višu od najviše dozvoljene cijene lijeka na veliko.</w:t>
      </w:r>
    </w:p>
    <w:p w14:paraId="13C5F510" w14:textId="77777777" w:rsidR="00D118DE" w:rsidRPr="00762B91" w:rsidRDefault="00D118DE" w:rsidP="00D118DE">
      <w:pPr>
        <w:spacing w:after="240" w:line="276" w:lineRule="auto"/>
        <w:jc w:val="both"/>
        <w:rPr>
          <w:lang w:eastAsia="hr-HR"/>
        </w:rPr>
      </w:pPr>
      <w:r w:rsidRPr="00762B91">
        <w:rPr>
          <w:lang w:eastAsia="hr-HR"/>
        </w:rPr>
        <w:t>HALMED na svojim mrežnim stranicama redovito objavljuje popis lijekova s utvrđenom iznimno višom od najviše dozvoljene cijene lijeka na veliko, a jednom godišnje i u „Narodnim novinama“.</w:t>
      </w:r>
    </w:p>
    <w:p w14:paraId="2C5725FB" w14:textId="77777777" w:rsidR="00D118DE" w:rsidRDefault="00D118DE" w:rsidP="00D118DE">
      <w:pPr>
        <w:spacing w:after="240" w:line="276" w:lineRule="auto"/>
        <w:jc w:val="both"/>
        <w:rPr>
          <w:lang w:eastAsia="hr-HR"/>
        </w:rPr>
      </w:pPr>
      <w:r w:rsidRPr="002C0A44">
        <w:rPr>
          <w:lang w:eastAsia="hr-HR"/>
        </w:rPr>
        <w:t>Jednom godišnje HALMED dostavlja Europskoj komisiji popis lijekova s utvrđenom iznimno višom od najviše dozvoljene cijene lijeka na veliko.</w:t>
      </w:r>
    </w:p>
    <w:p w14:paraId="2658C662" w14:textId="77777777" w:rsidR="00D118DE" w:rsidRPr="00762B91" w:rsidRDefault="00D118DE" w:rsidP="00D118DE">
      <w:pPr>
        <w:rPr>
          <w:lang w:eastAsia="hr-HR"/>
        </w:rPr>
      </w:pPr>
      <w:r w:rsidRPr="00762B91">
        <w:rPr>
          <w:lang w:eastAsia="hr-HR"/>
        </w:rPr>
        <w:t xml:space="preserve">Podaci o </w:t>
      </w:r>
      <w:r w:rsidRPr="009A1D8E">
        <w:t>broju</w:t>
      </w:r>
      <w:r w:rsidRPr="00762B91">
        <w:rPr>
          <w:lang w:eastAsia="hr-HR"/>
        </w:rPr>
        <w:t xml:space="preserve"> izdanih Rješenja o iznimno višoj cijeni u izvještajnom razdoblju prikazani su u Tablici 19.</w:t>
      </w:r>
    </w:p>
    <w:p w14:paraId="36BF59EB" w14:textId="77777777" w:rsidR="00D118DE" w:rsidRPr="00D8106F" w:rsidRDefault="00D118DE" w:rsidP="00D118DE">
      <w:pPr>
        <w:pStyle w:val="Heading3"/>
        <w:rPr>
          <w:sz w:val="32"/>
          <w:szCs w:val="32"/>
        </w:rPr>
      </w:pPr>
      <w:bookmarkStart w:id="222" w:name="_Toc165035493"/>
      <w:r w:rsidRPr="00D8106F">
        <w:rPr>
          <w:sz w:val="32"/>
          <w:szCs w:val="32"/>
        </w:rPr>
        <w:t>2.5.4. Europski poslovi</w:t>
      </w:r>
      <w:bookmarkEnd w:id="222"/>
    </w:p>
    <w:p w14:paraId="65E96EAD" w14:textId="77777777" w:rsidR="00D118DE" w:rsidRDefault="00D118DE" w:rsidP="00D118DE">
      <w:pPr>
        <w:pStyle w:val="Heading3"/>
      </w:pPr>
      <w:bookmarkStart w:id="223" w:name="_Toc165035494"/>
      <w:r w:rsidRPr="00D8106F">
        <w:t>2.5.4.1. Sudjelovanje HALMED-a u povjerenstvima i radnim skupinama EK-a i EMA-e</w:t>
      </w:r>
      <w:bookmarkEnd w:id="223"/>
    </w:p>
    <w:p w14:paraId="4747C8AD" w14:textId="77777777" w:rsidR="00D118DE" w:rsidRPr="00762B91" w:rsidRDefault="00D118DE" w:rsidP="00D118DE">
      <w:pPr>
        <w:spacing w:after="240"/>
        <w:rPr>
          <w:b/>
        </w:rPr>
      </w:pPr>
      <w:r w:rsidRPr="00762B91">
        <w:rPr>
          <w:b/>
        </w:rPr>
        <w:t xml:space="preserve">A) Ekspertna </w:t>
      </w:r>
      <w:r>
        <w:rPr>
          <w:b/>
        </w:rPr>
        <w:t>skupina</w:t>
      </w:r>
      <w:r w:rsidRPr="00762B91">
        <w:rPr>
          <w:b/>
        </w:rPr>
        <w:t xml:space="preserve"> nadležnih nacionalnih tijela za određivanje cijena i naknada (</w:t>
      </w:r>
      <w:r w:rsidRPr="00762B91">
        <w:rPr>
          <w:b/>
          <w:i/>
        </w:rPr>
        <w:t>reimbursement</w:t>
      </w:r>
      <w:r w:rsidRPr="00762B91">
        <w:rPr>
          <w:b/>
        </w:rPr>
        <w:t>) za lijekove (NCAPR)</w:t>
      </w:r>
    </w:p>
    <w:p w14:paraId="27EA68EB" w14:textId="77777777" w:rsidR="00D118DE" w:rsidRPr="00762B91" w:rsidRDefault="00D118DE" w:rsidP="00D118DE">
      <w:pPr>
        <w:spacing w:line="276" w:lineRule="auto"/>
        <w:jc w:val="both"/>
        <w:rPr>
          <w:rFonts w:cs="Calibri"/>
          <w:bCs/>
        </w:rPr>
      </w:pPr>
      <w:r w:rsidRPr="00762B91">
        <w:t>Ministri zdravstva su pozvali države članice i Europsku komisiju da razvijaju suradnju na dobrovoljnoj osnovi unutar skupine nacionalnih nadležnih tijela za određivanje cijena i naknada za lijekove. NCAPR promiče suradnju temeljenu na uzajamnom učenju i razmjeni najboljih praksi o politikama cijena, plaćanja i nabave u cilju povećanja pristupačnosti,  isplativosti i održivosti zdravstvenih sustava. Ekspertna grupa promiče sinergije između inicijativa koje imaju za cilj potaknuti raspravu o transparentnosti i pristupačnosti cijena lijekova uključujući regionalne inicijative i partnere poput  Svjetske zdravstvene organizacije, Europske agencije za lijekove i Organizacije za ekonomsku suradnju i razvoj. Metode rada grupe i predloženi plan su usklađeni sa Farmaceutskom strategijom za Europu i zaključcima Vijeća europske komisije.</w:t>
      </w:r>
      <w:r>
        <w:t xml:space="preserve"> </w:t>
      </w:r>
      <w:r w:rsidRPr="00762B91">
        <w:rPr>
          <w:rFonts w:cs="Calibri"/>
          <w:bCs/>
        </w:rPr>
        <w:t>HALMED ima jednog člana Ekspertne grupe od lipnja 2022. godine.</w:t>
      </w:r>
    </w:p>
    <w:p w14:paraId="66C7D191" w14:textId="77777777" w:rsidR="00D118DE" w:rsidRPr="00762B91" w:rsidRDefault="00D118DE" w:rsidP="00D118DE">
      <w:pPr>
        <w:spacing w:line="276" w:lineRule="auto"/>
        <w:jc w:val="both"/>
      </w:pPr>
      <w:r w:rsidRPr="00762B91">
        <w:t>U izvještajnom razdoblju održan</w:t>
      </w:r>
      <w:r>
        <w:t>a</w:t>
      </w:r>
      <w:r w:rsidRPr="00762B91">
        <w:t xml:space="preserve"> </w:t>
      </w:r>
      <w:r>
        <w:t>su četiri sastanka i to tri virtualna</w:t>
      </w:r>
      <w:r w:rsidRPr="00762B91">
        <w:t xml:space="preserve"> sastan</w:t>
      </w:r>
      <w:r>
        <w:t xml:space="preserve">ka i jedan sastanak uživo pri Europskoj komisiji u </w:t>
      </w:r>
      <w:r w:rsidRPr="00792CA4">
        <w:t xml:space="preserve"> Bruxellesu</w:t>
      </w:r>
      <w:r>
        <w:t>.</w:t>
      </w:r>
    </w:p>
    <w:p w14:paraId="1ABF8B7C" w14:textId="77777777" w:rsidR="00D118DE" w:rsidRPr="003B6326" w:rsidRDefault="00D118DE" w:rsidP="00D118DE">
      <w:pPr>
        <w:spacing w:line="276" w:lineRule="auto"/>
        <w:jc w:val="both"/>
      </w:pPr>
    </w:p>
    <w:p w14:paraId="4156C56D" w14:textId="77777777" w:rsidR="00D118DE" w:rsidRPr="00762B91" w:rsidRDefault="00D118DE" w:rsidP="00D118DE">
      <w:pPr>
        <w:spacing w:after="240"/>
        <w:rPr>
          <w:b/>
        </w:rPr>
      </w:pPr>
      <w:r w:rsidRPr="00762B91">
        <w:rPr>
          <w:b/>
        </w:rPr>
        <w:t>B) EURIPID kolaboracija</w:t>
      </w:r>
    </w:p>
    <w:p w14:paraId="38E0B4F9" w14:textId="77777777" w:rsidR="00D118DE" w:rsidRPr="00762B91" w:rsidRDefault="00D118DE" w:rsidP="00D118DE">
      <w:pPr>
        <w:spacing w:after="240" w:line="276" w:lineRule="auto"/>
        <w:jc w:val="both"/>
      </w:pPr>
      <w:r w:rsidRPr="00762B91">
        <w:lastRenderedPageBreak/>
        <w:t>EURIPID je utemeljen kao odgovor na poziv Europske komisije državama članicama za instrumentom za pristup usporedivim informacijama o cijenama lijekova. Radi se o elektroničkoj bazi podataka o cijenama lijekova za korištenje javnih uprava država članica i drugih relevantnih dionika. Potpora je dodijeljena EURIPID kolaboraciji. Ista je osnovana kao dobrovoljna, neprofitna suradnja europskih tijela za određivanje cijena i naknade za uzajamnu razmjenu informacija o politikama cijena lijekova i cijenama lijekova. Kolaboracija se sastoji od osnivača, partnera iz 26 zemalja EU, pridruženih partnera i EC6. Od svog prvog lansiranja farmaceutska baza podataka je 12 godina kontinuirano on-line i pruža više od 30 milijuna podataka. EURIPID je prepoznat kao operativni alat i uključen je u plan rada 2021-2023. vodeće inicijative Nacionalnih nadležnih tijela za cijene i naknade (NCAPR). Radni program EU4Health za 2022. poziva EURIPID na prijedlog akcije koja će doprinijeti političkom prioritetu za provedbu Farmaceutske strategije za Europu kao potpora državama članicama u nacionalnim politikama cijena i naknada. Baza podataka EURIPID može razmjenom relevantnih informacija podržati prepoznavanje tržišnih praksi i upozoriti te spriječiti nenamjerne negativne učinke na pristup lijekovima i zdravstvenoj skrbi.</w:t>
      </w:r>
    </w:p>
    <w:p w14:paraId="1F8B8E26" w14:textId="77777777" w:rsidR="00D118DE" w:rsidRPr="00762B91" w:rsidRDefault="00D118DE" w:rsidP="00D118DE">
      <w:pPr>
        <w:spacing w:after="240" w:line="276" w:lineRule="auto"/>
      </w:pPr>
      <w:r w:rsidRPr="00762B91">
        <w:t>HALMED je pristupio EURIPID bazi podataka u siječnju 2023. godine.</w:t>
      </w:r>
    </w:p>
    <w:p w14:paraId="47D90B8A" w14:textId="77777777" w:rsidR="00D118DE" w:rsidRDefault="00D118DE" w:rsidP="00D118DE">
      <w:pPr>
        <w:spacing w:line="276" w:lineRule="auto"/>
        <w:jc w:val="both"/>
        <w:rPr>
          <w:rFonts w:cs="Calibri"/>
          <w:bCs/>
        </w:rPr>
      </w:pPr>
      <w:r w:rsidRPr="00762B91">
        <w:rPr>
          <w:rFonts w:cs="Calibri"/>
          <w:bCs/>
        </w:rPr>
        <w:t xml:space="preserve">HALMED ima </w:t>
      </w:r>
      <w:r>
        <w:rPr>
          <w:rFonts w:cs="Calibri"/>
          <w:bCs/>
        </w:rPr>
        <w:t>četiri člana EURIPID kolaboracije</w:t>
      </w:r>
      <w:r w:rsidRPr="00762B91">
        <w:rPr>
          <w:rFonts w:cs="Calibri"/>
          <w:bCs/>
        </w:rPr>
        <w:t>.</w:t>
      </w:r>
      <w:r>
        <w:rPr>
          <w:rFonts w:cs="Calibri"/>
          <w:bCs/>
        </w:rPr>
        <w:t xml:space="preserve"> EURIPID je do svibnja 2023. godine preuzimao cijene HZZO-a u svoju bazu podataka. S obzirom da su cijene HZZO-a od svibnja 2023. nevidljive, EURIPID će preuzeti cijene lijekova objavljene na web stranicama HALMED-a, a za navedeno će biti potrebno informatičko usklađivanje baza podataka Halmed-a i EURIPID-a. Dodatno je održan jedan sastanak PPRI (Pharmaceutical Pricing and reimbursement) mreže koja podržava suradnju tijela za određivanje cijena i naknade za lijekove iz 50 uglavnom europskih zemalja, kao i međunarodnih institucija.</w:t>
      </w:r>
    </w:p>
    <w:p w14:paraId="6C9C8EC3" w14:textId="77777777" w:rsidR="00D118DE" w:rsidRDefault="00D118DE" w:rsidP="00D118DE">
      <w:pPr>
        <w:spacing w:line="276" w:lineRule="auto"/>
        <w:jc w:val="both"/>
        <w:rPr>
          <w:rFonts w:cs="Calibri"/>
          <w:bCs/>
        </w:rPr>
      </w:pPr>
      <w:r w:rsidRPr="00762B91">
        <w:rPr>
          <w:rFonts w:cs="Calibri"/>
          <w:bCs/>
        </w:rPr>
        <w:t>U izvještajnom razdoblju održan</w:t>
      </w:r>
      <w:r>
        <w:rPr>
          <w:rFonts w:cs="Calibri"/>
          <w:bCs/>
        </w:rPr>
        <w:t>a</w:t>
      </w:r>
      <w:r w:rsidRPr="00762B91">
        <w:rPr>
          <w:rFonts w:cs="Calibri"/>
          <w:bCs/>
        </w:rPr>
        <w:t xml:space="preserve"> </w:t>
      </w:r>
      <w:r>
        <w:rPr>
          <w:rFonts w:cs="Calibri"/>
          <w:bCs/>
        </w:rPr>
        <w:t xml:space="preserve">su tri virtualna </w:t>
      </w:r>
      <w:r w:rsidRPr="00762B91">
        <w:rPr>
          <w:rFonts w:cs="Calibri"/>
          <w:bCs/>
        </w:rPr>
        <w:t>sastan</w:t>
      </w:r>
      <w:r>
        <w:rPr>
          <w:rFonts w:cs="Calibri"/>
          <w:bCs/>
        </w:rPr>
        <w:t>ka i jedan uživo u Varšavi.</w:t>
      </w:r>
    </w:p>
    <w:p w14:paraId="4D1DC2AE" w14:textId="77777777" w:rsidR="00D118DE" w:rsidRPr="00762B91" w:rsidRDefault="00D118DE" w:rsidP="00D118DE">
      <w:pPr>
        <w:spacing w:line="276" w:lineRule="auto"/>
        <w:jc w:val="both"/>
        <w:rPr>
          <w:rFonts w:cs="Calibri"/>
          <w:bCs/>
        </w:rPr>
      </w:pPr>
    </w:p>
    <w:p w14:paraId="09C26029" w14:textId="77777777" w:rsidR="00D118DE" w:rsidRPr="00762B91" w:rsidRDefault="00D118DE" w:rsidP="00D118DE">
      <w:pPr>
        <w:spacing w:after="240"/>
        <w:rPr>
          <w:b/>
        </w:rPr>
      </w:pPr>
      <w:r w:rsidRPr="00762B91">
        <w:rPr>
          <w:b/>
        </w:rPr>
        <w:t xml:space="preserve">C) Radna </w:t>
      </w:r>
      <w:r>
        <w:rPr>
          <w:b/>
        </w:rPr>
        <w:t>skupina</w:t>
      </w:r>
      <w:r w:rsidRPr="00762B91">
        <w:rPr>
          <w:b/>
        </w:rPr>
        <w:t xml:space="preserve"> za bioslične lijekove</w:t>
      </w:r>
    </w:p>
    <w:p w14:paraId="00EFBB4C" w14:textId="77777777" w:rsidR="00D118DE" w:rsidRPr="00762B91" w:rsidRDefault="00D118DE" w:rsidP="00D118DE">
      <w:pPr>
        <w:spacing w:after="240" w:line="276" w:lineRule="auto"/>
        <w:jc w:val="both"/>
      </w:pPr>
      <w:r w:rsidRPr="00762B91">
        <w:t xml:space="preserve">Radna </w:t>
      </w:r>
      <w:r>
        <w:t>skupina</w:t>
      </w:r>
      <w:r w:rsidRPr="00762B91">
        <w:t xml:space="preserve"> za bioslične lijekove je dio ekspertne grupe nadležnih nacionalnih tijela za određivanje cijena i naknada (NCPAR). Cilj radne grupe je ojačati podršku pristupačnosti i poboljšanje primjene biosličnih lijekova.</w:t>
      </w:r>
    </w:p>
    <w:p w14:paraId="07F10125" w14:textId="77777777" w:rsidR="00D118DE" w:rsidRPr="00762B91" w:rsidRDefault="00D118DE" w:rsidP="00D118DE">
      <w:pPr>
        <w:spacing w:line="276" w:lineRule="auto"/>
        <w:jc w:val="both"/>
        <w:rPr>
          <w:rFonts w:cs="Calibri"/>
          <w:bCs/>
        </w:rPr>
      </w:pPr>
      <w:r w:rsidRPr="00762B91">
        <w:rPr>
          <w:rFonts w:cs="Calibri"/>
          <w:bCs/>
        </w:rPr>
        <w:t>HALMED ima jednog člana Radne grupe od rujna 2022. godine.</w:t>
      </w:r>
    </w:p>
    <w:p w14:paraId="43C59433" w14:textId="77777777" w:rsidR="00D118DE" w:rsidRPr="00762B91" w:rsidRDefault="00D118DE" w:rsidP="00D118DE">
      <w:pPr>
        <w:spacing w:line="276" w:lineRule="auto"/>
      </w:pPr>
      <w:r w:rsidRPr="00762B91">
        <w:rPr>
          <w:rFonts w:cs="Calibri"/>
          <w:bCs/>
        </w:rPr>
        <w:t xml:space="preserve">U izvještajnom razdoblju </w:t>
      </w:r>
      <w:r>
        <w:rPr>
          <w:rFonts w:cs="Calibri"/>
          <w:bCs/>
        </w:rPr>
        <w:t xml:space="preserve">održano je pet sastanaka i to četiri virtualna i jedan uživo pri Europskoj komisiji u </w:t>
      </w:r>
      <w:r w:rsidRPr="00792CA4">
        <w:rPr>
          <w:rFonts w:cs="Calibri"/>
          <w:bCs/>
        </w:rPr>
        <w:t>Bruxellesu</w:t>
      </w:r>
      <w:r>
        <w:rPr>
          <w:rFonts w:cs="Calibri"/>
          <w:bCs/>
        </w:rPr>
        <w:t>.</w:t>
      </w:r>
    </w:p>
    <w:p w14:paraId="0DD350DE" w14:textId="77777777" w:rsidR="00D118DE" w:rsidRPr="00D8106F" w:rsidRDefault="00D118DE" w:rsidP="00D118DE">
      <w:pPr>
        <w:pStyle w:val="Heading3"/>
      </w:pPr>
      <w:bookmarkStart w:id="224" w:name="_Toc165035495"/>
      <w:r w:rsidRPr="00D8106F">
        <w:t>2.5.5. Sudjelovanje HALMED-a u radnim skupinama u nacionalnim poslovima</w:t>
      </w:r>
      <w:bookmarkEnd w:id="224"/>
    </w:p>
    <w:p w14:paraId="7ED218D4" w14:textId="77777777" w:rsidR="00D118DE" w:rsidRDefault="00D118DE" w:rsidP="00D118DE"/>
    <w:p w14:paraId="5D0F8875" w14:textId="77777777" w:rsidR="00D118DE" w:rsidRPr="00511176" w:rsidRDefault="00D118DE" w:rsidP="00D118DE">
      <w:pPr>
        <w:rPr>
          <w:b/>
        </w:rPr>
      </w:pPr>
      <w:r w:rsidRPr="0007733F">
        <w:rPr>
          <w:b/>
        </w:rPr>
        <w:t>A) Radna skupina za pripremu i provedbu projekata „Uvođenje sustava praćenja ishoda liječenja izvanbolničkih kroničnih pacijenata</w:t>
      </w:r>
      <w:r w:rsidRPr="00511176">
        <w:rPr>
          <w:b/>
        </w:rPr>
        <w:t xml:space="preserve"> u javnim ljekarnama u Republici Hrvatskoj“</w:t>
      </w:r>
    </w:p>
    <w:p w14:paraId="37F2CBB1" w14:textId="77777777" w:rsidR="00D118DE" w:rsidRDefault="00D118DE" w:rsidP="00D118DE">
      <w:pPr>
        <w:spacing w:line="276" w:lineRule="auto"/>
        <w:jc w:val="both"/>
        <w:rPr>
          <w:rFonts w:cstheme="minorHAnsi"/>
        </w:rPr>
      </w:pPr>
    </w:p>
    <w:p w14:paraId="787D214F" w14:textId="77777777" w:rsidR="00D118DE" w:rsidRPr="00762B91" w:rsidRDefault="00D118DE" w:rsidP="00D118DE">
      <w:pPr>
        <w:spacing w:line="276" w:lineRule="auto"/>
        <w:jc w:val="both"/>
        <w:rPr>
          <w:rFonts w:cstheme="minorHAnsi"/>
        </w:rPr>
      </w:pPr>
      <w:r w:rsidRPr="00762B91">
        <w:rPr>
          <w:rFonts w:cstheme="minorHAnsi"/>
        </w:rPr>
        <w:t xml:space="preserve">Ministarstvo zdravstva, kao središnje državno tijelo nadležno za zdravstvo, planira uvođenje sustava praćenja ishoda liječenja izvanbolničkih kroničnih pacijenata u javnim ljekarnama u Republici Hrvatskoj (RH). Ovaj je projektni zadatak planiran u sklopu Nacionalnog programa oporavka i otpornosti (NPOO) 2021.-2026. pod identifikatorom C5.1. R4-I5. </w:t>
      </w:r>
    </w:p>
    <w:p w14:paraId="7373D5FF" w14:textId="77777777" w:rsidR="00D118DE" w:rsidRPr="00762B91" w:rsidRDefault="00D118DE" w:rsidP="00D118DE">
      <w:pPr>
        <w:spacing w:line="276" w:lineRule="auto"/>
        <w:jc w:val="both"/>
        <w:rPr>
          <w:rFonts w:cstheme="minorHAnsi"/>
        </w:rPr>
      </w:pPr>
      <w:r w:rsidRPr="00762B91">
        <w:rPr>
          <w:rFonts w:cstheme="minorHAnsi"/>
        </w:rPr>
        <w:t xml:space="preserve">Uvođenje sustava praćenje ishoda liječenja izvanbolničkih kroničnih pacijenata u javnim ljekarnama predstavlja model koji bi omogućio hrvatskom zdravstvenom sustavu potpuno i transparentno praćenje </w:t>
      </w:r>
      <w:r w:rsidRPr="00762B91">
        <w:rPr>
          <w:rFonts w:cstheme="minorHAnsi"/>
        </w:rPr>
        <w:lastRenderedPageBreak/>
        <w:t>ishoda liječenja i opravdanosti uloženih sredstava na lijekove kao najčešću medicinsku intervenciju svih modernih zdravstvenih sustava u svijetu. Također omogućuje stvaranje baza vrijednih farmakoepidemioloških podataka koji otvaraju vrata prema sustavnijem planiranju, praćenju i vrednovanju isplativosti ulaganja u farmakoterapiju izvanbolničkih pacijenata.</w:t>
      </w:r>
    </w:p>
    <w:p w14:paraId="3DE5930B" w14:textId="77777777" w:rsidR="00D118DE" w:rsidRPr="00762B91" w:rsidRDefault="00D118DE" w:rsidP="00D118DE">
      <w:pPr>
        <w:spacing w:line="276" w:lineRule="auto"/>
        <w:jc w:val="both"/>
        <w:rPr>
          <w:rFonts w:cstheme="minorHAnsi"/>
        </w:rPr>
      </w:pPr>
      <w:r w:rsidRPr="00762B91">
        <w:rPr>
          <w:rFonts w:cstheme="minorHAnsi"/>
        </w:rPr>
        <w:t>Predmet nabave je implementacija programskog rješenja za sustav praćenja ishoda liječenja vanbolničkih kroničnih pacijenata u javnim ljekarnama, zasnovanog na opciji arhitekture rješenja koja je odabrana od strane Radne skupine za pripremu i provedbu projekta „Uvođenje sustava praćenja ishoda liječenja izvanbolničkih kroničnih pacijenata u javnim ljekarnama“, imenovane od strane Ministarstva zdravstva odlukom od 27. srpnja 2022. godine.</w:t>
      </w:r>
      <w:r>
        <w:rPr>
          <w:rFonts w:cstheme="minorHAnsi"/>
        </w:rPr>
        <w:t xml:space="preserve"> </w:t>
      </w:r>
      <w:r w:rsidRPr="00762B91">
        <w:rPr>
          <w:rFonts w:cstheme="minorHAnsi"/>
        </w:rPr>
        <w:t xml:space="preserve">U izvještajnom razdoblju </w:t>
      </w:r>
      <w:r>
        <w:rPr>
          <w:rFonts w:cstheme="minorHAnsi"/>
        </w:rPr>
        <w:t>održano je 10 sastanaka, od čega dva sastanka uživo i osam  virtualnih sastanaka.</w:t>
      </w:r>
    </w:p>
    <w:p w14:paraId="2B46ED21" w14:textId="77777777" w:rsidR="00D118DE" w:rsidRPr="00762B91" w:rsidRDefault="00D118DE" w:rsidP="00D118DE">
      <w:pPr>
        <w:spacing w:line="276" w:lineRule="auto"/>
        <w:rPr>
          <w:rFonts w:cstheme="minorHAnsi"/>
        </w:rPr>
      </w:pPr>
    </w:p>
    <w:p w14:paraId="5B03E68D" w14:textId="77777777" w:rsidR="00D118DE" w:rsidRPr="00511176" w:rsidRDefault="00D118DE" w:rsidP="00D118DE">
      <w:pPr>
        <w:rPr>
          <w:b/>
        </w:rPr>
      </w:pPr>
      <w:r w:rsidRPr="00762B91">
        <w:rPr>
          <w:b/>
        </w:rPr>
        <w:t xml:space="preserve">B)  Radna skupina za izradu nacionalnog izvješća o procjeni učinkovitosti zdravstvenog sustava u republici Hrvatskoj </w:t>
      </w:r>
      <w:r w:rsidRPr="00762B91">
        <w:rPr>
          <w:b/>
          <w:i/>
        </w:rPr>
        <w:t>(Health System performance Assessment-HSPA</w:t>
      </w:r>
      <w:r w:rsidRPr="00762B91">
        <w:rPr>
          <w:b/>
        </w:rPr>
        <w:t>)</w:t>
      </w:r>
    </w:p>
    <w:p w14:paraId="3FB087B7" w14:textId="77777777" w:rsidR="00D118DE" w:rsidRDefault="00D118DE" w:rsidP="00D118DE">
      <w:pPr>
        <w:spacing w:line="276" w:lineRule="auto"/>
        <w:jc w:val="both"/>
        <w:rPr>
          <w:rFonts w:cstheme="minorHAnsi"/>
        </w:rPr>
      </w:pPr>
    </w:p>
    <w:p w14:paraId="72533ECF" w14:textId="77777777" w:rsidR="00D118DE" w:rsidRPr="000904C4" w:rsidRDefault="00D118DE" w:rsidP="00D118DE">
      <w:pPr>
        <w:spacing w:line="276" w:lineRule="auto"/>
        <w:jc w:val="both"/>
        <w:rPr>
          <w:rFonts w:cstheme="minorHAnsi"/>
        </w:rPr>
      </w:pPr>
      <w:r w:rsidRPr="00FE219B">
        <w:rPr>
          <w:rFonts w:cstheme="minorHAnsi"/>
        </w:rPr>
        <w:t>Ministarstvo zdravstva je započelo proces izrade Okvira za procjenu učinkovitosti zdravstvenog sustava čije usvajanje je</w:t>
      </w:r>
      <w:r w:rsidRPr="000904C4">
        <w:rPr>
          <w:rFonts w:cstheme="minorHAnsi"/>
        </w:rPr>
        <w:t xml:space="preserve"> sukladno rokovima definiranim kroz nacionalni plan oporavka i otpornosti 2021. do 2026. te akcijski plan Nacionalnog plana razvoja zdravstva 2021. do 2025. HALMED ima obvezu slati indikatore potrošnje lijekova na recept.</w:t>
      </w:r>
    </w:p>
    <w:p w14:paraId="7E9D8867" w14:textId="77777777" w:rsidR="00D118DE" w:rsidRPr="00AE558F" w:rsidRDefault="00D118DE" w:rsidP="00D118DE">
      <w:pPr>
        <w:spacing w:line="276" w:lineRule="auto"/>
        <w:jc w:val="both"/>
        <w:rPr>
          <w:rFonts w:cstheme="minorHAnsi"/>
        </w:rPr>
      </w:pPr>
      <w:r w:rsidRPr="0032689F">
        <w:rPr>
          <w:rFonts w:cstheme="minorHAnsi"/>
        </w:rPr>
        <w:t>HALMED ima dva</w:t>
      </w:r>
      <w:r w:rsidRPr="00AE558F">
        <w:rPr>
          <w:rFonts w:cstheme="minorHAnsi"/>
        </w:rPr>
        <w:t xml:space="preserve"> člana ove radne skupine.</w:t>
      </w:r>
    </w:p>
    <w:p w14:paraId="7C86C556" w14:textId="77777777" w:rsidR="00D118DE" w:rsidRPr="00AE558F" w:rsidRDefault="00D118DE" w:rsidP="00D118DE">
      <w:pPr>
        <w:spacing w:line="276" w:lineRule="auto"/>
        <w:jc w:val="both"/>
        <w:rPr>
          <w:rFonts w:cstheme="minorHAnsi"/>
        </w:rPr>
      </w:pPr>
      <w:r w:rsidRPr="00AE558F">
        <w:rPr>
          <w:rFonts w:cstheme="minorHAnsi"/>
        </w:rPr>
        <w:t>U izvještajnom razdoblju održan</w:t>
      </w:r>
      <w:r>
        <w:rPr>
          <w:rFonts w:cstheme="minorHAnsi"/>
        </w:rPr>
        <w:t xml:space="preserve">a su četiri virtualna sastanka i jedan uživo s predstavnicima Ministarstva zdravstva.  </w:t>
      </w:r>
    </w:p>
    <w:p w14:paraId="594D6010" w14:textId="77777777" w:rsidR="00D118DE" w:rsidRPr="00F257A0" w:rsidRDefault="00D118DE" w:rsidP="00D118DE"/>
    <w:p w14:paraId="086B2E57" w14:textId="77777777" w:rsidR="00D118DE" w:rsidRPr="0007733F" w:rsidRDefault="00D118DE" w:rsidP="00D118DE">
      <w:pPr>
        <w:pStyle w:val="Heading3"/>
      </w:pPr>
      <w:bookmarkStart w:id="225" w:name="_Toc165035496"/>
      <w:r w:rsidRPr="00D8106F">
        <w:t>2.5.6. Prihodovni poslovi</w:t>
      </w:r>
      <w:bookmarkEnd w:id="225"/>
    </w:p>
    <w:p w14:paraId="12DD81FF" w14:textId="77777777" w:rsidR="00D118DE" w:rsidRPr="00762B91" w:rsidRDefault="00D118DE" w:rsidP="00D118DE">
      <w:pPr>
        <w:tabs>
          <w:tab w:val="left" w:pos="2300"/>
        </w:tabs>
        <w:jc w:val="both"/>
        <w:rPr>
          <w:rFonts w:eastAsia="Times New Roman" w:cs="Calibri"/>
          <w:b/>
          <w:bCs/>
          <w:color w:val="1D1B11"/>
          <w:lang w:eastAsia="hr-HR"/>
        </w:rPr>
      </w:pPr>
      <w:r w:rsidRPr="00762B91">
        <w:rPr>
          <w:b/>
        </w:rPr>
        <w:t xml:space="preserve">Tablica 18. </w:t>
      </w:r>
      <w:r>
        <w:rPr>
          <w:b/>
        </w:rPr>
        <w:t xml:space="preserve">Izvršenje </w:t>
      </w:r>
      <w:r w:rsidRPr="00762B91">
        <w:rPr>
          <w:b/>
        </w:rPr>
        <w:t>prihodovnih usluga</w:t>
      </w:r>
      <w:r w:rsidRPr="00762B91">
        <w:t xml:space="preserve"> </w:t>
      </w:r>
      <w:r w:rsidRPr="00762B91">
        <w:rPr>
          <w:rFonts w:eastAsia="Times New Roman" w:cs="Calibri"/>
          <w:b/>
          <w:bCs/>
          <w:color w:val="1D1B11"/>
          <w:lang w:eastAsia="hr-HR"/>
        </w:rPr>
        <w:t>potrošnje i cijena lijekova</w:t>
      </w:r>
    </w:p>
    <w:tbl>
      <w:tblPr>
        <w:tblW w:w="917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
        <w:gridCol w:w="4235"/>
        <w:gridCol w:w="1276"/>
        <w:gridCol w:w="1504"/>
        <w:gridCol w:w="1275"/>
      </w:tblGrid>
      <w:tr w:rsidR="00D118DE" w:rsidRPr="00E27B57" w14:paraId="23FEB409" w14:textId="77777777" w:rsidTr="00BA499D">
        <w:trPr>
          <w:trHeight w:val="142"/>
          <w:tblHeader/>
        </w:trPr>
        <w:tc>
          <w:tcPr>
            <w:tcW w:w="885" w:type="dxa"/>
            <w:shd w:val="clear" w:color="000000" w:fill="A3E7FF"/>
            <w:vAlign w:val="center"/>
            <w:hideMark/>
          </w:tcPr>
          <w:p w14:paraId="56D0C490" w14:textId="77777777" w:rsidR="00D118DE" w:rsidRPr="00B037D6" w:rsidRDefault="00D118DE" w:rsidP="00BA499D">
            <w:pPr>
              <w:rPr>
                <w:b/>
                <w:sz w:val="18"/>
                <w:szCs w:val="18"/>
                <w:lang w:eastAsia="hr-HR"/>
              </w:rPr>
            </w:pPr>
            <w:r w:rsidRPr="00B037D6">
              <w:rPr>
                <w:b/>
                <w:sz w:val="18"/>
                <w:szCs w:val="18"/>
                <w:lang w:eastAsia="hr-HR"/>
              </w:rPr>
              <w:t>R.br.</w:t>
            </w:r>
          </w:p>
        </w:tc>
        <w:tc>
          <w:tcPr>
            <w:tcW w:w="4235" w:type="dxa"/>
            <w:shd w:val="clear" w:color="000000" w:fill="A3E7FF"/>
            <w:noWrap/>
            <w:vAlign w:val="center"/>
            <w:hideMark/>
          </w:tcPr>
          <w:p w14:paraId="2211B99B" w14:textId="77777777" w:rsidR="00D118DE" w:rsidRPr="00B037D6" w:rsidRDefault="00D118DE" w:rsidP="00BA499D">
            <w:pPr>
              <w:rPr>
                <w:b/>
                <w:sz w:val="18"/>
                <w:szCs w:val="18"/>
                <w:lang w:eastAsia="hr-HR"/>
              </w:rPr>
            </w:pPr>
            <w:r w:rsidRPr="00B037D6">
              <w:rPr>
                <w:b/>
                <w:sz w:val="18"/>
                <w:szCs w:val="18"/>
                <w:lang w:eastAsia="hr-HR"/>
              </w:rPr>
              <w:t>Naziv usluge</w:t>
            </w:r>
          </w:p>
        </w:tc>
        <w:tc>
          <w:tcPr>
            <w:tcW w:w="1276" w:type="dxa"/>
            <w:shd w:val="clear" w:color="000000" w:fill="A3E7FF"/>
            <w:vAlign w:val="center"/>
            <w:hideMark/>
          </w:tcPr>
          <w:p w14:paraId="1D0A3B5D" w14:textId="77777777" w:rsidR="00D118DE" w:rsidRPr="00B037D6" w:rsidRDefault="00D118DE" w:rsidP="00BA499D">
            <w:pPr>
              <w:jc w:val="center"/>
              <w:rPr>
                <w:b/>
                <w:sz w:val="18"/>
                <w:szCs w:val="18"/>
                <w:lang w:eastAsia="hr-HR"/>
              </w:rPr>
            </w:pPr>
            <w:r>
              <w:rPr>
                <w:b/>
                <w:sz w:val="18"/>
                <w:szCs w:val="18"/>
                <w:lang w:eastAsia="hr-HR"/>
              </w:rPr>
              <w:t>Plan za 2023</w:t>
            </w:r>
            <w:r w:rsidRPr="00B037D6">
              <w:rPr>
                <w:b/>
                <w:sz w:val="18"/>
                <w:szCs w:val="18"/>
                <w:lang w:eastAsia="hr-HR"/>
              </w:rPr>
              <w:t>.</w:t>
            </w:r>
          </w:p>
        </w:tc>
        <w:tc>
          <w:tcPr>
            <w:tcW w:w="1504" w:type="dxa"/>
            <w:shd w:val="clear" w:color="000000" w:fill="A3E7FF"/>
            <w:vAlign w:val="center"/>
            <w:hideMark/>
          </w:tcPr>
          <w:p w14:paraId="2C942046" w14:textId="77777777" w:rsidR="00D118DE" w:rsidRPr="00B037D6" w:rsidRDefault="00D118DE" w:rsidP="00BA499D">
            <w:pPr>
              <w:jc w:val="center"/>
              <w:rPr>
                <w:b/>
                <w:sz w:val="18"/>
                <w:szCs w:val="18"/>
                <w:lang w:eastAsia="hr-HR"/>
              </w:rPr>
            </w:pPr>
            <w:r>
              <w:rPr>
                <w:b/>
                <w:sz w:val="18"/>
                <w:szCs w:val="18"/>
                <w:lang w:eastAsia="hr-HR"/>
              </w:rPr>
              <w:t>Izvršenje 01.01.-31.12.2023</w:t>
            </w:r>
            <w:r w:rsidRPr="00B037D6">
              <w:rPr>
                <w:b/>
                <w:sz w:val="18"/>
                <w:szCs w:val="18"/>
                <w:lang w:eastAsia="hr-HR"/>
              </w:rPr>
              <w:t>.</w:t>
            </w:r>
          </w:p>
        </w:tc>
        <w:tc>
          <w:tcPr>
            <w:tcW w:w="1275" w:type="dxa"/>
            <w:shd w:val="clear" w:color="000000" w:fill="A3E7FF"/>
            <w:vAlign w:val="center"/>
            <w:hideMark/>
          </w:tcPr>
          <w:p w14:paraId="49A6EDD4" w14:textId="77777777" w:rsidR="00D118DE" w:rsidRPr="00B037D6" w:rsidRDefault="00D118DE" w:rsidP="00BA499D">
            <w:pPr>
              <w:jc w:val="center"/>
              <w:rPr>
                <w:b/>
                <w:sz w:val="18"/>
                <w:szCs w:val="18"/>
                <w:lang w:eastAsia="hr-HR"/>
              </w:rPr>
            </w:pPr>
            <w:r w:rsidRPr="00B037D6">
              <w:rPr>
                <w:b/>
                <w:sz w:val="18"/>
                <w:szCs w:val="18"/>
                <w:lang w:eastAsia="hr-HR"/>
              </w:rPr>
              <w:t>% izvršenja</w:t>
            </w:r>
          </w:p>
        </w:tc>
      </w:tr>
      <w:tr w:rsidR="00D118DE" w:rsidRPr="00E27B57" w14:paraId="2F524529" w14:textId="77777777" w:rsidTr="00BA499D">
        <w:trPr>
          <w:trHeight w:val="284"/>
        </w:trPr>
        <w:tc>
          <w:tcPr>
            <w:tcW w:w="885" w:type="dxa"/>
            <w:shd w:val="clear" w:color="auto" w:fill="auto"/>
            <w:vAlign w:val="center"/>
          </w:tcPr>
          <w:p w14:paraId="7D4D84D3" w14:textId="77777777" w:rsidR="00D118DE" w:rsidRPr="005545C3" w:rsidRDefault="00D118DE" w:rsidP="00BA499D">
            <w:pPr>
              <w:pStyle w:val="NoSpacing"/>
              <w:jc w:val="center"/>
              <w:rPr>
                <w:lang w:eastAsia="hr-HR"/>
              </w:rPr>
            </w:pPr>
            <w:r>
              <w:rPr>
                <w:lang w:eastAsia="hr-HR"/>
              </w:rPr>
              <w:t>1.</w:t>
            </w:r>
          </w:p>
        </w:tc>
        <w:tc>
          <w:tcPr>
            <w:tcW w:w="4235" w:type="dxa"/>
            <w:shd w:val="clear" w:color="auto" w:fill="auto"/>
            <w:vAlign w:val="center"/>
            <w:hideMark/>
          </w:tcPr>
          <w:p w14:paraId="21ED7E67" w14:textId="77777777" w:rsidR="00D118DE" w:rsidRPr="005545C3" w:rsidRDefault="00D118DE" w:rsidP="00BA499D">
            <w:pPr>
              <w:pStyle w:val="NoSpacing"/>
              <w:rPr>
                <w:lang w:eastAsia="hr-HR"/>
              </w:rPr>
            </w:pPr>
            <w:r w:rsidRPr="005545C3">
              <w:rPr>
                <w:lang w:eastAsia="hr-HR"/>
              </w:rPr>
              <w:t>Davanje podataka vezanih uz potrošnju lijekova</w:t>
            </w:r>
          </w:p>
        </w:tc>
        <w:tc>
          <w:tcPr>
            <w:tcW w:w="1276" w:type="dxa"/>
            <w:shd w:val="clear" w:color="auto" w:fill="auto"/>
            <w:noWrap/>
            <w:vAlign w:val="center"/>
          </w:tcPr>
          <w:p w14:paraId="2F16F0B0" w14:textId="77777777" w:rsidR="00D118DE" w:rsidRPr="00CB3493" w:rsidRDefault="00D118DE" w:rsidP="00BA499D">
            <w:pPr>
              <w:pStyle w:val="NoSpacing"/>
              <w:jc w:val="center"/>
              <w:rPr>
                <w:bCs/>
                <w:sz w:val="18"/>
                <w:szCs w:val="18"/>
              </w:rPr>
            </w:pPr>
            <w:r w:rsidRPr="005F7F0E">
              <w:rPr>
                <w:bCs/>
              </w:rPr>
              <w:t>1</w:t>
            </w:r>
          </w:p>
        </w:tc>
        <w:tc>
          <w:tcPr>
            <w:tcW w:w="1504" w:type="dxa"/>
            <w:tcBorders>
              <w:top w:val="nil"/>
              <w:left w:val="single" w:sz="4" w:space="0" w:color="auto"/>
              <w:bottom w:val="single" w:sz="4" w:space="0" w:color="auto"/>
              <w:right w:val="single" w:sz="4" w:space="0" w:color="auto"/>
            </w:tcBorders>
            <w:shd w:val="clear" w:color="auto" w:fill="auto"/>
            <w:noWrap/>
            <w:vAlign w:val="center"/>
          </w:tcPr>
          <w:p w14:paraId="1E1C5D6A" w14:textId="77777777" w:rsidR="00D118DE" w:rsidRPr="005F6499" w:rsidRDefault="00D118DE" w:rsidP="00BA499D">
            <w:pPr>
              <w:pStyle w:val="NoSpacing"/>
              <w:jc w:val="center"/>
              <w:rPr>
                <w:bCs/>
                <w:sz w:val="18"/>
                <w:szCs w:val="18"/>
              </w:rPr>
            </w:pPr>
            <w:r w:rsidRPr="00EF4CDD">
              <w:rPr>
                <w:bCs/>
              </w:rPr>
              <w:t>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1387E4E" w14:textId="77777777" w:rsidR="00D118DE" w:rsidRPr="005F6499" w:rsidRDefault="00D118DE" w:rsidP="00BA499D">
            <w:pPr>
              <w:pStyle w:val="NoSpacing"/>
              <w:jc w:val="center"/>
              <w:rPr>
                <w:sz w:val="18"/>
                <w:szCs w:val="18"/>
              </w:rPr>
            </w:pPr>
            <w:r w:rsidRPr="005F6499">
              <w:t>0%</w:t>
            </w:r>
          </w:p>
        </w:tc>
      </w:tr>
      <w:tr w:rsidR="00D118DE" w:rsidRPr="00E27B57" w14:paraId="40E9125E" w14:textId="77777777" w:rsidTr="00BA499D">
        <w:trPr>
          <w:trHeight w:val="284"/>
        </w:trPr>
        <w:tc>
          <w:tcPr>
            <w:tcW w:w="885" w:type="dxa"/>
            <w:shd w:val="clear" w:color="auto" w:fill="auto"/>
            <w:vAlign w:val="center"/>
          </w:tcPr>
          <w:p w14:paraId="02341309" w14:textId="77777777" w:rsidR="00D118DE" w:rsidRPr="005545C3" w:rsidRDefault="00D118DE" w:rsidP="00BA499D">
            <w:pPr>
              <w:pStyle w:val="NoSpacing"/>
              <w:jc w:val="center"/>
              <w:rPr>
                <w:lang w:eastAsia="hr-HR"/>
              </w:rPr>
            </w:pPr>
            <w:r>
              <w:rPr>
                <w:lang w:eastAsia="hr-HR"/>
              </w:rPr>
              <w:t>2.</w:t>
            </w:r>
          </w:p>
        </w:tc>
        <w:tc>
          <w:tcPr>
            <w:tcW w:w="4235" w:type="dxa"/>
            <w:shd w:val="clear" w:color="auto" w:fill="auto"/>
            <w:vAlign w:val="center"/>
            <w:hideMark/>
          </w:tcPr>
          <w:p w14:paraId="22CAEB48" w14:textId="77777777" w:rsidR="00D118DE" w:rsidRPr="005545C3" w:rsidRDefault="00D118DE" w:rsidP="00BA499D">
            <w:pPr>
              <w:pStyle w:val="NoSpacing"/>
              <w:rPr>
                <w:lang w:eastAsia="hr-HR"/>
              </w:rPr>
            </w:pPr>
            <w:r w:rsidRPr="005545C3">
              <w:rPr>
                <w:lang w:eastAsia="hr-HR"/>
              </w:rPr>
              <w:t>Analiza podataka vezanih uz potrošnju lijekova</w:t>
            </w:r>
          </w:p>
        </w:tc>
        <w:tc>
          <w:tcPr>
            <w:tcW w:w="1276" w:type="dxa"/>
            <w:shd w:val="clear" w:color="auto" w:fill="auto"/>
            <w:noWrap/>
            <w:vAlign w:val="center"/>
          </w:tcPr>
          <w:p w14:paraId="5DB0E6AC" w14:textId="77777777" w:rsidR="00D118DE" w:rsidRPr="00CB3493" w:rsidRDefault="00D118DE" w:rsidP="00BA499D">
            <w:pPr>
              <w:pStyle w:val="NoSpacing"/>
              <w:jc w:val="center"/>
              <w:rPr>
                <w:bCs/>
                <w:sz w:val="18"/>
                <w:szCs w:val="18"/>
              </w:rPr>
            </w:pPr>
            <w:r w:rsidRPr="005F7F0E">
              <w:rPr>
                <w:bCs/>
              </w:rPr>
              <w:t>1</w:t>
            </w:r>
          </w:p>
        </w:tc>
        <w:tc>
          <w:tcPr>
            <w:tcW w:w="1504" w:type="dxa"/>
            <w:tcBorders>
              <w:top w:val="nil"/>
              <w:left w:val="single" w:sz="4" w:space="0" w:color="auto"/>
              <w:bottom w:val="single" w:sz="4" w:space="0" w:color="auto"/>
              <w:right w:val="single" w:sz="4" w:space="0" w:color="auto"/>
            </w:tcBorders>
            <w:shd w:val="clear" w:color="auto" w:fill="auto"/>
            <w:noWrap/>
            <w:vAlign w:val="center"/>
          </w:tcPr>
          <w:p w14:paraId="668E4A32" w14:textId="77777777" w:rsidR="00D118DE" w:rsidRPr="005F6499" w:rsidRDefault="00D118DE" w:rsidP="00BA499D">
            <w:pPr>
              <w:pStyle w:val="NoSpacing"/>
              <w:jc w:val="center"/>
              <w:rPr>
                <w:bCs/>
                <w:sz w:val="18"/>
                <w:szCs w:val="18"/>
              </w:rPr>
            </w:pPr>
            <w:r w:rsidRPr="00EF4CDD">
              <w:rPr>
                <w:bCs/>
              </w:rPr>
              <w:t>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BC147B6" w14:textId="77777777" w:rsidR="00D118DE" w:rsidRPr="005F6499" w:rsidRDefault="00D118DE" w:rsidP="00BA499D">
            <w:pPr>
              <w:pStyle w:val="NoSpacing"/>
              <w:jc w:val="center"/>
              <w:rPr>
                <w:sz w:val="18"/>
                <w:szCs w:val="18"/>
              </w:rPr>
            </w:pPr>
            <w:r w:rsidRPr="005F6499">
              <w:t>0%</w:t>
            </w:r>
          </w:p>
        </w:tc>
      </w:tr>
      <w:tr w:rsidR="00D118DE" w:rsidRPr="00E27B57" w14:paraId="2A146816" w14:textId="77777777" w:rsidTr="00BA499D">
        <w:trPr>
          <w:trHeight w:val="284"/>
        </w:trPr>
        <w:tc>
          <w:tcPr>
            <w:tcW w:w="885" w:type="dxa"/>
            <w:shd w:val="clear" w:color="auto" w:fill="auto"/>
            <w:noWrap/>
            <w:vAlign w:val="center"/>
          </w:tcPr>
          <w:p w14:paraId="487286BA" w14:textId="77777777" w:rsidR="00D118DE" w:rsidRPr="00C844D3" w:rsidRDefault="00D118DE" w:rsidP="00BA499D">
            <w:pPr>
              <w:pStyle w:val="NoSpacing"/>
              <w:jc w:val="center"/>
              <w:rPr>
                <w:lang w:eastAsia="hr-HR"/>
              </w:rPr>
            </w:pPr>
            <w:r>
              <w:rPr>
                <w:lang w:eastAsia="hr-HR"/>
              </w:rPr>
              <w:t>3.</w:t>
            </w:r>
          </w:p>
        </w:tc>
        <w:tc>
          <w:tcPr>
            <w:tcW w:w="4235" w:type="dxa"/>
            <w:shd w:val="clear" w:color="auto" w:fill="auto"/>
            <w:vAlign w:val="center"/>
          </w:tcPr>
          <w:p w14:paraId="6CA75A98" w14:textId="77777777" w:rsidR="00D118DE" w:rsidRPr="00C844D3" w:rsidRDefault="00D118DE" w:rsidP="00BA499D">
            <w:pPr>
              <w:pStyle w:val="NoSpacing"/>
              <w:rPr>
                <w:lang w:eastAsia="hr-HR"/>
              </w:rPr>
            </w:pPr>
            <w:r>
              <w:rPr>
                <w:lang w:eastAsia="hr-HR"/>
              </w:rPr>
              <w:t>Izračun najviše dozvoljene cijene lijekova na veliko</w:t>
            </w:r>
          </w:p>
        </w:tc>
        <w:tc>
          <w:tcPr>
            <w:tcW w:w="1276" w:type="dxa"/>
            <w:shd w:val="clear" w:color="auto" w:fill="auto"/>
            <w:noWrap/>
            <w:vAlign w:val="center"/>
          </w:tcPr>
          <w:p w14:paraId="6B4B6EEE" w14:textId="77777777" w:rsidR="00D118DE" w:rsidRPr="00CB3493" w:rsidRDefault="00D118DE" w:rsidP="00BA499D">
            <w:pPr>
              <w:pStyle w:val="NoSpacing"/>
              <w:jc w:val="center"/>
              <w:rPr>
                <w:bCs/>
                <w:sz w:val="18"/>
                <w:szCs w:val="18"/>
              </w:rPr>
            </w:pPr>
            <w:r w:rsidRPr="005F7F0E">
              <w:rPr>
                <w:bCs/>
              </w:rPr>
              <w:t>90</w:t>
            </w:r>
          </w:p>
        </w:tc>
        <w:tc>
          <w:tcPr>
            <w:tcW w:w="1504" w:type="dxa"/>
            <w:tcBorders>
              <w:top w:val="nil"/>
              <w:left w:val="single" w:sz="4" w:space="0" w:color="auto"/>
              <w:bottom w:val="single" w:sz="4" w:space="0" w:color="auto"/>
              <w:right w:val="single" w:sz="4" w:space="0" w:color="auto"/>
            </w:tcBorders>
            <w:shd w:val="clear" w:color="auto" w:fill="auto"/>
            <w:noWrap/>
            <w:vAlign w:val="center"/>
          </w:tcPr>
          <w:p w14:paraId="47EB8816" w14:textId="77777777" w:rsidR="00D118DE" w:rsidRPr="005F6499" w:rsidRDefault="00D118DE" w:rsidP="00BA499D">
            <w:pPr>
              <w:pStyle w:val="NoSpacing"/>
              <w:jc w:val="center"/>
              <w:rPr>
                <w:bCs/>
                <w:sz w:val="18"/>
                <w:szCs w:val="18"/>
              </w:rPr>
            </w:pPr>
            <w:r w:rsidRPr="00EF4CDD">
              <w:rPr>
                <w:bCs/>
              </w:rPr>
              <w:t>78</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1D095ED" w14:textId="77777777" w:rsidR="00D118DE" w:rsidRPr="005F6499" w:rsidRDefault="00D118DE" w:rsidP="00BA499D">
            <w:pPr>
              <w:pStyle w:val="NoSpacing"/>
              <w:jc w:val="center"/>
              <w:rPr>
                <w:sz w:val="18"/>
                <w:szCs w:val="18"/>
              </w:rPr>
            </w:pPr>
            <w:r w:rsidRPr="005F6499">
              <w:t>87%</w:t>
            </w:r>
          </w:p>
        </w:tc>
      </w:tr>
      <w:tr w:rsidR="00D118DE" w:rsidRPr="00E27B57" w14:paraId="7DED7E92" w14:textId="77777777" w:rsidTr="00BA499D">
        <w:trPr>
          <w:trHeight w:val="284"/>
        </w:trPr>
        <w:tc>
          <w:tcPr>
            <w:tcW w:w="885" w:type="dxa"/>
            <w:shd w:val="clear" w:color="auto" w:fill="auto"/>
            <w:noWrap/>
            <w:vAlign w:val="center"/>
          </w:tcPr>
          <w:p w14:paraId="6BE9D64D" w14:textId="77777777" w:rsidR="00D118DE" w:rsidRDefault="00D118DE" w:rsidP="00BA499D">
            <w:pPr>
              <w:pStyle w:val="NoSpacing"/>
              <w:jc w:val="center"/>
              <w:rPr>
                <w:lang w:eastAsia="hr-HR"/>
              </w:rPr>
            </w:pPr>
            <w:r>
              <w:rPr>
                <w:lang w:eastAsia="hr-HR"/>
              </w:rPr>
              <w:t>4.</w:t>
            </w:r>
          </w:p>
        </w:tc>
        <w:tc>
          <w:tcPr>
            <w:tcW w:w="4235" w:type="dxa"/>
            <w:shd w:val="clear" w:color="auto" w:fill="auto"/>
            <w:vAlign w:val="center"/>
          </w:tcPr>
          <w:p w14:paraId="04CF3EAA" w14:textId="77777777" w:rsidR="00D118DE" w:rsidRDefault="00D118DE" w:rsidP="00BA499D">
            <w:pPr>
              <w:pStyle w:val="NoSpacing"/>
              <w:rPr>
                <w:lang w:eastAsia="hr-HR"/>
              </w:rPr>
            </w:pPr>
            <w:r>
              <w:rPr>
                <w:lang w:eastAsia="hr-HR"/>
              </w:rPr>
              <w:t>-za dodatnu jačinu ili farmaceutski oblik (podneseno istovremeno ili naknadno)</w:t>
            </w:r>
          </w:p>
        </w:tc>
        <w:tc>
          <w:tcPr>
            <w:tcW w:w="1276" w:type="dxa"/>
            <w:shd w:val="clear" w:color="auto" w:fill="auto"/>
            <w:noWrap/>
            <w:vAlign w:val="center"/>
          </w:tcPr>
          <w:p w14:paraId="1DA3A872" w14:textId="77777777" w:rsidR="00D118DE" w:rsidRPr="00CB3493" w:rsidRDefault="00D118DE" w:rsidP="00BA499D">
            <w:pPr>
              <w:pStyle w:val="NoSpacing"/>
              <w:jc w:val="center"/>
              <w:rPr>
                <w:bCs/>
                <w:sz w:val="18"/>
                <w:szCs w:val="18"/>
              </w:rPr>
            </w:pPr>
            <w:r w:rsidRPr="005F7F0E">
              <w:rPr>
                <w:bCs/>
              </w:rPr>
              <w:t>40</w:t>
            </w:r>
          </w:p>
        </w:tc>
        <w:tc>
          <w:tcPr>
            <w:tcW w:w="1504" w:type="dxa"/>
            <w:tcBorders>
              <w:top w:val="nil"/>
              <w:left w:val="single" w:sz="4" w:space="0" w:color="auto"/>
              <w:bottom w:val="single" w:sz="4" w:space="0" w:color="auto"/>
              <w:right w:val="single" w:sz="4" w:space="0" w:color="auto"/>
            </w:tcBorders>
            <w:shd w:val="clear" w:color="auto" w:fill="auto"/>
            <w:noWrap/>
            <w:vAlign w:val="center"/>
          </w:tcPr>
          <w:p w14:paraId="2A81E918" w14:textId="77777777" w:rsidR="00D118DE" w:rsidRPr="005F6499" w:rsidRDefault="00D118DE" w:rsidP="00BA499D">
            <w:pPr>
              <w:pStyle w:val="NoSpacing"/>
              <w:jc w:val="center"/>
              <w:rPr>
                <w:bCs/>
                <w:sz w:val="18"/>
                <w:szCs w:val="18"/>
              </w:rPr>
            </w:pPr>
            <w:r w:rsidRPr="00EF4CDD">
              <w:rPr>
                <w:bCs/>
              </w:rPr>
              <w:t>46</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4D802BA" w14:textId="77777777" w:rsidR="00D118DE" w:rsidRPr="005F6499" w:rsidRDefault="00D118DE" w:rsidP="00BA499D">
            <w:pPr>
              <w:pStyle w:val="NoSpacing"/>
              <w:jc w:val="center"/>
              <w:rPr>
                <w:sz w:val="18"/>
                <w:szCs w:val="18"/>
              </w:rPr>
            </w:pPr>
            <w:r w:rsidRPr="005F6499">
              <w:t>115%</w:t>
            </w:r>
          </w:p>
        </w:tc>
      </w:tr>
      <w:tr w:rsidR="00D118DE" w:rsidRPr="00E27B57" w14:paraId="310A4BE2" w14:textId="77777777" w:rsidTr="00BA499D">
        <w:trPr>
          <w:trHeight w:val="284"/>
        </w:trPr>
        <w:tc>
          <w:tcPr>
            <w:tcW w:w="885" w:type="dxa"/>
            <w:shd w:val="clear" w:color="auto" w:fill="auto"/>
            <w:noWrap/>
            <w:vAlign w:val="center"/>
          </w:tcPr>
          <w:p w14:paraId="1B1DA18D" w14:textId="77777777" w:rsidR="00D118DE" w:rsidRDefault="00D118DE" w:rsidP="00BA499D">
            <w:pPr>
              <w:pStyle w:val="NoSpacing"/>
              <w:jc w:val="center"/>
              <w:rPr>
                <w:lang w:eastAsia="hr-HR"/>
              </w:rPr>
            </w:pPr>
            <w:r>
              <w:rPr>
                <w:lang w:eastAsia="hr-HR"/>
              </w:rPr>
              <w:t>5.</w:t>
            </w:r>
          </w:p>
        </w:tc>
        <w:tc>
          <w:tcPr>
            <w:tcW w:w="4235" w:type="dxa"/>
            <w:shd w:val="clear" w:color="auto" w:fill="auto"/>
            <w:vAlign w:val="center"/>
          </w:tcPr>
          <w:p w14:paraId="5ACB5119" w14:textId="77777777" w:rsidR="00D118DE" w:rsidRDefault="00D118DE" w:rsidP="00BA499D">
            <w:pPr>
              <w:pStyle w:val="NoSpacing"/>
              <w:rPr>
                <w:lang w:eastAsia="hr-HR"/>
              </w:rPr>
            </w:pPr>
            <w:r>
              <w:rPr>
                <w:lang w:eastAsia="hr-HR"/>
              </w:rPr>
              <w:t>- za dodatno pakiranje (podneseno istovremeno ili naknadno)</w:t>
            </w:r>
          </w:p>
        </w:tc>
        <w:tc>
          <w:tcPr>
            <w:tcW w:w="1276" w:type="dxa"/>
            <w:shd w:val="clear" w:color="auto" w:fill="auto"/>
            <w:noWrap/>
            <w:vAlign w:val="center"/>
          </w:tcPr>
          <w:p w14:paraId="44F312BC" w14:textId="77777777" w:rsidR="00D118DE" w:rsidRPr="00CB3493" w:rsidRDefault="00D118DE" w:rsidP="00BA499D">
            <w:pPr>
              <w:pStyle w:val="NoSpacing"/>
              <w:jc w:val="center"/>
              <w:rPr>
                <w:bCs/>
                <w:sz w:val="18"/>
                <w:szCs w:val="18"/>
              </w:rPr>
            </w:pPr>
            <w:r w:rsidRPr="005F7F0E">
              <w:rPr>
                <w:bCs/>
              </w:rPr>
              <w:t>20</w:t>
            </w:r>
          </w:p>
        </w:tc>
        <w:tc>
          <w:tcPr>
            <w:tcW w:w="1504" w:type="dxa"/>
            <w:tcBorders>
              <w:top w:val="nil"/>
              <w:left w:val="single" w:sz="4" w:space="0" w:color="auto"/>
              <w:bottom w:val="single" w:sz="4" w:space="0" w:color="auto"/>
              <w:right w:val="single" w:sz="4" w:space="0" w:color="auto"/>
            </w:tcBorders>
            <w:shd w:val="clear" w:color="auto" w:fill="auto"/>
            <w:noWrap/>
            <w:vAlign w:val="center"/>
          </w:tcPr>
          <w:p w14:paraId="3C228A4B" w14:textId="77777777" w:rsidR="00D118DE" w:rsidRPr="005F6499" w:rsidRDefault="00D118DE" w:rsidP="00BA499D">
            <w:pPr>
              <w:pStyle w:val="NoSpacing"/>
              <w:jc w:val="center"/>
              <w:rPr>
                <w:bCs/>
                <w:sz w:val="18"/>
                <w:szCs w:val="18"/>
              </w:rPr>
            </w:pPr>
            <w:r w:rsidRPr="00EF4CDD">
              <w:rPr>
                <w:bCs/>
              </w:rPr>
              <w:t>19</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4202A7A" w14:textId="77777777" w:rsidR="00D118DE" w:rsidRPr="005F6499" w:rsidRDefault="00D118DE" w:rsidP="00BA499D">
            <w:pPr>
              <w:pStyle w:val="NoSpacing"/>
              <w:jc w:val="center"/>
              <w:rPr>
                <w:sz w:val="18"/>
                <w:szCs w:val="18"/>
              </w:rPr>
            </w:pPr>
            <w:r w:rsidRPr="005F6499">
              <w:t>95%</w:t>
            </w:r>
          </w:p>
        </w:tc>
      </w:tr>
      <w:tr w:rsidR="00D118DE" w:rsidRPr="00E27B57" w14:paraId="2F43670A" w14:textId="77777777" w:rsidTr="00BA499D">
        <w:trPr>
          <w:trHeight w:val="284"/>
        </w:trPr>
        <w:tc>
          <w:tcPr>
            <w:tcW w:w="5120" w:type="dxa"/>
            <w:gridSpan w:val="2"/>
            <w:shd w:val="clear" w:color="auto" w:fill="BFBFBF"/>
            <w:vAlign w:val="center"/>
            <w:hideMark/>
          </w:tcPr>
          <w:p w14:paraId="730DF477" w14:textId="77777777" w:rsidR="00D118DE" w:rsidRPr="00CD4EA4" w:rsidRDefault="00D118DE" w:rsidP="00BA499D">
            <w:pPr>
              <w:pStyle w:val="NoSpacing"/>
              <w:rPr>
                <w:b/>
                <w:lang w:eastAsia="hr-HR"/>
              </w:rPr>
            </w:pPr>
            <w:r w:rsidRPr="00CD4EA4">
              <w:rPr>
                <w:b/>
                <w:lang w:eastAsia="hr-HR"/>
              </w:rPr>
              <w:t>UKUPNO:</w:t>
            </w:r>
          </w:p>
        </w:tc>
        <w:tc>
          <w:tcPr>
            <w:tcW w:w="1276" w:type="dxa"/>
            <w:shd w:val="clear" w:color="auto" w:fill="BFBFBF"/>
            <w:noWrap/>
            <w:vAlign w:val="center"/>
          </w:tcPr>
          <w:p w14:paraId="7968717D" w14:textId="77777777" w:rsidR="00D118DE" w:rsidRPr="00A14BFF" w:rsidRDefault="00D118DE" w:rsidP="00BA499D">
            <w:pPr>
              <w:pStyle w:val="NoSpacing"/>
              <w:jc w:val="center"/>
              <w:rPr>
                <w:b/>
                <w:bCs/>
              </w:rPr>
            </w:pPr>
            <w:r w:rsidRPr="00A14BFF">
              <w:rPr>
                <w:b/>
                <w:bCs/>
              </w:rPr>
              <w:t>152</w:t>
            </w:r>
          </w:p>
        </w:tc>
        <w:tc>
          <w:tcPr>
            <w:tcW w:w="1504" w:type="dxa"/>
            <w:shd w:val="clear" w:color="auto" w:fill="BFBFBF"/>
            <w:noWrap/>
            <w:vAlign w:val="center"/>
          </w:tcPr>
          <w:p w14:paraId="36D6B6C8" w14:textId="77777777" w:rsidR="00D118DE" w:rsidRPr="005F6499" w:rsidRDefault="00D118DE" w:rsidP="00BA499D">
            <w:pPr>
              <w:pStyle w:val="NoSpacing"/>
              <w:jc w:val="center"/>
              <w:rPr>
                <w:b/>
                <w:bCs/>
              </w:rPr>
            </w:pPr>
            <w:r w:rsidRPr="005F6499">
              <w:rPr>
                <w:b/>
                <w:bCs/>
              </w:rPr>
              <w:t>143</w:t>
            </w:r>
          </w:p>
        </w:tc>
        <w:tc>
          <w:tcPr>
            <w:tcW w:w="1275" w:type="dxa"/>
            <w:tcBorders>
              <w:top w:val="single" w:sz="4" w:space="0" w:color="auto"/>
            </w:tcBorders>
            <w:shd w:val="clear" w:color="auto" w:fill="BFBFBF"/>
            <w:noWrap/>
            <w:vAlign w:val="center"/>
          </w:tcPr>
          <w:p w14:paraId="662EDF8F" w14:textId="77777777" w:rsidR="00D118DE" w:rsidRPr="005F6499" w:rsidRDefault="00D118DE" w:rsidP="00BA499D">
            <w:pPr>
              <w:pStyle w:val="NoSpacing"/>
              <w:jc w:val="center"/>
              <w:rPr>
                <w:b/>
              </w:rPr>
            </w:pPr>
            <w:r w:rsidRPr="00EF4CDD">
              <w:rPr>
                <w:b/>
              </w:rPr>
              <w:t>94%</w:t>
            </w:r>
          </w:p>
        </w:tc>
      </w:tr>
    </w:tbl>
    <w:p w14:paraId="47D4A84C" w14:textId="77777777" w:rsidR="00D118DE" w:rsidRDefault="00D118DE" w:rsidP="00D118DE">
      <w:pPr>
        <w:spacing w:after="200" w:line="276" w:lineRule="auto"/>
        <w:rPr>
          <w:rFonts w:ascii="Calibri" w:eastAsia="Calibri" w:hAnsi="Calibri" w:cs="Times New Roman"/>
          <w:color w:val="4BACC6"/>
          <w:sz w:val="28"/>
          <w:szCs w:val="28"/>
        </w:rPr>
      </w:pPr>
    </w:p>
    <w:p w14:paraId="44495841" w14:textId="77777777" w:rsidR="00D118DE" w:rsidRDefault="00D118DE" w:rsidP="00D118DE">
      <w:pPr>
        <w:pStyle w:val="Heading3"/>
      </w:pPr>
      <w:bookmarkStart w:id="226" w:name="_Toc165035497"/>
      <w:r w:rsidRPr="00D8106F">
        <w:rPr>
          <w:rFonts w:eastAsia="Calibri"/>
        </w:rPr>
        <w:t>2.5.7. Neprihodovni poslovi</w:t>
      </w:r>
      <w:bookmarkEnd w:id="226"/>
    </w:p>
    <w:p w14:paraId="4CCB9DFD" w14:textId="77777777" w:rsidR="00D118DE" w:rsidRPr="00762B91" w:rsidRDefault="00D118DE" w:rsidP="00D118DE">
      <w:pPr>
        <w:rPr>
          <w:b/>
          <w:lang w:eastAsia="hr-HR"/>
        </w:rPr>
      </w:pPr>
      <w:r w:rsidRPr="00762B91">
        <w:rPr>
          <w:b/>
        </w:rPr>
        <w:t>Tablica 1</w:t>
      </w:r>
      <w:r>
        <w:rPr>
          <w:b/>
        </w:rPr>
        <w:t>9</w:t>
      </w:r>
      <w:r w:rsidRPr="00762B91">
        <w:rPr>
          <w:b/>
        </w:rPr>
        <w:t>. I</w:t>
      </w:r>
      <w:r w:rsidRPr="00762B91">
        <w:rPr>
          <w:b/>
          <w:lang w:eastAsia="hr-HR"/>
        </w:rPr>
        <w:t>zvršenje neprihodovnih usluga potrošnje i cijena lijekova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223"/>
        <w:gridCol w:w="1276"/>
        <w:gridCol w:w="1418"/>
        <w:gridCol w:w="1446"/>
      </w:tblGrid>
      <w:tr w:rsidR="00D118DE" w:rsidRPr="0063577A" w14:paraId="4C3D348C" w14:textId="77777777" w:rsidTr="00BA499D">
        <w:trPr>
          <w:trHeight w:val="453"/>
        </w:trPr>
        <w:tc>
          <w:tcPr>
            <w:tcW w:w="993" w:type="dxa"/>
            <w:vMerge w:val="restart"/>
            <w:shd w:val="clear" w:color="auto" w:fill="A3E7FF"/>
            <w:vAlign w:val="center"/>
            <w:hideMark/>
          </w:tcPr>
          <w:p w14:paraId="3A78CDB9" w14:textId="77777777" w:rsidR="00D118DE" w:rsidRPr="0063577A" w:rsidRDefault="00D118DE" w:rsidP="00BA499D">
            <w:pPr>
              <w:rPr>
                <w:b/>
                <w:sz w:val="18"/>
                <w:szCs w:val="18"/>
                <w:lang w:eastAsia="hr-HR"/>
              </w:rPr>
            </w:pPr>
            <w:r w:rsidRPr="0063577A">
              <w:rPr>
                <w:b/>
                <w:sz w:val="18"/>
                <w:szCs w:val="18"/>
                <w:lang w:eastAsia="hr-HR"/>
              </w:rPr>
              <w:t>R.br.</w:t>
            </w:r>
          </w:p>
        </w:tc>
        <w:tc>
          <w:tcPr>
            <w:tcW w:w="4223" w:type="dxa"/>
            <w:vMerge w:val="restart"/>
            <w:shd w:val="clear" w:color="auto" w:fill="A3E7FF"/>
            <w:vAlign w:val="center"/>
            <w:hideMark/>
          </w:tcPr>
          <w:p w14:paraId="477911BE" w14:textId="77777777" w:rsidR="00D118DE" w:rsidRPr="0063577A" w:rsidRDefault="00D118DE" w:rsidP="00BA499D">
            <w:pPr>
              <w:rPr>
                <w:b/>
                <w:sz w:val="18"/>
                <w:szCs w:val="18"/>
                <w:lang w:eastAsia="hr-HR"/>
              </w:rPr>
            </w:pPr>
            <w:r w:rsidRPr="0063577A">
              <w:rPr>
                <w:b/>
                <w:sz w:val="18"/>
                <w:szCs w:val="18"/>
                <w:lang w:eastAsia="hr-HR"/>
              </w:rPr>
              <w:t>Naziv usluge</w:t>
            </w:r>
          </w:p>
        </w:tc>
        <w:tc>
          <w:tcPr>
            <w:tcW w:w="1276" w:type="dxa"/>
            <w:vMerge w:val="restart"/>
            <w:shd w:val="clear" w:color="auto" w:fill="A3E7FF"/>
            <w:vAlign w:val="center"/>
            <w:hideMark/>
          </w:tcPr>
          <w:p w14:paraId="0AAA7035" w14:textId="77777777" w:rsidR="00D118DE" w:rsidRPr="0063577A" w:rsidRDefault="00D118DE" w:rsidP="00BA499D">
            <w:pPr>
              <w:rPr>
                <w:b/>
                <w:sz w:val="18"/>
                <w:szCs w:val="18"/>
                <w:lang w:eastAsia="hr-HR"/>
              </w:rPr>
            </w:pPr>
            <w:r>
              <w:rPr>
                <w:b/>
                <w:sz w:val="18"/>
                <w:szCs w:val="18"/>
                <w:lang w:eastAsia="hr-HR"/>
              </w:rPr>
              <w:t>Plan za 2023</w:t>
            </w:r>
            <w:r w:rsidRPr="0063577A">
              <w:rPr>
                <w:b/>
                <w:sz w:val="18"/>
                <w:szCs w:val="18"/>
                <w:lang w:eastAsia="hr-HR"/>
              </w:rPr>
              <w:t xml:space="preserve">. </w:t>
            </w:r>
          </w:p>
        </w:tc>
        <w:tc>
          <w:tcPr>
            <w:tcW w:w="1418" w:type="dxa"/>
            <w:vMerge w:val="restart"/>
            <w:shd w:val="clear" w:color="auto" w:fill="A3E7FF"/>
            <w:vAlign w:val="center"/>
            <w:hideMark/>
          </w:tcPr>
          <w:p w14:paraId="479F4DFC" w14:textId="77777777" w:rsidR="00D118DE" w:rsidRPr="0063577A" w:rsidRDefault="00D118DE" w:rsidP="00BA499D">
            <w:pPr>
              <w:jc w:val="center"/>
              <w:rPr>
                <w:b/>
                <w:sz w:val="18"/>
                <w:szCs w:val="18"/>
                <w:lang w:eastAsia="hr-HR"/>
              </w:rPr>
            </w:pPr>
          </w:p>
          <w:p w14:paraId="457FA73F" w14:textId="77777777" w:rsidR="00D118DE" w:rsidRPr="0063577A" w:rsidRDefault="00D118DE" w:rsidP="00BA499D">
            <w:pPr>
              <w:jc w:val="center"/>
              <w:rPr>
                <w:b/>
                <w:sz w:val="18"/>
                <w:szCs w:val="18"/>
                <w:lang w:eastAsia="hr-HR"/>
              </w:rPr>
            </w:pPr>
            <w:r w:rsidRPr="0063577A">
              <w:rPr>
                <w:b/>
                <w:sz w:val="18"/>
                <w:szCs w:val="18"/>
                <w:lang w:eastAsia="hr-HR"/>
              </w:rPr>
              <w:t>Izvršenje</w:t>
            </w:r>
          </w:p>
          <w:p w14:paraId="4D3FE88A" w14:textId="77777777" w:rsidR="00D118DE" w:rsidRPr="0063577A" w:rsidRDefault="00D118DE" w:rsidP="00BA499D">
            <w:pPr>
              <w:jc w:val="center"/>
              <w:rPr>
                <w:b/>
                <w:sz w:val="18"/>
                <w:szCs w:val="18"/>
                <w:lang w:eastAsia="hr-HR"/>
              </w:rPr>
            </w:pPr>
            <w:r w:rsidRPr="0063577A">
              <w:rPr>
                <w:b/>
                <w:sz w:val="18"/>
                <w:szCs w:val="18"/>
                <w:lang w:eastAsia="hr-HR"/>
              </w:rPr>
              <w:t>01.01.-</w:t>
            </w:r>
            <w:r>
              <w:rPr>
                <w:b/>
                <w:sz w:val="18"/>
                <w:szCs w:val="18"/>
                <w:lang w:eastAsia="hr-HR"/>
              </w:rPr>
              <w:t>31.12.2023</w:t>
            </w:r>
            <w:r w:rsidRPr="0063577A">
              <w:rPr>
                <w:b/>
                <w:sz w:val="18"/>
                <w:szCs w:val="18"/>
                <w:lang w:eastAsia="hr-HR"/>
              </w:rPr>
              <w:t>.</w:t>
            </w:r>
          </w:p>
          <w:p w14:paraId="27C8C901" w14:textId="77777777" w:rsidR="00D118DE" w:rsidRPr="0063577A" w:rsidRDefault="00D118DE" w:rsidP="00BA499D">
            <w:pPr>
              <w:jc w:val="center"/>
              <w:rPr>
                <w:b/>
                <w:sz w:val="18"/>
                <w:szCs w:val="18"/>
                <w:lang w:eastAsia="hr-HR"/>
              </w:rPr>
            </w:pPr>
          </w:p>
        </w:tc>
        <w:tc>
          <w:tcPr>
            <w:tcW w:w="1446" w:type="dxa"/>
            <w:vMerge w:val="restart"/>
            <w:shd w:val="clear" w:color="auto" w:fill="A3E7FF"/>
            <w:vAlign w:val="center"/>
            <w:hideMark/>
          </w:tcPr>
          <w:p w14:paraId="5CD40128" w14:textId="77777777" w:rsidR="00D118DE" w:rsidRPr="0063577A" w:rsidRDefault="00D118DE" w:rsidP="00BA499D">
            <w:pPr>
              <w:jc w:val="center"/>
              <w:rPr>
                <w:b/>
                <w:sz w:val="18"/>
                <w:szCs w:val="18"/>
                <w:lang w:eastAsia="hr-HR"/>
              </w:rPr>
            </w:pPr>
            <w:r w:rsidRPr="0063577A">
              <w:rPr>
                <w:b/>
                <w:sz w:val="18"/>
                <w:szCs w:val="18"/>
                <w:lang w:eastAsia="hr-HR"/>
              </w:rPr>
              <w:t>% izvršenja</w:t>
            </w:r>
          </w:p>
        </w:tc>
      </w:tr>
      <w:tr w:rsidR="00D118DE" w:rsidRPr="0063577A" w14:paraId="7DA12CE5" w14:textId="77777777" w:rsidTr="00BA499D">
        <w:trPr>
          <w:trHeight w:val="581"/>
        </w:trPr>
        <w:tc>
          <w:tcPr>
            <w:tcW w:w="993" w:type="dxa"/>
            <w:vMerge/>
            <w:shd w:val="clear" w:color="auto" w:fill="A3E7FF"/>
            <w:vAlign w:val="center"/>
            <w:hideMark/>
          </w:tcPr>
          <w:p w14:paraId="6315B09B" w14:textId="77777777" w:rsidR="00D118DE" w:rsidRPr="0063577A" w:rsidRDefault="00D118DE" w:rsidP="00BA499D">
            <w:pPr>
              <w:rPr>
                <w:color w:val="000000"/>
                <w:sz w:val="18"/>
                <w:szCs w:val="18"/>
                <w:lang w:eastAsia="hr-HR"/>
              </w:rPr>
            </w:pPr>
          </w:p>
        </w:tc>
        <w:tc>
          <w:tcPr>
            <w:tcW w:w="4223" w:type="dxa"/>
            <w:vMerge/>
            <w:shd w:val="clear" w:color="auto" w:fill="A3E7FF"/>
            <w:vAlign w:val="center"/>
            <w:hideMark/>
          </w:tcPr>
          <w:p w14:paraId="52250AAA" w14:textId="77777777" w:rsidR="00D118DE" w:rsidRPr="0063577A" w:rsidRDefault="00D118DE" w:rsidP="00BA499D">
            <w:pPr>
              <w:rPr>
                <w:color w:val="000000"/>
                <w:sz w:val="18"/>
                <w:szCs w:val="18"/>
                <w:lang w:eastAsia="hr-HR"/>
              </w:rPr>
            </w:pPr>
          </w:p>
        </w:tc>
        <w:tc>
          <w:tcPr>
            <w:tcW w:w="1276" w:type="dxa"/>
            <w:vMerge/>
            <w:shd w:val="clear" w:color="auto" w:fill="A3E7FF"/>
            <w:vAlign w:val="center"/>
            <w:hideMark/>
          </w:tcPr>
          <w:p w14:paraId="72170C39" w14:textId="77777777" w:rsidR="00D118DE" w:rsidRPr="0063577A" w:rsidRDefault="00D118DE" w:rsidP="00BA499D">
            <w:pPr>
              <w:rPr>
                <w:color w:val="000000"/>
                <w:sz w:val="18"/>
                <w:szCs w:val="18"/>
                <w:lang w:eastAsia="hr-HR"/>
              </w:rPr>
            </w:pPr>
          </w:p>
        </w:tc>
        <w:tc>
          <w:tcPr>
            <w:tcW w:w="1418" w:type="dxa"/>
            <w:vMerge/>
            <w:shd w:val="clear" w:color="auto" w:fill="A3E7FF"/>
            <w:vAlign w:val="center"/>
            <w:hideMark/>
          </w:tcPr>
          <w:p w14:paraId="793CD932" w14:textId="77777777" w:rsidR="00D118DE" w:rsidRPr="0063577A" w:rsidRDefault="00D118DE" w:rsidP="00BA499D">
            <w:pPr>
              <w:rPr>
                <w:color w:val="000000"/>
                <w:sz w:val="18"/>
                <w:szCs w:val="18"/>
                <w:lang w:eastAsia="hr-HR"/>
              </w:rPr>
            </w:pPr>
          </w:p>
        </w:tc>
        <w:tc>
          <w:tcPr>
            <w:tcW w:w="1446" w:type="dxa"/>
            <w:vMerge/>
            <w:shd w:val="clear" w:color="auto" w:fill="A3E7FF"/>
            <w:vAlign w:val="center"/>
            <w:hideMark/>
          </w:tcPr>
          <w:p w14:paraId="2E6541FC" w14:textId="77777777" w:rsidR="00D118DE" w:rsidRPr="0063577A" w:rsidRDefault="00D118DE" w:rsidP="00BA499D">
            <w:pPr>
              <w:rPr>
                <w:color w:val="000000"/>
                <w:sz w:val="18"/>
                <w:szCs w:val="18"/>
                <w:lang w:eastAsia="hr-HR"/>
              </w:rPr>
            </w:pPr>
          </w:p>
        </w:tc>
      </w:tr>
      <w:tr w:rsidR="00D118DE" w:rsidRPr="0063577A" w14:paraId="08A892A2" w14:textId="77777777" w:rsidTr="00BA499D">
        <w:trPr>
          <w:trHeight w:val="284"/>
        </w:trPr>
        <w:tc>
          <w:tcPr>
            <w:tcW w:w="993" w:type="dxa"/>
            <w:shd w:val="clear" w:color="auto" w:fill="auto"/>
            <w:noWrap/>
            <w:vAlign w:val="center"/>
          </w:tcPr>
          <w:p w14:paraId="2B4450EB" w14:textId="77777777" w:rsidR="00D118DE" w:rsidRPr="0063577A" w:rsidRDefault="00D118DE" w:rsidP="00BA499D">
            <w:pPr>
              <w:jc w:val="center"/>
              <w:rPr>
                <w:color w:val="1A1A1A"/>
                <w:sz w:val="18"/>
                <w:szCs w:val="18"/>
                <w:lang w:eastAsia="hr-HR"/>
              </w:rPr>
            </w:pPr>
            <w:r>
              <w:rPr>
                <w:color w:val="1A1A1A"/>
                <w:sz w:val="18"/>
                <w:szCs w:val="18"/>
                <w:lang w:eastAsia="hr-HR"/>
              </w:rPr>
              <w:t>1</w:t>
            </w:r>
            <w:r w:rsidRPr="0063577A">
              <w:rPr>
                <w:color w:val="1A1A1A"/>
                <w:sz w:val="18"/>
                <w:szCs w:val="18"/>
                <w:lang w:eastAsia="hr-HR"/>
              </w:rPr>
              <w:t>.</w:t>
            </w:r>
          </w:p>
        </w:tc>
        <w:tc>
          <w:tcPr>
            <w:tcW w:w="4223" w:type="dxa"/>
            <w:shd w:val="clear" w:color="auto" w:fill="auto"/>
            <w:vAlign w:val="center"/>
          </w:tcPr>
          <w:p w14:paraId="76E1076F" w14:textId="77777777" w:rsidR="00D118DE" w:rsidRPr="0063577A" w:rsidRDefault="00D118DE" w:rsidP="00BA499D">
            <w:pPr>
              <w:rPr>
                <w:color w:val="1A1A1A"/>
                <w:sz w:val="18"/>
                <w:szCs w:val="18"/>
                <w:lang w:eastAsia="hr-HR"/>
              </w:rPr>
            </w:pPr>
            <w:r w:rsidRPr="0063577A">
              <w:rPr>
                <w:color w:val="1A1A1A"/>
                <w:sz w:val="18"/>
                <w:szCs w:val="18"/>
                <w:lang w:eastAsia="hr-HR"/>
              </w:rPr>
              <w:t>Zaprimanje i obrada izvješća o potrošnji subjekata u prometu na malo i veliko</w:t>
            </w:r>
          </w:p>
        </w:tc>
        <w:tc>
          <w:tcPr>
            <w:tcW w:w="1276" w:type="dxa"/>
            <w:shd w:val="clear" w:color="auto" w:fill="auto"/>
            <w:noWrap/>
            <w:vAlign w:val="center"/>
          </w:tcPr>
          <w:p w14:paraId="31E712C7" w14:textId="77777777" w:rsidR="00D118DE" w:rsidRPr="0063577A" w:rsidRDefault="00D118DE" w:rsidP="00BA499D">
            <w:pPr>
              <w:jc w:val="center"/>
              <w:rPr>
                <w:color w:val="000000"/>
                <w:sz w:val="18"/>
                <w:szCs w:val="18"/>
                <w:lang w:eastAsia="hr-HR"/>
              </w:rPr>
            </w:pPr>
            <w:r>
              <w:rPr>
                <w:color w:val="000000"/>
                <w:sz w:val="18"/>
                <w:szCs w:val="18"/>
                <w:lang w:eastAsia="hr-HR"/>
              </w:rPr>
              <w:t>1390</w:t>
            </w:r>
          </w:p>
        </w:tc>
        <w:tc>
          <w:tcPr>
            <w:tcW w:w="1418" w:type="dxa"/>
            <w:shd w:val="clear" w:color="auto" w:fill="auto"/>
            <w:noWrap/>
            <w:vAlign w:val="center"/>
          </w:tcPr>
          <w:p w14:paraId="08C8340A" w14:textId="77777777" w:rsidR="00D118DE" w:rsidRPr="0063577A" w:rsidRDefault="00D118DE" w:rsidP="00BA499D">
            <w:pPr>
              <w:jc w:val="center"/>
              <w:rPr>
                <w:color w:val="000000"/>
                <w:sz w:val="18"/>
                <w:szCs w:val="18"/>
                <w:lang w:eastAsia="hr-HR"/>
              </w:rPr>
            </w:pPr>
            <w:r>
              <w:rPr>
                <w:color w:val="000000"/>
                <w:sz w:val="18"/>
                <w:szCs w:val="18"/>
                <w:lang w:eastAsia="hr-HR"/>
              </w:rPr>
              <w:t>1389</w:t>
            </w:r>
          </w:p>
        </w:tc>
        <w:tc>
          <w:tcPr>
            <w:tcW w:w="1446" w:type="dxa"/>
            <w:shd w:val="clear" w:color="auto" w:fill="auto"/>
            <w:noWrap/>
            <w:vAlign w:val="center"/>
          </w:tcPr>
          <w:p w14:paraId="03810BA6" w14:textId="77777777" w:rsidR="00D118DE" w:rsidRPr="0063577A" w:rsidRDefault="00D118DE" w:rsidP="00BA499D">
            <w:pPr>
              <w:jc w:val="center"/>
              <w:rPr>
                <w:color w:val="000000"/>
                <w:sz w:val="18"/>
                <w:szCs w:val="18"/>
                <w:lang w:eastAsia="hr-HR"/>
              </w:rPr>
            </w:pPr>
            <w:r>
              <w:rPr>
                <w:color w:val="000000"/>
                <w:sz w:val="18"/>
                <w:szCs w:val="18"/>
                <w:lang w:eastAsia="hr-HR"/>
              </w:rPr>
              <w:t>100%</w:t>
            </w:r>
          </w:p>
        </w:tc>
      </w:tr>
      <w:tr w:rsidR="00D118DE" w:rsidRPr="0063577A" w14:paraId="274A5D78" w14:textId="77777777" w:rsidTr="00BA499D">
        <w:trPr>
          <w:trHeight w:val="284"/>
        </w:trPr>
        <w:tc>
          <w:tcPr>
            <w:tcW w:w="993" w:type="dxa"/>
            <w:shd w:val="clear" w:color="auto" w:fill="auto"/>
            <w:noWrap/>
            <w:vAlign w:val="center"/>
          </w:tcPr>
          <w:p w14:paraId="460E1496" w14:textId="77777777" w:rsidR="00D118DE" w:rsidRPr="0063577A" w:rsidRDefault="00D118DE" w:rsidP="00BA499D">
            <w:pPr>
              <w:jc w:val="center"/>
              <w:rPr>
                <w:color w:val="1A1A1A"/>
                <w:sz w:val="18"/>
                <w:szCs w:val="18"/>
                <w:lang w:eastAsia="hr-HR"/>
              </w:rPr>
            </w:pPr>
            <w:r>
              <w:rPr>
                <w:color w:val="1A1A1A"/>
                <w:sz w:val="18"/>
                <w:szCs w:val="18"/>
                <w:lang w:eastAsia="hr-HR"/>
              </w:rPr>
              <w:lastRenderedPageBreak/>
              <w:t>2</w:t>
            </w:r>
            <w:r w:rsidRPr="0063577A">
              <w:rPr>
                <w:color w:val="1A1A1A"/>
                <w:sz w:val="18"/>
                <w:szCs w:val="18"/>
                <w:lang w:eastAsia="hr-HR"/>
              </w:rPr>
              <w:t>.</w:t>
            </w:r>
          </w:p>
        </w:tc>
        <w:tc>
          <w:tcPr>
            <w:tcW w:w="4223" w:type="dxa"/>
            <w:shd w:val="clear" w:color="auto" w:fill="auto"/>
            <w:vAlign w:val="center"/>
          </w:tcPr>
          <w:p w14:paraId="2538A020" w14:textId="77777777" w:rsidR="00D118DE" w:rsidRPr="0063577A" w:rsidRDefault="00D118DE" w:rsidP="00BA499D">
            <w:pPr>
              <w:rPr>
                <w:color w:val="1A1A1A"/>
                <w:sz w:val="18"/>
                <w:szCs w:val="18"/>
                <w:lang w:eastAsia="hr-HR"/>
              </w:rPr>
            </w:pPr>
            <w:r w:rsidRPr="0063577A">
              <w:rPr>
                <w:color w:val="1A1A1A"/>
                <w:sz w:val="18"/>
                <w:szCs w:val="18"/>
                <w:lang w:eastAsia="hr-HR"/>
              </w:rPr>
              <w:t>Potvrda o korištenju najviše dozvoljene cijene lijeka na veliko</w:t>
            </w:r>
          </w:p>
        </w:tc>
        <w:tc>
          <w:tcPr>
            <w:tcW w:w="1276" w:type="dxa"/>
            <w:shd w:val="clear" w:color="auto" w:fill="auto"/>
            <w:noWrap/>
            <w:vAlign w:val="center"/>
          </w:tcPr>
          <w:p w14:paraId="0863B91B" w14:textId="77777777" w:rsidR="00D118DE" w:rsidRPr="0063577A" w:rsidRDefault="00D118DE" w:rsidP="00BA499D">
            <w:pPr>
              <w:jc w:val="center"/>
              <w:rPr>
                <w:color w:val="000000"/>
                <w:sz w:val="18"/>
                <w:szCs w:val="18"/>
                <w:lang w:eastAsia="hr-HR"/>
              </w:rPr>
            </w:pPr>
            <w:r>
              <w:rPr>
                <w:color w:val="000000"/>
                <w:sz w:val="18"/>
                <w:szCs w:val="18"/>
                <w:lang w:eastAsia="hr-HR"/>
              </w:rPr>
              <w:t>170</w:t>
            </w:r>
          </w:p>
        </w:tc>
        <w:tc>
          <w:tcPr>
            <w:tcW w:w="1418" w:type="dxa"/>
            <w:shd w:val="clear" w:color="auto" w:fill="auto"/>
            <w:noWrap/>
            <w:vAlign w:val="center"/>
          </w:tcPr>
          <w:p w14:paraId="74C0ED3D" w14:textId="77777777" w:rsidR="00D118DE" w:rsidRPr="0063577A" w:rsidRDefault="00D118DE" w:rsidP="00BA499D">
            <w:pPr>
              <w:jc w:val="center"/>
              <w:rPr>
                <w:color w:val="000000"/>
                <w:sz w:val="18"/>
                <w:szCs w:val="18"/>
                <w:lang w:eastAsia="hr-HR"/>
              </w:rPr>
            </w:pPr>
            <w:r>
              <w:rPr>
                <w:color w:val="000000"/>
                <w:sz w:val="18"/>
                <w:szCs w:val="18"/>
                <w:lang w:eastAsia="hr-HR"/>
              </w:rPr>
              <w:t>157</w:t>
            </w:r>
          </w:p>
        </w:tc>
        <w:tc>
          <w:tcPr>
            <w:tcW w:w="1446" w:type="dxa"/>
            <w:shd w:val="clear" w:color="auto" w:fill="auto"/>
            <w:noWrap/>
            <w:vAlign w:val="center"/>
          </w:tcPr>
          <w:p w14:paraId="285A325A" w14:textId="77777777" w:rsidR="00D118DE" w:rsidRPr="0063577A" w:rsidRDefault="00D118DE" w:rsidP="00BA499D">
            <w:pPr>
              <w:jc w:val="center"/>
              <w:rPr>
                <w:color w:val="000000"/>
                <w:sz w:val="18"/>
                <w:szCs w:val="18"/>
                <w:lang w:eastAsia="hr-HR"/>
              </w:rPr>
            </w:pPr>
            <w:r>
              <w:rPr>
                <w:color w:val="000000"/>
                <w:sz w:val="18"/>
                <w:szCs w:val="18"/>
                <w:lang w:eastAsia="hr-HR"/>
              </w:rPr>
              <w:t>92 %</w:t>
            </w:r>
          </w:p>
        </w:tc>
      </w:tr>
      <w:tr w:rsidR="00D118DE" w:rsidRPr="0063577A" w14:paraId="7F12ED8A" w14:textId="77777777" w:rsidTr="00BA499D">
        <w:trPr>
          <w:trHeight w:val="284"/>
        </w:trPr>
        <w:tc>
          <w:tcPr>
            <w:tcW w:w="993" w:type="dxa"/>
            <w:shd w:val="clear" w:color="auto" w:fill="auto"/>
            <w:noWrap/>
            <w:vAlign w:val="center"/>
          </w:tcPr>
          <w:p w14:paraId="6AF095F7" w14:textId="77777777" w:rsidR="00D118DE" w:rsidRPr="0063577A" w:rsidRDefault="00D118DE" w:rsidP="00BA499D">
            <w:pPr>
              <w:jc w:val="center"/>
              <w:rPr>
                <w:color w:val="1A1A1A"/>
                <w:sz w:val="18"/>
                <w:szCs w:val="18"/>
                <w:lang w:eastAsia="hr-HR"/>
              </w:rPr>
            </w:pPr>
            <w:r>
              <w:rPr>
                <w:color w:val="1A1A1A"/>
                <w:sz w:val="18"/>
                <w:szCs w:val="18"/>
                <w:lang w:eastAsia="hr-HR"/>
              </w:rPr>
              <w:t>3</w:t>
            </w:r>
            <w:r w:rsidRPr="0063577A">
              <w:rPr>
                <w:color w:val="1A1A1A"/>
                <w:sz w:val="18"/>
                <w:szCs w:val="18"/>
                <w:lang w:eastAsia="hr-HR"/>
              </w:rPr>
              <w:t>.</w:t>
            </w:r>
          </w:p>
        </w:tc>
        <w:tc>
          <w:tcPr>
            <w:tcW w:w="4223" w:type="dxa"/>
            <w:shd w:val="clear" w:color="auto" w:fill="auto"/>
            <w:vAlign w:val="center"/>
          </w:tcPr>
          <w:p w14:paraId="2AB6089D" w14:textId="77777777" w:rsidR="00D118DE" w:rsidRPr="0063577A" w:rsidRDefault="00D118DE" w:rsidP="00BA499D">
            <w:pPr>
              <w:rPr>
                <w:color w:val="1A1A1A"/>
                <w:sz w:val="18"/>
                <w:szCs w:val="18"/>
                <w:lang w:eastAsia="hr-HR"/>
              </w:rPr>
            </w:pPr>
            <w:r w:rsidRPr="0063577A">
              <w:rPr>
                <w:color w:val="1A1A1A"/>
                <w:sz w:val="18"/>
                <w:szCs w:val="18"/>
                <w:lang w:eastAsia="hr-HR"/>
              </w:rPr>
              <w:t>Rješenje o iznimnom povećanju najviše dozvoljene cijene lijeka na veliko</w:t>
            </w:r>
          </w:p>
        </w:tc>
        <w:tc>
          <w:tcPr>
            <w:tcW w:w="1276" w:type="dxa"/>
            <w:shd w:val="clear" w:color="auto" w:fill="auto"/>
            <w:noWrap/>
            <w:vAlign w:val="center"/>
          </w:tcPr>
          <w:p w14:paraId="24752775" w14:textId="77777777" w:rsidR="00D118DE" w:rsidRPr="0063577A" w:rsidRDefault="00D118DE" w:rsidP="00BA499D">
            <w:pPr>
              <w:jc w:val="center"/>
              <w:rPr>
                <w:color w:val="000000"/>
                <w:sz w:val="18"/>
                <w:szCs w:val="18"/>
                <w:lang w:eastAsia="hr-HR"/>
              </w:rPr>
            </w:pPr>
            <w:r>
              <w:rPr>
                <w:color w:val="000000"/>
                <w:sz w:val="18"/>
                <w:szCs w:val="18"/>
                <w:lang w:eastAsia="hr-HR"/>
              </w:rPr>
              <w:t>183</w:t>
            </w:r>
          </w:p>
        </w:tc>
        <w:tc>
          <w:tcPr>
            <w:tcW w:w="1418" w:type="dxa"/>
            <w:shd w:val="clear" w:color="auto" w:fill="auto"/>
            <w:noWrap/>
            <w:vAlign w:val="center"/>
          </w:tcPr>
          <w:p w14:paraId="3D7784BA" w14:textId="77777777" w:rsidR="00D118DE" w:rsidRPr="0063577A" w:rsidRDefault="00D118DE" w:rsidP="00BA499D">
            <w:pPr>
              <w:jc w:val="center"/>
              <w:rPr>
                <w:color w:val="000000"/>
                <w:sz w:val="18"/>
                <w:szCs w:val="18"/>
                <w:lang w:eastAsia="hr-HR"/>
              </w:rPr>
            </w:pPr>
            <w:r>
              <w:rPr>
                <w:color w:val="000000"/>
                <w:sz w:val="18"/>
                <w:szCs w:val="18"/>
                <w:lang w:eastAsia="hr-HR"/>
              </w:rPr>
              <w:t>119</w:t>
            </w:r>
          </w:p>
        </w:tc>
        <w:tc>
          <w:tcPr>
            <w:tcW w:w="1446" w:type="dxa"/>
            <w:shd w:val="clear" w:color="auto" w:fill="auto"/>
            <w:noWrap/>
            <w:vAlign w:val="center"/>
          </w:tcPr>
          <w:p w14:paraId="2D2BA984" w14:textId="77777777" w:rsidR="00D118DE" w:rsidRPr="0063577A" w:rsidRDefault="00D118DE" w:rsidP="00BA499D">
            <w:pPr>
              <w:jc w:val="center"/>
              <w:rPr>
                <w:color w:val="000000"/>
                <w:sz w:val="18"/>
                <w:szCs w:val="18"/>
                <w:lang w:eastAsia="hr-HR"/>
              </w:rPr>
            </w:pPr>
            <w:r>
              <w:rPr>
                <w:color w:val="000000"/>
                <w:sz w:val="18"/>
                <w:szCs w:val="18"/>
                <w:lang w:eastAsia="hr-HR"/>
              </w:rPr>
              <w:t>65 %</w:t>
            </w:r>
          </w:p>
        </w:tc>
      </w:tr>
      <w:tr w:rsidR="00D118DE" w:rsidRPr="0063577A" w14:paraId="589E8FBF" w14:textId="77777777" w:rsidTr="00BA499D">
        <w:trPr>
          <w:trHeight w:val="284"/>
        </w:trPr>
        <w:tc>
          <w:tcPr>
            <w:tcW w:w="5216" w:type="dxa"/>
            <w:gridSpan w:val="2"/>
            <w:shd w:val="clear" w:color="000000" w:fill="BFBFBF"/>
            <w:vAlign w:val="center"/>
            <w:hideMark/>
          </w:tcPr>
          <w:p w14:paraId="142FB701" w14:textId="77777777" w:rsidR="00D118DE" w:rsidRPr="0063577A" w:rsidRDefault="00D118DE" w:rsidP="00BA499D">
            <w:pPr>
              <w:rPr>
                <w:b/>
                <w:color w:val="1A1A1A"/>
                <w:sz w:val="18"/>
                <w:szCs w:val="18"/>
                <w:lang w:eastAsia="hr-HR"/>
              </w:rPr>
            </w:pPr>
            <w:r w:rsidRPr="0063577A">
              <w:rPr>
                <w:b/>
                <w:color w:val="1A1A1A"/>
                <w:sz w:val="18"/>
                <w:szCs w:val="18"/>
                <w:lang w:eastAsia="hr-HR"/>
              </w:rPr>
              <w:t>UKUPNO:</w:t>
            </w:r>
          </w:p>
        </w:tc>
        <w:tc>
          <w:tcPr>
            <w:tcW w:w="1276" w:type="dxa"/>
            <w:shd w:val="clear" w:color="000000" w:fill="BFBFBF"/>
            <w:noWrap/>
            <w:vAlign w:val="center"/>
          </w:tcPr>
          <w:p w14:paraId="058C5C30" w14:textId="77777777" w:rsidR="00D118DE" w:rsidRPr="0063577A" w:rsidRDefault="00D118DE" w:rsidP="00BA499D">
            <w:pPr>
              <w:jc w:val="center"/>
              <w:rPr>
                <w:b/>
                <w:color w:val="000000"/>
                <w:sz w:val="18"/>
                <w:szCs w:val="18"/>
                <w:lang w:eastAsia="hr-HR"/>
              </w:rPr>
            </w:pPr>
            <w:r>
              <w:rPr>
                <w:b/>
                <w:color w:val="000000"/>
                <w:sz w:val="18"/>
                <w:szCs w:val="18"/>
                <w:lang w:eastAsia="hr-HR"/>
              </w:rPr>
              <w:t>1743</w:t>
            </w:r>
          </w:p>
        </w:tc>
        <w:tc>
          <w:tcPr>
            <w:tcW w:w="1418" w:type="dxa"/>
            <w:shd w:val="clear" w:color="000000" w:fill="BFBFBF"/>
            <w:noWrap/>
            <w:vAlign w:val="center"/>
          </w:tcPr>
          <w:p w14:paraId="74B9411A" w14:textId="77777777" w:rsidR="00D118DE" w:rsidRPr="0063577A" w:rsidRDefault="00D118DE" w:rsidP="00BA499D">
            <w:pPr>
              <w:jc w:val="center"/>
              <w:rPr>
                <w:b/>
                <w:color w:val="000000"/>
                <w:sz w:val="18"/>
                <w:szCs w:val="18"/>
                <w:lang w:eastAsia="hr-HR"/>
              </w:rPr>
            </w:pPr>
            <w:r>
              <w:rPr>
                <w:b/>
                <w:color w:val="000000"/>
                <w:sz w:val="18"/>
                <w:szCs w:val="18"/>
                <w:lang w:eastAsia="hr-HR"/>
              </w:rPr>
              <w:t>1606</w:t>
            </w:r>
          </w:p>
        </w:tc>
        <w:tc>
          <w:tcPr>
            <w:tcW w:w="1446" w:type="dxa"/>
            <w:shd w:val="clear" w:color="000000" w:fill="BFBFBF"/>
            <w:noWrap/>
            <w:vAlign w:val="center"/>
          </w:tcPr>
          <w:p w14:paraId="02036DF9" w14:textId="77777777" w:rsidR="00D118DE" w:rsidRPr="0063577A" w:rsidRDefault="00D118DE" w:rsidP="00BA499D">
            <w:pPr>
              <w:jc w:val="center"/>
              <w:rPr>
                <w:b/>
                <w:color w:val="000000"/>
                <w:sz w:val="18"/>
                <w:szCs w:val="18"/>
                <w:lang w:eastAsia="hr-HR"/>
              </w:rPr>
            </w:pPr>
            <w:r>
              <w:rPr>
                <w:b/>
                <w:color w:val="000000"/>
                <w:sz w:val="18"/>
                <w:szCs w:val="18"/>
                <w:lang w:eastAsia="hr-HR"/>
              </w:rPr>
              <w:t>92 %</w:t>
            </w:r>
          </w:p>
        </w:tc>
      </w:tr>
    </w:tbl>
    <w:p w14:paraId="752281C5" w14:textId="76148808" w:rsidR="00D118DE" w:rsidRDefault="00D118DE" w:rsidP="00D118DE">
      <w:pPr>
        <w:tabs>
          <w:tab w:val="center" w:pos="858"/>
          <w:tab w:val="center" w:pos="4320"/>
          <w:tab w:val="right" w:pos="8306"/>
          <w:tab w:val="right" w:pos="8640"/>
        </w:tabs>
        <w:spacing w:before="240"/>
        <w:jc w:val="both"/>
        <w:rPr>
          <w:rFonts w:cs="Calibri"/>
          <w:b/>
          <w:bCs/>
        </w:rPr>
      </w:pPr>
    </w:p>
    <w:p w14:paraId="47D958E1" w14:textId="77777777" w:rsidR="00D118DE" w:rsidRPr="00762B91" w:rsidRDefault="00D118DE" w:rsidP="00D118DE">
      <w:pPr>
        <w:tabs>
          <w:tab w:val="center" w:pos="858"/>
          <w:tab w:val="center" w:pos="4320"/>
          <w:tab w:val="right" w:pos="8306"/>
          <w:tab w:val="right" w:pos="8640"/>
        </w:tabs>
        <w:spacing w:before="240"/>
        <w:jc w:val="both"/>
        <w:rPr>
          <w:b/>
          <w:lang w:eastAsia="hr-HR"/>
        </w:rPr>
      </w:pPr>
      <w:r w:rsidRPr="00762B91">
        <w:rPr>
          <w:rFonts w:cs="Calibri"/>
          <w:b/>
          <w:bCs/>
        </w:rPr>
        <w:t>Tablica 20. Sudjelovanj</w:t>
      </w:r>
      <w:r>
        <w:rPr>
          <w:rFonts w:cs="Calibri"/>
          <w:b/>
          <w:bCs/>
        </w:rPr>
        <w:t>a</w:t>
      </w:r>
      <w:r w:rsidRPr="00762B91">
        <w:rPr>
          <w:rFonts w:cs="Calibri"/>
          <w:b/>
          <w:bCs/>
        </w:rPr>
        <w:t xml:space="preserve"> na radnim sastancima u europskim poslovima </w:t>
      </w:r>
    </w:p>
    <w:tbl>
      <w:tblPr>
        <w:tblW w:w="493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4253"/>
        <w:gridCol w:w="1873"/>
        <w:gridCol w:w="2238"/>
      </w:tblGrid>
      <w:tr w:rsidR="00D118DE" w:rsidRPr="00D34127" w14:paraId="099411B5" w14:textId="77777777" w:rsidTr="00B609FC">
        <w:trPr>
          <w:trHeight w:val="227"/>
          <w:tblHeader/>
        </w:trPr>
        <w:tc>
          <w:tcPr>
            <w:tcW w:w="530" w:type="pct"/>
            <w:tcBorders>
              <w:top w:val="single" w:sz="4" w:space="0" w:color="auto"/>
              <w:left w:val="single" w:sz="4" w:space="0" w:color="auto"/>
              <w:bottom w:val="single" w:sz="4" w:space="0" w:color="auto"/>
              <w:right w:val="single" w:sz="4" w:space="0" w:color="auto"/>
            </w:tcBorders>
            <w:shd w:val="clear" w:color="auto" w:fill="A3E7FF"/>
            <w:vAlign w:val="center"/>
            <w:hideMark/>
          </w:tcPr>
          <w:p w14:paraId="78338262" w14:textId="77777777" w:rsidR="00D118DE" w:rsidRPr="00D34127" w:rsidRDefault="00D118DE" w:rsidP="00BA499D">
            <w:pPr>
              <w:spacing w:line="276" w:lineRule="auto"/>
              <w:jc w:val="center"/>
              <w:rPr>
                <w:rFonts w:eastAsia="Times New Roman" w:cs="Times New Roman"/>
                <w:b/>
                <w:bCs/>
                <w:color w:val="1A1A1A"/>
                <w:sz w:val="18"/>
                <w:szCs w:val="18"/>
                <w:lang w:eastAsia="hr-HR"/>
              </w:rPr>
            </w:pPr>
            <w:r w:rsidRPr="00D34127">
              <w:rPr>
                <w:rFonts w:eastAsia="Times New Roman" w:cs="Times New Roman"/>
                <w:b/>
                <w:bCs/>
                <w:color w:val="1A1A1A"/>
                <w:sz w:val="18"/>
                <w:szCs w:val="18"/>
                <w:lang w:eastAsia="hr-HR"/>
              </w:rPr>
              <w:t>Rb</w:t>
            </w:r>
          </w:p>
        </w:tc>
        <w:tc>
          <w:tcPr>
            <w:tcW w:w="2273" w:type="pct"/>
            <w:tcBorders>
              <w:top w:val="single" w:sz="4" w:space="0" w:color="auto"/>
              <w:left w:val="single" w:sz="4" w:space="0" w:color="auto"/>
              <w:bottom w:val="single" w:sz="4" w:space="0" w:color="auto"/>
              <w:right w:val="single" w:sz="4" w:space="0" w:color="auto"/>
            </w:tcBorders>
            <w:shd w:val="clear" w:color="auto" w:fill="A3E7FF"/>
            <w:vAlign w:val="center"/>
            <w:hideMark/>
          </w:tcPr>
          <w:p w14:paraId="6B1DD0DA" w14:textId="77777777" w:rsidR="00D118DE" w:rsidRPr="00D34127" w:rsidRDefault="00D118DE" w:rsidP="00BA499D">
            <w:pPr>
              <w:spacing w:line="276" w:lineRule="auto"/>
              <w:rPr>
                <w:rFonts w:eastAsia="Times New Roman" w:cs="Times New Roman"/>
                <w:b/>
                <w:bCs/>
                <w:color w:val="1A1A1A"/>
                <w:sz w:val="18"/>
                <w:szCs w:val="18"/>
                <w:lang w:eastAsia="hr-HR"/>
              </w:rPr>
            </w:pPr>
            <w:r w:rsidRPr="00D34127">
              <w:rPr>
                <w:rFonts w:eastAsia="Times New Roman" w:cs="Times New Roman"/>
                <w:b/>
                <w:bCs/>
                <w:color w:val="1A1A1A"/>
                <w:sz w:val="18"/>
                <w:szCs w:val="18"/>
                <w:lang w:eastAsia="hr-HR"/>
              </w:rPr>
              <w:t>Sudjelovanje HALMED-a na radnim sastancima</w:t>
            </w:r>
          </w:p>
        </w:tc>
        <w:tc>
          <w:tcPr>
            <w:tcW w:w="1001" w:type="pct"/>
            <w:tcBorders>
              <w:top w:val="single" w:sz="4" w:space="0" w:color="auto"/>
              <w:left w:val="single" w:sz="4" w:space="0" w:color="auto"/>
              <w:bottom w:val="single" w:sz="4" w:space="0" w:color="auto"/>
              <w:right w:val="single" w:sz="4" w:space="0" w:color="auto"/>
            </w:tcBorders>
            <w:shd w:val="clear" w:color="auto" w:fill="A3E7FF"/>
          </w:tcPr>
          <w:p w14:paraId="71E220B8" w14:textId="77777777" w:rsidR="00D118DE" w:rsidRPr="00D34127" w:rsidRDefault="00D118DE" w:rsidP="00BA499D">
            <w:pPr>
              <w:jc w:val="center"/>
              <w:rPr>
                <w:rFonts w:eastAsia="Times New Roman" w:cs="Times New Roman"/>
                <w:b/>
                <w:color w:val="000000"/>
                <w:sz w:val="18"/>
                <w:szCs w:val="18"/>
                <w:lang w:eastAsia="hr-HR"/>
              </w:rPr>
            </w:pPr>
          </w:p>
          <w:p w14:paraId="0B0E37D8" w14:textId="77777777" w:rsidR="00D118DE" w:rsidRPr="00D34127" w:rsidRDefault="00D118DE" w:rsidP="00BA499D">
            <w:pPr>
              <w:spacing w:line="276" w:lineRule="auto"/>
              <w:jc w:val="center"/>
              <w:rPr>
                <w:rFonts w:eastAsia="Times New Roman" w:cs="Times New Roman"/>
                <w:b/>
                <w:color w:val="000000"/>
                <w:sz w:val="18"/>
                <w:szCs w:val="18"/>
                <w:lang w:eastAsia="hr-HR"/>
              </w:rPr>
            </w:pPr>
            <w:r>
              <w:rPr>
                <w:rFonts w:eastAsia="Times New Roman" w:cs="Times New Roman"/>
                <w:b/>
                <w:color w:val="000000"/>
                <w:sz w:val="18"/>
                <w:szCs w:val="18"/>
                <w:lang w:eastAsia="hr-HR"/>
              </w:rPr>
              <w:t>Plan za 2023</w:t>
            </w:r>
            <w:r w:rsidRPr="00D34127">
              <w:rPr>
                <w:rFonts w:eastAsia="Times New Roman" w:cs="Times New Roman"/>
                <w:b/>
                <w:color w:val="000000"/>
                <w:sz w:val="18"/>
                <w:szCs w:val="18"/>
                <w:lang w:eastAsia="hr-HR"/>
              </w:rPr>
              <w:t>.</w:t>
            </w:r>
          </w:p>
        </w:tc>
        <w:tc>
          <w:tcPr>
            <w:tcW w:w="1196" w:type="pct"/>
            <w:tcBorders>
              <w:top w:val="single" w:sz="4" w:space="0" w:color="auto"/>
              <w:left w:val="single" w:sz="4" w:space="0" w:color="auto"/>
              <w:bottom w:val="single" w:sz="4" w:space="0" w:color="auto"/>
              <w:right w:val="single" w:sz="4" w:space="0" w:color="auto"/>
            </w:tcBorders>
            <w:shd w:val="clear" w:color="auto" w:fill="A3E7FF"/>
            <w:vAlign w:val="center"/>
            <w:hideMark/>
          </w:tcPr>
          <w:p w14:paraId="3B811CD4" w14:textId="77777777" w:rsidR="00D118DE" w:rsidRPr="00D34127" w:rsidRDefault="00D118DE" w:rsidP="00BA499D">
            <w:pPr>
              <w:spacing w:line="276" w:lineRule="auto"/>
              <w:jc w:val="center"/>
              <w:rPr>
                <w:rFonts w:eastAsia="Times New Roman" w:cs="Times New Roman"/>
                <w:b/>
                <w:color w:val="000000"/>
                <w:sz w:val="18"/>
                <w:szCs w:val="18"/>
                <w:lang w:eastAsia="hr-HR"/>
              </w:rPr>
            </w:pPr>
            <w:r w:rsidRPr="00D34127">
              <w:rPr>
                <w:rFonts w:eastAsia="Times New Roman" w:cs="Times New Roman"/>
                <w:b/>
                <w:color w:val="000000"/>
                <w:sz w:val="18"/>
                <w:szCs w:val="18"/>
                <w:lang w:eastAsia="hr-HR"/>
              </w:rPr>
              <w:t>Izvršenje</w:t>
            </w:r>
          </w:p>
          <w:p w14:paraId="633BD62B" w14:textId="77777777" w:rsidR="00D118DE" w:rsidRPr="00D34127" w:rsidRDefault="00D118DE" w:rsidP="00BA499D">
            <w:pPr>
              <w:spacing w:line="276" w:lineRule="auto"/>
              <w:jc w:val="center"/>
              <w:rPr>
                <w:rFonts w:eastAsia="Times New Roman" w:cs="Times New Roman"/>
                <w:b/>
                <w:color w:val="000000"/>
                <w:sz w:val="18"/>
                <w:szCs w:val="18"/>
                <w:lang w:eastAsia="hr-HR"/>
              </w:rPr>
            </w:pPr>
            <w:r w:rsidRPr="00D34127">
              <w:rPr>
                <w:rFonts w:eastAsia="Times New Roman" w:cs="Times New Roman"/>
                <w:b/>
                <w:color w:val="000000"/>
                <w:sz w:val="18"/>
                <w:szCs w:val="18"/>
                <w:lang w:eastAsia="hr-HR"/>
              </w:rPr>
              <w:t>01.01.-</w:t>
            </w:r>
            <w:r>
              <w:rPr>
                <w:rFonts w:eastAsia="Times New Roman" w:cs="Times New Roman"/>
                <w:b/>
                <w:color w:val="000000"/>
                <w:sz w:val="18"/>
                <w:szCs w:val="18"/>
                <w:lang w:eastAsia="hr-HR"/>
              </w:rPr>
              <w:t>31.12.2023</w:t>
            </w:r>
            <w:r w:rsidRPr="00D34127">
              <w:rPr>
                <w:rFonts w:eastAsia="Times New Roman" w:cs="Times New Roman"/>
                <w:b/>
                <w:color w:val="000000"/>
                <w:sz w:val="18"/>
                <w:szCs w:val="18"/>
                <w:lang w:eastAsia="hr-HR"/>
              </w:rPr>
              <w:t>.</w:t>
            </w:r>
          </w:p>
        </w:tc>
      </w:tr>
      <w:tr w:rsidR="00D118DE" w:rsidRPr="00D34127" w14:paraId="54DB0C9F" w14:textId="77777777" w:rsidTr="00B609FC">
        <w:trPr>
          <w:trHeight w:val="227"/>
        </w:trPr>
        <w:tc>
          <w:tcPr>
            <w:tcW w:w="2803" w:type="pct"/>
            <w:gridSpan w:val="2"/>
            <w:tcBorders>
              <w:top w:val="single" w:sz="4" w:space="0" w:color="auto"/>
              <w:left w:val="single" w:sz="4" w:space="0" w:color="auto"/>
              <w:bottom w:val="single" w:sz="4" w:space="0" w:color="auto"/>
              <w:right w:val="single" w:sz="4" w:space="0" w:color="auto"/>
            </w:tcBorders>
            <w:shd w:val="clear" w:color="auto" w:fill="A3E7FF"/>
            <w:vAlign w:val="center"/>
            <w:hideMark/>
          </w:tcPr>
          <w:p w14:paraId="1077F751" w14:textId="77777777" w:rsidR="00D118DE" w:rsidRPr="00D34127" w:rsidRDefault="00D118DE" w:rsidP="00BA499D">
            <w:pPr>
              <w:spacing w:line="276" w:lineRule="auto"/>
              <w:rPr>
                <w:rFonts w:cs="Times New Roman"/>
                <w:b/>
                <w:bCs/>
                <w:sz w:val="18"/>
                <w:szCs w:val="18"/>
              </w:rPr>
            </w:pPr>
            <w:r w:rsidRPr="00D34127">
              <w:rPr>
                <w:rFonts w:cs="Times New Roman"/>
                <w:b/>
                <w:bCs/>
                <w:sz w:val="18"/>
                <w:szCs w:val="18"/>
              </w:rPr>
              <w:t xml:space="preserve">                     Koordinacijske i radne </w:t>
            </w:r>
            <w:r>
              <w:rPr>
                <w:rFonts w:cs="Times New Roman"/>
                <w:b/>
                <w:bCs/>
                <w:sz w:val="18"/>
                <w:szCs w:val="18"/>
              </w:rPr>
              <w:t>skupine EK</w:t>
            </w:r>
          </w:p>
        </w:tc>
        <w:tc>
          <w:tcPr>
            <w:tcW w:w="1001" w:type="pct"/>
            <w:tcBorders>
              <w:top w:val="single" w:sz="4" w:space="0" w:color="auto"/>
              <w:left w:val="single" w:sz="4" w:space="0" w:color="auto"/>
              <w:bottom w:val="single" w:sz="4" w:space="0" w:color="auto"/>
              <w:right w:val="single" w:sz="4" w:space="0" w:color="auto"/>
            </w:tcBorders>
            <w:shd w:val="clear" w:color="auto" w:fill="A3E7FF"/>
          </w:tcPr>
          <w:p w14:paraId="6557987E" w14:textId="77777777" w:rsidR="00D118DE" w:rsidRPr="00D34127" w:rsidRDefault="00D118DE" w:rsidP="00BA499D">
            <w:pPr>
              <w:spacing w:line="276" w:lineRule="auto"/>
              <w:jc w:val="center"/>
              <w:rPr>
                <w:rFonts w:cs="Times New Roman"/>
                <w:b/>
                <w:bCs/>
                <w:sz w:val="18"/>
                <w:szCs w:val="18"/>
              </w:rPr>
            </w:pPr>
          </w:p>
        </w:tc>
        <w:tc>
          <w:tcPr>
            <w:tcW w:w="1196" w:type="pct"/>
            <w:tcBorders>
              <w:top w:val="single" w:sz="4" w:space="0" w:color="auto"/>
              <w:left w:val="single" w:sz="4" w:space="0" w:color="auto"/>
              <w:bottom w:val="single" w:sz="4" w:space="0" w:color="auto"/>
              <w:right w:val="single" w:sz="4" w:space="0" w:color="auto"/>
            </w:tcBorders>
            <w:shd w:val="clear" w:color="auto" w:fill="A3E7FF"/>
            <w:vAlign w:val="center"/>
          </w:tcPr>
          <w:p w14:paraId="6C821135" w14:textId="77777777" w:rsidR="00D118DE" w:rsidRPr="00D34127" w:rsidRDefault="00D118DE" w:rsidP="00BA499D">
            <w:pPr>
              <w:spacing w:line="276" w:lineRule="auto"/>
              <w:rPr>
                <w:rFonts w:cs="Times New Roman"/>
                <w:b/>
                <w:bCs/>
                <w:sz w:val="18"/>
                <w:szCs w:val="18"/>
              </w:rPr>
            </w:pPr>
          </w:p>
        </w:tc>
      </w:tr>
      <w:tr w:rsidR="00D118DE" w:rsidRPr="00902F4B" w14:paraId="76A9B6F4" w14:textId="77777777" w:rsidTr="00B609FC">
        <w:trPr>
          <w:trHeight w:val="227"/>
        </w:trPr>
        <w:tc>
          <w:tcPr>
            <w:tcW w:w="530" w:type="pct"/>
            <w:tcBorders>
              <w:top w:val="single" w:sz="4" w:space="0" w:color="auto"/>
              <w:left w:val="single" w:sz="4" w:space="0" w:color="auto"/>
              <w:bottom w:val="single" w:sz="4" w:space="0" w:color="auto"/>
              <w:right w:val="single" w:sz="4" w:space="0" w:color="auto"/>
            </w:tcBorders>
            <w:vAlign w:val="center"/>
          </w:tcPr>
          <w:p w14:paraId="72801F07" w14:textId="77777777" w:rsidR="00D118DE" w:rsidRPr="00902F4B" w:rsidRDefault="00D118DE" w:rsidP="00BA499D">
            <w:pPr>
              <w:spacing w:line="276" w:lineRule="auto"/>
              <w:jc w:val="center"/>
              <w:rPr>
                <w:rFonts w:ascii="Calibri" w:eastAsia="Times New Roman" w:hAnsi="Calibri" w:cs="Calibri"/>
                <w:sz w:val="18"/>
                <w:szCs w:val="18"/>
              </w:rPr>
            </w:pPr>
            <w:r w:rsidRPr="00902F4B">
              <w:rPr>
                <w:rFonts w:ascii="Calibri" w:eastAsia="Times New Roman" w:hAnsi="Calibri" w:cs="Calibri"/>
                <w:sz w:val="18"/>
                <w:szCs w:val="18"/>
              </w:rPr>
              <w:t>1.</w:t>
            </w:r>
          </w:p>
        </w:tc>
        <w:tc>
          <w:tcPr>
            <w:tcW w:w="2273" w:type="pct"/>
            <w:tcBorders>
              <w:top w:val="single" w:sz="4" w:space="0" w:color="auto"/>
              <w:left w:val="single" w:sz="4" w:space="0" w:color="auto"/>
              <w:bottom w:val="single" w:sz="4" w:space="0" w:color="auto"/>
              <w:right w:val="single" w:sz="4" w:space="0" w:color="auto"/>
            </w:tcBorders>
            <w:vAlign w:val="center"/>
          </w:tcPr>
          <w:p w14:paraId="383345A1" w14:textId="77777777" w:rsidR="00D118DE" w:rsidRPr="006E7277" w:rsidRDefault="00D118DE" w:rsidP="00BA499D">
            <w:pPr>
              <w:spacing w:line="276" w:lineRule="auto"/>
            </w:pPr>
            <w:r w:rsidRPr="006E7277">
              <w:rPr>
                <w:rFonts w:cs="Calibri"/>
                <w:bCs/>
                <w:color w:val="1A1A1A"/>
                <w:sz w:val="18"/>
                <w:szCs w:val="18"/>
              </w:rPr>
              <w:t xml:space="preserve">Ekspertna grupa nadležnih nacionalnih tijela za određivanje cijena i naknada </w:t>
            </w:r>
            <w:r w:rsidRPr="006E7277">
              <w:rPr>
                <w:rFonts w:cs="Calibri"/>
                <w:bCs/>
                <w:i/>
                <w:color w:val="1A1A1A"/>
                <w:sz w:val="18"/>
                <w:szCs w:val="18"/>
              </w:rPr>
              <w:t>(reimbursement-a)</w:t>
            </w:r>
            <w:r w:rsidRPr="006E7277">
              <w:rPr>
                <w:rFonts w:cs="Calibri"/>
                <w:bCs/>
                <w:color w:val="1A1A1A"/>
                <w:sz w:val="18"/>
                <w:szCs w:val="18"/>
              </w:rPr>
              <w:t xml:space="preserve"> za lijekove (NCAPR)</w:t>
            </w:r>
          </w:p>
        </w:tc>
        <w:tc>
          <w:tcPr>
            <w:tcW w:w="1001" w:type="pct"/>
            <w:tcBorders>
              <w:top w:val="single" w:sz="4" w:space="0" w:color="auto"/>
              <w:left w:val="single" w:sz="4" w:space="0" w:color="auto"/>
              <w:bottom w:val="single" w:sz="4" w:space="0" w:color="auto"/>
              <w:right w:val="single" w:sz="4" w:space="0" w:color="auto"/>
            </w:tcBorders>
            <w:vAlign w:val="center"/>
          </w:tcPr>
          <w:p w14:paraId="22031585" w14:textId="77777777" w:rsidR="00D118DE" w:rsidRPr="00902F4B" w:rsidRDefault="00D118DE" w:rsidP="00BA499D">
            <w:pPr>
              <w:spacing w:line="276" w:lineRule="auto"/>
              <w:jc w:val="center"/>
              <w:rPr>
                <w:rFonts w:cs="Calibri"/>
                <w:bCs/>
                <w:sz w:val="18"/>
                <w:szCs w:val="18"/>
                <w:highlight w:val="yellow"/>
              </w:rPr>
            </w:pPr>
            <w:r>
              <w:rPr>
                <w:rFonts w:cs="Calibri"/>
                <w:bCs/>
                <w:sz w:val="18"/>
                <w:szCs w:val="18"/>
              </w:rPr>
              <w:t>4</w:t>
            </w:r>
          </w:p>
        </w:tc>
        <w:tc>
          <w:tcPr>
            <w:tcW w:w="1196" w:type="pct"/>
            <w:tcBorders>
              <w:top w:val="single" w:sz="4" w:space="0" w:color="auto"/>
              <w:left w:val="single" w:sz="4" w:space="0" w:color="auto"/>
              <w:bottom w:val="single" w:sz="4" w:space="0" w:color="auto"/>
              <w:right w:val="single" w:sz="4" w:space="0" w:color="auto"/>
            </w:tcBorders>
            <w:vAlign w:val="center"/>
          </w:tcPr>
          <w:p w14:paraId="6B5D5599" w14:textId="77777777" w:rsidR="00D118DE" w:rsidRDefault="00D118DE" w:rsidP="00BA499D">
            <w:pPr>
              <w:spacing w:line="276" w:lineRule="auto"/>
              <w:jc w:val="center"/>
              <w:rPr>
                <w:rFonts w:cs="Calibri"/>
                <w:bCs/>
                <w:sz w:val="18"/>
                <w:szCs w:val="18"/>
              </w:rPr>
            </w:pPr>
            <w:r>
              <w:rPr>
                <w:rFonts w:cs="Calibri"/>
                <w:bCs/>
                <w:sz w:val="18"/>
                <w:szCs w:val="18"/>
              </w:rPr>
              <w:t>4</w:t>
            </w:r>
          </w:p>
        </w:tc>
      </w:tr>
      <w:tr w:rsidR="00D118DE" w:rsidRPr="00902F4B" w14:paraId="1CF00C6A" w14:textId="77777777" w:rsidTr="00B609FC">
        <w:trPr>
          <w:trHeight w:val="227"/>
        </w:trPr>
        <w:tc>
          <w:tcPr>
            <w:tcW w:w="530" w:type="pct"/>
            <w:tcBorders>
              <w:top w:val="single" w:sz="4" w:space="0" w:color="auto"/>
              <w:left w:val="single" w:sz="4" w:space="0" w:color="auto"/>
              <w:bottom w:val="single" w:sz="4" w:space="0" w:color="auto"/>
              <w:right w:val="single" w:sz="4" w:space="0" w:color="auto"/>
            </w:tcBorders>
            <w:vAlign w:val="center"/>
          </w:tcPr>
          <w:p w14:paraId="67DCAFE4" w14:textId="77777777" w:rsidR="00D118DE" w:rsidRPr="00902F4B" w:rsidRDefault="00D118DE" w:rsidP="00BA499D">
            <w:pPr>
              <w:spacing w:line="276" w:lineRule="auto"/>
              <w:jc w:val="center"/>
              <w:rPr>
                <w:rFonts w:ascii="Calibri" w:eastAsia="Times New Roman" w:hAnsi="Calibri" w:cs="Calibri"/>
                <w:sz w:val="18"/>
                <w:szCs w:val="18"/>
              </w:rPr>
            </w:pPr>
            <w:r w:rsidRPr="00902F4B">
              <w:rPr>
                <w:rFonts w:ascii="Calibri" w:eastAsia="Times New Roman" w:hAnsi="Calibri" w:cs="Calibri"/>
                <w:sz w:val="18"/>
                <w:szCs w:val="18"/>
              </w:rPr>
              <w:t>2.</w:t>
            </w:r>
          </w:p>
        </w:tc>
        <w:tc>
          <w:tcPr>
            <w:tcW w:w="2273" w:type="pct"/>
            <w:tcBorders>
              <w:top w:val="single" w:sz="4" w:space="0" w:color="auto"/>
              <w:left w:val="single" w:sz="4" w:space="0" w:color="auto"/>
              <w:bottom w:val="single" w:sz="4" w:space="0" w:color="auto"/>
              <w:right w:val="single" w:sz="4" w:space="0" w:color="auto"/>
            </w:tcBorders>
            <w:vAlign w:val="center"/>
          </w:tcPr>
          <w:p w14:paraId="1854A468" w14:textId="77777777" w:rsidR="00D118DE" w:rsidRPr="006E7277" w:rsidRDefault="00D118DE" w:rsidP="00BA499D">
            <w:pPr>
              <w:spacing w:after="240"/>
              <w:rPr>
                <w:sz w:val="18"/>
                <w:szCs w:val="18"/>
              </w:rPr>
            </w:pPr>
            <w:r w:rsidRPr="006E7277">
              <w:rPr>
                <w:sz w:val="18"/>
                <w:szCs w:val="18"/>
              </w:rPr>
              <w:t>Euripid kolaboracija</w:t>
            </w:r>
          </w:p>
        </w:tc>
        <w:tc>
          <w:tcPr>
            <w:tcW w:w="1001" w:type="pct"/>
            <w:tcBorders>
              <w:top w:val="single" w:sz="4" w:space="0" w:color="auto"/>
              <w:left w:val="single" w:sz="4" w:space="0" w:color="auto"/>
              <w:bottom w:val="single" w:sz="4" w:space="0" w:color="auto"/>
              <w:right w:val="single" w:sz="4" w:space="0" w:color="auto"/>
            </w:tcBorders>
            <w:vAlign w:val="center"/>
          </w:tcPr>
          <w:p w14:paraId="0233F6D0" w14:textId="77777777" w:rsidR="00D118DE" w:rsidRPr="00902F4B" w:rsidRDefault="00D118DE" w:rsidP="00BA499D">
            <w:pPr>
              <w:spacing w:line="276" w:lineRule="auto"/>
              <w:jc w:val="center"/>
              <w:rPr>
                <w:rFonts w:cs="Calibri"/>
                <w:bCs/>
                <w:sz w:val="18"/>
                <w:szCs w:val="18"/>
                <w:highlight w:val="yellow"/>
              </w:rPr>
            </w:pPr>
            <w:r>
              <w:rPr>
                <w:rFonts w:cs="Calibri"/>
                <w:bCs/>
                <w:sz w:val="18"/>
                <w:szCs w:val="18"/>
              </w:rPr>
              <w:t>4</w:t>
            </w:r>
          </w:p>
        </w:tc>
        <w:tc>
          <w:tcPr>
            <w:tcW w:w="1196" w:type="pct"/>
            <w:tcBorders>
              <w:top w:val="single" w:sz="4" w:space="0" w:color="auto"/>
              <w:left w:val="single" w:sz="4" w:space="0" w:color="auto"/>
              <w:bottom w:val="single" w:sz="4" w:space="0" w:color="auto"/>
              <w:right w:val="single" w:sz="4" w:space="0" w:color="auto"/>
            </w:tcBorders>
            <w:vAlign w:val="center"/>
          </w:tcPr>
          <w:p w14:paraId="1E90328D" w14:textId="77777777" w:rsidR="00D118DE" w:rsidRDefault="00D118DE" w:rsidP="00BA499D">
            <w:pPr>
              <w:spacing w:line="276" w:lineRule="auto"/>
              <w:jc w:val="center"/>
              <w:rPr>
                <w:rFonts w:cs="Calibri"/>
                <w:bCs/>
                <w:sz w:val="18"/>
                <w:szCs w:val="18"/>
              </w:rPr>
            </w:pPr>
            <w:r>
              <w:rPr>
                <w:rFonts w:cs="Calibri"/>
                <w:bCs/>
                <w:sz w:val="18"/>
                <w:szCs w:val="18"/>
              </w:rPr>
              <w:t>4</w:t>
            </w:r>
          </w:p>
        </w:tc>
      </w:tr>
      <w:tr w:rsidR="00D118DE" w:rsidRPr="00902F4B" w14:paraId="2B3C4EE2" w14:textId="77777777" w:rsidTr="00B609FC">
        <w:trPr>
          <w:trHeight w:val="227"/>
        </w:trPr>
        <w:tc>
          <w:tcPr>
            <w:tcW w:w="530" w:type="pct"/>
            <w:tcBorders>
              <w:top w:val="single" w:sz="4" w:space="0" w:color="auto"/>
              <w:left w:val="single" w:sz="4" w:space="0" w:color="auto"/>
              <w:bottom w:val="single" w:sz="4" w:space="0" w:color="auto"/>
              <w:right w:val="single" w:sz="4" w:space="0" w:color="auto"/>
            </w:tcBorders>
            <w:vAlign w:val="center"/>
          </w:tcPr>
          <w:p w14:paraId="40190A09" w14:textId="77777777" w:rsidR="00D118DE" w:rsidRPr="00902F4B" w:rsidRDefault="00D118DE" w:rsidP="00BA499D">
            <w:pPr>
              <w:spacing w:line="276" w:lineRule="auto"/>
              <w:jc w:val="center"/>
              <w:rPr>
                <w:rFonts w:ascii="Calibri" w:eastAsia="Times New Roman" w:hAnsi="Calibri" w:cs="Calibri"/>
                <w:sz w:val="18"/>
                <w:szCs w:val="18"/>
              </w:rPr>
            </w:pPr>
            <w:r w:rsidRPr="00902F4B">
              <w:rPr>
                <w:rFonts w:ascii="Calibri" w:eastAsia="Times New Roman" w:hAnsi="Calibri" w:cs="Calibri"/>
                <w:sz w:val="18"/>
                <w:szCs w:val="18"/>
              </w:rPr>
              <w:t>3.</w:t>
            </w:r>
          </w:p>
        </w:tc>
        <w:tc>
          <w:tcPr>
            <w:tcW w:w="2273" w:type="pct"/>
            <w:tcBorders>
              <w:top w:val="single" w:sz="4" w:space="0" w:color="auto"/>
              <w:left w:val="single" w:sz="4" w:space="0" w:color="auto"/>
              <w:bottom w:val="single" w:sz="4" w:space="0" w:color="auto"/>
              <w:right w:val="single" w:sz="4" w:space="0" w:color="auto"/>
            </w:tcBorders>
            <w:vAlign w:val="center"/>
          </w:tcPr>
          <w:p w14:paraId="1BA2D8B5" w14:textId="77777777" w:rsidR="00D118DE" w:rsidRPr="005D3665" w:rsidRDefault="00D118DE" w:rsidP="00BA499D">
            <w:pPr>
              <w:spacing w:line="276" w:lineRule="auto"/>
              <w:jc w:val="both"/>
              <w:rPr>
                <w:rFonts w:cs="Calibri"/>
                <w:sz w:val="18"/>
                <w:szCs w:val="18"/>
              </w:rPr>
            </w:pPr>
            <w:r w:rsidRPr="006E7277">
              <w:rPr>
                <w:sz w:val="18"/>
                <w:szCs w:val="18"/>
              </w:rPr>
              <w:t>Radna grupa za bioslične lijekove</w:t>
            </w:r>
          </w:p>
        </w:tc>
        <w:tc>
          <w:tcPr>
            <w:tcW w:w="1001" w:type="pct"/>
            <w:tcBorders>
              <w:top w:val="single" w:sz="4" w:space="0" w:color="auto"/>
              <w:left w:val="single" w:sz="4" w:space="0" w:color="auto"/>
              <w:bottom w:val="single" w:sz="4" w:space="0" w:color="auto"/>
              <w:right w:val="single" w:sz="4" w:space="0" w:color="auto"/>
            </w:tcBorders>
            <w:vAlign w:val="center"/>
          </w:tcPr>
          <w:p w14:paraId="51605EA3" w14:textId="77777777" w:rsidR="00D118DE" w:rsidRPr="00902F4B" w:rsidRDefault="00D118DE" w:rsidP="00BA499D">
            <w:pPr>
              <w:spacing w:line="276" w:lineRule="auto"/>
              <w:jc w:val="center"/>
              <w:rPr>
                <w:rFonts w:cs="Calibri"/>
                <w:bCs/>
                <w:sz w:val="18"/>
                <w:szCs w:val="18"/>
              </w:rPr>
            </w:pPr>
            <w:r>
              <w:rPr>
                <w:rFonts w:cs="Calibri"/>
                <w:bCs/>
                <w:sz w:val="18"/>
                <w:szCs w:val="18"/>
              </w:rPr>
              <w:t>4</w:t>
            </w:r>
            <w:r w:rsidRPr="00902F4B">
              <w:rPr>
                <w:rFonts w:cs="Calibri"/>
                <w:bCs/>
                <w:sz w:val="18"/>
                <w:szCs w:val="18"/>
              </w:rPr>
              <w:t xml:space="preserve"> </w:t>
            </w:r>
          </w:p>
        </w:tc>
        <w:tc>
          <w:tcPr>
            <w:tcW w:w="1196" w:type="pct"/>
            <w:tcBorders>
              <w:top w:val="single" w:sz="4" w:space="0" w:color="auto"/>
              <w:left w:val="single" w:sz="4" w:space="0" w:color="auto"/>
              <w:bottom w:val="single" w:sz="4" w:space="0" w:color="auto"/>
              <w:right w:val="single" w:sz="4" w:space="0" w:color="auto"/>
            </w:tcBorders>
            <w:vAlign w:val="center"/>
          </w:tcPr>
          <w:p w14:paraId="791B669B" w14:textId="77777777" w:rsidR="00D118DE" w:rsidRDefault="00D118DE" w:rsidP="00BA499D">
            <w:pPr>
              <w:spacing w:line="276" w:lineRule="auto"/>
              <w:jc w:val="center"/>
              <w:rPr>
                <w:rFonts w:cs="Calibri"/>
                <w:bCs/>
                <w:sz w:val="18"/>
                <w:szCs w:val="18"/>
              </w:rPr>
            </w:pPr>
            <w:r>
              <w:rPr>
                <w:rFonts w:cs="Calibri"/>
                <w:bCs/>
                <w:sz w:val="18"/>
                <w:szCs w:val="18"/>
              </w:rPr>
              <w:t>5</w:t>
            </w:r>
          </w:p>
        </w:tc>
      </w:tr>
      <w:tr w:rsidR="00D118DE" w:rsidRPr="00D34127" w14:paraId="7AFFB902" w14:textId="77777777" w:rsidTr="00B609FC">
        <w:trPr>
          <w:trHeight w:val="316"/>
        </w:trPr>
        <w:tc>
          <w:tcPr>
            <w:tcW w:w="2803"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3AAF045" w14:textId="77777777" w:rsidR="00D118DE" w:rsidRPr="00D34127" w:rsidRDefault="00D118DE" w:rsidP="00BA499D">
            <w:pPr>
              <w:spacing w:line="276" w:lineRule="auto"/>
              <w:rPr>
                <w:rFonts w:eastAsia="Times New Roman" w:cs="Times New Roman"/>
                <w:b/>
                <w:sz w:val="18"/>
                <w:szCs w:val="18"/>
                <w:lang w:eastAsia="hr-HR"/>
              </w:rPr>
            </w:pPr>
            <w:r w:rsidRPr="00D34127">
              <w:rPr>
                <w:rFonts w:eastAsia="Times New Roman" w:cs="Times New Roman"/>
                <w:b/>
                <w:sz w:val="18"/>
                <w:szCs w:val="18"/>
                <w:lang w:eastAsia="hr-HR"/>
              </w:rPr>
              <w:t>UKUPNO:</w:t>
            </w:r>
          </w:p>
        </w:tc>
        <w:tc>
          <w:tcPr>
            <w:tcW w:w="100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D05B70" w14:textId="77777777" w:rsidR="00D118DE" w:rsidRPr="00D34127" w:rsidRDefault="00D118DE" w:rsidP="00BA499D">
            <w:pPr>
              <w:spacing w:line="276" w:lineRule="auto"/>
              <w:jc w:val="center"/>
              <w:rPr>
                <w:rFonts w:cs="Times New Roman"/>
                <w:b/>
                <w:sz w:val="18"/>
                <w:szCs w:val="18"/>
              </w:rPr>
            </w:pPr>
            <w:r w:rsidRPr="00D34127">
              <w:rPr>
                <w:rFonts w:cs="Times New Roman"/>
                <w:b/>
                <w:sz w:val="18"/>
                <w:szCs w:val="18"/>
              </w:rPr>
              <w:t>1</w:t>
            </w:r>
            <w:r>
              <w:rPr>
                <w:rFonts w:cs="Times New Roman"/>
                <w:b/>
                <w:sz w:val="18"/>
                <w:szCs w:val="18"/>
              </w:rPr>
              <w:t>2</w:t>
            </w:r>
          </w:p>
        </w:tc>
        <w:tc>
          <w:tcPr>
            <w:tcW w:w="119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7509F65" w14:textId="77777777" w:rsidR="00D118DE" w:rsidRPr="00D34127" w:rsidRDefault="00D118DE" w:rsidP="00BA499D">
            <w:pPr>
              <w:spacing w:line="276" w:lineRule="auto"/>
              <w:jc w:val="center"/>
              <w:rPr>
                <w:rFonts w:cs="Times New Roman"/>
                <w:b/>
                <w:sz w:val="18"/>
                <w:szCs w:val="18"/>
              </w:rPr>
            </w:pPr>
            <w:r>
              <w:rPr>
                <w:rFonts w:cs="Times New Roman"/>
                <w:b/>
                <w:sz w:val="18"/>
                <w:szCs w:val="18"/>
              </w:rPr>
              <w:t>13</w:t>
            </w:r>
          </w:p>
        </w:tc>
      </w:tr>
    </w:tbl>
    <w:p w14:paraId="3F698154" w14:textId="77777777" w:rsidR="00D118DE" w:rsidRDefault="00D118DE" w:rsidP="00D118DE">
      <w:pPr>
        <w:tabs>
          <w:tab w:val="center" w:pos="858"/>
          <w:tab w:val="center" w:pos="4320"/>
          <w:tab w:val="right" w:pos="8306"/>
          <w:tab w:val="right" w:pos="8640"/>
        </w:tabs>
        <w:spacing w:before="240"/>
        <w:jc w:val="both"/>
        <w:rPr>
          <w:rFonts w:cs="Calibri"/>
          <w:b/>
          <w:bCs/>
        </w:rPr>
      </w:pPr>
    </w:p>
    <w:p w14:paraId="4D935A3E" w14:textId="77777777" w:rsidR="00D118DE" w:rsidRPr="00762B91" w:rsidRDefault="00D118DE" w:rsidP="00D118DE">
      <w:pPr>
        <w:tabs>
          <w:tab w:val="center" w:pos="858"/>
          <w:tab w:val="center" w:pos="4320"/>
          <w:tab w:val="right" w:pos="8306"/>
          <w:tab w:val="right" w:pos="8640"/>
        </w:tabs>
        <w:spacing w:before="240"/>
        <w:jc w:val="both"/>
        <w:rPr>
          <w:rFonts w:cs="Calibri"/>
          <w:b/>
          <w:bCs/>
        </w:rPr>
      </w:pPr>
      <w:r w:rsidRPr="00762B91">
        <w:rPr>
          <w:rFonts w:cs="Calibri"/>
          <w:b/>
          <w:bCs/>
        </w:rPr>
        <w:t xml:space="preserve">Tablica 21. Sudjelovanja na radnim sastancima u nacionalnim poslovima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252"/>
        <w:gridCol w:w="1843"/>
        <w:gridCol w:w="2268"/>
      </w:tblGrid>
      <w:tr w:rsidR="00D118DE" w:rsidRPr="00B128DE" w14:paraId="2F185A29" w14:textId="77777777" w:rsidTr="00B609FC">
        <w:trPr>
          <w:trHeight w:val="284"/>
        </w:trPr>
        <w:tc>
          <w:tcPr>
            <w:tcW w:w="993" w:type="dxa"/>
            <w:vMerge w:val="restart"/>
            <w:shd w:val="clear" w:color="auto" w:fill="A3E7FF"/>
            <w:vAlign w:val="center"/>
            <w:hideMark/>
          </w:tcPr>
          <w:p w14:paraId="28F9D77D" w14:textId="77777777" w:rsidR="00D118DE" w:rsidRPr="0097570C" w:rsidRDefault="00D118DE" w:rsidP="00BA499D">
            <w:pPr>
              <w:pStyle w:val="NoSpacing"/>
              <w:rPr>
                <w:rFonts w:cs="Calibri"/>
                <w:b/>
                <w:sz w:val="18"/>
                <w:szCs w:val="18"/>
              </w:rPr>
            </w:pPr>
            <w:r w:rsidRPr="0097570C">
              <w:rPr>
                <w:rFonts w:cs="Calibri"/>
                <w:b/>
                <w:sz w:val="18"/>
                <w:szCs w:val="18"/>
              </w:rPr>
              <w:t>R.br.</w:t>
            </w:r>
          </w:p>
        </w:tc>
        <w:tc>
          <w:tcPr>
            <w:tcW w:w="4252" w:type="dxa"/>
            <w:vMerge w:val="restart"/>
            <w:shd w:val="clear" w:color="auto" w:fill="A3E7FF"/>
            <w:vAlign w:val="center"/>
            <w:hideMark/>
          </w:tcPr>
          <w:p w14:paraId="13CC9D85" w14:textId="77777777" w:rsidR="00D118DE" w:rsidRPr="0097570C" w:rsidRDefault="00D118DE" w:rsidP="00BA499D">
            <w:pPr>
              <w:pStyle w:val="NoSpacing"/>
              <w:rPr>
                <w:rFonts w:cs="Calibri"/>
                <w:b/>
                <w:sz w:val="18"/>
                <w:szCs w:val="18"/>
              </w:rPr>
            </w:pPr>
            <w:r w:rsidRPr="0097570C">
              <w:rPr>
                <w:rFonts w:cs="Calibri"/>
                <w:b/>
                <w:sz w:val="18"/>
                <w:szCs w:val="18"/>
              </w:rPr>
              <w:t>Naziv povjerenstva/radne skupine/odbora</w:t>
            </w:r>
          </w:p>
        </w:tc>
        <w:tc>
          <w:tcPr>
            <w:tcW w:w="1843" w:type="dxa"/>
            <w:vMerge w:val="restart"/>
            <w:shd w:val="clear" w:color="auto" w:fill="A3E7FF"/>
            <w:vAlign w:val="center"/>
            <w:hideMark/>
          </w:tcPr>
          <w:p w14:paraId="2BC3B941" w14:textId="77777777" w:rsidR="00D118DE" w:rsidRPr="0097570C" w:rsidRDefault="00D118DE" w:rsidP="00BA499D">
            <w:pPr>
              <w:pStyle w:val="NoSpacing"/>
              <w:jc w:val="center"/>
              <w:rPr>
                <w:rFonts w:cs="Calibri"/>
                <w:b/>
                <w:sz w:val="18"/>
                <w:szCs w:val="18"/>
              </w:rPr>
            </w:pPr>
            <w:r w:rsidRPr="0097570C">
              <w:rPr>
                <w:rFonts w:cs="Calibri"/>
                <w:b/>
                <w:sz w:val="18"/>
                <w:szCs w:val="18"/>
              </w:rPr>
              <w:t>Plan za 202</w:t>
            </w:r>
            <w:r>
              <w:rPr>
                <w:rFonts w:cs="Calibri"/>
                <w:b/>
                <w:sz w:val="18"/>
                <w:szCs w:val="18"/>
              </w:rPr>
              <w:t>3</w:t>
            </w:r>
            <w:r w:rsidRPr="0097570C">
              <w:rPr>
                <w:rFonts w:cs="Calibri"/>
                <w:b/>
                <w:sz w:val="18"/>
                <w:szCs w:val="18"/>
              </w:rPr>
              <w:t xml:space="preserve">. </w:t>
            </w:r>
          </w:p>
        </w:tc>
        <w:tc>
          <w:tcPr>
            <w:tcW w:w="2268" w:type="dxa"/>
            <w:tcBorders>
              <w:bottom w:val="nil"/>
            </w:tcBorders>
            <w:shd w:val="clear" w:color="auto" w:fill="A3E7FF"/>
          </w:tcPr>
          <w:p w14:paraId="0EA6C676" w14:textId="77777777" w:rsidR="00D118DE" w:rsidRPr="00FE219B" w:rsidRDefault="00D118DE" w:rsidP="00BA499D">
            <w:pPr>
              <w:pStyle w:val="NoSpacing"/>
              <w:jc w:val="center"/>
              <w:rPr>
                <w:rFonts w:cs="Calibri"/>
                <w:b/>
                <w:sz w:val="18"/>
                <w:szCs w:val="18"/>
              </w:rPr>
            </w:pPr>
            <w:r w:rsidRPr="00AE558F">
              <w:rPr>
                <w:b/>
                <w:sz w:val="18"/>
                <w:szCs w:val="18"/>
              </w:rPr>
              <w:t>Izvršenje</w:t>
            </w:r>
          </w:p>
        </w:tc>
      </w:tr>
      <w:tr w:rsidR="00D118DE" w:rsidRPr="00B128DE" w14:paraId="52033337" w14:textId="77777777" w:rsidTr="00B609FC">
        <w:trPr>
          <w:trHeight w:val="509"/>
        </w:trPr>
        <w:tc>
          <w:tcPr>
            <w:tcW w:w="993" w:type="dxa"/>
            <w:vMerge/>
            <w:shd w:val="clear" w:color="auto" w:fill="A3E7FF"/>
            <w:vAlign w:val="center"/>
            <w:hideMark/>
          </w:tcPr>
          <w:p w14:paraId="5447A0B3" w14:textId="77777777" w:rsidR="00D118DE" w:rsidRPr="0097570C" w:rsidRDefault="00D118DE" w:rsidP="00BA499D">
            <w:pPr>
              <w:pStyle w:val="NoSpacing"/>
              <w:rPr>
                <w:rFonts w:cs="Calibri"/>
                <w:color w:val="000000"/>
                <w:sz w:val="18"/>
                <w:szCs w:val="18"/>
              </w:rPr>
            </w:pPr>
          </w:p>
        </w:tc>
        <w:tc>
          <w:tcPr>
            <w:tcW w:w="4252" w:type="dxa"/>
            <w:vMerge/>
            <w:shd w:val="clear" w:color="auto" w:fill="A3E7FF"/>
            <w:vAlign w:val="center"/>
            <w:hideMark/>
          </w:tcPr>
          <w:p w14:paraId="5AECC9A5" w14:textId="77777777" w:rsidR="00D118DE" w:rsidRPr="0097570C" w:rsidRDefault="00D118DE" w:rsidP="00BA499D">
            <w:pPr>
              <w:pStyle w:val="NoSpacing"/>
              <w:rPr>
                <w:rFonts w:cs="Calibri"/>
                <w:color w:val="000000"/>
                <w:sz w:val="18"/>
                <w:szCs w:val="18"/>
              </w:rPr>
            </w:pPr>
          </w:p>
        </w:tc>
        <w:tc>
          <w:tcPr>
            <w:tcW w:w="1843" w:type="dxa"/>
            <w:vMerge/>
            <w:shd w:val="clear" w:color="auto" w:fill="A3E7FF"/>
            <w:vAlign w:val="center"/>
            <w:hideMark/>
          </w:tcPr>
          <w:p w14:paraId="490097E2" w14:textId="77777777" w:rsidR="00D118DE" w:rsidRPr="0097570C" w:rsidRDefault="00D118DE" w:rsidP="00BA499D">
            <w:pPr>
              <w:pStyle w:val="NoSpacing"/>
              <w:jc w:val="center"/>
              <w:rPr>
                <w:rFonts w:cs="Calibri"/>
                <w:color w:val="000000"/>
                <w:sz w:val="18"/>
                <w:szCs w:val="18"/>
              </w:rPr>
            </w:pPr>
          </w:p>
        </w:tc>
        <w:tc>
          <w:tcPr>
            <w:tcW w:w="2268" w:type="dxa"/>
            <w:tcBorders>
              <w:top w:val="nil"/>
            </w:tcBorders>
            <w:shd w:val="clear" w:color="auto" w:fill="A3E7FF"/>
          </w:tcPr>
          <w:p w14:paraId="36CF83E2" w14:textId="77777777" w:rsidR="00D118DE" w:rsidRPr="00AE558F" w:rsidRDefault="00D118DE" w:rsidP="00BA499D">
            <w:pPr>
              <w:pStyle w:val="NoSpacing"/>
              <w:jc w:val="center"/>
              <w:rPr>
                <w:rFonts w:cs="Calibri"/>
                <w:b/>
                <w:color w:val="000000"/>
                <w:sz w:val="18"/>
                <w:szCs w:val="18"/>
              </w:rPr>
            </w:pPr>
            <w:r w:rsidRPr="00AE558F">
              <w:rPr>
                <w:b/>
                <w:sz w:val="18"/>
                <w:szCs w:val="18"/>
              </w:rPr>
              <w:t xml:space="preserve">01.01.- </w:t>
            </w:r>
            <w:r>
              <w:rPr>
                <w:b/>
                <w:sz w:val="18"/>
                <w:szCs w:val="18"/>
              </w:rPr>
              <w:t>31.12</w:t>
            </w:r>
            <w:r w:rsidRPr="00AE558F">
              <w:rPr>
                <w:b/>
                <w:sz w:val="18"/>
                <w:szCs w:val="18"/>
              </w:rPr>
              <w:t>.2023.</w:t>
            </w:r>
          </w:p>
        </w:tc>
      </w:tr>
      <w:tr w:rsidR="00D118DE" w:rsidRPr="005E1796" w14:paraId="64BF698D" w14:textId="77777777" w:rsidTr="00B609FC">
        <w:trPr>
          <w:trHeight w:val="227"/>
        </w:trPr>
        <w:tc>
          <w:tcPr>
            <w:tcW w:w="9356" w:type="dxa"/>
            <w:gridSpan w:val="4"/>
            <w:tcBorders>
              <w:top w:val="single" w:sz="4" w:space="0" w:color="auto"/>
              <w:left w:val="single" w:sz="4" w:space="0" w:color="auto"/>
              <w:bottom w:val="single" w:sz="4" w:space="0" w:color="auto"/>
              <w:right w:val="single" w:sz="4" w:space="0" w:color="auto"/>
            </w:tcBorders>
            <w:vAlign w:val="center"/>
          </w:tcPr>
          <w:p w14:paraId="5FD0B512" w14:textId="77777777" w:rsidR="00D118DE" w:rsidRPr="00AE558F" w:rsidRDefault="00D118DE" w:rsidP="00BA499D">
            <w:pPr>
              <w:spacing w:line="276" w:lineRule="auto"/>
              <w:rPr>
                <w:rFonts w:cs="Calibri"/>
                <w:bCs/>
                <w:sz w:val="18"/>
                <w:szCs w:val="18"/>
              </w:rPr>
            </w:pPr>
            <w:r w:rsidRPr="00AE558F">
              <w:rPr>
                <w:rFonts w:cs="Calibri"/>
                <w:b/>
                <w:bCs/>
                <w:color w:val="1A1A1A"/>
                <w:sz w:val="18"/>
                <w:szCs w:val="18"/>
              </w:rPr>
              <w:t>Koordinacijske i radne skupine Ministarstva zdravstva RH</w:t>
            </w:r>
          </w:p>
        </w:tc>
      </w:tr>
      <w:tr w:rsidR="00D118DE" w:rsidRPr="00B128DE" w14:paraId="2E6A18B4" w14:textId="77777777" w:rsidTr="00B609FC">
        <w:trPr>
          <w:trHeight w:val="227"/>
        </w:trPr>
        <w:tc>
          <w:tcPr>
            <w:tcW w:w="993" w:type="dxa"/>
            <w:tcBorders>
              <w:top w:val="single" w:sz="4" w:space="0" w:color="auto"/>
              <w:left w:val="single" w:sz="4" w:space="0" w:color="auto"/>
              <w:bottom w:val="single" w:sz="4" w:space="0" w:color="auto"/>
              <w:right w:val="single" w:sz="4" w:space="0" w:color="auto"/>
            </w:tcBorders>
            <w:vAlign w:val="center"/>
          </w:tcPr>
          <w:p w14:paraId="1E412349" w14:textId="77777777" w:rsidR="00D118DE" w:rsidRPr="0097570C" w:rsidRDefault="00D118DE" w:rsidP="00BA499D">
            <w:pPr>
              <w:pStyle w:val="NoSpacing"/>
              <w:spacing w:line="276" w:lineRule="auto"/>
              <w:jc w:val="center"/>
              <w:rPr>
                <w:rFonts w:cs="Calibri"/>
                <w:sz w:val="18"/>
                <w:szCs w:val="18"/>
              </w:rPr>
            </w:pPr>
            <w:r>
              <w:rPr>
                <w:rFonts w:cs="Calibri"/>
                <w:sz w:val="18"/>
                <w:szCs w:val="18"/>
              </w:rPr>
              <w:t>1.</w:t>
            </w:r>
          </w:p>
        </w:tc>
        <w:tc>
          <w:tcPr>
            <w:tcW w:w="4252" w:type="dxa"/>
            <w:tcBorders>
              <w:top w:val="single" w:sz="4" w:space="0" w:color="auto"/>
              <w:left w:val="single" w:sz="4" w:space="0" w:color="auto"/>
              <w:bottom w:val="single" w:sz="4" w:space="0" w:color="auto"/>
              <w:right w:val="single" w:sz="4" w:space="0" w:color="auto"/>
            </w:tcBorders>
            <w:vAlign w:val="center"/>
          </w:tcPr>
          <w:p w14:paraId="43F371EC" w14:textId="77777777" w:rsidR="00D118DE" w:rsidRPr="006E7277" w:rsidRDefault="00D118DE" w:rsidP="00BA499D">
            <w:pPr>
              <w:spacing w:line="276" w:lineRule="auto"/>
              <w:jc w:val="both"/>
              <w:rPr>
                <w:sz w:val="18"/>
                <w:szCs w:val="18"/>
              </w:rPr>
            </w:pPr>
            <w:r w:rsidRPr="006E7277">
              <w:rPr>
                <w:rFonts w:eastAsia="Times New Roman"/>
                <w:bCs/>
                <w:sz w:val="18"/>
                <w:szCs w:val="18"/>
              </w:rPr>
              <w:t>Radna skupina za pripremu i provedbu projekata „Uvođenje sustava praćenja ishoda liječenja izvanbolničkih kroničnih pacijenata u javnim ljekarnama u Republici Hrvatskoj“</w:t>
            </w:r>
          </w:p>
        </w:tc>
        <w:tc>
          <w:tcPr>
            <w:tcW w:w="1843" w:type="dxa"/>
            <w:tcBorders>
              <w:top w:val="single" w:sz="4" w:space="0" w:color="auto"/>
              <w:left w:val="single" w:sz="4" w:space="0" w:color="auto"/>
              <w:bottom w:val="single" w:sz="4" w:space="0" w:color="auto"/>
              <w:right w:val="single" w:sz="4" w:space="0" w:color="auto"/>
            </w:tcBorders>
            <w:vAlign w:val="center"/>
          </w:tcPr>
          <w:p w14:paraId="6D6652BB" w14:textId="77777777" w:rsidR="00D118DE" w:rsidRDefault="00D118DE" w:rsidP="00BA499D">
            <w:pPr>
              <w:spacing w:line="276" w:lineRule="auto"/>
              <w:jc w:val="center"/>
              <w:rPr>
                <w:rFonts w:cs="Calibri"/>
                <w:bCs/>
                <w:sz w:val="18"/>
                <w:szCs w:val="18"/>
              </w:rPr>
            </w:pPr>
            <w:r>
              <w:rPr>
                <w:rFonts w:cs="Calibri"/>
                <w:bCs/>
                <w:sz w:val="18"/>
                <w:szCs w:val="18"/>
              </w:rPr>
              <w:t>30</w:t>
            </w:r>
          </w:p>
        </w:tc>
        <w:tc>
          <w:tcPr>
            <w:tcW w:w="2268" w:type="dxa"/>
            <w:tcBorders>
              <w:top w:val="single" w:sz="4" w:space="0" w:color="auto"/>
              <w:left w:val="single" w:sz="4" w:space="0" w:color="auto"/>
              <w:bottom w:val="single" w:sz="4" w:space="0" w:color="auto"/>
              <w:right w:val="single" w:sz="4" w:space="0" w:color="auto"/>
            </w:tcBorders>
            <w:vAlign w:val="center"/>
          </w:tcPr>
          <w:p w14:paraId="0980D4A3" w14:textId="77777777" w:rsidR="00D118DE" w:rsidRDefault="00D118DE" w:rsidP="00BA499D">
            <w:pPr>
              <w:spacing w:line="276" w:lineRule="auto"/>
              <w:jc w:val="center"/>
              <w:rPr>
                <w:rFonts w:cs="Calibri"/>
                <w:bCs/>
                <w:sz w:val="18"/>
                <w:szCs w:val="18"/>
              </w:rPr>
            </w:pPr>
            <w:r>
              <w:rPr>
                <w:rFonts w:cs="Calibri"/>
                <w:bCs/>
                <w:sz w:val="18"/>
                <w:szCs w:val="18"/>
              </w:rPr>
              <w:t>10</w:t>
            </w:r>
          </w:p>
        </w:tc>
      </w:tr>
      <w:tr w:rsidR="00D118DE" w:rsidRPr="00B128DE" w14:paraId="69F617D6" w14:textId="77777777" w:rsidTr="00B609FC">
        <w:trPr>
          <w:trHeight w:val="227"/>
        </w:trPr>
        <w:tc>
          <w:tcPr>
            <w:tcW w:w="993" w:type="dxa"/>
            <w:tcBorders>
              <w:top w:val="single" w:sz="4" w:space="0" w:color="auto"/>
              <w:left w:val="single" w:sz="4" w:space="0" w:color="auto"/>
              <w:bottom w:val="single" w:sz="4" w:space="0" w:color="auto"/>
              <w:right w:val="single" w:sz="4" w:space="0" w:color="auto"/>
            </w:tcBorders>
            <w:vAlign w:val="center"/>
          </w:tcPr>
          <w:p w14:paraId="374280AA" w14:textId="77777777" w:rsidR="00D118DE" w:rsidRDefault="00D118DE" w:rsidP="00BA499D">
            <w:pPr>
              <w:pStyle w:val="NoSpacing"/>
              <w:spacing w:line="276" w:lineRule="auto"/>
              <w:jc w:val="center"/>
              <w:rPr>
                <w:rFonts w:cs="Calibri"/>
                <w:sz w:val="18"/>
                <w:szCs w:val="18"/>
              </w:rPr>
            </w:pPr>
            <w:r>
              <w:rPr>
                <w:rFonts w:cs="Calibri"/>
                <w:sz w:val="18"/>
                <w:szCs w:val="18"/>
              </w:rPr>
              <w:t xml:space="preserve">2. </w:t>
            </w:r>
          </w:p>
        </w:tc>
        <w:tc>
          <w:tcPr>
            <w:tcW w:w="4252" w:type="dxa"/>
            <w:tcBorders>
              <w:top w:val="single" w:sz="4" w:space="0" w:color="auto"/>
              <w:left w:val="single" w:sz="4" w:space="0" w:color="auto"/>
              <w:bottom w:val="single" w:sz="4" w:space="0" w:color="auto"/>
              <w:right w:val="single" w:sz="4" w:space="0" w:color="auto"/>
            </w:tcBorders>
            <w:vAlign w:val="center"/>
          </w:tcPr>
          <w:p w14:paraId="0D4EDA58" w14:textId="77777777" w:rsidR="00D118DE" w:rsidRPr="006E7277" w:rsidRDefault="00D118DE" w:rsidP="00BA499D">
            <w:pPr>
              <w:spacing w:line="276" w:lineRule="auto"/>
              <w:jc w:val="both"/>
              <w:rPr>
                <w:rFonts w:eastAsia="Times New Roman"/>
                <w:bCs/>
                <w:sz w:val="18"/>
                <w:szCs w:val="18"/>
              </w:rPr>
            </w:pPr>
            <w:r w:rsidRPr="006E7277">
              <w:rPr>
                <w:rFonts w:eastAsia="Times New Roman"/>
                <w:bCs/>
                <w:sz w:val="18"/>
                <w:szCs w:val="18"/>
              </w:rPr>
              <w:t>Radna skupina za izradu nacionalnog izvješća o procjeni učinkovitosti zdravstvenog sustava u republici Hrvatskoj (Health System performance Assessment-HSPA)</w:t>
            </w:r>
          </w:p>
        </w:tc>
        <w:tc>
          <w:tcPr>
            <w:tcW w:w="1843" w:type="dxa"/>
            <w:tcBorders>
              <w:top w:val="single" w:sz="4" w:space="0" w:color="auto"/>
              <w:left w:val="single" w:sz="4" w:space="0" w:color="auto"/>
              <w:bottom w:val="single" w:sz="4" w:space="0" w:color="auto"/>
              <w:right w:val="single" w:sz="4" w:space="0" w:color="auto"/>
            </w:tcBorders>
            <w:vAlign w:val="center"/>
          </w:tcPr>
          <w:p w14:paraId="251B1A9E" w14:textId="77777777" w:rsidR="00D118DE" w:rsidRDefault="00D118DE" w:rsidP="00BA499D">
            <w:pPr>
              <w:spacing w:line="276" w:lineRule="auto"/>
              <w:jc w:val="center"/>
              <w:rPr>
                <w:rFonts w:cs="Calibri"/>
                <w:bCs/>
                <w:sz w:val="18"/>
                <w:szCs w:val="18"/>
              </w:rPr>
            </w:pPr>
            <w:r>
              <w:rPr>
                <w:rFonts w:cs="Calibri"/>
                <w:bCs/>
                <w:sz w:val="18"/>
                <w:szCs w:val="18"/>
              </w:rPr>
              <w:t>10</w:t>
            </w:r>
          </w:p>
        </w:tc>
        <w:tc>
          <w:tcPr>
            <w:tcW w:w="2268" w:type="dxa"/>
            <w:tcBorders>
              <w:top w:val="single" w:sz="4" w:space="0" w:color="auto"/>
              <w:left w:val="single" w:sz="4" w:space="0" w:color="auto"/>
              <w:bottom w:val="single" w:sz="4" w:space="0" w:color="auto"/>
              <w:right w:val="single" w:sz="4" w:space="0" w:color="auto"/>
            </w:tcBorders>
            <w:vAlign w:val="center"/>
          </w:tcPr>
          <w:p w14:paraId="1BD8DF2A" w14:textId="77777777" w:rsidR="00D118DE" w:rsidRDefault="00D118DE" w:rsidP="00BA499D">
            <w:pPr>
              <w:spacing w:line="276" w:lineRule="auto"/>
              <w:jc w:val="center"/>
              <w:rPr>
                <w:rFonts w:cs="Calibri"/>
                <w:bCs/>
                <w:sz w:val="18"/>
                <w:szCs w:val="18"/>
              </w:rPr>
            </w:pPr>
            <w:r>
              <w:rPr>
                <w:rFonts w:cs="Calibri"/>
                <w:bCs/>
                <w:sz w:val="18"/>
                <w:szCs w:val="18"/>
              </w:rPr>
              <w:t>5</w:t>
            </w:r>
          </w:p>
        </w:tc>
      </w:tr>
      <w:tr w:rsidR="00D118DE" w:rsidRPr="00B128DE" w14:paraId="75B68B08" w14:textId="77777777" w:rsidTr="00B609FC">
        <w:trPr>
          <w:trHeight w:val="316"/>
        </w:trPr>
        <w:tc>
          <w:tcPr>
            <w:tcW w:w="5245"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0FD54D2" w14:textId="77777777" w:rsidR="00D118DE" w:rsidRPr="0097570C" w:rsidRDefault="00D118DE" w:rsidP="00BA499D">
            <w:pPr>
              <w:pStyle w:val="NoSpacing"/>
              <w:spacing w:line="276" w:lineRule="auto"/>
              <w:rPr>
                <w:rFonts w:cs="Calibri"/>
                <w:b/>
                <w:sz w:val="18"/>
                <w:szCs w:val="18"/>
              </w:rPr>
            </w:pPr>
            <w:r w:rsidRPr="0097570C">
              <w:rPr>
                <w:rFonts w:cs="Calibri"/>
                <w:b/>
                <w:sz w:val="18"/>
                <w:szCs w:val="18"/>
              </w:rPr>
              <w:t>UKUPNO:</w:t>
            </w:r>
          </w:p>
        </w:tc>
        <w:tc>
          <w:tcPr>
            <w:tcW w:w="1843" w:type="dxa"/>
            <w:tcBorders>
              <w:top w:val="single" w:sz="4" w:space="0" w:color="auto"/>
              <w:left w:val="single" w:sz="4" w:space="0" w:color="auto"/>
              <w:bottom w:val="single" w:sz="4" w:space="0" w:color="auto"/>
              <w:right w:val="single" w:sz="4" w:space="0" w:color="auto"/>
            </w:tcBorders>
            <w:shd w:val="clear" w:color="auto" w:fill="BFBFBF"/>
            <w:vAlign w:val="center"/>
          </w:tcPr>
          <w:p w14:paraId="31ABBB3B" w14:textId="77777777" w:rsidR="00D118DE" w:rsidRPr="0097570C" w:rsidRDefault="00D118DE" w:rsidP="00BA499D">
            <w:pPr>
              <w:pStyle w:val="NoSpacing"/>
              <w:spacing w:line="276" w:lineRule="auto"/>
              <w:jc w:val="center"/>
              <w:rPr>
                <w:rFonts w:cs="Calibri"/>
                <w:b/>
                <w:sz w:val="18"/>
                <w:szCs w:val="18"/>
              </w:rPr>
            </w:pPr>
            <w:r>
              <w:rPr>
                <w:rFonts w:cs="Calibri"/>
                <w:b/>
                <w:sz w:val="18"/>
                <w:szCs w:val="18"/>
              </w:rPr>
              <w:t>40</w:t>
            </w:r>
          </w:p>
        </w:tc>
        <w:tc>
          <w:tcPr>
            <w:tcW w:w="2268" w:type="dxa"/>
            <w:tcBorders>
              <w:top w:val="single" w:sz="4" w:space="0" w:color="auto"/>
              <w:left w:val="single" w:sz="4" w:space="0" w:color="auto"/>
              <w:bottom w:val="single" w:sz="4" w:space="0" w:color="auto"/>
              <w:right w:val="single" w:sz="4" w:space="0" w:color="auto"/>
            </w:tcBorders>
            <w:shd w:val="clear" w:color="auto" w:fill="BFBFBF"/>
          </w:tcPr>
          <w:p w14:paraId="243A9017" w14:textId="77777777" w:rsidR="00D118DE" w:rsidRDefault="00D118DE" w:rsidP="00BA499D">
            <w:pPr>
              <w:pStyle w:val="NoSpacing"/>
              <w:spacing w:line="276" w:lineRule="auto"/>
              <w:jc w:val="center"/>
              <w:rPr>
                <w:rFonts w:cs="Calibri"/>
                <w:b/>
                <w:sz w:val="18"/>
                <w:szCs w:val="18"/>
              </w:rPr>
            </w:pPr>
            <w:r>
              <w:rPr>
                <w:rFonts w:cs="Calibri"/>
                <w:b/>
                <w:sz w:val="18"/>
                <w:szCs w:val="18"/>
              </w:rPr>
              <w:t>15</w:t>
            </w:r>
          </w:p>
        </w:tc>
      </w:tr>
    </w:tbl>
    <w:p w14:paraId="7700B973" w14:textId="77777777" w:rsidR="00D118DE" w:rsidRPr="00ED6FE8" w:rsidRDefault="00D118DE" w:rsidP="00D118DE">
      <w:pPr>
        <w:tabs>
          <w:tab w:val="center" w:pos="858"/>
          <w:tab w:val="center" w:pos="4320"/>
          <w:tab w:val="right" w:pos="8306"/>
          <w:tab w:val="right" w:pos="8640"/>
        </w:tabs>
        <w:spacing w:before="240"/>
        <w:jc w:val="both"/>
        <w:rPr>
          <w:rFonts w:cs="Calibri"/>
          <w:b/>
          <w:bCs/>
        </w:rPr>
      </w:pPr>
    </w:p>
    <w:p w14:paraId="4AF170D7" w14:textId="2F4DC93A" w:rsidR="009A75C2" w:rsidRDefault="009A75C2">
      <w:r>
        <w:br w:type="page"/>
      </w:r>
    </w:p>
    <w:p w14:paraId="1D3D5092" w14:textId="77777777" w:rsidR="009A75C2" w:rsidRPr="00964781" w:rsidRDefault="009A75C2" w:rsidP="009A75C2">
      <w:pPr>
        <w:pStyle w:val="Heading2"/>
      </w:pPr>
      <w:bookmarkStart w:id="227" w:name="_Toc165035498"/>
      <w:bookmarkStart w:id="228" w:name="_Toc26534671"/>
      <w:r w:rsidRPr="00964781">
        <w:lastRenderedPageBreak/>
        <w:t>2.</w:t>
      </w:r>
      <w:r>
        <w:t>6</w:t>
      </w:r>
      <w:r w:rsidRPr="00964781">
        <w:t>. Provjera kakvoće lijekova</w:t>
      </w:r>
      <w:bookmarkEnd w:id="227"/>
      <w:r w:rsidRPr="00964781">
        <w:t xml:space="preserve"> </w:t>
      </w:r>
    </w:p>
    <w:p w14:paraId="5448C09D" w14:textId="77777777" w:rsidR="009A75C2" w:rsidRPr="00964781" w:rsidRDefault="009A75C2" w:rsidP="009A75C2">
      <w:pPr>
        <w:spacing w:before="240" w:line="276" w:lineRule="auto"/>
        <w:jc w:val="both"/>
        <w:rPr>
          <w:rFonts w:eastAsia="Times New Roman" w:cstheme="minorHAnsi"/>
          <w:i/>
        </w:rPr>
      </w:pPr>
      <w:bookmarkStart w:id="229" w:name="_Toc26534681"/>
      <w:bookmarkEnd w:id="228"/>
      <w:r w:rsidRPr="00964781">
        <w:rPr>
          <w:rFonts w:eastAsia="Times New Roman" w:cstheme="minorHAnsi"/>
          <w:color w:val="000000"/>
        </w:rPr>
        <w:t xml:space="preserve">U skladu s odredbama Zakona o lijekovima i pravilnicima donesenim na temelju Zakona, HALMED </w:t>
      </w:r>
      <w:r w:rsidRPr="00964781">
        <w:rPr>
          <w:color w:val="000000"/>
        </w:rPr>
        <w:t>je ovlašten za službenu provjeru kakvoće lijekova za područje Republike Hrvatske i član je Europske mreže službenih kontrolnih laboratorija (</w:t>
      </w:r>
      <w:r w:rsidRPr="00964781">
        <w:rPr>
          <w:rFonts w:eastAsia="Times New Roman" w:cstheme="minorHAnsi"/>
          <w:i/>
        </w:rPr>
        <w:t xml:space="preserve">General European OMCL Network, </w:t>
      </w:r>
      <w:r w:rsidRPr="00964781">
        <w:rPr>
          <w:color w:val="000000"/>
        </w:rPr>
        <w:t xml:space="preserve">GEON). </w:t>
      </w:r>
      <w:r w:rsidRPr="00964781">
        <w:rPr>
          <w:rFonts w:eastAsia="Times New Roman" w:cstheme="minorHAnsi"/>
          <w:bCs/>
        </w:rPr>
        <w:t>Sukladno Zakonu o lijekovima, HALMED provodi posebnu provjeru kakvoće, provjeru kakvoće lijekova iz prometa, izvanrednu provjeru te provjeru kakvoće lijekova u postupku davanja i obnove odobrenja za stavljanje lijeka u promet ili u postupku odobrenja izmjena u dokumentaciji o lijeku koje se odnose na kakvoću lijeka.</w:t>
      </w:r>
      <w:r>
        <w:rPr>
          <w:rFonts w:eastAsia="Times New Roman" w:cstheme="minorHAnsi"/>
          <w:bCs/>
        </w:rPr>
        <w:t xml:space="preserve"> </w:t>
      </w:r>
    </w:p>
    <w:p w14:paraId="06121D22" w14:textId="77777777" w:rsidR="009A75C2" w:rsidRPr="00964781" w:rsidRDefault="009A75C2" w:rsidP="009A75C2">
      <w:pPr>
        <w:pStyle w:val="Heading3"/>
      </w:pPr>
      <w:bookmarkStart w:id="230" w:name="_Toc165035499"/>
      <w:r w:rsidRPr="00964781">
        <w:t>2.</w:t>
      </w:r>
      <w:r>
        <w:t>6</w:t>
      </w:r>
      <w:r w:rsidRPr="00964781">
        <w:t>.1. Posebna provjera kakvoće lijekova</w:t>
      </w:r>
      <w:bookmarkEnd w:id="230"/>
    </w:p>
    <w:p w14:paraId="7FF44982" w14:textId="77777777" w:rsidR="009A75C2" w:rsidRPr="00964781" w:rsidRDefault="009A75C2" w:rsidP="009A75C2">
      <w:pPr>
        <w:tabs>
          <w:tab w:val="center" w:pos="858"/>
          <w:tab w:val="right" w:pos="8306"/>
        </w:tabs>
        <w:spacing w:before="240" w:after="240" w:line="276" w:lineRule="auto"/>
        <w:jc w:val="both"/>
        <w:rPr>
          <w:color w:val="000000"/>
        </w:rPr>
      </w:pPr>
      <w:r w:rsidRPr="00964781">
        <w:rPr>
          <w:rFonts w:eastAsia="Times New Roman" w:cstheme="minorHAnsi"/>
          <w:bCs/>
        </w:rPr>
        <w:tab/>
      </w:r>
      <w:r w:rsidRPr="00964781">
        <w:rPr>
          <w:color w:val="000000"/>
        </w:rPr>
        <w:t xml:space="preserve">Posebnoj provjeri kakvoće lijeka iz članka 175. Zakona podliježe svaka serija lijeka iz ljudske krvi ili ljudske plazme i cjepiva, osim serije za koju je nadležno tijelo države članice EU-a, EGP-a i Švicarske provelo provjeru kakvoće i izdalo certifikat o obavljenoj provjeri kakvoće (engl. </w:t>
      </w:r>
      <w:r w:rsidRPr="00964781">
        <w:rPr>
          <w:i/>
          <w:color w:val="000000"/>
        </w:rPr>
        <w:t>EU Official Control Authority Batch Release Certificate</w:t>
      </w:r>
      <w:r w:rsidRPr="00964781">
        <w:rPr>
          <w:color w:val="000000"/>
        </w:rPr>
        <w:t xml:space="preserve">, EU OCABR certifikat). Za seriju lijeka za koju je izdan EU/EEA OCABR certifikat HALMED provodi </w:t>
      </w:r>
      <w:r w:rsidRPr="00964781">
        <w:rPr>
          <w:rFonts w:cs="Helvetica"/>
        </w:rPr>
        <w:t>administrativno-stručnu provjeru podataka.</w:t>
      </w:r>
    </w:p>
    <w:p w14:paraId="59B50E37" w14:textId="77777777" w:rsidR="009A75C2" w:rsidRPr="00964781" w:rsidRDefault="009A75C2" w:rsidP="009A75C2">
      <w:pPr>
        <w:spacing w:after="240" w:line="276" w:lineRule="auto"/>
        <w:jc w:val="both"/>
        <w:rPr>
          <w:color w:val="000000"/>
          <w:lang w:eastAsia="hr-HR"/>
        </w:rPr>
      </w:pPr>
      <w:r w:rsidRPr="00964781">
        <w:rPr>
          <w:color w:val="000000"/>
          <w:lang w:eastAsia="hr-HR"/>
        </w:rPr>
        <w:t xml:space="preserve">Nositelj odobrenja za stavljanje lijeka u promet ili veleprodaja obvezni su dostaviti dokumentaciju </w:t>
      </w:r>
      <w:r w:rsidRPr="00964781">
        <w:t xml:space="preserve">u skladu s člankom 13. Pravilnika o provjeri kakvoće lijeka (NN, br. </w:t>
      </w:r>
      <w:hyperlink r:id="rId31" w:tgtFrame="_blank" w:history="1">
        <w:r w:rsidRPr="00AE558F">
          <w:rPr>
            <w:rStyle w:val="Hyperlink"/>
            <w:color w:val="auto"/>
            <w:u w:val="none"/>
          </w:rPr>
          <w:t>60/14.)</w:t>
        </w:r>
      </w:hyperlink>
      <w:r w:rsidRPr="00964781">
        <w:t xml:space="preserve"> </w:t>
      </w:r>
      <w:r w:rsidRPr="00964781">
        <w:rPr>
          <w:color w:val="000000"/>
          <w:lang w:eastAsia="hr-HR"/>
        </w:rPr>
        <w:t>koju Agencija u skladu sa Zakonom i Pravilnikom mora provjeriti u roku od 7 dana od dana primitka zahtjeva. Ako Agencija u navedenom roku ne obavijesti nositelja odobrenja za stavljanje lijeka u promet ili veleprodaju o nedostacima u dokumentaciji, lijek se može staviti u promet. Navedena usluga se ne naplaćuje.</w:t>
      </w:r>
    </w:p>
    <w:p w14:paraId="11EF35EA" w14:textId="77777777" w:rsidR="009A75C2" w:rsidRPr="00BA3754" w:rsidRDefault="009A75C2" w:rsidP="009A75C2">
      <w:pPr>
        <w:spacing w:after="240" w:line="276" w:lineRule="auto"/>
        <w:jc w:val="both"/>
        <w:rPr>
          <w:rFonts w:cs="Helvetica"/>
        </w:rPr>
      </w:pPr>
      <w:r w:rsidRPr="00964781">
        <w:rPr>
          <w:rFonts w:cs="Helvetica"/>
        </w:rPr>
        <w:t xml:space="preserve">Podaci o administrativno-stručnoj provjeri </w:t>
      </w:r>
      <w:r w:rsidRPr="00BA3754">
        <w:rPr>
          <w:rFonts w:cs="Helvetica"/>
        </w:rPr>
        <w:t xml:space="preserve">podataka u izvještajnom razdoblju za serije lijeka za koje je izdan EU/EEA OCABR certifikat prikazani su </w:t>
      </w:r>
      <w:r w:rsidRPr="0054119A">
        <w:rPr>
          <w:rFonts w:cs="Helvetica"/>
        </w:rPr>
        <w:t xml:space="preserve">u </w:t>
      </w:r>
      <w:r w:rsidRPr="005265AF">
        <w:rPr>
          <w:rFonts w:cs="Helvetica"/>
        </w:rPr>
        <w:t>Tablici br. 23.</w:t>
      </w:r>
    </w:p>
    <w:p w14:paraId="20F414FF" w14:textId="77777777" w:rsidR="009A75C2" w:rsidRPr="00964781" w:rsidRDefault="009A75C2" w:rsidP="009A75C2">
      <w:pPr>
        <w:spacing w:after="240" w:line="276" w:lineRule="auto"/>
        <w:jc w:val="both"/>
        <w:rPr>
          <w:rFonts w:cs="Helvetica"/>
        </w:rPr>
      </w:pPr>
      <w:r w:rsidRPr="00964781">
        <w:rPr>
          <w:rFonts w:cs="Helvetica"/>
        </w:rPr>
        <w:t xml:space="preserve">Posebna provjera kakvoće u skladu s člankom 5. Pravilnika obuhvaća stručno administrativnu ocjenu dokumentacije o seriji lijeka i laboratorijsko ispitivanje uzoraka lijeka. U izvještajnom razdoblju nije provedena nijedna posebna provjera kakvoće prema članu 5. Pravilnika. </w:t>
      </w:r>
    </w:p>
    <w:p w14:paraId="4ED63CF3" w14:textId="77777777" w:rsidR="009A75C2" w:rsidRPr="00BA3754" w:rsidRDefault="009A75C2" w:rsidP="009A75C2">
      <w:pPr>
        <w:pStyle w:val="Heading3"/>
      </w:pPr>
      <w:bookmarkStart w:id="231" w:name="_Toc165035500"/>
      <w:r w:rsidRPr="00BA3754">
        <w:t>2.</w:t>
      </w:r>
      <w:r>
        <w:t>6</w:t>
      </w:r>
      <w:r w:rsidRPr="00BA3754">
        <w:t>.2. Provjera kakvoće lijeka iz prometa</w:t>
      </w:r>
      <w:bookmarkEnd w:id="231"/>
    </w:p>
    <w:p w14:paraId="0BED069B" w14:textId="77777777" w:rsidR="009A75C2" w:rsidRPr="00BA3754" w:rsidRDefault="009A75C2" w:rsidP="009A75C2">
      <w:pPr>
        <w:tabs>
          <w:tab w:val="center" w:pos="858"/>
          <w:tab w:val="right" w:pos="8306"/>
        </w:tabs>
        <w:spacing w:before="240" w:after="240" w:line="276" w:lineRule="auto"/>
        <w:jc w:val="both"/>
        <w:rPr>
          <w:color w:val="000000"/>
        </w:rPr>
      </w:pPr>
      <w:r w:rsidRPr="00BA3754">
        <w:rPr>
          <w:color w:val="000000"/>
        </w:rPr>
        <w:t xml:space="preserve">Provjeru kakvoće lijeka i galenskih pripravaka iz prometa obavlja </w:t>
      </w:r>
      <w:r w:rsidRPr="00BA3754">
        <w:rPr>
          <w:rFonts w:eastAsia="Times New Roman" w:cstheme="minorHAnsi"/>
          <w:bCs/>
        </w:rPr>
        <w:t>HALMED</w:t>
      </w:r>
      <w:r w:rsidRPr="00BA3754">
        <w:rPr>
          <w:color w:val="000000"/>
        </w:rPr>
        <w:t xml:space="preserve"> na zahtjev farmaceutske inspekcije. </w:t>
      </w:r>
      <w:r w:rsidRPr="00BA3754">
        <w:rPr>
          <w:rFonts w:eastAsia="Times New Roman" w:cstheme="minorHAnsi"/>
          <w:bCs/>
        </w:rPr>
        <w:t>HALMED</w:t>
      </w:r>
      <w:r w:rsidRPr="00BA3754">
        <w:rPr>
          <w:color w:val="000000"/>
        </w:rPr>
        <w:t xml:space="preserve"> provjerava kakvoću lijeka prema odobrenim analitičkim postupcima, odnosno prema farmakopejskim i drugim međunarodno prihvaćenim normama i propisima.</w:t>
      </w:r>
    </w:p>
    <w:p w14:paraId="1F2310FF" w14:textId="77777777" w:rsidR="009A75C2" w:rsidRPr="00964781" w:rsidRDefault="009A75C2" w:rsidP="009A75C2">
      <w:pPr>
        <w:tabs>
          <w:tab w:val="center" w:pos="858"/>
          <w:tab w:val="right" w:pos="8306"/>
        </w:tabs>
        <w:spacing w:before="240" w:after="240" w:line="276" w:lineRule="auto"/>
        <w:jc w:val="both"/>
        <w:rPr>
          <w:rFonts w:eastAsia="Times New Roman" w:cstheme="minorHAnsi"/>
          <w:bCs/>
        </w:rPr>
      </w:pPr>
      <w:r w:rsidRPr="005A259D">
        <w:rPr>
          <w:color w:val="000000"/>
        </w:rPr>
        <w:t xml:space="preserve">Podaci o provjeri kakvoće lijekova iz prometa u izvještajnom razdoblju prikazani su u Tablici br. 22. </w:t>
      </w:r>
      <w:r w:rsidRPr="005A259D">
        <w:rPr>
          <w:rFonts w:cs="Helvetica"/>
        </w:rPr>
        <w:t xml:space="preserve">U razdoblju od 1. siječnja do </w:t>
      </w:r>
      <w:r>
        <w:rPr>
          <w:rFonts w:cs="Helvetica"/>
        </w:rPr>
        <w:t>31. prosinca</w:t>
      </w:r>
      <w:r w:rsidRPr="005A259D">
        <w:rPr>
          <w:rFonts w:cs="Helvetica"/>
        </w:rPr>
        <w:t xml:space="preserve"> 2023. godine </w:t>
      </w:r>
      <w:r w:rsidRPr="005A259D">
        <w:rPr>
          <w:rFonts w:eastAsia="Times New Roman" w:cstheme="minorHAnsi"/>
          <w:bCs/>
        </w:rPr>
        <w:t>nije bilo povlačenja serija lijeka zbog utvrđene neispravnosti u kakvoći tijekom provjere kakvoće lijeka.</w:t>
      </w:r>
      <w:r w:rsidRPr="00964781">
        <w:rPr>
          <w:rFonts w:eastAsia="Times New Roman" w:cstheme="minorHAnsi"/>
          <w:bCs/>
        </w:rPr>
        <w:t xml:space="preserve"> </w:t>
      </w:r>
    </w:p>
    <w:p w14:paraId="1F4FD251" w14:textId="77777777" w:rsidR="009A75C2" w:rsidRPr="00964781" w:rsidRDefault="009A75C2" w:rsidP="009A75C2">
      <w:pPr>
        <w:tabs>
          <w:tab w:val="center" w:pos="858"/>
          <w:tab w:val="right" w:pos="8306"/>
        </w:tabs>
        <w:spacing w:after="240" w:line="276" w:lineRule="auto"/>
        <w:jc w:val="both"/>
        <w:rPr>
          <w:rFonts w:eastAsia="Times New Roman" w:cstheme="minorHAnsi"/>
          <w:bCs/>
        </w:rPr>
      </w:pPr>
      <w:r w:rsidRPr="00964781">
        <w:rPr>
          <w:rFonts w:eastAsia="Times New Roman" w:cstheme="minorHAnsi"/>
          <w:bCs/>
        </w:rPr>
        <w:t>Podatke o ispitivanjima lijekova iz prometa u RH, a koji su odobreni MRP/DCP postupcima, HALMED unosi u europsku bazu podataka ispitivanja MRP/DCP lijekova putem koje planove i rezultate ispitivanja tih lijekova evidentiraju svi članovi OMCL mreže te na taj način međusobno razmjenjuju rezultate, ali i uzorke za analizu.</w:t>
      </w:r>
    </w:p>
    <w:p w14:paraId="5444326F" w14:textId="77777777" w:rsidR="009A75C2" w:rsidRPr="00964781" w:rsidRDefault="009A75C2" w:rsidP="009A75C2">
      <w:pPr>
        <w:tabs>
          <w:tab w:val="center" w:pos="858"/>
          <w:tab w:val="right" w:pos="8306"/>
        </w:tabs>
        <w:spacing w:after="240" w:line="276" w:lineRule="auto"/>
        <w:jc w:val="both"/>
        <w:rPr>
          <w:rFonts w:eastAsia="Times New Roman" w:cstheme="minorHAnsi"/>
          <w:bCs/>
        </w:rPr>
      </w:pPr>
      <w:r w:rsidRPr="00964781">
        <w:rPr>
          <w:rFonts w:eastAsia="Times New Roman" w:cstheme="minorHAnsi"/>
          <w:bCs/>
        </w:rPr>
        <w:lastRenderedPageBreak/>
        <w:t xml:space="preserve">Od ulaska Republike Hrvatske u EU, HALMED sudjeluje i u provođenju ispitivanja lijekova odobrenih centraliziranim postupkom za područje EU u skladu s godišnjim planom EMA-e i EDQM-a. </w:t>
      </w:r>
    </w:p>
    <w:p w14:paraId="574FB154" w14:textId="77777777" w:rsidR="009A75C2" w:rsidRPr="000417F7" w:rsidRDefault="009A75C2" w:rsidP="009A75C2">
      <w:pPr>
        <w:tabs>
          <w:tab w:val="center" w:pos="858"/>
          <w:tab w:val="right" w:pos="8306"/>
        </w:tabs>
        <w:spacing w:after="240" w:line="276" w:lineRule="auto"/>
        <w:jc w:val="both"/>
        <w:rPr>
          <w:rFonts w:eastAsia="Times New Roman" w:cstheme="minorHAnsi"/>
          <w:bCs/>
        </w:rPr>
      </w:pPr>
      <w:r w:rsidRPr="006960CC">
        <w:rPr>
          <w:rFonts w:eastAsia="Times New Roman" w:cstheme="minorHAnsi"/>
          <w:bCs/>
        </w:rPr>
        <w:t xml:space="preserve">U izvještajnom </w:t>
      </w:r>
      <w:r w:rsidRPr="006960CC">
        <w:rPr>
          <w:rFonts w:cs="Helvetica"/>
        </w:rPr>
        <w:t xml:space="preserve">razdoblju </w:t>
      </w:r>
      <w:r w:rsidRPr="006960CC">
        <w:rPr>
          <w:rFonts w:eastAsia="Times New Roman" w:cstheme="minorHAnsi"/>
          <w:bCs/>
        </w:rPr>
        <w:t>provedena su ispitivanja tri centralizirano odobrena lijeka  iz prometa u EU/EEA</w:t>
      </w:r>
      <w:r>
        <w:rPr>
          <w:rFonts w:eastAsia="Times New Roman" w:cstheme="minorHAnsi"/>
          <w:bCs/>
        </w:rPr>
        <w:t>..</w:t>
      </w:r>
      <w:r w:rsidRPr="000417F7">
        <w:rPr>
          <w:rFonts w:eastAsia="Times New Roman" w:cstheme="minorHAnsi"/>
          <w:bCs/>
        </w:rPr>
        <w:t xml:space="preserve"> </w:t>
      </w:r>
    </w:p>
    <w:p w14:paraId="2752B7A9" w14:textId="77777777" w:rsidR="009A75C2" w:rsidRPr="00964781" w:rsidRDefault="009A75C2" w:rsidP="009A75C2">
      <w:pPr>
        <w:tabs>
          <w:tab w:val="center" w:pos="858"/>
          <w:tab w:val="right" w:pos="8306"/>
        </w:tabs>
        <w:spacing w:after="240" w:line="276" w:lineRule="auto"/>
        <w:jc w:val="both"/>
        <w:rPr>
          <w:rFonts w:eastAsia="Times New Roman" w:cstheme="minorHAnsi"/>
          <w:bCs/>
        </w:rPr>
      </w:pPr>
      <w:r w:rsidRPr="00481AA6">
        <w:rPr>
          <w:rFonts w:eastAsia="Times New Roman" w:cstheme="minorHAnsi"/>
          <w:bCs/>
        </w:rPr>
        <w:t>Dodatno, HALMED sudjeluje u međunarodnim studijama ispitivanja lijekova s tržišta Europskih zemalja (</w:t>
      </w:r>
      <w:r w:rsidRPr="00481AA6">
        <w:rPr>
          <w:rFonts w:eastAsia="Times New Roman" w:cstheme="minorHAnsi"/>
          <w:bCs/>
          <w:i/>
        </w:rPr>
        <w:t>Market Surveillance Study/MSS</w:t>
      </w:r>
      <w:r w:rsidRPr="00B17BE3">
        <w:rPr>
          <w:rFonts w:eastAsia="Times New Roman" w:cstheme="minorHAnsi"/>
          <w:bCs/>
        </w:rPr>
        <w:t xml:space="preserve">). U 2023. godini planirano je </w:t>
      </w:r>
      <w:r>
        <w:rPr>
          <w:rFonts w:eastAsia="Times New Roman" w:cstheme="minorHAnsi"/>
          <w:bCs/>
        </w:rPr>
        <w:t xml:space="preserve">još </w:t>
      </w:r>
      <w:r w:rsidRPr="00B17BE3">
        <w:rPr>
          <w:rFonts w:eastAsia="Times New Roman" w:cstheme="minorHAnsi"/>
          <w:bCs/>
        </w:rPr>
        <w:t>sudjelovanje u dvije studije ispitivanja lijekova s tržišta EU, u organizaciji EDQM-a (</w:t>
      </w:r>
      <w:r w:rsidRPr="00B17BE3">
        <w:rPr>
          <w:rFonts w:eastAsia="Times New Roman" w:cstheme="minorHAnsi"/>
          <w:bCs/>
          <w:i/>
        </w:rPr>
        <w:t>MSS062 Pregabalin hard capsules, MSS063 Rosuvastatin tablets and APIs</w:t>
      </w:r>
      <w:r w:rsidRPr="00B17BE3">
        <w:rPr>
          <w:rFonts w:eastAsia="Times New Roman" w:cstheme="minorHAnsi"/>
          <w:bCs/>
        </w:rPr>
        <w:t>)</w:t>
      </w:r>
      <w:r>
        <w:rPr>
          <w:rFonts w:eastAsia="Times New Roman" w:cstheme="minorHAnsi"/>
          <w:bCs/>
        </w:rPr>
        <w:t xml:space="preserve">, ali su na zahtjev EDQM-a studije prebačene u 2024. </w:t>
      </w:r>
    </w:p>
    <w:p w14:paraId="2B5CA790" w14:textId="77777777" w:rsidR="009A75C2" w:rsidRPr="00964781" w:rsidRDefault="009A75C2" w:rsidP="009A75C2">
      <w:pPr>
        <w:pStyle w:val="Heading3"/>
      </w:pPr>
      <w:bookmarkStart w:id="232" w:name="_Toc165035501"/>
      <w:r w:rsidRPr="00964781">
        <w:t>2.</w:t>
      </w:r>
      <w:r>
        <w:t>6</w:t>
      </w:r>
      <w:r w:rsidRPr="00964781">
        <w:t>.3. Izvanredna provjera kakvoće lijeka</w:t>
      </w:r>
      <w:bookmarkEnd w:id="232"/>
      <w:r w:rsidRPr="00964781">
        <w:t xml:space="preserve"> </w:t>
      </w:r>
    </w:p>
    <w:p w14:paraId="1C94F8A3" w14:textId="77777777" w:rsidR="009A75C2" w:rsidRDefault="009A75C2" w:rsidP="009A75C2">
      <w:pPr>
        <w:tabs>
          <w:tab w:val="center" w:pos="858"/>
          <w:tab w:val="right" w:pos="8306"/>
        </w:tabs>
        <w:spacing w:before="240" w:after="240" w:line="276" w:lineRule="auto"/>
        <w:jc w:val="both"/>
        <w:rPr>
          <w:color w:val="000000"/>
        </w:rPr>
      </w:pPr>
      <w:r w:rsidRPr="00964781">
        <w:rPr>
          <w:color w:val="000000"/>
        </w:rPr>
        <w:t xml:space="preserve">Izvanredna provjera kakvoće lijeka obavlja se zbog znakova neuobičajenih pojava ili sumnji u kakvoću, odnosno krivotvorinu lijeka ili galenskog pripravka. Izvanredna provjera kakvoće obavlja se na zahtjev Ministarstva zdravstva ili </w:t>
      </w:r>
      <w:r w:rsidRPr="00964781">
        <w:rPr>
          <w:rFonts w:eastAsia="Times New Roman" w:cstheme="minorHAnsi"/>
          <w:bCs/>
        </w:rPr>
        <w:t>HALMED-a</w:t>
      </w:r>
      <w:r w:rsidRPr="00964781">
        <w:rPr>
          <w:color w:val="000000"/>
        </w:rPr>
        <w:t xml:space="preserve">. </w:t>
      </w:r>
      <w:r>
        <w:rPr>
          <w:color w:val="000000"/>
        </w:rPr>
        <w:t>Temeljem provedene izvanredne provjere kakvoće pokrenuto je povlačenje jedne serije lijeka zbog utvrđene neispravnosti u kakvoći lijeka.</w:t>
      </w:r>
    </w:p>
    <w:p w14:paraId="1A1336F8" w14:textId="77777777" w:rsidR="009A75C2" w:rsidRPr="00964781" w:rsidRDefault="009A75C2" w:rsidP="009A75C2">
      <w:pPr>
        <w:tabs>
          <w:tab w:val="center" w:pos="858"/>
          <w:tab w:val="right" w:pos="8306"/>
        </w:tabs>
        <w:spacing w:before="240" w:after="240" w:line="276" w:lineRule="auto"/>
        <w:jc w:val="both"/>
        <w:rPr>
          <w:color w:val="000000"/>
        </w:rPr>
      </w:pPr>
      <w:r>
        <w:rPr>
          <w:color w:val="000000"/>
        </w:rPr>
        <w:t>Na zahtjev Odsjeka za medicinske proizvode provedena je provjera kakvoće medicinskog proizvoda zbog sumnje u kakvoću prijavljene od strane zdravstvene ustanove. Provedenim ispitivanjima utvrđeno je da ispitani uzorci odgovaraju zahtjevu kakvoće za ispitane parametre.</w:t>
      </w:r>
    </w:p>
    <w:p w14:paraId="6E3092F2" w14:textId="77777777" w:rsidR="009A75C2" w:rsidRPr="00BA3754" w:rsidRDefault="009A75C2" w:rsidP="009A75C2">
      <w:pPr>
        <w:spacing w:after="240" w:line="276" w:lineRule="auto"/>
        <w:jc w:val="both"/>
        <w:rPr>
          <w:rFonts w:cs="Helvetica"/>
        </w:rPr>
      </w:pPr>
      <w:r w:rsidRPr="00BA3754">
        <w:rPr>
          <w:rFonts w:cs="Helvetica"/>
        </w:rPr>
        <w:t xml:space="preserve">Podaci o izvanrednoj provjeri kakvoće u izvještajnom razdoblju prikazani </w:t>
      </w:r>
      <w:r w:rsidRPr="0044528D">
        <w:rPr>
          <w:rFonts w:cs="Helvetica"/>
        </w:rPr>
        <w:t xml:space="preserve">su u </w:t>
      </w:r>
      <w:r w:rsidRPr="006F01E1">
        <w:rPr>
          <w:rFonts w:cs="Helvetica"/>
        </w:rPr>
        <w:t>Tablici br. 22 i 23.</w:t>
      </w:r>
    </w:p>
    <w:p w14:paraId="5882395C" w14:textId="77777777" w:rsidR="009A75C2" w:rsidRPr="00BA3754" w:rsidRDefault="009A75C2" w:rsidP="009A75C2">
      <w:pPr>
        <w:pStyle w:val="Heading3"/>
      </w:pPr>
      <w:bookmarkStart w:id="233" w:name="_Toc165035502"/>
      <w:r w:rsidRPr="00BA3754">
        <w:t>2.</w:t>
      </w:r>
      <w:r>
        <w:t>6</w:t>
      </w:r>
      <w:r w:rsidRPr="00BA3754">
        <w:t>.4. Kontrola kvalitete veterinarsko-medicinskih proizvoda</w:t>
      </w:r>
      <w:bookmarkEnd w:id="233"/>
    </w:p>
    <w:p w14:paraId="16DF6A8C" w14:textId="77777777" w:rsidR="009A75C2" w:rsidRDefault="009A75C2" w:rsidP="009A75C2">
      <w:pPr>
        <w:spacing w:after="240" w:line="276" w:lineRule="auto"/>
        <w:jc w:val="both"/>
        <w:rPr>
          <w:rFonts w:cs="Helvetica"/>
        </w:rPr>
      </w:pPr>
      <w:r w:rsidRPr="005B1B0B">
        <w:rPr>
          <w:rFonts w:cs="Helvetica"/>
        </w:rPr>
        <w:t xml:space="preserve">Odlukom Ministarstva poljoprivrede, Klasa: UP/l-322-01 /19-01 /52, urbroj: 525-10 /0535-19-3, od dana 20. rujna 2019. godine, Odjel službenog laboratorija za provjeru lijekova-OMCL na temelju članka 70. stavka 2. i članka 71. stavka 2. Zakona o veterinarsko-medicinskim proizvodima (,,Narodne novine", br.: 84/08, 56/13, 94/13, 15/15 i 32/19) ovlašten je za izvanrednu kontrolu kvalitete i kontrolu kvalitete veterinarsko­medicinskih proizvoda u prometu. </w:t>
      </w:r>
      <w:r w:rsidRPr="00BA3754">
        <w:rPr>
          <w:rFonts w:cs="Helvetica"/>
        </w:rPr>
        <w:t xml:space="preserve">Podaci o izvanrednoj i redovnoj kontroli kvalitete veterinarsko-medicinskih proizvoda u prometu prikazani su </w:t>
      </w:r>
      <w:r w:rsidRPr="0044528D">
        <w:rPr>
          <w:rFonts w:cs="Helvetica"/>
        </w:rPr>
        <w:t xml:space="preserve">u </w:t>
      </w:r>
      <w:r w:rsidRPr="005A259D">
        <w:rPr>
          <w:rFonts w:cs="Helvetica"/>
        </w:rPr>
        <w:t xml:space="preserve">Tablici 22. </w:t>
      </w:r>
    </w:p>
    <w:p w14:paraId="14073476" w14:textId="77777777" w:rsidR="009A75C2" w:rsidRPr="00964781" w:rsidRDefault="009A75C2" w:rsidP="009A75C2">
      <w:pPr>
        <w:spacing w:after="240" w:line="276" w:lineRule="auto"/>
        <w:jc w:val="both"/>
        <w:rPr>
          <w:rFonts w:cs="Helvetica"/>
        </w:rPr>
      </w:pPr>
      <w:r w:rsidRPr="005A259D">
        <w:rPr>
          <w:rFonts w:cs="Helvetica"/>
        </w:rPr>
        <w:t>U</w:t>
      </w:r>
      <w:r>
        <w:rPr>
          <w:rFonts w:cs="Helvetica"/>
        </w:rPr>
        <w:t xml:space="preserve"> izvještajnom razoblju izdana su tri negativna nalaza o kontroli kvalitete veterinarsko-medicinskih proizvoda (dva ispitana uzoraka nisu bila u skladu s prihvaćenim zahtjevom kakvoće u pogledu ispitanih parametara, a kod jednog uzorka unutarnje označavanje nije bilo u skladu s važećim odobrenjem za stavljanje veterinarsko-medicinskog proizvoda u promet).  </w:t>
      </w:r>
    </w:p>
    <w:p w14:paraId="73743DCC" w14:textId="77777777" w:rsidR="009A75C2" w:rsidRPr="00964781" w:rsidRDefault="009A75C2" w:rsidP="009A75C2">
      <w:pPr>
        <w:pStyle w:val="Heading3"/>
      </w:pPr>
      <w:bookmarkStart w:id="234" w:name="_Toc165035503"/>
      <w:r w:rsidRPr="00964781">
        <w:t>2.</w:t>
      </w:r>
      <w:r>
        <w:t>6</w:t>
      </w:r>
      <w:r w:rsidRPr="00964781">
        <w:t>.</w:t>
      </w:r>
      <w:r>
        <w:t>5</w:t>
      </w:r>
      <w:r w:rsidRPr="00964781">
        <w:t>. Međulaboratorijske usporedbe</w:t>
      </w:r>
      <w:bookmarkEnd w:id="234"/>
    </w:p>
    <w:p w14:paraId="4D73BE62" w14:textId="77777777" w:rsidR="009A75C2" w:rsidRPr="009A0134" w:rsidRDefault="009A75C2" w:rsidP="009A75C2">
      <w:pPr>
        <w:tabs>
          <w:tab w:val="center" w:pos="858"/>
          <w:tab w:val="center" w:pos="4320"/>
          <w:tab w:val="right" w:pos="8306"/>
          <w:tab w:val="right" w:pos="8640"/>
        </w:tabs>
        <w:spacing w:before="240" w:after="240" w:line="276" w:lineRule="auto"/>
        <w:jc w:val="both"/>
        <w:rPr>
          <w:rFonts w:eastAsia="Times New Roman" w:cstheme="minorHAnsi"/>
        </w:rPr>
      </w:pPr>
      <w:r w:rsidRPr="00964781">
        <w:rPr>
          <w:rFonts w:eastAsia="Times New Roman" w:cstheme="minorHAnsi"/>
        </w:rPr>
        <w:tab/>
      </w:r>
      <w:r w:rsidRPr="009A0134">
        <w:rPr>
          <w:rFonts w:eastAsia="Times New Roman" w:cstheme="minorHAnsi"/>
        </w:rPr>
        <w:t>U svrhu jačanja kompetencija i unaprjeđenja kakvoće laboratorijskih ispitivanja, HALMED sudjeluje u međulaboratorijskim usporedbama</w:t>
      </w:r>
      <w:r>
        <w:rPr>
          <w:rFonts w:eastAsia="Times New Roman" w:cstheme="minorHAnsi"/>
        </w:rPr>
        <w:t>.</w:t>
      </w:r>
      <w:r w:rsidRPr="009A0134">
        <w:rPr>
          <w:rFonts w:eastAsia="Times New Roman" w:cstheme="minorHAnsi"/>
        </w:rPr>
        <w:t xml:space="preserve"> </w:t>
      </w:r>
      <w:r w:rsidRPr="00F45EA9">
        <w:rPr>
          <w:rFonts w:cs="Helvetica"/>
        </w:rPr>
        <w:t xml:space="preserve">U izvještajnom razdoblju </w:t>
      </w:r>
      <w:r w:rsidRPr="00F45EA9">
        <w:rPr>
          <w:rFonts w:eastAsia="Times New Roman" w:cstheme="minorHAnsi"/>
        </w:rPr>
        <w:t xml:space="preserve">HALMED je sudjelovao u </w:t>
      </w:r>
      <w:r>
        <w:rPr>
          <w:rFonts w:eastAsia="Times New Roman" w:cstheme="minorHAnsi"/>
        </w:rPr>
        <w:t>pet</w:t>
      </w:r>
      <w:r w:rsidRPr="00F45EA9">
        <w:rPr>
          <w:rFonts w:eastAsia="Times New Roman" w:cstheme="minorHAnsi"/>
        </w:rPr>
        <w:t xml:space="preserve"> međulaboratorijsk</w:t>
      </w:r>
      <w:r>
        <w:rPr>
          <w:rFonts w:eastAsia="Times New Roman" w:cstheme="minorHAnsi"/>
        </w:rPr>
        <w:t>ih</w:t>
      </w:r>
      <w:r w:rsidRPr="00F45EA9">
        <w:rPr>
          <w:rFonts w:eastAsia="Times New Roman" w:cstheme="minorHAnsi"/>
        </w:rPr>
        <w:t xml:space="preserve"> usporedb</w:t>
      </w:r>
      <w:r>
        <w:rPr>
          <w:rFonts w:eastAsia="Times New Roman" w:cstheme="minorHAnsi"/>
        </w:rPr>
        <w:t>i</w:t>
      </w:r>
      <w:r w:rsidRPr="00F45EA9">
        <w:rPr>
          <w:rFonts w:eastAsia="Times New Roman" w:cstheme="minorHAnsi"/>
        </w:rPr>
        <w:t xml:space="preserve"> u organizaciji EDQM-a (PTS22</w:t>
      </w:r>
      <w:r>
        <w:rPr>
          <w:rFonts w:eastAsia="Times New Roman" w:cstheme="minorHAnsi"/>
        </w:rPr>
        <w:t xml:space="preserve">9 Osmolality, PTS235 Water semi micro determination, PTS237 Dissolution test, PTS238 Liquid chromatography i PTS239 Thin layer chromatography) i jednoj međulaboratorijskoj usporedbi u organizaciji LGC-a (PT-PH-05 Sterility).  </w:t>
      </w:r>
    </w:p>
    <w:p w14:paraId="6C5B986E" w14:textId="77777777" w:rsidR="009A75C2" w:rsidRPr="009A0134" w:rsidRDefault="009A75C2" w:rsidP="009A75C2">
      <w:pPr>
        <w:tabs>
          <w:tab w:val="center" w:pos="858"/>
          <w:tab w:val="center" w:pos="4320"/>
          <w:tab w:val="right" w:pos="8306"/>
          <w:tab w:val="right" w:pos="8640"/>
        </w:tabs>
        <w:spacing w:after="120"/>
        <w:jc w:val="both"/>
        <w:rPr>
          <w:rFonts w:eastAsia="Times New Roman" w:cstheme="minorHAnsi"/>
        </w:rPr>
      </w:pPr>
      <w:r w:rsidRPr="009A0134">
        <w:rPr>
          <w:rFonts w:eastAsia="Times New Roman" w:cstheme="minorHAnsi"/>
        </w:rPr>
        <w:t xml:space="preserve">Podaci o provedenim ispitivanjima u izvještajnom razdoblju prikazani su u </w:t>
      </w:r>
      <w:r w:rsidRPr="005A259D">
        <w:rPr>
          <w:rFonts w:eastAsia="Times New Roman" w:cstheme="minorHAnsi"/>
        </w:rPr>
        <w:t>Tablici br. 23.</w:t>
      </w:r>
    </w:p>
    <w:p w14:paraId="10F3A435" w14:textId="77777777" w:rsidR="009A75C2" w:rsidRPr="009A0134" w:rsidRDefault="009A75C2" w:rsidP="009A75C2">
      <w:pPr>
        <w:pStyle w:val="Heading3"/>
      </w:pPr>
      <w:bookmarkStart w:id="235" w:name="_Toc165035504"/>
      <w:r w:rsidRPr="009A0134">
        <w:lastRenderedPageBreak/>
        <w:t>2.</w:t>
      </w:r>
      <w:r>
        <w:t>6</w:t>
      </w:r>
      <w:r w:rsidRPr="009A0134">
        <w:t>.6. Kolaborativne studije</w:t>
      </w:r>
      <w:bookmarkEnd w:id="235"/>
    </w:p>
    <w:p w14:paraId="6DEF3CA0" w14:textId="77777777" w:rsidR="009A75C2" w:rsidRPr="00964781" w:rsidRDefault="009A75C2" w:rsidP="009A75C2">
      <w:pPr>
        <w:spacing w:before="240" w:after="240" w:line="276" w:lineRule="auto"/>
        <w:jc w:val="both"/>
        <w:rPr>
          <w:rFonts w:eastAsia="Times New Roman" w:cstheme="minorHAnsi"/>
          <w:bCs/>
        </w:rPr>
      </w:pPr>
      <w:r w:rsidRPr="009A0134">
        <w:rPr>
          <w:rFonts w:eastAsia="Times New Roman" w:cstheme="minorHAnsi"/>
          <w:bCs/>
        </w:rPr>
        <w:t xml:space="preserve">Kolaborativnim studijama utvrđuje se vrijednost novih referentnih materijala Europske farmakopeje. </w:t>
      </w:r>
    </w:p>
    <w:p w14:paraId="0DF5A8E2" w14:textId="77777777" w:rsidR="009A75C2" w:rsidRPr="00BA3754" w:rsidRDefault="009A75C2" w:rsidP="009A75C2">
      <w:pPr>
        <w:spacing w:before="240" w:after="240" w:line="276" w:lineRule="auto"/>
        <w:jc w:val="both"/>
        <w:rPr>
          <w:rFonts w:eastAsia="Times New Roman" w:cstheme="minorHAnsi"/>
          <w:bCs/>
        </w:rPr>
      </w:pPr>
      <w:r w:rsidRPr="00964781">
        <w:rPr>
          <w:rFonts w:eastAsia="Times New Roman" w:cstheme="minorHAnsi"/>
          <w:bCs/>
        </w:rPr>
        <w:t xml:space="preserve">U izvještajnom razdoblju </w:t>
      </w:r>
      <w:r w:rsidRPr="00BA3754">
        <w:rPr>
          <w:rFonts w:eastAsia="Times New Roman" w:cstheme="minorHAnsi"/>
          <w:bCs/>
        </w:rPr>
        <w:t xml:space="preserve">HALMED </w:t>
      </w:r>
      <w:r>
        <w:rPr>
          <w:rFonts w:eastAsia="Times New Roman" w:cstheme="minorHAnsi"/>
          <w:bCs/>
        </w:rPr>
        <w:t xml:space="preserve">je sudjelovao u </w:t>
      </w:r>
      <w:r w:rsidRPr="00BA3754">
        <w:rPr>
          <w:rFonts w:eastAsia="Times New Roman" w:cstheme="minorHAnsi"/>
          <w:bCs/>
        </w:rPr>
        <w:t xml:space="preserve"> </w:t>
      </w:r>
      <w:r>
        <w:rPr>
          <w:rFonts w:eastAsia="Times New Roman" w:cstheme="minorHAnsi"/>
          <w:bCs/>
        </w:rPr>
        <w:t>jednoj kolaborativnoj studiji</w:t>
      </w:r>
      <w:r w:rsidRPr="00BA3754">
        <w:rPr>
          <w:rFonts w:eastAsia="Times New Roman" w:cstheme="minorHAnsi"/>
          <w:bCs/>
        </w:rPr>
        <w:t xml:space="preserve"> za uspostavu referentnih materijala EDQM-a</w:t>
      </w:r>
      <w:r w:rsidRPr="00954B90">
        <w:t xml:space="preserve"> </w:t>
      </w:r>
      <w:r>
        <w:t>(</w:t>
      </w:r>
      <w:r w:rsidRPr="00954B90">
        <w:rPr>
          <w:rFonts w:eastAsia="Times New Roman" w:cstheme="minorHAnsi"/>
          <w:bCs/>
        </w:rPr>
        <w:t>Collaborative study Alpha-tocopheryl acetate CRS 11</w:t>
      </w:r>
      <w:r>
        <w:rPr>
          <w:rFonts w:eastAsia="Times New Roman" w:cstheme="minorHAnsi"/>
          <w:bCs/>
        </w:rPr>
        <w:t>).</w:t>
      </w:r>
    </w:p>
    <w:p w14:paraId="245CA92A" w14:textId="77777777" w:rsidR="009A75C2" w:rsidRPr="00964781" w:rsidRDefault="009A75C2" w:rsidP="009A75C2">
      <w:pPr>
        <w:spacing w:after="200" w:line="276" w:lineRule="auto"/>
        <w:jc w:val="both"/>
      </w:pPr>
      <w:r w:rsidRPr="00BA3754">
        <w:t xml:space="preserve">Podaci o provedenim ispitivanjima u izvještajnom razdoblju prikazani su </w:t>
      </w:r>
      <w:r w:rsidRPr="0044528D">
        <w:t xml:space="preserve">u </w:t>
      </w:r>
      <w:r w:rsidRPr="005A259D">
        <w:t>Tablici br. 22a.</w:t>
      </w:r>
    </w:p>
    <w:p w14:paraId="11D2798A" w14:textId="77777777" w:rsidR="009A75C2" w:rsidRPr="00964781" w:rsidRDefault="009A75C2" w:rsidP="009A75C2">
      <w:pPr>
        <w:pStyle w:val="Heading3"/>
      </w:pPr>
      <w:bookmarkStart w:id="236" w:name="_Toc165035505"/>
      <w:r w:rsidRPr="00964781">
        <w:t>2.</w:t>
      </w:r>
      <w:r>
        <w:t>6</w:t>
      </w:r>
      <w:r w:rsidRPr="00964781">
        <w:t>.</w:t>
      </w:r>
      <w:r>
        <w:t>7</w:t>
      </w:r>
      <w:r w:rsidRPr="00964781">
        <w:t>. Provjera kakvoće referentnih materijala Europske farmakopeje temeljem međunarodnog ugovora</w:t>
      </w:r>
      <w:bookmarkEnd w:id="236"/>
    </w:p>
    <w:p w14:paraId="528D6F56" w14:textId="77777777" w:rsidR="009A75C2" w:rsidRPr="00BA3754" w:rsidRDefault="009A75C2" w:rsidP="009A75C2">
      <w:pPr>
        <w:spacing w:after="200" w:line="276" w:lineRule="auto"/>
        <w:jc w:val="both"/>
      </w:pPr>
      <w:r w:rsidRPr="00136B03">
        <w:t>Temeljem ugovora s EDQM-om</w:t>
      </w:r>
      <w:r>
        <w:t xml:space="preserve"> iz 2019. godine</w:t>
      </w:r>
      <w:r w:rsidRPr="00964781">
        <w:t xml:space="preserve"> OMCL HALMED-a provodi ispitivanja u svrhu nadzora kakvoće utvrđenih referentnih materijala Europske </w:t>
      </w:r>
      <w:r w:rsidRPr="00BA3754">
        <w:t xml:space="preserve">farmakopeje. </w:t>
      </w:r>
    </w:p>
    <w:p w14:paraId="16F505AB" w14:textId="77777777" w:rsidR="009A75C2" w:rsidRPr="00964781" w:rsidRDefault="009A75C2" w:rsidP="009A75C2">
      <w:pPr>
        <w:spacing w:after="200" w:line="276" w:lineRule="auto"/>
        <w:jc w:val="both"/>
      </w:pPr>
      <w:r w:rsidRPr="00BA3754">
        <w:t xml:space="preserve">Podaci o provedenim ispitivanjima u izvještajnom razdoblju prikazani su </w:t>
      </w:r>
      <w:r w:rsidRPr="0044528D">
        <w:t xml:space="preserve">u </w:t>
      </w:r>
      <w:r w:rsidRPr="005A259D">
        <w:t>Tablici br. 22a.</w:t>
      </w:r>
    </w:p>
    <w:p w14:paraId="50E73947" w14:textId="77777777" w:rsidR="009A75C2" w:rsidRPr="00964781" w:rsidRDefault="009A75C2" w:rsidP="009A75C2">
      <w:pPr>
        <w:pStyle w:val="Heading3"/>
      </w:pPr>
      <w:bookmarkStart w:id="237" w:name="_Toc165035506"/>
      <w:r w:rsidRPr="00964781">
        <w:t>2.</w:t>
      </w:r>
      <w:r>
        <w:t>6</w:t>
      </w:r>
      <w:r w:rsidRPr="00964781">
        <w:t>.</w:t>
      </w:r>
      <w:r>
        <w:t>8</w:t>
      </w:r>
      <w:r w:rsidRPr="00964781">
        <w:t>. Uzorkovanje lijekova odobrenih centraliziranim postupkom s tržišta RH u svrhu provjere kakvoće</w:t>
      </w:r>
      <w:bookmarkEnd w:id="237"/>
      <w:r w:rsidRPr="00964781">
        <w:t xml:space="preserve"> </w:t>
      </w:r>
    </w:p>
    <w:p w14:paraId="518D2F8F" w14:textId="77777777" w:rsidR="009A75C2" w:rsidRPr="00964781" w:rsidRDefault="009A75C2" w:rsidP="009A75C2">
      <w:pPr>
        <w:spacing w:after="200" w:line="276" w:lineRule="auto"/>
        <w:jc w:val="both"/>
      </w:pPr>
      <w:r w:rsidRPr="00964781">
        <w:t xml:space="preserve">Temeljem ovlaštenja Ministarstva </w:t>
      </w:r>
      <w:r w:rsidRPr="00136B03">
        <w:t>zdravstva,</w:t>
      </w:r>
      <w:r w:rsidRPr="00964781">
        <w:t xml:space="preserve"> djelatnici OMCL</w:t>
      </w:r>
      <w:r>
        <w:t>-a</w:t>
      </w:r>
      <w:r w:rsidRPr="00964781">
        <w:t xml:space="preserve"> provode uzorkovanja lijekova odobrenih centraliziranim postupkom s tržišta RH, prema godišnjem planu uzorkovanja kojeg izrađuje EMA-a u koordinaciji s EDQM-om. </w:t>
      </w:r>
    </w:p>
    <w:p w14:paraId="306667D4" w14:textId="77777777" w:rsidR="009A75C2" w:rsidRPr="00964781" w:rsidRDefault="009A75C2" w:rsidP="009A75C2">
      <w:pPr>
        <w:spacing w:after="200" w:line="276" w:lineRule="auto"/>
      </w:pPr>
      <w:r w:rsidRPr="00964781">
        <w:t xml:space="preserve">Podaci o provedenim uzorkovanjima u izvještajnom </w:t>
      </w:r>
      <w:r w:rsidRPr="00BA3754">
        <w:t xml:space="preserve">razdoblju prikazani su </w:t>
      </w:r>
      <w:r w:rsidRPr="0044528D">
        <w:t xml:space="preserve">u </w:t>
      </w:r>
      <w:r w:rsidRPr="005A259D">
        <w:t>Tablici br. 22a.</w:t>
      </w:r>
    </w:p>
    <w:p w14:paraId="63A9F28D" w14:textId="77777777" w:rsidR="009A75C2" w:rsidRPr="00964781" w:rsidRDefault="009A75C2" w:rsidP="009A75C2">
      <w:pPr>
        <w:pStyle w:val="Heading3"/>
      </w:pPr>
      <w:bookmarkStart w:id="238" w:name="_Toc165035507"/>
      <w:r w:rsidRPr="00964781">
        <w:t>2.</w:t>
      </w:r>
      <w:r>
        <w:t>6</w:t>
      </w:r>
      <w:r w:rsidRPr="00964781">
        <w:t>.</w:t>
      </w:r>
      <w:r>
        <w:t>9</w:t>
      </w:r>
      <w:r w:rsidRPr="00964781">
        <w:t>. Europski poslovi</w:t>
      </w:r>
      <w:bookmarkEnd w:id="238"/>
    </w:p>
    <w:p w14:paraId="09CAF074" w14:textId="77777777" w:rsidR="009A75C2" w:rsidRPr="00964781" w:rsidRDefault="009A75C2" w:rsidP="009A75C2">
      <w:pPr>
        <w:pStyle w:val="Heading4"/>
      </w:pPr>
      <w:r w:rsidRPr="00964781">
        <w:t>2.</w:t>
      </w:r>
      <w:r>
        <w:t>6</w:t>
      </w:r>
      <w:r w:rsidRPr="00964781">
        <w:t>.</w:t>
      </w:r>
      <w:r>
        <w:t>9</w:t>
      </w:r>
      <w:r w:rsidRPr="00964781">
        <w:t>.1. Izvješće o radu HALMED-a u povjerenstvima i radnim skupinama EDQM-a</w:t>
      </w:r>
    </w:p>
    <w:p w14:paraId="497754D4" w14:textId="77777777" w:rsidR="009A75C2" w:rsidRPr="00964781" w:rsidRDefault="009A75C2" w:rsidP="009A75C2">
      <w:pPr>
        <w:spacing w:before="240" w:after="240"/>
        <w:rPr>
          <w:b/>
        </w:rPr>
      </w:pPr>
      <w:r w:rsidRPr="00964781">
        <w:rPr>
          <w:b/>
        </w:rPr>
        <w:t>A) Rad HALMED-a u OMCL mreži</w:t>
      </w:r>
    </w:p>
    <w:p w14:paraId="01FE15D2" w14:textId="77777777" w:rsidR="009A75C2" w:rsidRPr="00BA3754" w:rsidRDefault="009A75C2" w:rsidP="009A75C2">
      <w:pPr>
        <w:spacing w:after="120" w:line="276" w:lineRule="auto"/>
        <w:contextualSpacing/>
        <w:jc w:val="both"/>
        <w:rPr>
          <w:rFonts w:ascii="Calibri" w:hAnsi="Calibri" w:cs="Calibri"/>
        </w:rPr>
      </w:pPr>
      <w:r w:rsidRPr="00964781">
        <w:rPr>
          <w:rFonts w:ascii="Calibri" w:hAnsi="Calibri" w:cs="Calibri"/>
        </w:rPr>
        <w:t xml:space="preserve">Odjel službenog laboratorija za provjeru kakvoće </w:t>
      </w:r>
      <w:r w:rsidRPr="00136B03">
        <w:rPr>
          <w:rFonts w:ascii="Calibri" w:hAnsi="Calibri" w:cs="Calibri"/>
        </w:rPr>
        <w:t>lijekova-OMCL</w:t>
      </w:r>
      <w:r w:rsidRPr="00964781">
        <w:rPr>
          <w:rFonts w:ascii="Calibri" w:hAnsi="Calibri" w:cs="Calibri"/>
        </w:rPr>
        <w:t xml:space="preserve"> kao član Europske mreže</w:t>
      </w:r>
      <w:r w:rsidRPr="00964781">
        <w:rPr>
          <w:color w:val="000000"/>
        </w:rPr>
        <w:t xml:space="preserve"> </w:t>
      </w:r>
      <w:r w:rsidRPr="00BA3754">
        <w:rPr>
          <w:color w:val="000000"/>
        </w:rPr>
        <w:t xml:space="preserve">službenih kontrolnih laboratorija </w:t>
      </w:r>
      <w:r w:rsidRPr="00BA3754">
        <w:rPr>
          <w:rFonts w:ascii="Calibri" w:hAnsi="Calibri" w:cs="Calibri"/>
        </w:rPr>
        <w:t xml:space="preserve">(GEON) aktivno sudjeluje u aktivnostima mreže, izradi i reviziji te davanju mišljenja o predloženim novim i revidiranim dokumentima. </w:t>
      </w:r>
    </w:p>
    <w:p w14:paraId="0B97D3BD" w14:textId="77777777" w:rsidR="009A75C2" w:rsidRPr="00964781" w:rsidRDefault="009A75C2" w:rsidP="009A75C2">
      <w:pPr>
        <w:spacing w:after="120" w:line="276" w:lineRule="auto"/>
        <w:contextualSpacing/>
        <w:jc w:val="both"/>
        <w:rPr>
          <w:rFonts w:ascii="Calibri" w:hAnsi="Calibri" w:cs="Calibri"/>
        </w:rPr>
      </w:pPr>
      <w:r w:rsidRPr="00F92AC3">
        <w:rPr>
          <w:rFonts w:ascii="Calibri" w:hAnsi="Calibri" w:cs="Calibri"/>
        </w:rPr>
        <w:t>Predstavnici HALMED-a sudjeluju u popunjavanju EDQM baze podataka o ispitivanjima lijekova odobrenih MRP/DCP postupcima</w:t>
      </w:r>
      <w:r>
        <w:rPr>
          <w:rFonts w:ascii="Calibri" w:hAnsi="Calibri" w:cs="Calibri"/>
        </w:rPr>
        <w:t>.</w:t>
      </w:r>
    </w:p>
    <w:p w14:paraId="5AA2A0D9" w14:textId="77777777" w:rsidR="009A75C2" w:rsidRPr="00964781" w:rsidRDefault="009A75C2" w:rsidP="009A75C2">
      <w:pPr>
        <w:pStyle w:val="Heading3"/>
      </w:pPr>
      <w:bookmarkStart w:id="239" w:name="_Toc165035508"/>
      <w:r w:rsidRPr="00964781">
        <w:t>2.</w:t>
      </w:r>
      <w:r>
        <w:t>6</w:t>
      </w:r>
      <w:r w:rsidRPr="00964781">
        <w:t>.1</w:t>
      </w:r>
      <w:r>
        <w:t>0</w:t>
      </w:r>
      <w:r w:rsidRPr="00964781">
        <w:t>. Međunarodni poslovi</w:t>
      </w:r>
      <w:bookmarkEnd w:id="239"/>
    </w:p>
    <w:p w14:paraId="2C019597" w14:textId="77777777" w:rsidR="009A75C2" w:rsidRPr="00964781" w:rsidRDefault="009A75C2" w:rsidP="009A75C2">
      <w:pPr>
        <w:pStyle w:val="Heading4"/>
      </w:pPr>
      <w:r w:rsidRPr="00964781">
        <w:t>2.</w:t>
      </w:r>
      <w:r>
        <w:t>6</w:t>
      </w:r>
      <w:r w:rsidRPr="00964781">
        <w:t>.1</w:t>
      </w:r>
      <w:r>
        <w:t>0</w:t>
      </w:r>
      <w:r w:rsidRPr="00964781">
        <w:t>.1. Izvješće o suradnji HALMED-a sa SZO-om</w:t>
      </w:r>
    </w:p>
    <w:p w14:paraId="53D49A92" w14:textId="77777777" w:rsidR="009A75C2" w:rsidRPr="00964781" w:rsidRDefault="009A75C2" w:rsidP="009A75C2">
      <w:pPr>
        <w:tabs>
          <w:tab w:val="center" w:pos="858"/>
          <w:tab w:val="center" w:pos="4320"/>
          <w:tab w:val="right" w:pos="8306"/>
          <w:tab w:val="right" w:pos="8640"/>
        </w:tabs>
        <w:spacing w:before="240" w:after="240" w:line="276" w:lineRule="auto"/>
        <w:jc w:val="both"/>
        <w:rPr>
          <w:rFonts w:eastAsia="Times New Roman" w:cstheme="minorHAnsi"/>
          <w:bCs/>
          <w:color w:val="000000"/>
          <w:lang w:eastAsia="hr-HR"/>
        </w:rPr>
      </w:pPr>
      <w:r w:rsidRPr="00136B03">
        <w:rPr>
          <w:rFonts w:eastAsia="Times New Roman" w:cstheme="minorHAnsi"/>
          <w:bCs/>
          <w:color w:val="000000"/>
          <w:lang w:eastAsia="hr-HR"/>
        </w:rPr>
        <w:t xml:space="preserve">OMCL </w:t>
      </w:r>
      <w:r w:rsidRPr="00964781">
        <w:rPr>
          <w:rFonts w:eastAsia="Times New Roman" w:cstheme="minorHAnsi"/>
          <w:bCs/>
          <w:color w:val="000000"/>
          <w:lang w:eastAsia="hr-HR"/>
        </w:rPr>
        <w:t xml:space="preserve">je od 2015. godine </w:t>
      </w:r>
      <w:r>
        <w:rPr>
          <w:rFonts w:eastAsia="Times New Roman" w:cstheme="minorHAnsi"/>
          <w:bCs/>
          <w:color w:val="000000"/>
          <w:lang w:eastAsia="hr-HR"/>
        </w:rPr>
        <w:t xml:space="preserve">prekvalificiran i </w:t>
      </w:r>
      <w:r w:rsidRPr="00964781">
        <w:rPr>
          <w:rFonts w:eastAsia="Times New Roman" w:cstheme="minorHAnsi"/>
          <w:bCs/>
          <w:color w:val="000000"/>
          <w:lang w:eastAsia="hr-HR"/>
        </w:rPr>
        <w:t xml:space="preserve">uvršten na popis službenih laboratorija čije usluge na području provjere kakvoće antimalarika, antituberkulotika i anti-HIV lijekova može koristiti SZO. </w:t>
      </w:r>
      <w:r>
        <w:rPr>
          <w:rFonts w:eastAsia="Times New Roman" w:cstheme="minorHAnsi"/>
          <w:bCs/>
          <w:color w:val="000000"/>
          <w:lang w:eastAsia="hr-HR"/>
        </w:rPr>
        <w:t>U svrhu održavanja statusa prekvalificiranosti OMCL-a, u ožujku 2023. provedena je revizija Izvještaja o provjeri kakvoće (WHO Prequalified Quality Control Laboratory (QCL) Annual Report on Activities) i Laboratorijskog informacijskog dosjea (LIF).</w:t>
      </w:r>
    </w:p>
    <w:p w14:paraId="1E3AAF47" w14:textId="77777777" w:rsidR="009A75C2" w:rsidRPr="00964781" w:rsidRDefault="009A75C2" w:rsidP="009A75C2">
      <w:pPr>
        <w:spacing w:after="200" w:line="276" w:lineRule="auto"/>
      </w:pPr>
      <w:r w:rsidRPr="00964781">
        <w:rPr>
          <w:rFonts w:eastAsia="Times New Roman" w:cstheme="minorHAnsi"/>
          <w:bCs/>
          <w:color w:val="000000"/>
          <w:lang w:eastAsia="hr-HR"/>
        </w:rPr>
        <w:br w:type="page"/>
      </w:r>
      <w:bookmarkStart w:id="240" w:name="_Toc26534680"/>
      <w:r w:rsidRPr="00964781">
        <w:lastRenderedPageBreak/>
        <w:t>2.</w:t>
      </w:r>
      <w:r>
        <w:t>6</w:t>
      </w:r>
      <w:r w:rsidRPr="00964781">
        <w:t>.12. Izvršenje prihodovnih poslova</w:t>
      </w:r>
      <w:bookmarkEnd w:id="240"/>
    </w:p>
    <w:p w14:paraId="4C630145" w14:textId="77777777" w:rsidR="009A75C2" w:rsidRPr="00964781" w:rsidRDefault="009A75C2" w:rsidP="009A75C2">
      <w:pPr>
        <w:spacing w:after="120"/>
        <w:rPr>
          <w:b/>
          <w:lang w:eastAsia="hr-HR"/>
        </w:rPr>
      </w:pPr>
      <w:r w:rsidRPr="00964781">
        <w:rPr>
          <w:b/>
          <w:lang w:eastAsia="hr-HR"/>
        </w:rPr>
        <w:t xml:space="preserve">Tablica </w:t>
      </w:r>
      <w:r>
        <w:rPr>
          <w:b/>
          <w:lang w:eastAsia="hr-HR"/>
        </w:rPr>
        <w:t>22</w:t>
      </w:r>
      <w:r w:rsidRPr="00964781">
        <w:rPr>
          <w:b/>
          <w:lang w:eastAsia="hr-HR"/>
        </w:rPr>
        <w:t xml:space="preserve">. Izvršenje prihodovnih usluga provjere kakvoće </w:t>
      </w:r>
      <w:r>
        <w:rPr>
          <w:b/>
          <w:lang w:eastAsia="hr-HR"/>
        </w:rPr>
        <w:t>lijekova</w:t>
      </w:r>
    </w:p>
    <w:tbl>
      <w:tblPr>
        <w:tblW w:w="9082"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4149"/>
        <w:gridCol w:w="1417"/>
        <w:gridCol w:w="1522"/>
        <w:gridCol w:w="1275"/>
      </w:tblGrid>
      <w:tr w:rsidR="009A75C2" w:rsidRPr="00964781" w14:paraId="57A50F75" w14:textId="77777777" w:rsidTr="00BA499D">
        <w:trPr>
          <w:trHeight w:val="284"/>
        </w:trPr>
        <w:tc>
          <w:tcPr>
            <w:tcW w:w="719" w:type="dxa"/>
            <w:vMerge w:val="restart"/>
            <w:shd w:val="clear" w:color="auto" w:fill="A3E7FF"/>
            <w:vAlign w:val="center"/>
            <w:hideMark/>
          </w:tcPr>
          <w:p w14:paraId="0D34A30A" w14:textId="77777777" w:rsidR="009A75C2" w:rsidRPr="00964781" w:rsidRDefault="009A75C2" w:rsidP="00BA499D">
            <w:pPr>
              <w:rPr>
                <w:b/>
                <w:sz w:val="18"/>
                <w:szCs w:val="18"/>
                <w:lang w:eastAsia="hr-HR"/>
              </w:rPr>
            </w:pPr>
            <w:r w:rsidRPr="00964781">
              <w:rPr>
                <w:b/>
                <w:sz w:val="18"/>
                <w:szCs w:val="18"/>
                <w:lang w:eastAsia="hr-HR"/>
              </w:rPr>
              <w:t>R.br.</w:t>
            </w:r>
          </w:p>
        </w:tc>
        <w:tc>
          <w:tcPr>
            <w:tcW w:w="4149" w:type="dxa"/>
            <w:vMerge w:val="restart"/>
            <w:shd w:val="clear" w:color="auto" w:fill="A3E7FF"/>
            <w:vAlign w:val="center"/>
            <w:hideMark/>
          </w:tcPr>
          <w:p w14:paraId="375F6A7C" w14:textId="77777777" w:rsidR="009A75C2" w:rsidRPr="00964781" w:rsidRDefault="009A75C2" w:rsidP="00BA499D">
            <w:pPr>
              <w:rPr>
                <w:b/>
                <w:sz w:val="18"/>
                <w:szCs w:val="18"/>
                <w:lang w:eastAsia="hr-HR"/>
              </w:rPr>
            </w:pPr>
            <w:r w:rsidRPr="00964781">
              <w:rPr>
                <w:b/>
                <w:sz w:val="18"/>
                <w:szCs w:val="18"/>
                <w:lang w:eastAsia="hr-HR"/>
              </w:rPr>
              <w:t>Naziv usluge</w:t>
            </w:r>
          </w:p>
        </w:tc>
        <w:tc>
          <w:tcPr>
            <w:tcW w:w="1417" w:type="dxa"/>
            <w:vMerge w:val="restart"/>
            <w:shd w:val="clear" w:color="auto" w:fill="A3E7FF"/>
            <w:vAlign w:val="center"/>
            <w:hideMark/>
          </w:tcPr>
          <w:p w14:paraId="6284E532" w14:textId="77777777" w:rsidR="009A75C2" w:rsidRPr="00964781" w:rsidRDefault="009A75C2" w:rsidP="00BA499D">
            <w:pPr>
              <w:jc w:val="center"/>
              <w:rPr>
                <w:b/>
                <w:sz w:val="18"/>
                <w:szCs w:val="18"/>
                <w:lang w:eastAsia="hr-HR"/>
              </w:rPr>
            </w:pPr>
            <w:r w:rsidRPr="00964781">
              <w:rPr>
                <w:b/>
                <w:sz w:val="18"/>
                <w:szCs w:val="18"/>
                <w:lang w:eastAsia="hr-HR"/>
              </w:rPr>
              <w:t>Plan za 202</w:t>
            </w:r>
            <w:r>
              <w:rPr>
                <w:b/>
                <w:sz w:val="18"/>
                <w:szCs w:val="18"/>
                <w:lang w:eastAsia="hr-HR"/>
              </w:rPr>
              <w:t>3</w:t>
            </w:r>
            <w:r w:rsidRPr="00964781">
              <w:rPr>
                <w:b/>
                <w:sz w:val="18"/>
                <w:szCs w:val="18"/>
                <w:lang w:eastAsia="hr-HR"/>
              </w:rPr>
              <w:t>.</w:t>
            </w:r>
          </w:p>
        </w:tc>
        <w:tc>
          <w:tcPr>
            <w:tcW w:w="1522" w:type="dxa"/>
            <w:vMerge w:val="restart"/>
            <w:shd w:val="clear" w:color="auto" w:fill="A3E7FF"/>
            <w:vAlign w:val="center"/>
            <w:hideMark/>
          </w:tcPr>
          <w:p w14:paraId="1F599A50" w14:textId="77777777" w:rsidR="009A75C2" w:rsidRPr="00964781" w:rsidRDefault="009A75C2" w:rsidP="00BA499D">
            <w:pPr>
              <w:jc w:val="center"/>
              <w:rPr>
                <w:b/>
                <w:sz w:val="18"/>
                <w:szCs w:val="18"/>
                <w:lang w:eastAsia="hr-HR"/>
              </w:rPr>
            </w:pPr>
            <w:r w:rsidRPr="00964781">
              <w:rPr>
                <w:b/>
                <w:sz w:val="18"/>
                <w:szCs w:val="18"/>
                <w:lang w:eastAsia="hr-HR"/>
              </w:rPr>
              <w:t>Izvršenje</w:t>
            </w:r>
          </w:p>
          <w:p w14:paraId="4B81BF29" w14:textId="77777777" w:rsidR="009A75C2" w:rsidRPr="00964781" w:rsidRDefault="009A75C2" w:rsidP="00BA499D">
            <w:pPr>
              <w:jc w:val="center"/>
              <w:rPr>
                <w:b/>
                <w:sz w:val="18"/>
                <w:szCs w:val="18"/>
                <w:lang w:eastAsia="hr-HR"/>
              </w:rPr>
            </w:pPr>
            <w:r w:rsidRPr="00964781">
              <w:rPr>
                <w:b/>
                <w:sz w:val="18"/>
                <w:szCs w:val="18"/>
                <w:lang w:eastAsia="hr-HR"/>
              </w:rPr>
              <w:t>01.01.-</w:t>
            </w:r>
            <w:r>
              <w:rPr>
                <w:b/>
                <w:sz w:val="18"/>
                <w:szCs w:val="18"/>
                <w:lang w:eastAsia="hr-HR"/>
              </w:rPr>
              <w:t>31.12</w:t>
            </w:r>
            <w:r w:rsidRPr="00964781">
              <w:rPr>
                <w:b/>
                <w:sz w:val="18"/>
                <w:szCs w:val="18"/>
                <w:lang w:eastAsia="hr-HR"/>
              </w:rPr>
              <w:t>.202</w:t>
            </w:r>
            <w:r>
              <w:rPr>
                <w:b/>
                <w:sz w:val="18"/>
                <w:szCs w:val="18"/>
                <w:lang w:eastAsia="hr-HR"/>
              </w:rPr>
              <w:t>3</w:t>
            </w:r>
            <w:r w:rsidRPr="00964781">
              <w:rPr>
                <w:b/>
                <w:sz w:val="18"/>
                <w:szCs w:val="18"/>
                <w:lang w:eastAsia="hr-HR"/>
              </w:rPr>
              <w:t>.</w:t>
            </w:r>
          </w:p>
        </w:tc>
        <w:tc>
          <w:tcPr>
            <w:tcW w:w="1275" w:type="dxa"/>
            <w:vMerge w:val="restart"/>
            <w:shd w:val="clear" w:color="auto" w:fill="A3E7FF"/>
            <w:vAlign w:val="center"/>
            <w:hideMark/>
          </w:tcPr>
          <w:p w14:paraId="4B8F6867" w14:textId="77777777" w:rsidR="009A75C2" w:rsidRPr="00964781" w:rsidRDefault="009A75C2" w:rsidP="00BA499D">
            <w:pPr>
              <w:jc w:val="center"/>
              <w:rPr>
                <w:b/>
                <w:sz w:val="18"/>
                <w:szCs w:val="18"/>
                <w:lang w:eastAsia="hr-HR"/>
              </w:rPr>
            </w:pPr>
            <w:r w:rsidRPr="00964781">
              <w:rPr>
                <w:b/>
                <w:sz w:val="18"/>
                <w:szCs w:val="18"/>
                <w:lang w:eastAsia="hr-HR"/>
              </w:rPr>
              <w:t>% izvršenja</w:t>
            </w:r>
          </w:p>
        </w:tc>
      </w:tr>
      <w:tr w:rsidR="009A75C2" w:rsidRPr="00964781" w14:paraId="619BA443" w14:textId="77777777" w:rsidTr="00BA499D">
        <w:trPr>
          <w:trHeight w:val="509"/>
        </w:trPr>
        <w:tc>
          <w:tcPr>
            <w:tcW w:w="719" w:type="dxa"/>
            <w:vMerge/>
            <w:shd w:val="clear" w:color="auto" w:fill="A3E7FF"/>
            <w:vAlign w:val="center"/>
            <w:hideMark/>
          </w:tcPr>
          <w:p w14:paraId="724EE5C0" w14:textId="77777777" w:rsidR="009A75C2" w:rsidRPr="00964781" w:rsidRDefault="009A75C2" w:rsidP="00BA499D">
            <w:pPr>
              <w:rPr>
                <w:color w:val="000000"/>
                <w:sz w:val="18"/>
                <w:szCs w:val="18"/>
                <w:lang w:eastAsia="hr-HR"/>
              </w:rPr>
            </w:pPr>
          </w:p>
        </w:tc>
        <w:tc>
          <w:tcPr>
            <w:tcW w:w="4149" w:type="dxa"/>
            <w:vMerge/>
            <w:shd w:val="clear" w:color="auto" w:fill="A3E7FF"/>
            <w:vAlign w:val="center"/>
            <w:hideMark/>
          </w:tcPr>
          <w:p w14:paraId="57D0E651" w14:textId="77777777" w:rsidR="009A75C2" w:rsidRPr="00964781" w:rsidRDefault="009A75C2" w:rsidP="00BA499D">
            <w:pPr>
              <w:rPr>
                <w:color w:val="000000"/>
                <w:sz w:val="18"/>
                <w:szCs w:val="18"/>
                <w:lang w:eastAsia="hr-HR"/>
              </w:rPr>
            </w:pPr>
          </w:p>
        </w:tc>
        <w:tc>
          <w:tcPr>
            <w:tcW w:w="1417" w:type="dxa"/>
            <w:vMerge/>
            <w:shd w:val="clear" w:color="auto" w:fill="A3E7FF"/>
            <w:vAlign w:val="center"/>
            <w:hideMark/>
          </w:tcPr>
          <w:p w14:paraId="04209D1A" w14:textId="77777777" w:rsidR="009A75C2" w:rsidRPr="00964781" w:rsidRDefault="009A75C2" w:rsidP="00BA499D">
            <w:pPr>
              <w:rPr>
                <w:color w:val="000000"/>
                <w:sz w:val="18"/>
                <w:szCs w:val="18"/>
                <w:lang w:eastAsia="hr-HR"/>
              </w:rPr>
            </w:pPr>
          </w:p>
        </w:tc>
        <w:tc>
          <w:tcPr>
            <w:tcW w:w="1522" w:type="dxa"/>
            <w:vMerge/>
            <w:shd w:val="clear" w:color="auto" w:fill="A3E7FF"/>
            <w:vAlign w:val="center"/>
            <w:hideMark/>
          </w:tcPr>
          <w:p w14:paraId="7237A298" w14:textId="77777777" w:rsidR="009A75C2" w:rsidRPr="00964781" w:rsidRDefault="009A75C2" w:rsidP="00BA499D">
            <w:pPr>
              <w:rPr>
                <w:color w:val="000000"/>
                <w:sz w:val="18"/>
                <w:szCs w:val="18"/>
                <w:lang w:eastAsia="hr-HR"/>
              </w:rPr>
            </w:pPr>
          </w:p>
        </w:tc>
        <w:tc>
          <w:tcPr>
            <w:tcW w:w="1275" w:type="dxa"/>
            <w:vMerge/>
            <w:shd w:val="clear" w:color="auto" w:fill="A3E7FF"/>
            <w:vAlign w:val="center"/>
            <w:hideMark/>
          </w:tcPr>
          <w:p w14:paraId="5B658B3E" w14:textId="77777777" w:rsidR="009A75C2" w:rsidRPr="00964781" w:rsidRDefault="009A75C2" w:rsidP="00BA499D">
            <w:pPr>
              <w:rPr>
                <w:color w:val="000000"/>
                <w:sz w:val="18"/>
                <w:szCs w:val="18"/>
                <w:lang w:eastAsia="hr-HR"/>
              </w:rPr>
            </w:pPr>
          </w:p>
        </w:tc>
      </w:tr>
      <w:tr w:rsidR="009A75C2" w:rsidRPr="00964781" w14:paraId="690E6E0D" w14:textId="77777777" w:rsidTr="00BA499D">
        <w:trPr>
          <w:trHeight w:val="142"/>
        </w:trPr>
        <w:tc>
          <w:tcPr>
            <w:tcW w:w="719" w:type="dxa"/>
            <w:shd w:val="clear" w:color="auto" w:fill="auto"/>
            <w:noWrap/>
            <w:vAlign w:val="center"/>
          </w:tcPr>
          <w:p w14:paraId="2AF976E8" w14:textId="77777777" w:rsidR="009A75C2" w:rsidRPr="00964781" w:rsidRDefault="009A75C2" w:rsidP="00BA499D">
            <w:pPr>
              <w:jc w:val="center"/>
              <w:rPr>
                <w:color w:val="1A1A1A"/>
                <w:sz w:val="18"/>
                <w:szCs w:val="18"/>
                <w:lang w:eastAsia="hr-HR"/>
              </w:rPr>
            </w:pPr>
          </w:p>
        </w:tc>
        <w:tc>
          <w:tcPr>
            <w:tcW w:w="4149" w:type="dxa"/>
            <w:shd w:val="clear" w:color="auto" w:fill="auto"/>
            <w:vAlign w:val="center"/>
          </w:tcPr>
          <w:p w14:paraId="3F537095" w14:textId="77777777" w:rsidR="009A75C2" w:rsidRPr="00964781" w:rsidRDefault="009A75C2" w:rsidP="00BA499D">
            <w:pPr>
              <w:rPr>
                <w:b/>
                <w:color w:val="1A1A1A"/>
                <w:sz w:val="18"/>
                <w:szCs w:val="18"/>
                <w:lang w:eastAsia="hr-HR"/>
              </w:rPr>
            </w:pPr>
            <w:r w:rsidRPr="00964781">
              <w:rPr>
                <w:b/>
                <w:color w:val="1A1A1A"/>
                <w:sz w:val="18"/>
                <w:szCs w:val="18"/>
                <w:lang w:eastAsia="hr-HR"/>
              </w:rPr>
              <w:t>Provjera kakvoće lijekova</w:t>
            </w:r>
          </w:p>
        </w:tc>
        <w:tc>
          <w:tcPr>
            <w:tcW w:w="1417" w:type="dxa"/>
            <w:shd w:val="clear" w:color="auto" w:fill="auto"/>
            <w:noWrap/>
            <w:vAlign w:val="center"/>
          </w:tcPr>
          <w:p w14:paraId="7F12D6D9" w14:textId="77777777" w:rsidR="009A75C2" w:rsidRPr="00964781" w:rsidRDefault="009A75C2" w:rsidP="00BA499D">
            <w:pPr>
              <w:jc w:val="center"/>
              <w:rPr>
                <w:bCs/>
                <w:sz w:val="18"/>
                <w:szCs w:val="18"/>
              </w:rPr>
            </w:pPr>
          </w:p>
        </w:tc>
        <w:tc>
          <w:tcPr>
            <w:tcW w:w="1522" w:type="dxa"/>
            <w:shd w:val="clear" w:color="auto" w:fill="auto"/>
            <w:noWrap/>
            <w:vAlign w:val="center"/>
          </w:tcPr>
          <w:p w14:paraId="10C9310E" w14:textId="77777777" w:rsidR="009A75C2" w:rsidRPr="00964781" w:rsidRDefault="009A75C2" w:rsidP="00BA499D">
            <w:pPr>
              <w:jc w:val="center"/>
              <w:rPr>
                <w:bCs/>
                <w:sz w:val="18"/>
                <w:szCs w:val="18"/>
              </w:rPr>
            </w:pPr>
          </w:p>
        </w:tc>
        <w:tc>
          <w:tcPr>
            <w:tcW w:w="1275" w:type="dxa"/>
            <w:shd w:val="clear" w:color="auto" w:fill="auto"/>
            <w:noWrap/>
            <w:vAlign w:val="center"/>
          </w:tcPr>
          <w:p w14:paraId="116BA10F" w14:textId="77777777" w:rsidR="009A75C2" w:rsidRPr="00964781" w:rsidRDefault="009A75C2" w:rsidP="00BA499D">
            <w:pPr>
              <w:jc w:val="center"/>
              <w:rPr>
                <w:bCs/>
                <w:sz w:val="18"/>
                <w:szCs w:val="18"/>
              </w:rPr>
            </w:pPr>
          </w:p>
        </w:tc>
      </w:tr>
      <w:tr w:rsidR="009A75C2" w:rsidRPr="00964781" w14:paraId="03A19BC6" w14:textId="77777777" w:rsidTr="00BA499D">
        <w:trPr>
          <w:trHeight w:val="142"/>
        </w:trPr>
        <w:tc>
          <w:tcPr>
            <w:tcW w:w="719" w:type="dxa"/>
            <w:shd w:val="clear" w:color="auto" w:fill="auto"/>
            <w:noWrap/>
            <w:vAlign w:val="center"/>
            <w:hideMark/>
          </w:tcPr>
          <w:p w14:paraId="69A0CC00" w14:textId="77777777" w:rsidR="009A75C2" w:rsidRPr="00964781" w:rsidRDefault="009A75C2" w:rsidP="00BA499D">
            <w:pPr>
              <w:jc w:val="center"/>
              <w:rPr>
                <w:color w:val="1A1A1A"/>
                <w:sz w:val="18"/>
                <w:szCs w:val="18"/>
                <w:lang w:eastAsia="hr-HR"/>
              </w:rPr>
            </w:pPr>
            <w:r w:rsidRPr="00964781">
              <w:rPr>
                <w:color w:val="1A1A1A"/>
                <w:sz w:val="18"/>
                <w:szCs w:val="18"/>
                <w:lang w:eastAsia="hr-HR"/>
              </w:rPr>
              <w:t>1.</w:t>
            </w:r>
          </w:p>
        </w:tc>
        <w:tc>
          <w:tcPr>
            <w:tcW w:w="4149" w:type="dxa"/>
            <w:shd w:val="clear" w:color="auto" w:fill="auto"/>
            <w:vAlign w:val="center"/>
          </w:tcPr>
          <w:p w14:paraId="58BF0FB0" w14:textId="77777777" w:rsidR="009A75C2" w:rsidRPr="00964781" w:rsidRDefault="009A75C2" w:rsidP="00BA499D">
            <w:pPr>
              <w:rPr>
                <w:color w:val="1A1A1A"/>
                <w:sz w:val="18"/>
                <w:szCs w:val="18"/>
                <w:lang w:eastAsia="hr-HR"/>
              </w:rPr>
            </w:pPr>
            <w:r w:rsidRPr="00964781">
              <w:rPr>
                <w:color w:val="1A1A1A"/>
                <w:sz w:val="18"/>
                <w:szCs w:val="18"/>
                <w:lang w:eastAsia="hr-HR"/>
              </w:rPr>
              <w:t>Nalaz o provjeri kakvoće lijeka -</w:t>
            </w:r>
          </w:p>
          <w:p w14:paraId="34C9BE29" w14:textId="77777777" w:rsidR="009A75C2" w:rsidRPr="00964781" w:rsidRDefault="009A75C2" w:rsidP="00BA499D">
            <w:pPr>
              <w:rPr>
                <w:color w:val="1A1A1A"/>
                <w:sz w:val="18"/>
                <w:szCs w:val="18"/>
                <w:lang w:eastAsia="hr-HR"/>
              </w:rPr>
            </w:pPr>
            <w:r w:rsidRPr="00964781">
              <w:rPr>
                <w:color w:val="1A1A1A"/>
                <w:sz w:val="18"/>
                <w:szCs w:val="18"/>
                <w:lang w:eastAsia="hr-HR"/>
              </w:rPr>
              <w:t>Posebna provjera kakvoće svake serije lijeka iz krvi ili plazme i imunološkog lijeka</w:t>
            </w:r>
          </w:p>
        </w:tc>
        <w:tc>
          <w:tcPr>
            <w:tcW w:w="1417" w:type="dxa"/>
            <w:shd w:val="clear" w:color="auto" w:fill="auto"/>
            <w:noWrap/>
            <w:vAlign w:val="center"/>
          </w:tcPr>
          <w:p w14:paraId="3A9101F6" w14:textId="77777777" w:rsidR="009A75C2" w:rsidRPr="0037282C" w:rsidRDefault="009A75C2" w:rsidP="00BA499D">
            <w:pPr>
              <w:jc w:val="center"/>
              <w:rPr>
                <w:sz w:val="18"/>
              </w:rPr>
            </w:pPr>
            <w:r w:rsidRPr="00476847">
              <w:rPr>
                <w:bCs/>
                <w:sz w:val="20"/>
                <w:szCs w:val="20"/>
              </w:rPr>
              <w:t>0</w:t>
            </w:r>
          </w:p>
        </w:tc>
        <w:tc>
          <w:tcPr>
            <w:tcW w:w="1522" w:type="dxa"/>
            <w:shd w:val="clear" w:color="auto" w:fill="auto"/>
            <w:noWrap/>
            <w:vAlign w:val="center"/>
          </w:tcPr>
          <w:p w14:paraId="680516C0" w14:textId="77777777" w:rsidR="009A75C2" w:rsidRPr="0037282C" w:rsidRDefault="009A75C2" w:rsidP="00BA499D">
            <w:pPr>
              <w:jc w:val="center"/>
              <w:rPr>
                <w:sz w:val="18"/>
              </w:rPr>
            </w:pPr>
            <w:r>
              <w:rPr>
                <w:bCs/>
                <w:sz w:val="20"/>
                <w:szCs w:val="20"/>
              </w:rPr>
              <w:t>0</w:t>
            </w:r>
          </w:p>
        </w:tc>
        <w:tc>
          <w:tcPr>
            <w:tcW w:w="1275" w:type="dxa"/>
            <w:shd w:val="clear" w:color="auto" w:fill="auto"/>
            <w:noWrap/>
            <w:vAlign w:val="center"/>
          </w:tcPr>
          <w:p w14:paraId="2646C288" w14:textId="77777777" w:rsidR="009A75C2" w:rsidRPr="0037282C" w:rsidRDefault="009A75C2" w:rsidP="00BA499D">
            <w:pPr>
              <w:jc w:val="center"/>
              <w:rPr>
                <w:sz w:val="18"/>
              </w:rPr>
            </w:pPr>
            <w:r>
              <w:rPr>
                <w:sz w:val="20"/>
                <w:szCs w:val="20"/>
              </w:rPr>
              <w:t>-</w:t>
            </w:r>
          </w:p>
        </w:tc>
      </w:tr>
      <w:tr w:rsidR="009A75C2" w:rsidRPr="00964781" w14:paraId="500CB6E2" w14:textId="77777777" w:rsidTr="00BA499D">
        <w:trPr>
          <w:trHeight w:val="142"/>
        </w:trPr>
        <w:tc>
          <w:tcPr>
            <w:tcW w:w="719" w:type="dxa"/>
            <w:shd w:val="clear" w:color="auto" w:fill="auto"/>
            <w:noWrap/>
            <w:vAlign w:val="center"/>
            <w:hideMark/>
          </w:tcPr>
          <w:p w14:paraId="69E1AF87" w14:textId="77777777" w:rsidR="009A75C2" w:rsidRPr="00964781" w:rsidRDefault="009A75C2" w:rsidP="00BA499D">
            <w:pPr>
              <w:jc w:val="center"/>
              <w:rPr>
                <w:color w:val="1A1A1A"/>
                <w:sz w:val="18"/>
                <w:szCs w:val="18"/>
                <w:lang w:eastAsia="hr-HR"/>
              </w:rPr>
            </w:pPr>
            <w:r w:rsidRPr="00964781">
              <w:rPr>
                <w:color w:val="1A1A1A"/>
                <w:sz w:val="18"/>
                <w:szCs w:val="18"/>
                <w:lang w:eastAsia="hr-HR"/>
              </w:rPr>
              <w:t>2.</w:t>
            </w:r>
          </w:p>
        </w:tc>
        <w:tc>
          <w:tcPr>
            <w:tcW w:w="4149" w:type="dxa"/>
            <w:shd w:val="clear" w:color="auto" w:fill="auto"/>
            <w:vAlign w:val="center"/>
          </w:tcPr>
          <w:p w14:paraId="1217BB84" w14:textId="77777777" w:rsidR="009A75C2" w:rsidRPr="00964781" w:rsidRDefault="009A75C2" w:rsidP="00BA499D">
            <w:pPr>
              <w:rPr>
                <w:color w:val="1A1A1A"/>
                <w:sz w:val="18"/>
                <w:szCs w:val="18"/>
                <w:lang w:eastAsia="hr-HR"/>
              </w:rPr>
            </w:pPr>
            <w:r w:rsidRPr="00964781">
              <w:rPr>
                <w:color w:val="1A1A1A"/>
                <w:sz w:val="18"/>
                <w:szCs w:val="18"/>
                <w:lang w:eastAsia="hr-HR"/>
              </w:rPr>
              <w:t>Provjera kakvoće uzorka lijeka iz prometa</w:t>
            </w:r>
          </w:p>
        </w:tc>
        <w:tc>
          <w:tcPr>
            <w:tcW w:w="1417" w:type="dxa"/>
            <w:shd w:val="clear" w:color="auto" w:fill="auto"/>
            <w:noWrap/>
            <w:vAlign w:val="center"/>
          </w:tcPr>
          <w:p w14:paraId="338178E4" w14:textId="77777777" w:rsidR="009A75C2" w:rsidRPr="0037282C" w:rsidRDefault="009A75C2" w:rsidP="00BA499D">
            <w:pPr>
              <w:jc w:val="center"/>
              <w:rPr>
                <w:sz w:val="18"/>
              </w:rPr>
            </w:pPr>
            <w:r w:rsidRPr="00476847">
              <w:rPr>
                <w:bCs/>
                <w:sz w:val="20"/>
                <w:szCs w:val="20"/>
              </w:rPr>
              <w:t>338</w:t>
            </w:r>
          </w:p>
        </w:tc>
        <w:tc>
          <w:tcPr>
            <w:tcW w:w="1522" w:type="dxa"/>
            <w:shd w:val="clear" w:color="auto" w:fill="auto"/>
            <w:noWrap/>
            <w:vAlign w:val="center"/>
          </w:tcPr>
          <w:p w14:paraId="090796AD" w14:textId="77777777" w:rsidR="009A75C2" w:rsidRPr="002C590D" w:rsidRDefault="009A75C2" w:rsidP="00BA499D">
            <w:pPr>
              <w:jc w:val="center"/>
              <w:rPr>
                <w:sz w:val="18"/>
              </w:rPr>
            </w:pPr>
            <w:r w:rsidRPr="005E6AC6">
              <w:rPr>
                <w:bCs/>
                <w:sz w:val="20"/>
                <w:szCs w:val="20"/>
              </w:rPr>
              <w:t>359</w:t>
            </w:r>
          </w:p>
        </w:tc>
        <w:tc>
          <w:tcPr>
            <w:tcW w:w="1275" w:type="dxa"/>
            <w:shd w:val="clear" w:color="auto" w:fill="auto"/>
            <w:noWrap/>
            <w:vAlign w:val="center"/>
          </w:tcPr>
          <w:p w14:paraId="032C2825" w14:textId="77777777" w:rsidR="009A75C2" w:rsidRPr="002C590D" w:rsidRDefault="009A75C2" w:rsidP="00BA499D">
            <w:pPr>
              <w:jc w:val="center"/>
              <w:rPr>
                <w:sz w:val="18"/>
              </w:rPr>
            </w:pPr>
            <w:r w:rsidRPr="002C590D">
              <w:rPr>
                <w:sz w:val="20"/>
                <w:szCs w:val="20"/>
              </w:rPr>
              <w:t>106%</w:t>
            </w:r>
          </w:p>
        </w:tc>
      </w:tr>
      <w:tr w:rsidR="009A75C2" w:rsidRPr="00964781" w14:paraId="7898744F" w14:textId="77777777" w:rsidTr="00BA499D">
        <w:trPr>
          <w:trHeight w:val="142"/>
        </w:trPr>
        <w:tc>
          <w:tcPr>
            <w:tcW w:w="719" w:type="dxa"/>
            <w:shd w:val="clear" w:color="auto" w:fill="auto"/>
            <w:noWrap/>
            <w:vAlign w:val="center"/>
            <w:hideMark/>
          </w:tcPr>
          <w:p w14:paraId="12D0D2B9" w14:textId="77777777" w:rsidR="009A75C2" w:rsidRPr="00964781" w:rsidRDefault="009A75C2" w:rsidP="00BA499D">
            <w:pPr>
              <w:jc w:val="center"/>
              <w:rPr>
                <w:color w:val="1A1A1A"/>
                <w:sz w:val="18"/>
                <w:szCs w:val="18"/>
                <w:lang w:eastAsia="hr-HR"/>
              </w:rPr>
            </w:pPr>
            <w:r w:rsidRPr="00964781">
              <w:rPr>
                <w:color w:val="1A1A1A"/>
                <w:sz w:val="18"/>
                <w:szCs w:val="18"/>
                <w:lang w:eastAsia="hr-HR"/>
              </w:rPr>
              <w:t>3.</w:t>
            </w:r>
          </w:p>
        </w:tc>
        <w:tc>
          <w:tcPr>
            <w:tcW w:w="4149" w:type="dxa"/>
            <w:shd w:val="clear" w:color="auto" w:fill="auto"/>
            <w:vAlign w:val="center"/>
          </w:tcPr>
          <w:p w14:paraId="7030CCC9" w14:textId="77777777" w:rsidR="009A75C2" w:rsidRPr="00964781" w:rsidRDefault="009A75C2" w:rsidP="00BA499D">
            <w:pPr>
              <w:rPr>
                <w:color w:val="1A1A1A"/>
                <w:sz w:val="18"/>
                <w:szCs w:val="18"/>
                <w:lang w:eastAsia="hr-HR"/>
              </w:rPr>
            </w:pPr>
            <w:r w:rsidRPr="00964781">
              <w:rPr>
                <w:color w:val="1A1A1A"/>
                <w:sz w:val="18"/>
                <w:szCs w:val="18"/>
                <w:lang w:eastAsia="hr-HR"/>
              </w:rPr>
              <w:t>Izvanredna provjera kakvoće lijeka na zahtjev ministarstva nadležnog za zdravstvo ili Agencije zbog znakova neuobičajenih pojava ili sumnji u kakvoću lijeka</w:t>
            </w:r>
          </w:p>
        </w:tc>
        <w:tc>
          <w:tcPr>
            <w:tcW w:w="1417" w:type="dxa"/>
            <w:shd w:val="clear" w:color="auto" w:fill="auto"/>
            <w:noWrap/>
            <w:vAlign w:val="center"/>
          </w:tcPr>
          <w:p w14:paraId="1B2D2319" w14:textId="77777777" w:rsidR="009A75C2" w:rsidRPr="0037282C" w:rsidRDefault="009A75C2" w:rsidP="00BA499D">
            <w:pPr>
              <w:jc w:val="center"/>
              <w:rPr>
                <w:sz w:val="18"/>
              </w:rPr>
            </w:pPr>
            <w:r w:rsidRPr="00476847">
              <w:rPr>
                <w:bCs/>
                <w:sz w:val="20"/>
                <w:szCs w:val="20"/>
              </w:rPr>
              <w:t>0</w:t>
            </w:r>
          </w:p>
        </w:tc>
        <w:tc>
          <w:tcPr>
            <w:tcW w:w="1522" w:type="dxa"/>
            <w:shd w:val="clear" w:color="auto" w:fill="auto"/>
            <w:noWrap/>
            <w:vAlign w:val="center"/>
          </w:tcPr>
          <w:p w14:paraId="2DA83519" w14:textId="77777777" w:rsidR="009A75C2" w:rsidRPr="002C590D" w:rsidRDefault="009A75C2" w:rsidP="00BA499D">
            <w:pPr>
              <w:jc w:val="center"/>
              <w:rPr>
                <w:sz w:val="18"/>
              </w:rPr>
            </w:pPr>
            <w:r w:rsidRPr="005E6AC6">
              <w:rPr>
                <w:bCs/>
                <w:sz w:val="20"/>
                <w:szCs w:val="20"/>
              </w:rPr>
              <w:t>2</w:t>
            </w:r>
          </w:p>
        </w:tc>
        <w:tc>
          <w:tcPr>
            <w:tcW w:w="1275" w:type="dxa"/>
            <w:shd w:val="clear" w:color="auto" w:fill="auto"/>
            <w:noWrap/>
            <w:vAlign w:val="center"/>
          </w:tcPr>
          <w:p w14:paraId="2909D0B5" w14:textId="77777777" w:rsidR="009A75C2" w:rsidRPr="002C590D" w:rsidRDefault="009A75C2" w:rsidP="00BA499D">
            <w:pPr>
              <w:jc w:val="center"/>
              <w:rPr>
                <w:sz w:val="18"/>
              </w:rPr>
            </w:pPr>
            <w:r>
              <w:rPr>
                <w:sz w:val="20"/>
                <w:szCs w:val="20"/>
              </w:rPr>
              <w:t>-</w:t>
            </w:r>
          </w:p>
        </w:tc>
      </w:tr>
      <w:tr w:rsidR="009A75C2" w:rsidRPr="00964781" w14:paraId="5D454EBE" w14:textId="77777777" w:rsidTr="00BA499D">
        <w:trPr>
          <w:trHeight w:val="142"/>
        </w:trPr>
        <w:tc>
          <w:tcPr>
            <w:tcW w:w="719" w:type="dxa"/>
            <w:shd w:val="clear" w:color="auto" w:fill="auto"/>
            <w:noWrap/>
            <w:vAlign w:val="center"/>
          </w:tcPr>
          <w:p w14:paraId="0BB3029F" w14:textId="77777777" w:rsidR="009A75C2" w:rsidRPr="00964781" w:rsidRDefault="009A75C2" w:rsidP="00BA499D">
            <w:pPr>
              <w:jc w:val="center"/>
              <w:rPr>
                <w:color w:val="1A1A1A"/>
                <w:sz w:val="18"/>
                <w:szCs w:val="18"/>
                <w:lang w:eastAsia="hr-HR"/>
              </w:rPr>
            </w:pPr>
            <w:r w:rsidRPr="00964781">
              <w:rPr>
                <w:color w:val="1A1A1A"/>
                <w:sz w:val="18"/>
                <w:szCs w:val="18"/>
                <w:lang w:eastAsia="hr-HR"/>
              </w:rPr>
              <w:t>4.</w:t>
            </w:r>
          </w:p>
        </w:tc>
        <w:tc>
          <w:tcPr>
            <w:tcW w:w="4149" w:type="dxa"/>
            <w:shd w:val="clear" w:color="auto" w:fill="auto"/>
            <w:vAlign w:val="center"/>
          </w:tcPr>
          <w:p w14:paraId="6D78546B" w14:textId="77777777" w:rsidR="009A75C2" w:rsidRPr="00964781" w:rsidRDefault="009A75C2" w:rsidP="00BA499D">
            <w:pPr>
              <w:rPr>
                <w:color w:val="1A1A1A"/>
                <w:sz w:val="18"/>
                <w:szCs w:val="18"/>
                <w:lang w:eastAsia="hr-HR"/>
              </w:rPr>
            </w:pPr>
            <w:r w:rsidRPr="00964781">
              <w:rPr>
                <w:color w:val="1A1A1A"/>
                <w:sz w:val="18"/>
                <w:szCs w:val="18"/>
                <w:lang w:eastAsia="hr-HR"/>
              </w:rPr>
              <w:t>Provjera kakvoće tijekom postupka davanja, obnove ili izmjene odobrenja</w:t>
            </w:r>
          </w:p>
        </w:tc>
        <w:tc>
          <w:tcPr>
            <w:tcW w:w="1417" w:type="dxa"/>
            <w:shd w:val="clear" w:color="auto" w:fill="auto"/>
            <w:noWrap/>
            <w:vAlign w:val="center"/>
          </w:tcPr>
          <w:p w14:paraId="3C4B71BA" w14:textId="77777777" w:rsidR="009A75C2" w:rsidRPr="0037282C" w:rsidRDefault="009A75C2" w:rsidP="00BA499D">
            <w:pPr>
              <w:jc w:val="center"/>
              <w:rPr>
                <w:sz w:val="18"/>
              </w:rPr>
            </w:pPr>
            <w:r w:rsidRPr="00476847">
              <w:rPr>
                <w:bCs/>
                <w:sz w:val="20"/>
                <w:szCs w:val="20"/>
              </w:rPr>
              <w:t>0</w:t>
            </w:r>
          </w:p>
        </w:tc>
        <w:tc>
          <w:tcPr>
            <w:tcW w:w="1522" w:type="dxa"/>
            <w:shd w:val="clear" w:color="auto" w:fill="auto"/>
            <w:noWrap/>
            <w:vAlign w:val="center"/>
          </w:tcPr>
          <w:p w14:paraId="3556B2EE" w14:textId="77777777" w:rsidR="009A75C2" w:rsidRPr="002C590D" w:rsidRDefault="009A75C2" w:rsidP="00BA499D">
            <w:pPr>
              <w:jc w:val="center"/>
              <w:rPr>
                <w:sz w:val="18"/>
              </w:rPr>
            </w:pPr>
            <w:r w:rsidRPr="005E6AC6">
              <w:rPr>
                <w:bCs/>
                <w:sz w:val="20"/>
                <w:szCs w:val="20"/>
              </w:rPr>
              <w:t>0</w:t>
            </w:r>
          </w:p>
        </w:tc>
        <w:tc>
          <w:tcPr>
            <w:tcW w:w="1275" w:type="dxa"/>
            <w:shd w:val="clear" w:color="auto" w:fill="auto"/>
            <w:noWrap/>
            <w:vAlign w:val="center"/>
          </w:tcPr>
          <w:p w14:paraId="5A1B1D71" w14:textId="77777777" w:rsidR="009A75C2" w:rsidRPr="002C590D" w:rsidRDefault="009A75C2" w:rsidP="00BA499D">
            <w:pPr>
              <w:jc w:val="center"/>
              <w:rPr>
                <w:sz w:val="18"/>
              </w:rPr>
            </w:pPr>
            <w:r>
              <w:rPr>
                <w:sz w:val="20"/>
                <w:szCs w:val="20"/>
              </w:rPr>
              <w:t>-</w:t>
            </w:r>
          </w:p>
        </w:tc>
      </w:tr>
      <w:tr w:rsidR="009A75C2" w:rsidRPr="00964781" w14:paraId="2430A0E6" w14:textId="77777777" w:rsidTr="00BA499D">
        <w:trPr>
          <w:trHeight w:val="142"/>
        </w:trPr>
        <w:tc>
          <w:tcPr>
            <w:tcW w:w="719" w:type="dxa"/>
            <w:shd w:val="clear" w:color="auto" w:fill="auto"/>
            <w:noWrap/>
            <w:vAlign w:val="center"/>
          </w:tcPr>
          <w:p w14:paraId="46EAAEEE" w14:textId="77777777" w:rsidR="009A75C2" w:rsidRPr="00964781" w:rsidRDefault="009A75C2" w:rsidP="00BA499D">
            <w:pPr>
              <w:jc w:val="center"/>
              <w:rPr>
                <w:color w:val="1A1A1A"/>
                <w:sz w:val="18"/>
                <w:szCs w:val="18"/>
                <w:lang w:eastAsia="hr-HR"/>
              </w:rPr>
            </w:pPr>
            <w:r w:rsidRPr="00964781">
              <w:rPr>
                <w:color w:val="1A1A1A"/>
                <w:sz w:val="18"/>
                <w:szCs w:val="18"/>
                <w:lang w:eastAsia="hr-HR"/>
              </w:rPr>
              <w:t>5.</w:t>
            </w:r>
          </w:p>
        </w:tc>
        <w:tc>
          <w:tcPr>
            <w:tcW w:w="4149" w:type="dxa"/>
            <w:shd w:val="clear" w:color="auto" w:fill="auto"/>
            <w:vAlign w:val="center"/>
          </w:tcPr>
          <w:p w14:paraId="3445CD7C" w14:textId="77777777" w:rsidR="009A75C2" w:rsidRPr="00964781" w:rsidRDefault="009A75C2" w:rsidP="00BA499D">
            <w:pPr>
              <w:rPr>
                <w:color w:val="1A1A1A"/>
                <w:sz w:val="18"/>
                <w:szCs w:val="18"/>
                <w:lang w:eastAsia="hr-HR"/>
              </w:rPr>
            </w:pPr>
            <w:r w:rsidRPr="00964781">
              <w:rPr>
                <w:color w:val="1A1A1A"/>
                <w:sz w:val="18"/>
                <w:szCs w:val="18"/>
                <w:lang w:eastAsia="hr-HR"/>
              </w:rPr>
              <w:t>Provjera kakvoće po posebnom zahtjevu za dodatke prehrani te međulaboratorijska ispitivanja za druge ustanove</w:t>
            </w:r>
          </w:p>
        </w:tc>
        <w:tc>
          <w:tcPr>
            <w:tcW w:w="1417" w:type="dxa"/>
            <w:shd w:val="clear" w:color="auto" w:fill="auto"/>
            <w:noWrap/>
            <w:vAlign w:val="center"/>
          </w:tcPr>
          <w:p w14:paraId="74E8CC89" w14:textId="77777777" w:rsidR="009A75C2" w:rsidRPr="0037282C" w:rsidRDefault="009A75C2" w:rsidP="00BA499D">
            <w:pPr>
              <w:jc w:val="center"/>
              <w:rPr>
                <w:sz w:val="18"/>
              </w:rPr>
            </w:pPr>
            <w:r w:rsidRPr="00476847">
              <w:rPr>
                <w:bCs/>
                <w:sz w:val="20"/>
                <w:szCs w:val="20"/>
              </w:rPr>
              <w:t>14</w:t>
            </w:r>
          </w:p>
        </w:tc>
        <w:tc>
          <w:tcPr>
            <w:tcW w:w="1522" w:type="dxa"/>
            <w:shd w:val="clear" w:color="auto" w:fill="auto"/>
            <w:noWrap/>
            <w:vAlign w:val="center"/>
          </w:tcPr>
          <w:p w14:paraId="21FB9058" w14:textId="77777777" w:rsidR="009A75C2" w:rsidRPr="002C590D" w:rsidRDefault="009A75C2" w:rsidP="00BA499D">
            <w:pPr>
              <w:jc w:val="center"/>
              <w:rPr>
                <w:sz w:val="18"/>
              </w:rPr>
            </w:pPr>
            <w:r w:rsidRPr="005E6AC6">
              <w:rPr>
                <w:bCs/>
                <w:sz w:val="20"/>
                <w:szCs w:val="20"/>
              </w:rPr>
              <w:t>20</w:t>
            </w:r>
          </w:p>
        </w:tc>
        <w:tc>
          <w:tcPr>
            <w:tcW w:w="1275" w:type="dxa"/>
            <w:shd w:val="clear" w:color="auto" w:fill="auto"/>
            <w:noWrap/>
            <w:vAlign w:val="center"/>
          </w:tcPr>
          <w:p w14:paraId="4ADD3B16" w14:textId="77777777" w:rsidR="009A75C2" w:rsidRPr="002C590D" w:rsidRDefault="009A75C2" w:rsidP="00BA499D">
            <w:pPr>
              <w:jc w:val="center"/>
              <w:rPr>
                <w:sz w:val="18"/>
              </w:rPr>
            </w:pPr>
            <w:r w:rsidRPr="002C590D">
              <w:rPr>
                <w:sz w:val="20"/>
                <w:szCs w:val="20"/>
              </w:rPr>
              <w:t>143%</w:t>
            </w:r>
          </w:p>
        </w:tc>
      </w:tr>
      <w:tr w:rsidR="009A75C2" w:rsidRPr="00964781" w14:paraId="2ACD1A52" w14:textId="77777777" w:rsidTr="00BA499D">
        <w:trPr>
          <w:trHeight w:val="142"/>
        </w:trPr>
        <w:tc>
          <w:tcPr>
            <w:tcW w:w="719" w:type="dxa"/>
            <w:shd w:val="clear" w:color="auto" w:fill="auto"/>
            <w:noWrap/>
            <w:vAlign w:val="center"/>
          </w:tcPr>
          <w:p w14:paraId="78994C3A" w14:textId="77777777" w:rsidR="009A75C2" w:rsidRPr="00964781" w:rsidRDefault="009A75C2" w:rsidP="00BA499D">
            <w:pPr>
              <w:jc w:val="center"/>
              <w:rPr>
                <w:color w:val="1A1A1A"/>
                <w:sz w:val="18"/>
                <w:szCs w:val="18"/>
                <w:lang w:eastAsia="hr-HR"/>
              </w:rPr>
            </w:pPr>
            <w:r w:rsidRPr="00964781">
              <w:rPr>
                <w:color w:val="1A1A1A"/>
                <w:sz w:val="18"/>
                <w:szCs w:val="18"/>
                <w:lang w:eastAsia="hr-HR"/>
              </w:rPr>
              <w:t>6.</w:t>
            </w:r>
          </w:p>
        </w:tc>
        <w:tc>
          <w:tcPr>
            <w:tcW w:w="4149" w:type="dxa"/>
            <w:shd w:val="clear" w:color="auto" w:fill="auto"/>
            <w:vAlign w:val="center"/>
          </w:tcPr>
          <w:p w14:paraId="2C0E4183" w14:textId="77777777" w:rsidR="009A75C2" w:rsidRPr="00964781" w:rsidRDefault="009A75C2" w:rsidP="00BA499D">
            <w:pPr>
              <w:rPr>
                <w:color w:val="1A1A1A"/>
                <w:sz w:val="18"/>
                <w:szCs w:val="18"/>
                <w:lang w:eastAsia="hr-HR"/>
              </w:rPr>
            </w:pPr>
            <w:r w:rsidRPr="00964781">
              <w:rPr>
                <w:color w:val="1A1A1A"/>
                <w:sz w:val="18"/>
                <w:szCs w:val="18"/>
                <w:lang w:eastAsia="hr-HR"/>
              </w:rPr>
              <w:t>Za lijekove koji se ispituje temeljem međunarodnog ugovora, i uzeti su s teritorija drugih zemalja</w:t>
            </w:r>
          </w:p>
        </w:tc>
        <w:tc>
          <w:tcPr>
            <w:tcW w:w="1417" w:type="dxa"/>
            <w:shd w:val="clear" w:color="auto" w:fill="auto"/>
            <w:noWrap/>
            <w:vAlign w:val="center"/>
          </w:tcPr>
          <w:p w14:paraId="39F3FC8E" w14:textId="77777777" w:rsidR="009A75C2" w:rsidRPr="0037282C" w:rsidRDefault="009A75C2" w:rsidP="00BA499D">
            <w:pPr>
              <w:jc w:val="center"/>
              <w:rPr>
                <w:sz w:val="18"/>
              </w:rPr>
            </w:pPr>
            <w:r w:rsidRPr="00476847">
              <w:rPr>
                <w:bCs/>
                <w:sz w:val="20"/>
                <w:szCs w:val="20"/>
              </w:rPr>
              <w:t>0</w:t>
            </w:r>
          </w:p>
        </w:tc>
        <w:tc>
          <w:tcPr>
            <w:tcW w:w="1522" w:type="dxa"/>
            <w:shd w:val="clear" w:color="auto" w:fill="auto"/>
            <w:noWrap/>
            <w:vAlign w:val="center"/>
          </w:tcPr>
          <w:p w14:paraId="602CB5BE" w14:textId="77777777" w:rsidR="009A75C2" w:rsidRPr="0037282C" w:rsidRDefault="009A75C2" w:rsidP="00BA499D">
            <w:pPr>
              <w:jc w:val="center"/>
              <w:rPr>
                <w:sz w:val="18"/>
              </w:rPr>
            </w:pPr>
            <w:r>
              <w:rPr>
                <w:bCs/>
                <w:sz w:val="20"/>
                <w:szCs w:val="20"/>
              </w:rPr>
              <w:t>0</w:t>
            </w:r>
          </w:p>
        </w:tc>
        <w:tc>
          <w:tcPr>
            <w:tcW w:w="1275" w:type="dxa"/>
            <w:shd w:val="clear" w:color="auto" w:fill="auto"/>
            <w:noWrap/>
            <w:vAlign w:val="center"/>
          </w:tcPr>
          <w:p w14:paraId="2E4511EA" w14:textId="77777777" w:rsidR="009A75C2" w:rsidRPr="0037282C" w:rsidRDefault="009A75C2" w:rsidP="00BA499D">
            <w:pPr>
              <w:jc w:val="center"/>
              <w:rPr>
                <w:sz w:val="18"/>
              </w:rPr>
            </w:pPr>
            <w:r>
              <w:rPr>
                <w:sz w:val="20"/>
                <w:szCs w:val="20"/>
              </w:rPr>
              <w:t>-</w:t>
            </w:r>
          </w:p>
        </w:tc>
      </w:tr>
      <w:tr w:rsidR="009A75C2" w:rsidRPr="00964781" w14:paraId="2AA47189" w14:textId="77777777" w:rsidTr="00BA499D">
        <w:trPr>
          <w:trHeight w:val="142"/>
        </w:trPr>
        <w:tc>
          <w:tcPr>
            <w:tcW w:w="719" w:type="dxa"/>
            <w:shd w:val="clear" w:color="auto" w:fill="auto"/>
            <w:noWrap/>
            <w:vAlign w:val="center"/>
          </w:tcPr>
          <w:p w14:paraId="19778D3D" w14:textId="77777777" w:rsidR="009A75C2" w:rsidRPr="00964781" w:rsidRDefault="009A75C2" w:rsidP="00BA499D">
            <w:pPr>
              <w:jc w:val="center"/>
              <w:rPr>
                <w:color w:val="1A1A1A"/>
                <w:sz w:val="18"/>
                <w:szCs w:val="18"/>
                <w:lang w:eastAsia="hr-HR"/>
              </w:rPr>
            </w:pPr>
          </w:p>
        </w:tc>
        <w:tc>
          <w:tcPr>
            <w:tcW w:w="4149" w:type="dxa"/>
            <w:shd w:val="clear" w:color="auto" w:fill="auto"/>
            <w:vAlign w:val="center"/>
          </w:tcPr>
          <w:p w14:paraId="1A7221A6" w14:textId="77777777" w:rsidR="009A75C2" w:rsidRPr="00964781" w:rsidRDefault="009A75C2" w:rsidP="00BA499D">
            <w:pPr>
              <w:rPr>
                <w:b/>
                <w:color w:val="1A1A1A"/>
                <w:sz w:val="18"/>
                <w:szCs w:val="18"/>
                <w:lang w:eastAsia="hr-HR"/>
              </w:rPr>
            </w:pPr>
            <w:r w:rsidRPr="00964781">
              <w:rPr>
                <w:b/>
                <w:color w:val="1A1A1A"/>
                <w:sz w:val="18"/>
                <w:szCs w:val="18"/>
                <w:lang w:eastAsia="hr-HR"/>
              </w:rPr>
              <w:t>Kontrola kvalitete veterinarsko - medicinskih proizvoda (VMP-a)</w:t>
            </w:r>
          </w:p>
        </w:tc>
        <w:tc>
          <w:tcPr>
            <w:tcW w:w="1417" w:type="dxa"/>
            <w:shd w:val="clear" w:color="auto" w:fill="auto"/>
            <w:noWrap/>
            <w:vAlign w:val="center"/>
          </w:tcPr>
          <w:p w14:paraId="27819188" w14:textId="77777777" w:rsidR="009A75C2" w:rsidRPr="0037282C" w:rsidRDefault="009A75C2" w:rsidP="00BA499D">
            <w:pPr>
              <w:jc w:val="center"/>
              <w:rPr>
                <w:sz w:val="18"/>
              </w:rPr>
            </w:pPr>
          </w:p>
        </w:tc>
        <w:tc>
          <w:tcPr>
            <w:tcW w:w="1522" w:type="dxa"/>
            <w:shd w:val="clear" w:color="auto" w:fill="auto"/>
            <w:noWrap/>
            <w:vAlign w:val="center"/>
          </w:tcPr>
          <w:p w14:paraId="30B8D909" w14:textId="77777777" w:rsidR="009A75C2" w:rsidRPr="0037282C" w:rsidRDefault="009A75C2" w:rsidP="00BA499D">
            <w:pPr>
              <w:jc w:val="center"/>
              <w:rPr>
                <w:sz w:val="18"/>
              </w:rPr>
            </w:pPr>
          </w:p>
        </w:tc>
        <w:tc>
          <w:tcPr>
            <w:tcW w:w="1275" w:type="dxa"/>
            <w:shd w:val="clear" w:color="auto" w:fill="auto"/>
            <w:noWrap/>
            <w:vAlign w:val="center"/>
          </w:tcPr>
          <w:p w14:paraId="3E6B04D0" w14:textId="77777777" w:rsidR="009A75C2" w:rsidRPr="0037282C" w:rsidRDefault="009A75C2" w:rsidP="00BA499D">
            <w:pPr>
              <w:jc w:val="center"/>
              <w:rPr>
                <w:sz w:val="18"/>
              </w:rPr>
            </w:pPr>
          </w:p>
        </w:tc>
      </w:tr>
      <w:tr w:rsidR="009A75C2" w:rsidRPr="00964781" w14:paraId="42BF416A" w14:textId="77777777" w:rsidTr="00BA499D">
        <w:trPr>
          <w:trHeight w:val="142"/>
        </w:trPr>
        <w:tc>
          <w:tcPr>
            <w:tcW w:w="719" w:type="dxa"/>
            <w:shd w:val="clear" w:color="auto" w:fill="auto"/>
            <w:noWrap/>
            <w:vAlign w:val="center"/>
          </w:tcPr>
          <w:p w14:paraId="01A463AC" w14:textId="77777777" w:rsidR="009A75C2" w:rsidRPr="00964781" w:rsidRDefault="009A75C2" w:rsidP="00BA499D">
            <w:pPr>
              <w:jc w:val="center"/>
              <w:rPr>
                <w:color w:val="1A1A1A"/>
                <w:sz w:val="18"/>
                <w:szCs w:val="18"/>
                <w:lang w:eastAsia="hr-HR"/>
              </w:rPr>
            </w:pPr>
            <w:r w:rsidRPr="00964781">
              <w:rPr>
                <w:color w:val="1A1A1A"/>
                <w:sz w:val="18"/>
                <w:szCs w:val="18"/>
                <w:lang w:eastAsia="hr-HR"/>
              </w:rPr>
              <w:t xml:space="preserve">1. </w:t>
            </w:r>
          </w:p>
        </w:tc>
        <w:tc>
          <w:tcPr>
            <w:tcW w:w="4149" w:type="dxa"/>
            <w:shd w:val="clear" w:color="auto" w:fill="auto"/>
            <w:vAlign w:val="center"/>
          </w:tcPr>
          <w:p w14:paraId="1A907B3A" w14:textId="77777777" w:rsidR="009A75C2" w:rsidRPr="00964781" w:rsidRDefault="009A75C2" w:rsidP="00BA499D">
            <w:pPr>
              <w:rPr>
                <w:color w:val="1A1A1A"/>
                <w:sz w:val="18"/>
                <w:szCs w:val="18"/>
                <w:lang w:eastAsia="hr-HR"/>
              </w:rPr>
            </w:pPr>
            <w:r w:rsidRPr="00964781">
              <w:rPr>
                <w:color w:val="1A1A1A"/>
                <w:sz w:val="18"/>
                <w:szCs w:val="18"/>
                <w:lang w:eastAsia="hr-HR"/>
              </w:rPr>
              <w:t>Izvanredna kontrola kvalitete VMP-a</w:t>
            </w:r>
          </w:p>
        </w:tc>
        <w:tc>
          <w:tcPr>
            <w:tcW w:w="1417" w:type="dxa"/>
            <w:shd w:val="clear" w:color="auto" w:fill="auto"/>
            <w:noWrap/>
            <w:vAlign w:val="center"/>
          </w:tcPr>
          <w:p w14:paraId="33D42D53" w14:textId="77777777" w:rsidR="009A75C2" w:rsidRPr="0028239F" w:rsidRDefault="009A75C2" w:rsidP="00BA499D">
            <w:pPr>
              <w:jc w:val="center"/>
              <w:rPr>
                <w:sz w:val="18"/>
              </w:rPr>
            </w:pPr>
            <w:r w:rsidRPr="003E4D46">
              <w:rPr>
                <w:bCs/>
                <w:sz w:val="20"/>
                <w:szCs w:val="20"/>
              </w:rPr>
              <w:t>0</w:t>
            </w:r>
          </w:p>
        </w:tc>
        <w:tc>
          <w:tcPr>
            <w:tcW w:w="1522" w:type="dxa"/>
            <w:shd w:val="clear" w:color="auto" w:fill="auto"/>
            <w:noWrap/>
            <w:vAlign w:val="center"/>
          </w:tcPr>
          <w:p w14:paraId="6DDB928B" w14:textId="77777777" w:rsidR="009A75C2" w:rsidRPr="0028239F" w:rsidRDefault="009A75C2" w:rsidP="00BA499D">
            <w:pPr>
              <w:jc w:val="center"/>
              <w:rPr>
                <w:sz w:val="18"/>
              </w:rPr>
            </w:pPr>
            <w:r>
              <w:rPr>
                <w:bCs/>
                <w:sz w:val="20"/>
                <w:szCs w:val="20"/>
              </w:rPr>
              <w:t>0</w:t>
            </w:r>
          </w:p>
        </w:tc>
        <w:tc>
          <w:tcPr>
            <w:tcW w:w="1275" w:type="dxa"/>
            <w:shd w:val="clear" w:color="auto" w:fill="auto"/>
            <w:noWrap/>
            <w:vAlign w:val="center"/>
          </w:tcPr>
          <w:p w14:paraId="1B91C856" w14:textId="77777777" w:rsidR="009A75C2" w:rsidRPr="0028239F" w:rsidRDefault="009A75C2" w:rsidP="00BA499D">
            <w:pPr>
              <w:jc w:val="center"/>
              <w:rPr>
                <w:sz w:val="18"/>
              </w:rPr>
            </w:pPr>
            <w:r>
              <w:rPr>
                <w:sz w:val="20"/>
                <w:szCs w:val="20"/>
              </w:rPr>
              <w:t>-</w:t>
            </w:r>
          </w:p>
        </w:tc>
      </w:tr>
      <w:tr w:rsidR="009A75C2" w:rsidRPr="00964781" w14:paraId="17F8ADED" w14:textId="77777777" w:rsidTr="00BA499D">
        <w:trPr>
          <w:trHeight w:val="142"/>
        </w:trPr>
        <w:tc>
          <w:tcPr>
            <w:tcW w:w="719" w:type="dxa"/>
            <w:shd w:val="clear" w:color="auto" w:fill="auto"/>
            <w:noWrap/>
            <w:vAlign w:val="center"/>
          </w:tcPr>
          <w:p w14:paraId="3E3D65DC" w14:textId="77777777" w:rsidR="009A75C2" w:rsidRPr="00964781" w:rsidRDefault="009A75C2" w:rsidP="00BA499D">
            <w:pPr>
              <w:jc w:val="center"/>
              <w:rPr>
                <w:color w:val="1A1A1A"/>
                <w:sz w:val="18"/>
                <w:szCs w:val="18"/>
                <w:lang w:eastAsia="hr-HR"/>
              </w:rPr>
            </w:pPr>
            <w:r w:rsidRPr="00964781">
              <w:rPr>
                <w:color w:val="1A1A1A"/>
                <w:sz w:val="18"/>
                <w:szCs w:val="18"/>
                <w:lang w:eastAsia="hr-HR"/>
              </w:rPr>
              <w:t>2.</w:t>
            </w:r>
          </w:p>
        </w:tc>
        <w:tc>
          <w:tcPr>
            <w:tcW w:w="4149" w:type="dxa"/>
            <w:shd w:val="clear" w:color="auto" w:fill="auto"/>
            <w:vAlign w:val="center"/>
          </w:tcPr>
          <w:p w14:paraId="54798768" w14:textId="77777777" w:rsidR="009A75C2" w:rsidRPr="00964781" w:rsidRDefault="009A75C2" w:rsidP="00BA499D">
            <w:pPr>
              <w:rPr>
                <w:color w:val="1A1A1A"/>
                <w:sz w:val="18"/>
                <w:szCs w:val="18"/>
                <w:lang w:eastAsia="hr-HR"/>
              </w:rPr>
            </w:pPr>
            <w:r w:rsidRPr="00964781">
              <w:rPr>
                <w:color w:val="1A1A1A"/>
                <w:sz w:val="18"/>
                <w:szCs w:val="18"/>
                <w:lang w:eastAsia="hr-HR"/>
              </w:rPr>
              <w:t>Kontrola kvalitete VMP-a u prometu</w:t>
            </w:r>
          </w:p>
        </w:tc>
        <w:tc>
          <w:tcPr>
            <w:tcW w:w="1417" w:type="dxa"/>
            <w:shd w:val="clear" w:color="auto" w:fill="auto"/>
            <w:noWrap/>
            <w:vAlign w:val="center"/>
          </w:tcPr>
          <w:p w14:paraId="554C7C7E" w14:textId="77777777" w:rsidR="009A75C2" w:rsidRPr="0037282C" w:rsidRDefault="009A75C2" w:rsidP="00BA499D">
            <w:pPr>
              <w:jc w:val="center"/>
              <w:rPr>
                <w:sz w:val="18"/>
              </w:rPr>
            </w:pPr>
            <w:r w:rsidRPr="00476847">
              <w:rPr>
                <w:bCs/>
                <w:sz w:val="20"/>
                <w:szCs w:val="20"/>
              </w:rPr>
              <w:t>20</w:t>
            </w:r>
          </w:p>
        </w:tc>
        <w:tc>
          <w:tcPr>
            <w:tcW w:w="1522" w:type="dxa"/>
            <w:shd w:val="clear" w:color="auto" w:fill="auto"/>
            <w:noWrap/>
            <w:vAlign w:val="center"/>
          </w:tcPr>
          <w:p w14:paraId="7250D433" w14:textId="77777777" w:rsidR="009A75C2" w:rsidRPr="002C590D" w:rsidRDefault="009A75C2" w:rsidP="00BA499D">
            <w:pPr>
              <w:jc w:val="center"/>
              <w:rPr>
                <w:sz w:val="18"/>
              </w:rPr>
            </w:pPr>
            <w:r w:rsidRPr="005E6AC6">
              <w:rPr>
                <w:bCs/>
                <w:sz w:val="20"/>
                <w:szCs w:val="20"/>
              </w:rPr>
              <w:t>27</w:t>
            </w:r>
          </w:p>
        </w:tc>
        <w:tc>
          <w:tcPr>
            <w:tcW w:w="1275" w:type="dxa"/>
            <w:shd w:val="clear" w:color="auto" w:fill="auto"/>
            <w:noWrap/>
            <w:vAlign w:val="center"/>
          </w:tcPr>
          <w:p w14:paraId="21E98DFC" w14:textId="77777777" w:rsidR="009A75C2" w:rsidRPr="002C590D" w:rsidRDefault="009A75C2" w:rsidP="00BA499D">
            <w:pPr>
              <w:jc w:val="center"/>
              <w:rPr>
                <w:sz w:val="18"/>
              </w:rPr>
            </w:pPr>
            <w:r w:rsidRPr="002C590D">
              <w:rPr>
                <w:sz w:val="20"/>
                <w:szCs w:val="20"/>
              </w:rPr>
              <w:t>135%</w:t>
            </w:r>
          </w:p>
        </w:tc>
      </w:tr>
      <w:tr w:rsidR="009A75C2" w:rsidRPr="00964781" w14:paraId="6EC0012D" w14:textId="77777777" w:rsidTr="00BA499D">
        <w:trPr>
          <w:trHeight w:val="284"/>
        </w:trPr>
        <w:tc>
          <w:tcPr>
            <w:tcW w:w="4868" w:type="dxa"/>
            <w:gridSpan w:val="2"/>
            <w:shd w:val="clear" w:color="000000" w:fill="BFBFBF"/>
            <w:vAlign w:val="center"/>
            <w:hideMark/>
          </w:tcPr>
          <w:p w14:paraId="3A352B79" w14:textId="77777777" w:rsidR="009A75C2" w:rsidRPr="007F463D" w:rsidRDefault="009A75C2" w:rsidP="00BA499D">
            <w:pPr>
              <w:rPr>
                <w:b/>
                <w:color w:val="1A1A1A"/>
                <w:sz w:val="20"/>
                <w:szCs w:val="20"/>
                <w:lang w:eastAsia="hr-HR"/>
              </w:rPr>
            </w:pPr>
            <w:r w:rsidRPr="007F463D">
              <w:rPr>
                <w:b/>
                <w:color w:val="1A1A1A"/>
                <w:sz w:val="20"/>
                <w:szCs w:val="20"/>
                <w:lang w:eastAsia="hr-HR"/>
              </w:rPr>
              <w:t>UKUPNO:</w:t>
            </w:r>
          </w:p>
        </w:tc>
        <w:tc>
          <w:tcPr>
            <w:tcW w:w="1417" w:type="dxa"/>
            <w:shd w:val="clear" w:color="000000" w:fill="BFBFBF"/>
            <w:noWrap/>
            <w:vAlign w:val="center"/>
          </w:tcPr>
          <w:p w14:paraId="24D19AA6" w14:textId="77777777" w:rsidR="009A75C2" w:rsidRPr="0037282C" w:rsidRDefault="009A75C2" w:rsidP="00BA499D">
            <w:pPr>
              <w:jc w:val="center"/>
              <w:rPr>
                <w:b/>
                <w:sz w:val="18"/>
              </w:rPr>
            </w:pPr>
            <w:r w:rsidRPr="0037282C">
              <w:rPr>
                <w:b/>
                <w:bCs/>
                <w:sz w:val="20"/>
                <w:szCs w:val="20"/>
              </w:rPr>
              <w:t>372</w:t>
            </w:r>
          </w:p>
        </w:tc>
        <w:tc>
          <w:tcPr>
            <w:tcW w:w="1522" w:type="dxa"/>
            <w:shd w:val="clear" w:color="000000" w:fill="BFBFBF"/>
            <w:noWrap/>
            <w:vAlign w:val="center"/>
          </w:tcPr>
          <w:p w14:paraId="1826960B" w14:textId="77777777" w:rsidR="009A75C2" w:rsidRPr="008F6E53" w:rsidRDefault="009A75C2" w:rsidP="00BA499D">
            <w:pPr>
              <w:jc w:val="center"/>
              <w:rPr>
                <w:b/>
                <w:sz w:val="18"/>
              </w:rPr>
            </w:pPr>
            <w:r>
              <w:rPr>
                <w:b/>
                <w:bCs/>
                <w:sz w:val="20"/>
                <w:szCs w:val="20"/>
              </w:rPr>
              <w:t>408</w:t>
            </w:r>
          </w:p>
        </w:tc>
        <w:tc>
          <w:tcPr>
            <w:tcW w:w="1275" w:type="dxa"/>
            <w:shd w:val="clear" w:color="000000" w:fill="BFBFBF"/>
            <w:noWrap/>
            <w:vAlign w:val="center"/>
          </w:tcPr>
          <w:p w14:paraId="1B56DF44" w14:textId="77777777" w:rsidR="009A75C2" w:rsidRPr="002C590D" w:rsidRDefault="009A75C2" w:rsidP="00BA499D">
            <w:pPr>
              <w:jc w:val="center"/>
              <w:rPr>
                <w:b/>
                <w:sz w:val="18"/>
              </w:rPr>
            </w:pPr>
            <w:r w:rsidRPr="005E6AC6">
              <w:rPr>
                <w:b/>
                <w:sz w:val="20"/>
                <w:szCs w:val="20"/>
              </w:rPr>
              <w:t>110%</w:t>
            </w:r>
          </w:p>
        </w:tc>
      </w:tr>
    </w:tbl>
    <w:p w14:paraId="56FA1481" w14:textId="77777777" w:rsidR="009A75C2" w:rsidRPr="00102703" w:rsidRDefault="009A75C2" w:rsidP="009A75C2">
      <w:pPr>
        <w:pStyle w:val="ListParagraph"/>
      </w:pPr>
    </w:p>
    <w:p w14:paraId="52F18E20" w14:textId="77777777" w:rsidR="009A75C2" w:rsidRPr="00964781" w:rsidRDefault="009A75C2" w:rsidP="009A75C2">
      <w:pPr>
        <w:spacing w:after="120"/>
        <w:rPr>
          <w:b/>
        </w:rPr>
      </w:pPr>
      <w:r w:rsidRPr="00964781">
        <w:rPr>
          <w:b/>
        </w:rPr>
        <w:t xml:space="preserve">Tablica </w:t>
      </w:r>
      <w:r>
        <w:rPr>
          <w:b/>
        </w:rPr>
        <w:t>22</w:t>
      </w:r>
      <w:r w:rsidRPr="00964781">
        <w:rPr>
          <w:b/>
        </w:rPr>
        <w:t>a. Izvršenje ostalih prihodovnih usluga provjere kakvoće</w:t>
      </w:r>
      <w:r>
        <w:rPr>
          <w:b/>
        </w:rPr>
        <w:t xml:space="preserve"> lijekova</w:t>
      </w:r>
    </w:p>
    <w:tbl>
      <w:tblPr>
        <w:tblW w:w="9082"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4253"/>
        <w:gridCol w:w="1417"/>
        <w:gridCol w:w="1418"/>
        <w:gridCol w:w="1275"/>
      </w:tblGrid>
      <w:tr w:rsidR="009A75C2" w:rsidRPr="00964781" w14:paraId="2F25FC6F" w14:textId="77777777" w:rsidTr="00BA499D">
        <w:trPr>
          <w:trHeight w:val="284"/>
        </w:trPr>
        <w:tc>
          <w:tcPr>
            <w:tcW w:w="719" w:type="dxa"/>
            <w:vMerge w:val="restart"/>
            <w:shd w:val="clear" w:color="auto" w:fill="A3E7FF"/>
            <w:vAlign w:val="center"/>
            <w:hideMark/>
          </w:tcPr>
          <w:p w14:paraId="17E645BB" w14:textId="77777777" w:rsidR="009A75C2" w:rsidRPr="00964781" w:rsidRDefault="009A75C2" w:rsidP="00BA499D">
            <w:pPr>
              <w:jc w:val="center"/>
              <w:rPr>
                <w:b/>
                <w:sz w:val="18"/>
                <w:szCs w:val="18"/>
              </w:rPr>
            </w:pPr>
            <w:r w:rsidRPr="00964781">
              <w:rPr>
                <w:b/>
                <w:sz w:val="18"/>
                <w:szCs w:val="18"/>
              </w:rPr>
              <w:t>R.br.</w:t>
            </w:r>
          </w:p>
        </w:tc>
        <w:tc>
          <w:tcPr>
            <w:tcW w:w="4253" w:type="dxa"/>
            <w:vMerge w:val="restart"/>
            <w:shd w:val="clear" w:color="auto" w:fill="A3E7FF"/>
            <w:vAlign w:val="center"/>
            <w:hideMark/>
          </w:tcPr>
          <w:p w14:paraId="780DE42E" w14:textId="77777777" w:rsidR="009A75C2" w:rsidRPr="00964781" w:rsidRDefault="009A75C2" w:rsidP="00BA499D">
            <w:pPr>
              <w:rPr>
                <w:b/>
                <w:sz w:val="18"/>
                <w:szCs w:val="18"/>
              </w:rPr>
            </w:pPr>
            <w:r w:rsidRPr="00964781">
              <w:rPr>
                <w:b/>
                <w:sz w:val="18"/>
                <w:szCs w:val="18"/>
              </w:rPr>
              <w:t>Naziv usluge</w:t>
            </w:r>
          </w:p>
        </w:tc>
        <w:tc>
          <w:tcPr>
            <w:tcW w:w="1417" w:type="dxa"/>
            <w:vMerge w:val="restart"/>
            <w:shd w:val="clear" w:color="auto" w:fill="A3E7FF"/>
            <w:vAlign w:val="center"/>
            <w:hideMark/>
          </w:tcPr>
          <w:p w14:paraId="47F7C354" w14:textId="77777777" w:rsidR="009A75C2" w:rsidRPr="00964781" w:rsidRDefault="009A75C2" w:rsidP="00BA499D">
            <w:pPr>
              <w:rPr>
                <w:b/>
                <w:sz w:val="18"/>
                <w:szCs w:val="18"/>
              </w:rPr>
            </w:pPr>
            <w:r w:rsidRPr="00964781">
              <w:rPr>
                <w:b/>
                <w:sz w:val="18"/>
                <w:szCs w:val="18"/>
              </w:rPr>
              <w:t>Plan za 202</w:t>
            </w:r>
            <w:r>
              <w:rPr>
                <w:b/>
                <w:sz w:val="18"/>
                <w:szCs w:val="18"/>
              </w:rPr>
              <w:t>3</w:t>
            </w:r>
            <w:r w:rsidRPr="00964781">
              <w:rPr>
                <w:b/>
                <w:sz w:val="18"/>
                <w:szCs w:val="18"/>
              </w:rPr>
              <w:t xml:space="preserve">. </w:t>
            </w:r>
          </w:p>
        </w:tc>
        <w:tc>
          <w:tcPr>
            <w:tcW w:w="1418" w:type="dxa"/>
            <w:vMerge w:val="restart"/>
            <w:shd w:val="clear" w:color="auto" w:fill="A3E7FF"/>
            <w:vAlign w:val="center"/>
            <w:hideMark/>
          </w:tcPr>
          <w:p w14:paraId="070D48DB" w14:textId="77777777" w:rsidR="009A75C2" w:rsidRPr="00964781" w:rsidRDefault="009A75C2" w:rsidP="00BA499D">
            <w:pPr>
              <w:jc w:val="center"/>
              <w:rPr>
                <w:b/>
                <w:sz w:val="18"/>
                <w:szCs w:val="18"/>
              </w:rPr>
            </w:pPr>
            <w:r w:rsidRPr="00964781">
              <w:rPr>
                <w:b/>
                <w:sz w:val="18"/>
                <w:szCs w:val="18"/>
              </w:rPr>
              <w:t>Izvršenje</w:t>
            </w:r>
          </w:p>
          <w:p w14:paraId="23B0BD25" w14:textId="77777777" w:rsidR="009A75C2" w:rsidRPr="00964781" w:rsidRDefault="009A75C2" w:rsidP="00BA499D">
            <w:pPr>
              <w:jc w:val="center"/>
              <w:rPr>
                <w:b/>
                <w:sz w:val="18"/>
                <w:szCs w:val="18"/>
              </w:rPr>
            </w:pPr>
            <w:r w:rsidRPr="00A34DDA">
              <w:rPr>
                <w:b/>
                <w:sz w:val="18"/>
                <w:szCs w:val="18"/>
              </w:rPr>
              <w:t>01.01.-</w:t>
            </w:r>
            <w:r>
              <w:rPr>
                <w:b/>
                <w:sz w:val="18"/>
                <w:szCs w:val="18"/>
              </w:rPr>
              <w:t>31.12</w:t>
            </w:r>
            <w:r w:rsidRPr="00A34DDA">
              <w:rPr>
                <w:b/>
                <w:sz w:val="18"/>
                <w:szCs w:val="18"/>
              </w:rPr>
              <w:t>.202</w:t>
            </w:r>
            <w:r>
              <w:rPr>
                <w:b/>
                <w:sz w:val="18"/>
                <w:szCs w:val="18"/>
              </w:rPr>
              <w:t>3</w:t>
            </w:r>
            <w:r w:rsidRPr="00A34DDA">
              <w:rPr>
                <w:b/>
                <w:sz w:val="18"/>
                <w:szCs w:val="18"/>
              </w:rPr>
              <w:t>.</w:t>
            </w:r>
          </w:p>
        </w:tc>
        <w:tc>
          <w:tcPr>
            <w:tcW w:w="1275" w:type="dxa"/>
            <w:vMerge w:val="restart"/>
            <w:shd w:val="clear" w:color="auto" w:fill="A3E7FF"/>
            <w:vAlign w:val="center"/>
            <w:hideMark/>
          </w:tcPr>
          <w:p w14:paraId="4E550823" w14:textId="77777777" w:rsidR="009A75C2" w:rsidRPr="00964781" w:rsidRDefault="009A75C2" w:rsidP="00BA499D">
            <w:pPr>
              <w:rPr>
                <w:b/>
                <w:sz w:val="18"/>
                <w:szCs w:val="18"/>
              </w:rPr>
            </w:pPr>
            <w:r w:rsidRPr="00964781">
              <w:rPr>
                <w:b/>
                <w:sz w:val="18"/>
                <w:szCs w:val="18"/>
              </w:rPr>
              <w:t>% izvršenja</w:t>
            </w:r>
          </w:p>
        </w:tc>
      </w:tr>
      <w:tr w:rsidR="009A75C2" w:rsidRPr="00964781" w14:paraId="274D2D9F" w14:textId="77777777" w:rsidTr="00BA499D">
        <w:trPr>
          <w:trHeight w:val="509"/>
        </w:trPr>
        <w:tc>
          <w:tcPr>
            <w:tcW w:w="719" w:type="dxa"/>
            <w:vMerge/>
            <w:shd w:val="clear" w:color="auto" w:fill="A3E7FF"/>
            <w:vAlign w:val="center"/>
            <w:hideMark/>
          </w:tcPr>
          <w:p w14:paraId="5F52005E" w14:textId="77777777" w:rsidR="009A75C2" w:rsidRPr="00964781" w:rsidRDefault="009A75C2" w:rsidP="00BA499D">
            <w:pPr>
              <w:jc w:val="center"/>
              <w:rPr>
                <w:b/>
              </w:rPr>
            </w:pPr>
          </w:p>
        </w:tc>
        <w:tc>
          <w:tcPr>
            <w:tcW w:w="4253" w:type="dxa"/>
            <w:vMerge/>
            <w:shd w:val="clear" w:color="auto" w:fill="A3E7FF"/>
            <w:vAlign w:val="center"/>
            <w:hideMark/>
          </w:tcPr>
          <w:p w14:paraId="67E51261" w14:textId="77777777" w:rsidR="009A75C2" w:rsidRPr="00964781" w:rsidRDefault="009A75C2" w:rsidP="00BA499D">
            <w:pPr>
              <w:rPr>
                <w:b/>
              </w:rPr>
            </w:pPr>
          </w:p>
        </w:tc>
        <w:tc>
          <w:tcPr>
            <w:tcW w:w="1417" w:type="dxa"/>
            <w:vMerge/>
            <w:shd w:val="clear" w:color="auto" w:fill="A3E7FF"/>
            <w:vAlign w:val="center"/>
            <w:hideMark/>
          </w:tcPr>
          <w:p w14:paraId="59FEF338" w14:textId="77777777" w:rsidR="009A75C2" w:rsidRPr="00964781" w:rsidRDefault="009A75C2" w:rsidP="00BA499D">
            <w:pPr>
              <w:rPr>
                <w:b/>
              </w:rPr>
            </w:pPr>
          </w:p>
        </w:tc>
        <w:tc>
          <w:tcPr>
            <w:tcW w:w="1418" w:type="dxa"/>
            <w:vMerge/>
            <w:shd w:val="clear" w:color="auto" w:fill="A3E7FF"/>
            <w:vAlign w:val="center"/>
            <w:hideMark/>
          </w:tcPr>
          <w:p w14:paraId="24C59F56" w14:textId="77777777" w:rsidR="009A75C2" w:rsidRPr="00964781" w:rsidRDefault="009A75C2" w:rsidP="00BA499D">
            <w:pPr>
              <w:rPr>
                <w:b/>
              </w:rPr>
            </w:pPr>
          </w:p>
        </w:tc>
        <w:tc>
          <w:tcPr>
            <w:tcW w:w="1275" w:type="dxa"/>
            <w:vMerge/>
            <w:shd w:val="clear" w:color="auto" w:fill="A3E7FF"/>
            <w:vAlign w:val="center"/>
            <w:hideMark/>
          </w:tcPr>
          <w:p w14:paraId="4C7E609C" w14:textId="77777777" w:rsidR="009A75C2" w:rsidRPr="00964781" w:rsidRDefault="009A75C2" w:rsidP="00BA499D">
            <w:pPr>
              <w:rPr>
                <w:b/>
              </w:rPr>
            </w:pPr>
          </w:p>
        </w:tc>
      </w:tr>
      <w:tr w:rsidR="009A75C2" w:rsidRPr="00964781" w14:paraId="6B9F766C" w14:textId="77777777" w:rsidTr="00BA499D">
        <w:trPr>
          <w:trHeight w:val="142"/>
        </w:trPr>
        <w:tc>
          <w:tcPr>
            <w:tcW w:w="719" w:type="dxa"/>
            <w:shd w:val="clear" w:color="auto" w:fill="auto"/>
            <w:noWrap/>
            <w:vAlign w:val="center"/>
            <w:hideMark/>
          </w:tcPr>
          <w:p w14:paraId="56DBE448" w14:textId="77777777" w:rsidR="009A75C2" w:rsidRPr="00964781" w:rsidRDefault="009A75C2" w:rsidP="00BA499D">
            <w:pPr>
              <w:jc w:val="center"/>
              <w:rPr>
                <w:sz w:val="18"/>
                <w:szCs w:val="18"/>
              </w:rPr>
            </w:pPr>
            <w:r w:rsidRPr="00964781">
              <w:rPr>
                <w:sz w:val="18"/>
                <w:szCs w:val="18"/>
              </w:rPr>
              <w:t>1.</w:t>
            </w:r>
          </w:p>
        </w:tc>
        <w:tc>
          <w:tcPr>
            <w:tcW w:w="4253" w:type="dxa"/>
            <w:shd w:val="clear" w:color="auto" w:fill="auto"/>
            <w:vAlign w:val="center"/>
          </w:tcPr>
          <w:p w14:paraId="4CD18ED9" w14:textId="77777777" w:rsidR="009A75C2" w:rsidRPr="00964781" w:rsidRDefault="009A75C2" w:rsidP="00BA499D">
            <w:pPr>
              <w:rPr>
                <w:sz w:val="18"/>
                <w:szCs w:val="18"/>
              </w:rPr>
            </w:pPr>
            <w:r w:rsidRPr="00964781">
              <w:rPr>
                <w:sz w:val="18"/>
                <w:szCs w:val="18"/>
              </w:rPr>
              <w:t>Kolaborativne studije za uspostavu referentnih materijala</w:t>
            </w:r>
          </w:p>
        </w:tc>
        <w:tc>
          <w:tcPr>
            <w:tcW w:w="1417" w:type="dxa"/>
            <w:shd w:val="clear" w:color="auto" w:fill="auto"/>
            <w:noWrap/>
            <w:vAlign w:val="center"/>
          </w:tcPr>
          <w:p w14:paraId="1E61FBDE" w14:textId="77777777" w:rsidR="009A75C2" w:rsidRPr="00F92AC3" w:rsidRDefault="009A75C2" w:rsidP="00BA499D">
            <w:pPr>
              <w:jc w:val="center"/>
              <w:rPr>
                <w:sz w:val="18"/>
                <w:szCs w:val="18"/>
              </w:rPr>
            </w:pPr>
            <w:r w:rsidRPr="00F92AC3">
              <w:rPr>
                <w:sz w:val="18"/>
                <w:szCs w:val="18"/>
              </w:rPr>
              <w:t>Po nominaciji</w:t>
            </w:r>
          </w:p>
        </w:tc>
        <w:tc>
          <w:tcPr>
            <w:tcW w:w="1418" w:type="dxa"/>
            <w:shd w:val="clear" w:color="auto" w:fill="auto"/>
            <w:noWrap/>
            <w:vAlign w:val="center"/>
          </w:tcPr>
          <w:p w14:paraId="30082FBE" w14:textId="77777777" w:rsidR="009A75C2" w:rsidRPr="0028239F" w:rsidRDefault="009A75C2" w:rsidP="00BA499D">
            <w:pPr>
              <w:jc w:val="center"/>
              <w:rPr>
                <w:sz w:val="18"/>
              </w:rPr>
            </w:pPr>
            <w:r>
              <w:rPr>
                <w:sz w:val="18"/>
              </w:rPr>
              <w:t>1</w:t>
            </w:r>
          </w:p>
        </w:tc>
        <w:tc>
          <w:tcPr>
            <w:tcW w:w="1275" w:type="dxa"/>
            <w:shd w:val="clear" w:color="auto" w:fill="auto"/>
            <w:noWrap/>
            <w:vAlign w:val="center"/>
          </w:tcPr>
          <w:p w14:paraId="451C596D" w14:textId="77777777" w:rsidR="009A75C2" w:rsidRPr="0028239F" w:rsidRDefault="009A75C2" w:rsidP="00BA499D">
            <w:pPr>
              <w:jc w:val="center"/>
              <w:rPr>
                <w:sz w:val="18"/>
              </w:rPr>
            </w:pPr>
            <w:r>
              <w:rPr>
                <w:sz w:val="18"/>
              </w:rPr>
              <w:t>100%</w:t>
            </w:r>
          </w:p>
        </w:tc>
      </w:tr>
      <w:tr w:rsidR="009A75C2" w:rsidRPr="00964781" w14:paraId="76AA71AA" w14:textId="77777777" w:rsidTr="00BA499D">
        <w:trPr>
          <w:trHeight w:val="142"/>
        </w:trPr>
        <w:tc>
          <w:tcPr>
            <w:tcW w:w="719" w:type="dxa"/>
            <w:shd w:val="clear" w:color="auto" w:fill="auto"/>
            <w:noWrap/>
            <w:vAlign w:val="center"/>
            <w:hideMark/>
          </w:tcPr>
          <w:p w14:paraId="5F8F068B" w14:textId="77777777" w:rsidR="009A75C2" w:rsidRPr="00964781" w:rsidRDefault="009A75C2" w:rsidP="00BA499D">
            <w:pPr>
              <w:jc w:val="center"/>
              <w:rPr>
                <w:sz w:val="18"/>
                <w:szCs w:val="18"/>
              </w:rPr>
            </w:pPr>
            <w:r w:rsidRPr="00964781">
              <w:rPr>
                <w:sz w:val="18"/>
                <w:szCs w:val="18"/>
              </w:rPr>
              <w:t>2.</w:t>
            </w:r>
          </w:p>
        </w:tc>
        <w:tc>
          <w:tcPr>
            <w:tcW w:w="4253" w:type="dxa"/>
            <w:shd w:val="clear" w:color="auto" w:fill="auto"/>
            <w:vAlign w:val="center"/>
          </w:tcPr>
          <w:p w14:paraId="0CFADF56" w14:textId="77777777" w:rsidR="009A75C2" w:rsidRPr="00964781" w:rsidRDefault="009A75C2" w:rsidP="00BA499D">
            <w:pPr>
              <w:rPr>
                <w:sz w:val="18"/>
                <w:szCs w:val="18"/>
              </w:rPr>
            </w:pPr>
            <w:r w:rsidRPr="00964781">
              <w:rPr>
                <w:sz w:val="18"/>
                <w:szCs w:val="18"/>
              </w:rPr>
              <w:t>Provjera kakvoće referentnih materijala Europske farmakopeje temeljem međunarodnog ugovora</w:t>
            </w:r>
          </w:p>
        </w:tc>
        <w:tc>
          <w:tcPr>
            <w:tcW w:w="1417" w:type="dxa"/>
            <w:shd w:val="clear" w:color="auto" w:fill="auto"/>
            <w:noWrap/>
            <w:vAlign w:val="center"/>
          </w:tcPr>
          <w:p w14:paraId="0F569BBF" w14:textId="77777777" w:rsidR="009A75C2" w:rsidRPr="00F92AC3" w:rsidRDefault="009A75C2" w:rsidP="00BA499D">
            <w:pPr>
              <w:jc w:val="center"/>
              <w:rPr>
                <w:sz w:val="18"/>
                <w:szCs w:val="18"/>
              </w:rPr>
            </w:pPr>
            <w:r>
              <w:rPr>
                <w:sz w:val="18"/>
                <w:szCs w:val="18"/>
              </w:rPr>
              <w:t>26</w:t>
            </w:r>
          </w:p>
        </w:tc>
        <w:tc>
          <w:tcPr>
            <w:tcW w:w="1418" w:type="dxa"/>
            <w:shd w:val="clear" w:color="auto" w:fill="auto"/>
            <w:noWrap/>
            <w:vAlign w:val="center"/>
          </w:tcPr>
          <w:p w14:paraId="08A19607" w14:textId="77777777" w:rsidR="009A75C2" w:rsidRPr="0028239F" w:rsidRDefault="009A75C2" w:rsidP="00BA499D">
            <w:pPr>
              <w:jc w:val="center"/>
              <w:rPr>
                <w:sz w:val="18"/>
              </w:rPr>
            </w:pPr>
            <w:r>
              <w:rPr>
                <w:sz w:val="18"/>
              </w:rPr>
              <w:t>12</w:t>
            </w:r>
          </w:p>
        </w:tc>
        <w:tc>
          <w:tcPr>
            <w:tcW w:w="1275" w:type="dxa"/>
            <w:shd w:val="clear" w:color="auto" w:fill="auto"/>
            <w:noWrap/>
            <w:vAlign w:val="center"/>
          </w:tcPr>
          <w:p w14:paraId="3A054164" w14:textId="77777777" w:rsidR="009A75C2" w:rsidRPr="0028239F" w:rsidRDefault="009A75C2" w:rsidP="00BA499D">
            <w:pPr>
              <w:jc w:val="center"/>
              <w:rPr>
                <w:sz w:val="18"/>
              </w:rPr>
            </w:pPr>
            <w:r>
              <w:rPr>
                <w:sz w:val="18"/>
              </w:rPr>
              <w:t>46%</w:t>
            </w:r>
          </w:p>
        </w:tc>
      </w:tr>
      <w:tr w:rsidR="009A75C2" w:rsidRPr="00964781" w14:paraId="259496D3" w14:textId="77777777" w:rsidTr="00BA499D">
        <w:trPr>
          <w:trHeight w:val="142"/>
        </w:trPr>
        <w:tc>
          <w:tcPr>
            <w:tcW w:w="719" w:type="dxa"/>
            <w:shd w:val="clear" w:color="auto" w:fill="auto"/>
            <w:noWrap/>
            <w:vAlign w:val="center"/>
          </w:tcPr>
          <w:p w14:paraId="03D78CE2" w14:textId="77777777" w:rsidR="009A75C2" w:rsidRPr="00964781" w:rsidRDefault="009A75C2" w:rsidP="00BA499D">
            <w:pPr>
              <w:jc w:val="center"/>
              <w:rPr>
                <w:sz w:val="18"/>
                <w:szCs w:val="18"/>
              </w:rPr>
            </w:pPr>
            <w:r w:rsidRPr="00964781">
              <w:rPr>
                <w:sz w:val="18"/>
                <w:szCs w:val="18"/>
              </w:rPr>
              <w:t>3.</w:t>
            </w:r>
          </w:p>
        </w:tc>
        <w:tc>
          <w:tcPr>
            <w:tcW w:w="4253" w:type="dxa"/>
            <w:shd w:val="clear" w:color="auto" w:fill="auto"/>
            <w:vAlign w:val="center"/>
          </w:tcPr>
          <w:p w14:paraId="7F4472F8" w14:textId="77777777" w:rsidR="009A75C2" w:rsidRPr="00964781" w:rsidRDefault="009A75C2" w:rsidP="00BA499D">
            <w:pPr>
              <w:rPr>
                <w:sz w:val="18"/>
                <w:szCs w:val="18"/>
              </w:rPr>
            </w:pPr>
            <w:r w:rsidRPr="00964781">
              <w:rPr>
                <w:sz w:val="18"/>
                <w:szCs w:val="18"/>
              </w:rPr>
              <w:t>Provjera kakvoće CP lijekova</w:t>
            </w:r>
          </w:p>
        </w:tc>
        <w:tc>
          <w:tcPr>
            <w:tcW w:w="1417" w:type="dxa"/>
            <w:shd w:val="clear" w:color="auto" w:fill="auto"/>
            <w:noWrap/>
            <w:vAlign w:val="center"/>
          </w:tcPr>
          <w:p w14:paraId="7FFB8F1F" w14:textId="77777777" w:rsidR="009A75C2" w:rsidRPr="00F92AC3" w:rsidRDefault="009A75C2" w:rsidP="00BA499D">
            <w:pPr>
              <w:jc w:val="center"/>
              <w:rPr>
                <w:sz w:val="18"/>
                <w:szCs w:val="18"/>
              </w:rPr>
            </w:pPr>
            <w:r w:rsidRPr="00F92AC3">
              <w:rPr>
                <w:sz w:val="18"/>
                <w:szCs w:val="18"/>
              </w:rPr>
              <w:t>Po nominaciji</w:t>
            </w:r>
          </w:p>
        </w:tc>
        <w:tc>
          <w:tcPr>
            <w:tcW w:w="1418" w:type="dxa"/>
            <w:shd w:val="clear" w:color="auto" w:fill="auto"/>
            <w:noWrap/>
            <w:vAlign w:val="center"/>
          </w:tcPr>
          <w:p w14:paraId="70AEA25A" w14:textId="77777777" w:rsidR="009A75C2" w:rsidRPr="0028239F" w:rsidRDefault="009A75C2" w:rsidP="00BA499D">
            <w:pPr>
              <w:jc w:val="center"/>
              <w:rPr>
                <w:sz w:val="18"/>
              </w:rPr>
            </w:pPr>
            <w:r>
              <w:rPr>
                <w:sz w:val="18"/>
              </w:rPr>
              <w:t>3</w:t>
            </w:r>
          </w:p>
        </w:tc>
        <w:tc>
          <w:tcPr>
            <w:tcW w:w="1275" w:type="dxa"/>
            <w:shd w:val="clear" w:color="auto" w:fill="auto"/>
            <w:noWrap/>
            <w:vAlign w:val="center"/>
          </w:tcPr>
          <w:p w14:paraId="76974DE7" w14:textId="77777777" w:rsidR="009A75C2" w:rsidRPr="0028239F" w:rsidRDefault="009A75C2" w:rsidP="00BA499D">
            <w:pPr>
              <w:jc w:val="center"/>
              <w:rPr>
                <w:sz w:val="18"/>
              </w:rPr>
            </w:pPr>
            <w:r>
              <w:rPr>
                <w:sz w:val="18"/>
              </w:rPr>
              <w:t>100%</w:t>
            </w:r>
          </w:p>
        </w:tc>
      </w:tr>
      <w:tr w:rsidR="009A75C2" w:rsidRPr="00964781" w14:paraId="254D3C90" w14:textId="77777777" w:rsidTr="00BA499D">
        <w:trPr>
          <w:trHeight w:val="142"/>
        </w:trPr>
        <w:tc>
          <w:tcPr>
            <w:tcW w:w="719" w:type="dxa"/>
            <w:shd w:val="clear" w:color="auto" w:fill="auto"/>
            <w:noWrap/>
            <w:vAlign w:val="center"/>
          </w:tcPr>
          <w:p w14:paraId="506AD286" w14:textId="77777777" w:rsidR="009A75C2" w:rsidRPr="00964781" w:rsidRDefault="009A75C2" w:rsidP="00BA499D">
            <w:pPr>
              <w:jc w:val="center"/>
              <w:rPr>
                <w:sz w:val="18"/>
                <w:szCs w:val="18"/>
              </w:rPr>
            </w:pPr>
            <w:r>
              <w:rPr>
                <w:sz w:val="18"/>
                <w:szCs w:val="18"/>
              </w:rPr>
              <w:t>4.</w:t>
            </w:r>
          </w:p>
        </w:tc>
        <w:tc>
          <w:tcPr>
            <w:tcW w:w="4253" w:type="dxa"/>
            <w:shd w:val="clear" w:color="auto" w:fill="auto"/>
            <w:vAlign w:val="center"/>
          </w:tcPr>
          <w:p w14:paraId="2D1B4F86" w14:textId="77777777" w:rsidR="009A75C2" w:rsidRPr="00964781" w:rsidRDefault="009A75C2" w:rsidP="00BA499D">
            <w:pPr>
              <w:rPr>
                <w:sz w:val="18"/>
                <w:szCs w:val="18"/>
              </w:rPr>
            </w:pPr>
            <w:r w:rsidRPr="009A0134">
              <w:rPr>
                <w:sz w:val="18"/>
                <w:szCs w:val="18"/>
              </w:rPr>
              <w:t>Uzorkovanje lijekova odobrenih centraliziranim postupkom s tržišta RH u svrhu provjere kakvoće</w:t>
            </w:r>
          </w:p>
        </w:tc>
        <w:tc>
          <w:tcPr>
            <w:tcW w:w="1417" w:type="dxa"/>
            <w:shd w:val="clear" w:color="auto" w:fill="auto"/>
            <w:noWrap/>
            <w:vAlign w:val="center"/>
          </w:tcPr>
          <w:p w14:paraId="0BC6904A" w14:textId="77777777" w:rsidR="009A75C2" w:rsidRPr="00F92AC3" w:rsidRDefault="009A75C2" w:rsidP="00BA499D">
            <w:pPr>
              <w:jc w:val="center"/>
              <w:rPr>
                <w:sz w:val="18"/>
                <w:szCs w:val="18"/>
              </w:rPr>
            </w:pPr>
            <w:r w:rsidRPr="00F92AC3">
              <w:rPr>
                <w:sz w:val="18"/>
                <w:szCs w:val="18"/>
              </w:rPr>
              <w:t>Po nominaciji</w:t>
            </w:r>
          </w:p>
        </w:tc>
        <w:tc>
          <w:tcPr>
            <w:tcW w:w="1418" w:type="dxa"/>
            <w:shd w:val="clear" w:color="auto" w:fill="auto"/>
            <w:noWrap/>
            <w:vAlign w:val="center"/>
          </w:tcPr>
          <w:p w14:paraId="5B9A1ABB" w14:textId="77777777" w:rsidR="009A75C2" w:rsidRPr="0028239F" w:rsidRDefault="009A75C2" w:rsidP="00BA499D">
            <w:pPr>
              <w:jc w:val="center"/>
              <w:rPr>
                <w:sz w:val="18"/>
              </w:rPr>
            </w:pPr>
            <w:r>
              <w:rPr>
                <w:sz w:val="18"/>
              </w:rPr>
              <w:t>3</w:t>
            </w:r>
          </w:p>
        </w:tc>
        <w:tc>
          <w:tcPr>
            <w:tcW w:w="1275" w:type="dxa"/>
            <w:shd w:val="clear" w:color="auto" w:fill="auto"/>
            <w:noWrap/>
            <w:vAlign w:val="center"/>
          </w:tcPr>
          <w:p w14:paraId="42006C73" w14:textId="77777777" w:rsidR="009A75C2" w:rsidRPr="0028239F" w:rsidRDefault="009A75C2" w:rsidP="00BA499D">
            <w:pPr>
              <w:jc w:val="center"/>
              <w:rPr>
                <w:sz w:val="18"/>
              </w:rPr>
            </w:pPr>
            <w:r>
              <w:rPr>
                <w:sz w:val="18"/>
              </w:rPr>
              <w:t>100%</w:t>
            </w:r>
          </w:p>
        </w:tc>
      </w:tr>
      <w:tr w:rsidR="009A75C2" w:rsidRPr="00964781" w14:paraId="4D051B91" w14:textId="77777777" w:rsidTr="00BA499D">
        <w:trPr>
          <w:trHeight w:val="284"/>
        </w:trPr>
        <w:tc>
          <w:tcPr>
            <w:tcW w:w="4972" w:type="dxa"/>
            <w:gridSpan w:val="2"/>
            <w:shd w:val="clear" w:color="000000" w:fill="BFBFBF"/>
            <w:vAlign w:val="center"/>
            <w:hideMark/>
          </w:tcPr>
          <w:p w14:paraId="1F19306A" w14:textId="77777777" w:rsidR="009A75C2" w:rsidRPr="00964781" w:rsidRDefault="009A75C2" w:rsidP="00BA499D">
            <w:pPr>
              <w:rPr>
                <w:b/>
                <w:sz w:val="18"/>
                <w:szCs w:val="18"/>
              </w:rPr>
            </w:pPr>
            <w:r w:rsidRPr="00964781">
              <w:rPr>
                <w:b/>
                <w:sz w:val="18"/>
                <w:szCs w:val="18"/>
              </w:rPr>
              <w:t>UKUPNO:</w:t>
            </w:r>
          </w:p>
        </w:tc>
        <w:tc>
          <w:tcPr>
            <w:tcW w:w="1417" w:type="dxa"/>
            <w:shd w:val="clear" w:color="000000" w:fill="BFBFBF"/>
            <w:noWrap/>
            <w:vAlign w:val="center"/>
          </w:tcPr>
          <w:p w14:paraId="24630CA7" w14:textId="77777777" w:rsidR="009A75C2" w:rsidRPr="00964781" w:rsidRDefault="009A75C2" w:rsidP="00BA499D">
            <w:pPr>
              <w:jc w:val="center"/>
              <w:rPr>
                <w:b/>
                <w:sz w:val="18"/>
                <w:szCs w:val="18"/>
              </w:rPr>
            </w:pPr>
            <w:r>
              <w:rPr>
                <w:b/>
                <w:sz w:val="18"/>
                <w:szCs w:val="18"/>
              </w:rPr>
              <w:t>32</w:t>
            </w:r>
          </w:p>
        </w:tc>
        <w:tc>
          <w:tcPr>
            <w:tcW w:w="1418" w:type="dxa"/>
            <w:shd w:val="clear" w:color="000000" w:fill="BFBFBF"/>
            <w:noWrap/>
            <w:vAlign w:val="center"/>
          </w:tcPr>
          <w:p w14:paraId="06E93AB6" w14:textId="77777777" w:rsidR="009A75C2" w:rsidRPr="0028239F" w:rsidRDefault="009A75C2" w:rsidP="00BA499D">
            <w:pPr>
              <w:jc w:val="center"/>
              <w:rPr>
                <w:sz w:val="18"/>
              </w:rPr>
            </w:pPr>
            <w:r>
              <w:rPr>
                <w:sz w:val="18"/>
              </w:rPr>
              <w:t>19</w:t>
            </w:r>
          </w:p>
        </w:tc>
        <w:tc>
          <w:tcPr>
            <w:tcW w:w="1275" w:type="dxa"/>
            <w:shd w:val="clear" w:color="000000" w:fill="BFBFBF"/>
            <w:noWrap/>
            <w:vAlign w:val="center"/>
          </w:tcPr>
          <w:p w14:paraId="3C7E1C01" w14:textId="77777777" w:rsidR="009A75C2" w:rsidRPr="0028239F" w:rsidRDefault="009A75C2" w:rsidP="00BA499D">
            <w:pPr>
              <w:jc w:val="center"/>
              <w:rPr>
                <w:sz w:val="18"/>
              </w:rPr>
            </w:pPr>
            <w:r>
              <w:rPr>
                <w:sz w:val="18"/>
              </w:rPr>
              <w:t>60%</w:t>
            </w:r>
          </w:p>
        </w:tc>
      </w:tr>
    </w:tbl>
    <w:p w14:paraId="57FF7546" w14:textId="77777777" w:rsidR="009A75C2" w:rsidRPr="00964781" w:rsidRDefault="009A75C2" w:rsidP="009A75C2"/>
    <w:p w14:paraId="7E42D1F9" w14:textId="77777777" w:rsidR="009A75C2" w:rsidRPr="00964781" w:rsidRDefault="009A75C2" w:rsidP="009A75C2">
      <w:pPr>
        <w:spacing w:after="200" w:line="276" w:lineRule="auto"/>
        <w:jc w:val="both"/>
      </w:pPr>
      <w:r w:rsidRPr="00964781">
        <w:br w:type="page"/>
      </w:r>
    </w:p>
    <w:p w14:paraId="647E2B9A" w14:textId="77777777" w:rsidR="009A75C2" w:rsidRPr="00964781" w:rsidRDefault="009A75C2" w:rsidP="009A75C2">
      <w:pPr>
        <w:pStyle w:val="Heading3"/>
      </w:pPr>
      <w:bookmarkStart w:id="241" w:name="_Toc165035509"/>
      <w:r w:rsidRPr="00964781">
        <w:lastRenderedPageBreak/>
        <w:t>2.</w:t>
      </w:r>
      <w:r>
        <w:t>6</w:t>
      </w:r>
      <w:r w:rsidRPr="00964781">
        <w:t>.13. Izvršenje neprihodovnih poslova</w:t>
      </w:r>
      <w:bookmarkEnd w:id="241"/>
    </w:p>
    <w:p w14:paraId="575B8D62" w14:textId="77777777" w:rsidR="009A75C2" w:rsidRPr="00964781" w:rsidRDefault="009A75C2" w:rsidP="009A75C2">
      <w:pPr>
        <w:spacing w:after="120"/>
        <w:rPr>
          <w:b/>
        </w:rPr>
      </w:pPr>
      <w:r w:rsidRPr="00964781">
        <w:rPr>
          <w:b/>
        </w:rPr>
        <w:t xml:space="preserve">Tablica </w:t>
      </w:r>
      <w:r>
        <w:rPr>
          <w:b/>
        </w:rPr>
        <w:t>23</w:t>
      </w:r>
      <w:r w:rsidRPr="00964781">
        <w:rPr>
          <w:b/>
        </w:rPr>
        <w:t>. Izvršenje neprihodovnih usluga provjere kakvoće lijekova</w:t>
      </w:r>
    </w:p>
    <w:tbl>
      <w:tblPr>
        <w:tblW w:w="9082"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4253"/>
        <w:gridCol w:w="1417"/>
        <w:gridCol w:w="1418"/>
        <w:gridCol w:w="1275"/>
      </w:tblGrid>
      <w:tr w:rsidR="009A75C2" w:rsidRPr="00964781" w14:paraId="3CCF4FDA" w14:textId="77777777" w:rsidTr="00BA499D">
        <w:trPr>
          <w:trHeight w:val="284"/>
        </w:trPr>
        <w:tc>
          <w:tcPr>
            <w:tcW w:w="719" w:type="dxa"/>
            <w:vMerge w:val="restart"/>
            <w:shd w:val="clear" w:color="auto" w:fill="A3E7FF"/>
            <w:vAlign w:val="center"/>
            <w:hideMark/>
          </w:tcPr>
          <w:p w14:paraId="6E4BCBA7" w14:textId="77777777" w:rsidR="009A75C2" w:rsidRPr="00964781" w:rsidRDefault="009A75C2" w:rsidP="00BA499D">
            <w:pPr>
              <w:jc w:val="center"/>
              <w:rPr>
                <w:b/>
                <w:sz w:val="18"/>
                <w:szCs w:val="18"/>
              </w:rPr>
            </w:pPr>
            <w:r w:rsidRPr="00964781">
              <w:rPr>
                <w:b/>
                <w:sz w:val="18"/>
                <w:szCs w:val="18"/>
              </w:rPr>
              <w:t>R.br.</w:t>
            </w:r>
          </w:p>
        </w:tc>
        <w:tc>
          <w:tcPr>
            <w:tcW w:w="4253" w:type="dxa"/>
            <w:vMerge w:val="restart"/>
            <w:shd w:val="clear" w:color="auto" w:fill="A3E7FF"/>
            <w:vAlign w:val="center"/>
            <w:hideMark/>
          </w:tcPr>
          <w:p w14:paraId="6CD0CAD0" w14:textId="77777777" w:rsidR="009A75C2" w:rsidRPr="00964781" w:rsidRDefault="009A75C2" w:rsidP="00BA499D">
            <w:pPr>
              <w:rPr>
                <w:b/>
                <w:sz w:val="18"/>
                <w:szCs w:val="18"/>
              </w:rPr>
            </w:pPr>
            <w:r w:rsidRPr="00964781">
              <w:rPr>
                <w:b/>
                <w:sz w:val="18"/>
                <w:szCs w:val="18"/>
              </w:rPr>
              <w:t>Naziv usluge</w:t>
            </w:r>
          </w:p>
        </w:tc>
        <w:tc>
          <w:tcPr>
            <w:tcW w:w="1417" w:type="dxa"/>
            <w:vMerge w:val="restart"/>
            <w:shd w:val="clear" w:color="auto" w:fill="A3E7FF"/>
            <w:vAlign w:val="center"/>
            <w:hideMark/>
          </w:tcPr>
          <w:p w14:paraId="2101853A" w14:textId="77777777" w:rsidR="009A75C2" w:rsidRPr="00964781" w:rsidRDefault="009A75C2" w:rsidP="00BA499D">
            <w:pPr>
              <w:rPr>
                <w:b/>
                <w:sz w:val="18"/>
                <w:szCs w:val="18"/>
              </w:rPr>
            </w:pPr>
            <w:r w:rsidRPr="00964781">
              <w:rPr>
                <w:b/>
                <w:sz w:val="18"/>
                <w:szCs w:val="18"/>
              </w:rPr>
              <w:t>Plan za 202</w:t>
            </w:r>
            <w:r>
              <w:rPr>
                <w:b/>
                <w:sz w:val="18"/>
                <w:szCs w:val="18"/>
              </w:rPr>
              <w:t>3</w:t>
            </w:r>
            <w:r w:rsidRPr="00964781">
              <w:rPr>
                <w:b/>
                <w:sz w:val="18"/>
                <w:szCs w:val="18"/>
              </w:rPr>
              <w:t xml:space="preserve">. </w:t>
            </w:r>
          </w:p>
        </w:tc>
        <w:tc>
          <w:tcPr>
            <w:tcW w:w="1418" w:type="dxa"/>
            <w:vMerge w:val="restart"/>
            <w:shd w:val="clear" w:color="auto" w:fill="A3E7FF"/>
            <w:vAlign w:val="center"/>
            <w:hideMark/>
          </w:tcPr>
          <w:p w14:paraId="5260B8B1" w14:textId="77777777" w:rsidR="009A75C2" w:rsidRPr="00964781" w:rsidRDefault="009A75C2" w:rsidP="00BA499D">
            <w:pPr>
              <w:jc w:val="center"/>
              <w:rPr>
                <w:b/>
                <w:sz w:val="18"/>
                <w:szCs w:val="18"/>
              </w:rPr>
            </w:pPr>
            <w:r w:rsidRPr="00964781">
              <w:rPr>
                <w:b/>
                <w:sz w:val="18"/>
                <w:szCs w:val="18"/>
              </w:rPr>
              <w:t>Izvršenje</w:t>
            </w:r>
          </w:p>
          <w:p w14:paraId="639A4819" w14:textId="77777777" w:rsidR="009A75C2" w:rsidRPr="00964781" w:rsidRDefault="009A75C2" w:rsidP="00BA499D">
            <w:pPr>
              <w:jc w:val="center"/>
              <w:rPr>
                <w:b/>
                <w:sz w:val="18"/>
                <w:szCs w:val="18"/>
              </w:rPr>
            </w:pPr>
            <w:r w:rsidRPr="00964781">
              <w:rPr>
                <w:b/>
                <w:sz w:val="18"/>
                <w:szCs w:val="18"/>
              </w:rPr>
              <w:t>01.01.-</w:t>
            </w:r>
            <w:r>
              <w:rPr>
                <w:b/>
                <w:sz w:val="18"/>
                <w:szCs w:val="18"/>
              </w:rPr>
              <w:t>31.12</w:t>
            </w:r>
            <w:r w:rsidRPr="00964781">
              <w:rPr>
                <w:b/>
                <w:sz w:val="18"/>
                <w:szCs w:val="18"/>
              </w:rPr>
              <w:t>.202</w:t>
            </w:r>
            <w:r>
              <w:rPr>
                <w:b/>
                <w:sz w:val="18"/>
                <w:szCs w:val="18"/>
              </w:rPr>
              <w:t>3</w:t>
            </w:r>
            <w:r w:rsidRPr="00964781">
              <w:rPr>
                <w:b/>
                <w:sz w:val="18"/>
                <w:szCs w:val="18"/>
              </w:rPr>
              <w:t>.</w:t>
            </w:r>
          </w:p>
        </w:tc>
        <w:tc>
          <w:tcPr>
            <w:tcW w:w="1275" w:type="dxa"/>
            <w:vMerge w:val="restart"/>
            <w:shd w:val="clear" w:color="auto" w:fill="A3E7FF"/>
            <w:vAlign w:val="center"/>
            <w:hideMark/>
          </w:tcPr>
          <w:p w14:paraId="30CCD334" w14:textId="77777777" w:rsidR="009A75C2" w:rsidRPr="00964781" w:rsidRDefault="009A75C2" w:rsidP="00BA499D">
            <w:pPr>
              <w:rPr>
                <w:b/>
                <w:sz w:val="18"/>
                <w:szCs w:val="18"/>
              </w:rPr>
            </w:pPr>
            <w:r w:rsidRPr="00964781">
              <w:rPr>
                <w:b/>
                <w:sz w:val="18"/>
                <w:szCs w:val="18"/>
              </w:rPr>
              <w:t>% izvršenja</w:t>
            </w:r>
          </w:p>
        </w:tc>
      </w:tr>
      <w:tr w:rsidR="009A75C2" w:rsidRPr="00964781" w14:paraId="457C100B" w14:textId="77777777" w:rsidTr="00BA499D">
        <w:trPr>
          <w:trHeight w:val="509"/>
        </w:trPr>
        <w:tc>
          <w:tcPr>
            <w:tcW w:w="719" w:type="dxa"/>
            <w:vMerge/>
            <w:shd w:val="clear" w:color="auto" w:fill="A3E7FF"/>
            <w:vAlign w:val="center"/>
            <w:hideMark/>
          </w:tcPr>
          <w:p w14:paraId="78372F7D" w14:textId="77777777" w:rsidR="009A75C2" w:rsidRPr="00964781" w:rsidRDefault="009A75C2" w:rsidP="00BA499D">
            <w:pPr>
              <w:jc w:val="center"/>
              <w:rPr>
                <w:b/>
                <w:sz w:val="18"/>
                <w:szCs w:val="18"/>
              </w:rPr>
            </w:pPr>
          </w:p>
        </w:tc>
        <w:tc>
          <w:tcPr>
            <w:tcW w:w="4253" w:type="dxa"/>
            <w:vMerge/>
            <w:shd w:val="clear" w:color="auto" w:fill="A3E7FF"/>
            <w:vAlign w:val="center"/>
            <w:hideMark/>
          </w:tcPr>
          <w:p w14:paraId="7825D1AE" w14:textId="77777777" w:rsidR="009A75C2" w:rsidRPr="00964781" w:rsidRDefault="009A75C2" w:rsidP="00BA499D">
            <w:pPr>
              <w:rPr>
                <w:b/>
                <w:sz w:val="18"/>
                <w:szCs w:val="18"/>
              </w:rPr>
            </w:pPr>
          </w:p>
        </w:tc>
        <w:tc>
          <w:tcPr>
            <w:tcW w:w="1417" w:type="dxa"/>
            <w:vMerge/>
            <w:shd w:val="clear" w:color="auto" w:fill="A3E7FF"/>
            <w:vAlign w:val="center"/>
            <w:hideMark/>
          </w:tcPr>
          <w:p w14:paraId="5DEA0967" w14:textId="77777777" w:rsidR="009A75C2" w:rsidRPr="00964781" w:rsidRDefault="009A75C2" w:rsidP="00BA499D">
            <w:pPr>
              <w:rPr>
                <w:b/>
                <w:sz w:val="18"/>
                <w:szCs w:val="18"/>
              </w:rPr>
            </w:pPr>
          </w:p>
        </w:tc>
        <w:tc>
          <w:tcPr>
            <w:tcW w:w="1418" w:type="dxa"/>
            <w:vMerge/>
            <w:shd w:val="clear" w:color="auto" w:fill="A3E7FF"/>
            <w:vAlign w:val="center"/>
            <w:hideMark/>
          </w:tcPr>
          <w:p w14:paraId="7677A4BC" w14:textId="77777777" w:rsidR="009A75C2" w:rsidRPr="00964781" w:rsidRDefault="009A75C2" w:rsidP="00BA499D">
            <w:pPr>
              <w:rPr>
                <w:b/>
                <w:sz w:val="18"/>
                <w:szCs w:val="18"/>
              </w:rPr>
            </w:pPr>
          </w:p>
        </w:tc>
        <w:tc>
          <w:tcPr>
            <w:tcW w:w="1275" w:type="dxa"/>
            <w:vMerge/>
            <w:shd w:val="clear" w:color="auto" w:fill="A3E7FF"/>
            <w:vAlign w:val="center"/>
            <w:hideMark/>
          </w:tcPr>
          <w:p w14:paraId="66F7A4D9" w14:textId="77777777" w:rsidR="009A75C2" w:rsidRPr="00964781" w:rsidRDefault="009A75C2" w:rsidP="00BA499D">
            <w:pPr>
              <w:rPr>
                <w:b/>
                <w:sz w:val="18"/>
                <w:szCs w:val="18"/>
              </w:rPr>
            </w:pPr>
          </w:p>
        </w:tc>
      </w:tr>
      <w:tr w:rsidR="009A75C2" w:rsidRPr="00964781" w14:paraId="453BB797" w14:textId="77777777" w:rsidTr="00BA499D">
        <w:trPr>
          <w:trHeight w:val="284"/>
        </w:trPr>
        <w:tc>
          <w:tcPr>
            <w:tcW w:w="719" w:type="dxa"/>
            <w:shd w:val="clear" w:color="auto" w:fill="auto"/>
            <w:noWrap/>
            <w:vAlign w:val="center"/>
            <w:hideMark/>
          </w:tcPr>
          <w:p w14:paraId="43804F76" w14:textId="77777777" w:rsidR="009A75C2" w:rsidRPr="00964781" w:rsidRDefault="009A75C2" w:rsidP="00BA499D">
            <w:pPr>
              <w:jc w:val="center"/>
              <w:rPr>
                <w:sz w:val="18"/>
                <w:szCs w:val="18"/>
              </w:rPr>
            </w:pPr>
            <w:r w:rsidRPr="00964781">
              <w:rPr>
                <w:sz w:val="18"/>
                <w:szCs w:val="18"/>
              </w:rPr>
              <w:t>1.</w:t>
            </w:r>
          </w:p>
        </w:tc>
        <w:tc>
          <w:tcPr>
            <w:tcW w:w="4253" w:type="dxa"/>
            <w:shd w:val="clear" w:color="auto" w:fill="auto"/>
            <w:vAlign w:val="center"/>
          </w:tcPr>
          <w:p w14:paraId="2C753710" w14:textId="77777777" w:rsidR="009A75C2" w:rsidRPr="005C2AAA" w:rsidRDefault="009A75C2" w:rsidP="00BA499D">
            <w:pPr>
              <w:rPr>
                <w:sz w:val="18"/>
                <w:szCs w:val="18"/>
              </w:rPr>
            </w:pPr>
            <w:r w:rsidRPr="005C2AAA">
              <w:rPr>
                <w:sz w:val="18"/>
                <w:szCs w:val="18"/>
              </w:rPr>
              <w:t>Izvanredna provjera kakvoće lijeka na zahtjev ministarstva nadležnog za zdravstvo ili HALMED-a zbog znakova neuobičajenih pojava ili sumnji u kakvoću lijeka kada je potvrđeno da nema nedostataka u kakvoći lijeka</w:t>
            </w:r>
          </w:p>
        </w:tc>
        <w:tc>
          <w:tcPr>
            <w:tcW w:w="1417" w:type="dxa"/>
            <w:shd w:val="clear" w:color="auto" w:fill="auto"/>
            <w:noWrap/>
            <w:vAlign w:val="center"/>
          </w:tcPr>
          <w:p w14:paraId="27CE2872" w14:textId="77777777" w:rsidR="009A75C2" w:rsidRPr="005C2AAA" w:rsidRDefault="009A75C2" w:rsidP="00BA499D">
            <w:pPr>
              <w:jc w:val="center"/>
              <w:rPr>
                <w:sz w:val="18"/>
                <w:szCs w:val="18"/>
              </w:rPr>
            </w:pPr>
            <w:r w:rsidRPr="009720DC">
              <w:rPr>
                <w:sz w:val="18"/>
                <w:szCs w:val="18"/>
              </w:rPr>
              <w:t>5</w:t>
            </w:r>
          </w:p>
        </w:tc>
        <w:tc>
          <w:tcPr>
            <w:tcW w:w="1418" w:type="dxa"/>
            <w:shd w:val="clear" w:color="auto" w:fill="auto"/>
            <w:noWrap/>
            <w:vAlign w:val="center"/>
          </w:tcPr>
          <w:p w14:paraId="2AF269C5" w14:textId="77777777" w:rsidR="009A75C2" w:rsidRPr="005C2AAA" w:rsidRDefault="009A75C2" w:rsidP="00BA499D">
            <w:pPr>
              <w:jc w:val="center"/>
              <w:rPr>
                <w:sz w:val="18"/>
                <w:szCs w:val="18"/>
              </w:rPr>
            </w:pPr>
            <w:r w:rsidRPr="00E65E4A">
              <w:rPr>
                <w:sz w:val="18"/>
                <w:szCs w:val="18"/>
              </w:rPr>
              <w:t>2</w:t>
            </w:r>
          </w:p>
        </w:tc>
        <w:tc>
          <w:tcPr>
            <w:tcW w:w="1275" w:type="dxa"/>
            <w:shd w:val="clear" w:color="auto" w:fill="auto"/>
            <w:noWrap/>
            <w:vAlign w:val="center"/>
          </w:tcPr>
          <w:p w14:paraId="30D06191" w14:textId="77777777" w:rsidR="009A75C2" w:rsidRPr="005C2AAA" w:rsidRDefault="009A75C2" w:rsidP="00BA499D">
            <w:pPr>
              <w:jc w:val="center"/>
              <w:rPr>
                <w:sz w:val="18"/>
                <w:szCs w:val="18"/>
              </w:rPr>
            </w:pPr>
            <w:r>
              <w:rPr>
                <w:sz w:val="18"/>
                <w:szCs w:val="18"/>
              </w:rPr>
              <w:t>40%</w:t>
            </w:r>
          </w:p>
        </w:tc>
      </w:tr>
      <w:tr w:rsidR="009A75C2" w:rsidRPr="00964781" w14:paraId="386E08B2" w14:textId="77777777" w:rsidTr="00BA499D">
        <w:trPr>
          <w:trHeight w:val="284"/>
        </w:trPr>
        <w:tc>
          <w:tcPr>
            <w:tcW w:w="719" w:type="dxa"/>
            <w:shd w:val="clear" w:color="auto" w:fill="auto"/>
            <w:noWrap/>
            <w:vAlign w:val="center"/>
            <w:hideMark/>
          </w:tcPr>
          <w:p w14:paraId="1EFEF360" w14:textId="77777777" w:rsidR="009A75C2" w:rsidRPr="00964781" w:rsidRDefault="009A75C2" w:rsidP="00BA499D">
            <w:pPr>
              <w:jc w:val="center"/>
              <w:rPr>
                <w:sz w:val="18"/>
                <w:szCs w:val="18"/>
              </w:rPr>
            </w:pPr>
            <w:r w:rsidRPr="00964781">
              <w:rPr>
                <w:sz w:val="18"/>
                <w:szCs w:val="18"/>
              </w:rPr>
              <w:t>2.</w:t>
            </w:r>
          </w:p>
        </w:tc>
        <w:tc>
          <w:tcPr>
            <w:tcW w:w="4253" w:type="dxa"/>
            <w:shd w:val="clear" w:color="auto" w:fill="auto"/>
            <w:vAlign w:val="center"/>
          </w:tcPr>
          <w:p w14:paraId="35CB6359" w14:textId="77777777" w:rsidR="009A75C2" w:rsidRPr="00964781" w:rsidRDefault="009A75C2" w:rsidP="00BA499D">
            <w:pPr>
              <w:rPr>
                <w:sz w:val="18"/>
                <w:szCs w:val="18"/>
              </w:rPr>
            </w:pPr>
            <w:r w:rsidRPr="00964781">
              <w:rPr>
                <w:sz w:val="18"/>
                <w:szCs w:val="18"/>
              </w:rPr>
              <w:t>Posebna provjera kakvoće lijeka – administrativno stručna provjera podataka svake serije lijeka iz ljudske krvi ili ljudske plazme ili cjepiva, kada je posebnu provjeru kakvoće proveo službeni laboratorij u državi članici Europske unije, EGP-a i Švicarske</w:t>
            </w:r>
          </w:p>
        </w:tc>
        <w:tc>
          <w:tcPr>
            <w:tcW w:w="1417" w:type="dxa"/>
            <w:shd w:val="clear" w:color="auto" w:fill="auto"/>
            <w:noWrap/>
            <w:vAlign w:val="center"/>
          </w:tcPr>
          <w:p w14:paraId="56AF0D05" w14:textId="77777777" w:rsidR="009A75C2" w:rsidRPr="00964781" w:rsidRDefault="009A75C2" w:rsidP="00BA499D">
            <w:pPr>
              <w:jc w:val="center"/>
              <w:rPr>
                <w:sz w:val="18"/>
                <w:szCs w:val="18"/>
              </w:rPr>
            </w:pPr>
            <w:r w:rsidRPr="00964781">
              <w:rPr>
                <w:sz w:val="18"/>
                <w:szCs w:val="18"/>
              </w:rPr>
              <w:t>Za sve unesene serije lijeka iz ljudske krvi ili ljudske plazme ili cjepiva u slučaju kada je posebnu provjeru kakvoće takvih lijekova proveo službeni laboratorij za provjeru kakvoće lijeka u državi članici Europske unije, EGP i Švicarske</w:t>
            </w:r>
          </w:p>
        </w:tc>
        <w:tc>
          <w:tcPr>
            <w:tcW w:w="1418" w:type="dxa"/>
            <w:shd w:val="clear" w:color="auto" w:fill="auto"/>
            <w:noWrap/>
            <w:vAlign w:val="center"/>
          </w:tcPr>
          <w:p w14:paraId="149361CB" w14:textId="77777777" w:rsidR="009A75C2" w:rsidRPr="00964781" w:rsidRDefault="009A75C2" w:rsidP="00BA499D">
            <w:pPr>
              <w:jc w:val="center"/>
              <w:rPr>
                <w:sz w:val="18"/>
                <w:szCs w:val="18"/>
              </w:rPr>
            </w:pPr>
            <w:r>
              <w:rPr>
                <w:sz w:val="18"/>
                <w:szCs w:val="18"/>
              </w:rPr>
              <w:t>269</w:t>
            </w:r>
          </w:p>
        </w:tc>
        <w:tc>
          <w:tcPr>
            <w:tcW w:w="1275" w:type="dxa"/>
            <w:shd w:val="clear" w:color="auto" w:fill="auto"/>
            <w:noWrap/>
            <w:vAlign w:val="center"/>
          </w:tcPr>
          <w:p w14:paraId="751B6E94" w14:textId="77777777" w:rsidR="009A75C2" w:rsidRPr="00964781" w:rsidRDefault="009A75C2" w:rsidP="00BA499D">
            <w:pPr>
              <w:jc w:val="center"/>
              <w:rPr>
                <w:sz w:val="18"/>
                <w:szCs w:val="18"/>
              </w:rPr>
            </w:pPr>
            <w:r>
              <w:rPr>
                <w:sz w:val="18"/>
                <w:szCs w:val="18"/>
              </w:rPr>
              <w:t>100%</w:t>
            </w:r>
          </w:p>
        </w:tc>
      </w:tr>
      <w:tr w:rsidR="009A75C2" w:rsidRPr="00964781" w14:paraId="4929764C" w14:textId="77777777" w:rsidTr="00BA499D">
        <w:trPr>
          <w:trHeight w:val="284"/>
        </w:trPr>
        <w:tc>
          <w:tcPr>
            <w:tcW w:w="719" w:type="dxa"/>
            <w:shd w:val="clear" w:color="auto" w:fill="auto"/>
            <w:noWrap/>
            <w:vAlign w:val="center"/>
            <w:hideMark/>
          </w:tcPr>
          <w:p w14:paraId="705061EA" w14:textId="77777777" w:rsidR="009A75C2" w:rsidRPr="00964781" w:rsidRDefault="009A75C2" w:rsidP="00BA499D">
            <w:pPr>
              <w:jc w:val="center"/>
              <w:rPr>
                <w:sz w:val="18"/>
                <w:szCs w:val="18"/>
              </w:rPr>
            </w:pPr>
            <w:r w:rsidRPr="00964781">
              <w:rPr>
                <w:sz w:val="18"/>
                <w:szCs w:val="18"/>
              </w:rPr>
              <w:t>3</w:t>
            </w:r>
          </w:p>
        </w:tc>
        <w:tc>
          <w:tcPr>
            <w:tcW w:w="4253" w:type="dxa"/>
            <w:shd w:val="clear" w:color="auto" w:fill="auto"/>
            <w:vAlign w:val="center"/>
          </w:tcPr>
          <w:p w14:paraId="56C93243" w14:textId="77777777" w:rsidR="009A75C2" w:rsidRPr="007D095C" w:rsidRDefault="009A75C2" w:rsidP="00BA499D">
            <w:pPr>
              <w:rPr>
                <w:sz w:val="18"/>
                <w:szCs w:val="18"/>
                <w:highlight w:val="yellow"/>
              </w:rPr>
            </w:pPr>
            <w:r w:rsidRPr="00A34DDA">
              <w:rPr>
                <w:sz w:val="18"/>
                <w:szCs w:val="18"/>
              </w:rPr>
              <w:t>Obvezna PTS ispitivanja u svrhu održavanja atestacije prema normi ISO 17025 u organizaciji EDQM-a za različite analitičke metode</w:t>
            </w:r>
          </w:p>
        </w:tc>
        <w:tc>
          <w:tcPr>
            <w:tcW w:w="1417" w:type="dxa"/>
            <w:shd w:val="clear" w:color="auto" w:fill="auto"/>
            <w:noWrap/>
            <w:vAlign w:val="center"/>
          </w:tcPr>
          <w:p w14:paraId="7F9A0FAD" w14:textId="77777777" w:rsidR="009A75C2" w:rsidRPr="00A34DDA" w:rsidRDefault="009A75C2" w:rsidP="00BA499D">
            <w:pPr>
              <w:jc w:val="center"/>
              <w:rPr>
                <w:sz w:val="18"/>
                <w:szCs w:val="18"/>
              </w:rPr>
            </w:pPr>
            <w:r w:rsidRPr="00A34DDA">
              <w:rPr>
                <w:sz w:val="18"/>
                <w:szCs w:val="18"/>
                <w:lang w:eastAsia="hr-HR"/>
              </w:rPr>
              <w:t>Sva predložena za koje OMCL posjeduje tehničke mogućnosti</w:t>
            </w:r>
          </w:p>
        </w:tc>
        <w:tc>
          <w:tcPr>
            <w:tcW w:w="1418" w:type="dxa"/>
            <w:shd w:val="clear" w:color="auto" w:fill="auto"/>
            <w:noWrap/>
            <w:vAlign w:val="center"/>
          </w:tcPr>
          <w:p w14:paraId="545849CC" w14:textId="77777777" w:rsidR="009A75C2" w:rsidRPr="00A34DDA" w:rsidRDefault="009A75C2" w:rsidP="00BA499D">
            <w:pPr>
              <w:jc w:val="center"/>
              <w:rPr>
                <w:sz w:val="18"/>
                <w:szCs w:val="18"/>
              </w:rPr>
            </w:pPr>
            <w:r>
              <w:rPr>
                <w:sz w:val="18"/>
                <w:szCs w:val="18"/>
              </w:rPr>
              <w:t>6</w:t>
            </w:r>
          </w:p>
        </w:tc>
        <w:tc>
          <w:tcPr>
            <w:tcW w:w="1275" w:type="dxa"/>
            <w:shd w:val="clear" w:color="auto" w:fill="auto"/>
            <w:noWrap/>
            <w:vAlign w:val="center"/>
          </w:tcPr>
          <w:p w14:paraId="5A13EAF4" w14:textId="77777777" w:rsidR="009A75C2" w:rsidRPr="00964781" w:rsidRDefault="009A75C2" w:rsidP="00BA499D">
            <w:pPr>
              <w:jc w:val="center"/>
              <w:rPr>
                <w:sz w:val="18"/>
                <w:szCs w:val="18"/>
              </w:rPr>
            </w:pPr>
            <w:r>
              <w:rPr>
                <w:sz w:val="18"/>
                <w:szCs w:val="18"/>
              </w:rPr>
              <w:t>100%</w:t>
            </w:r>
          </w:p>
        </w:tc>
      </w:tr>
      <w:tr w:rsidR="009A75C2" w:rsidRPr="00964781" w14:paraId="548DA43B" w14:textId="77777777" w:rsidTr="00BA499D">
        <w:trPr>
          <w:trHeight w:val="284"/>
        </w:trPr>
        <w:tc>
          <w:tcPr>
            <w:tcW w:w="719" w:type="dxa"/>
            <w:shd w:val="clear" w:color="auto" w:fill="auto"/>
            <w:noWrap/>
            <w:vAlign w:val="center"/>
          </w:tcPr>
          <w:p w14:paraId="56AC0B6A" w14:textId="77777777" w:rsidR="009A75C2" w:rsidRPr="00964781" w:rsidRDefault="009A75C2" w:rsidP="00BA499D">
            <w:pPr>
              <w:jc w:val="center"/>
              <w:rPr>
                <w:sz w:val="18"/>
                <w:szCs w:val="18"/>
              </w:rPr>
            </w:pPr>
            <w:r w:rsidRPr="00964781">
              <w:rPr>
                <w:sz w:val="18"/>
                <w:szCs w:val="18"/>
              </w:rPr>
              <w:t>4.</w:t>
            </w:r>
          </w:p>
        </w:tc>
        <w:tc>
          <w:tcPr>
            <w:tcW w:w="4253" w:type="dxa"/>
            <w:shd w:val="clear" w:color="auto" w:fill="auto"/>
            <w:vAlign w:val="center"/>
          </w:tcPr>
          <w:p w14:paraId="213EB821" w14:textId="77777777" w:rsidR="009A75C2" w:rsidRPr="00964781" w:rsidRDefault="009A75C2" w:rsidP="00BA499D">
            <w:pPr>
              <w:rPr>
                <w:sz w:val="18"/>
                <w:szCs w:val="18"/>
              </w:rPr>
            </w:pPr>
            <w:r w:rsidRPr="00964781">
              <w:rPr>
                <w:sz w:val="18"/>
                <w:szCs w:val="18"/>
              </w:rPr>
              <w:t>Međunarodne studije ispitivanja lijekova s tržišta Europskih zemalja</w:t>
            </w:r>
          </w:p>
        </w:tc>
        <w:tc>
          <w:tcPr>
            <w:tcW w:w="1417" w:type="dxa"/>
            <w:shd w:val="clear" w:color="auto" w:fill="auto"/>
            <w:noWrap/>
            <w:vAlign w:val="center"/>
          </w:tcPr>
          <w:p w14:paraId="7E2A7C90" w14:textId="77777777" w:rsidR="009A75C2" w:rsidRPr="00964781" w:rsidRDefault="009A75C2" w:rsidP="00BA499D">
            <w:pPr>
              <w:jc w:val="center"/>
              <w:rPr>
                <w:sz w:val="18"/>
                <w:szCs w:val="18"/>
              </w:rPr>
            </w:pPr>
            <w:r>
              <w:rPr>
                <w:sz w:val="18"/>
                <w:szCs w:val="18"/>
              </w:rPr>
              <w:t>Po nominaciji</w:t>
            </w:r>
          </w:p>
        </w:tc>
        <w:tc>
          <w:tcPr>
            <w:tcW w:w="1418" w:type="dxa"/>
            <w:shd w:val="clear" w:color="auto" w:fill="auto"/>
            <w:noWrap/>
            <w:vAlign w:val="center"/>
          </w:tcPr>
          <w:p w14:paraId="3EF99174" w14:textId="77777777" w:rsidR="009A75C2" w:rsidRPr="00964781" w:rsidRDefault="009A75C2" w:rsidP="00BA499D">
            <w:pPr>
              <w:jc w:val="center"/>
              <w:rPr>
                <w:sz w:val="18"/>
                <w:szCs w:val="18"/>
              </w:rPr>
            </w:pPr>
            <w:r>
              <w:rPr>
                <w:sz w:val="18"/>
                <w:szCs w:val="18"/>
              </w:rPr>
              <w:t>-</w:t>
            </w:r>
          </w:p>
        </w:tc>
        <w:tc>
          <w:tcPr>
            <w:tcW w:w="1275" w:type="dxa"/>
            <w:shd w:val="clear" w:color="auto" w:fill="auto"/>
            <w:noWrap/>
            <w:vAlign w:val="center"/>
          </w:tcPr>
          <w:p w14:paraId="074DF3C6" w14:textId="77777777" w:rsidR="009A75C2" w:rsidRPr="00964781" w:rsidRDefault="009A75C2" w:rsidP="00BA499D">
            <w:pPr>
              <w:jc w:val="center"/>
              <w:rPr>
                <w:sz w:val="18"/>
                <w:szCs w:val="18"/>
              </w:rPr>
            </w:pPr>
            <w:r>
              <w:rPr>
                <w:sz w:val="18"/>
                <w:szCs w:val="18"/>
              </w:rPr>
              <w:t>-</w:t>
            </w:r>
          </w:p>
        </w:tc>
      </w:tr>
      <w:tr w:rsidR="009A75C2" w:rsidRPr="00964781" w14:paraId="55D16DD0" w14:textId="77777777" w:rsidTr="00BA499D">
        <w:trPr>
          <w:trHeight w:val="284"/>
        </w:trPr>
        <w:tc>
          <w:tcPr>
            <w:tcW w:w="719" w:type="dxa"/>
            <w:shd w:val="clear" w:color="auto" w:fill="auto"/>
            <w:noWrap/>
            <w:vAlign w:val="center"/>
          </w:tcPr>
          <w:p w14:paraId="58E25934" w14:textId="77777777" w:rsidR="009A75C2" w:rsidRPr="00964781" w:rsidRDefault="009A75C2" w:rsidP="00BA499D">
            <w:pPr>
              <w:jc w:val="center"/>
              <w:rPr>
                <w:sz w:val="18"/>
                <w:szCs w:val="18"/>
              </w:rPr>
            </w:pPr>
            <w:r w:rsidRPr="00964781">
              <w:rPr>
                <w:sz w:val="18"/>
                <w:szCs w:val="18"/>
              </w:rPr>
              <w:t>5.</w:t>
            </w:r>
          </w:p>
        </w:tc>
        <w:tc>
          <w:tcPr>
            <w:tcW w:w="4253" w:type="dxa"/>
            <w:shd w:val="clear" w:color="auto" w:fill="auto"/>
            <w:vAlign w:val="center"/>
          </w:tcPr>
          <w:p w14:paraId="7E84FDB3" w14:textId="77777777" w:rsidR="009A75C2" w:rsidRPr="00964781" w:rsidRDefault="009A75C2" w:rsidP="00BA499D">
            <w:pPr>
              <w:rPr>
                <w:sz w:val="18"/>
                <w:szCs w:val="18"/>
              </w:rPr>
            </w:pPr>
            <w:r w:rsidRPr="00964781">
              <w:rPr>
                <w:sz w:val="18"/>
                <w:szCs w:val="18"/>
              </w:rPr>
              <w:t>Provođenje ispitivanja u svrhu izrade monografije Europske farmakopeje za gotove lijekove</w:t>
            </w:r>
          </w:p>
        </w:tc>
        <w:tc>
          <w:tcPr>
            <w:tcW w:w="1417" w:type="dxa"/>
            <w:shd w:val="clear" w:color="auto" w:fill="auto"/>
            <w:noWrap/>
            <w:vAlign w:val="center"/>
          </w:tcPr>
          <w:p w14:paraId="4F05A5C0" w14:textId="77777777" w:rsidR="009A75C2" w:rsidRPr="00964781" w:rsidRDefault="009A75C2" w:rsidP="00BA499D">
            <w:pPr>
              <w:jc w:val="center"/>
              <w:rPr>
                <w:sz w:val="18"/>
                <w:szCs w:val="18"/>
              </w:rPr>
            </w:pPr>
            <w:r w:rsidRPr="00964781">
              <w:rPr>
                <w:sz w:val="18"/>
                <w:szCs w:val="18"/>
              </w:rPr>
              <w:t>Po nominaciji</w:t>
            </w:r>
          </w:p>
        </w:tc>
        <w:tc>
          <w:tcPr>
            <w:tcW w:w="1418" w:type="dxa"/>
            <w:shd w:val="clear" w:color="auto" w:fill="auto"/>
            <w:noWrap/>
            <w:vAlign w:val="center"/>
          </w:tcPr>
          <w:p w14:paraId="26B49BFB" w14:textId="77777777" w:rsidR="009A75C2" w:rsidRPr="00964781" w:rsidRDefault="009A75C2" w:rsidP="00BA499D">
            <w:pPr>
              <w:jc w:val="center"/>
              <w:rPr>
                <w:sz w:val="18"/>
                <w:szCs w:val="18"/>
              </w:rPr>
            </w:pPr>
            <w:r>
              <w:rPr>
                <w:sz w:val="18"/>
                <w:szCs w:val="18"/>
              </w:rPr>
              <w:t>-</w:t>
            </w:r>
          </w:p>
        </w:tc>
        <w:tc>
          <w:tcPr>
            <w:tcW w:w="1275" w:type="dxa"/>
            <w:shd w:val="clear" w:color="auto" w:fill="auto"/>
            <w:noWrap/>
            <w:vAlign w:val="center"/>
          </w:tcPr>
          <w:p w14:paraId="79D0AEDE" w14:textId="77777777" w:rsidR="009A75C2" w:rsidRPr="00964781" w:rsidRDefault="009A75C2" w:rsidP="00BA499D">
            <w:pPr>
              <w:jc w:val="center"/>
              <w:rPr>
                <w:sz w:val="18"/>
                <w:szCs w:val="18"/>
              </w:rPr>
            </w:pPr>
            <w:r>
              <w:rPr>
                <w:sz w:val="18"/>
                <w:szCs w:val="18"/>
              </w:rPr>
              <w:t>-</w:t>
            </w:r>
          </w:p>
        </w:tc>
      </w:tr>
      <w:tr w:rsidR="009A75C2" w:rsidRPr="00964781" w14:paraId="6CA6CF90" w14:textId="77777777" w:rsidTr="00BA499D">
        <w:trPr>
          <w:trHeight w:val="284"/>
        </w:trPr>
        <w:tc>
          <w:tcPr>
            <w:tcW w:w="719" w:type="dxa"/>
            <w:shd w:val="clear" w:color="auto" w:fill="auto"/>
            <w:noWrap/>
            <w:vAlign w:val="center"/>
          </w:tcPr>
          <w:p w14:paraId="5E6EA571" w14:textId="77777777" w:rsidR="009A75C2" w:rsidRPr="00964781" w:rsidRDefault="009A75C2" w:rsidP="00BA499D">
            <w:pPr>
              <w:jc w:val="center"/>
              <w:rPr>
                <w:sz w:val="18"/>
                <w:szCs w:val="18"/>
              </w:rPr>
            </w:pPr>
            <w:r w:rsidRPr="001A25F2">
              <w:rPr>
                <w:rFonts w:ascii="Calibri" w:eastAsia="Calibri" w:hAnsi="Calibri" w:cs="Times New Roman"/>
                <w:sz w:val="18"/>
                <w:szCs w:val="18"/>
                <w:lang w:eastAsia="hr-HR"/>
              </w:rPr>
              <w:t>6.</w:t>
            </w:r>
          </w:p>
        </w:tc>
        <w:tc>
          <w:tcPr>
            <w:tcW w:w="4253" w:type="dxa"/>
            <w:shd w:val="clear" w:color="auto" w:fill="auto"/>
            <w:vAlign w:val="center"/>
          </w:tcPr>
          <w:p w14:paraId="55CDDAEF" w14:textId="77777777" w:rsidR="009A75C2" w:rsidRPr="00964781" w:rsidRDefault="009A75C2" w:rsidP="00BA499D">
            <w:pPr>
              <w:rPr>
                <w:sz w:val="18"/>
                <w:szCs w:val="18"/>
              </w:rPr>
            </w:pPr>
            <w:r w:rsidRPr="001A25F2">
              <w:rPr>
                <w:rFonts w:ascii="Calibri" w:eastAsia="Calibri" w:hAnsi="Calibri" w:cs="Times New Roman"/>
                <w:sz w:val="18"/>
                <w:szCs w:val="18"/>
              </w:rPr>
              <w:t>Razvrstavanje i davanje mišljenja o dostavljenim uzorcima ilegalnih i potencijalno krivotvorenih lijekova na zahtjev policije i carine</w:t>
            </w:r>
          </w:p>
        </w:tc>
        <w:tc>
          <w:tcPr>
            <w:tcW w:w="1417" w:type="dxa"/>
            <w:shd w:val="clear" w:color="auto" w:fill="auto"/>
            <w:noWrap/>
            <w:vAlign w:val="center"/>
          </w:tcPr>
          <w:p w14:paraId="5554D877" w14:textId="77777777" w:rsidR="009A75C2" w:rsidRPr="00964781" w:rsidRDefault="009A75C2" w:rsidP="00BA499D">
            <w:pPr>
              <w:jc w:val="center"/>
              <w:rPr>
                <w:sz w:val="18"/>
                <w:szCs w:val="18"/>
              </w:rPr>
            </w:pPr>
            <w:r w:rsidRPr="001A25F2">
              <w:rPr>
                <w:rFonts w:ascii="Calibri" w:eastAsia="Calibri" w:hAnsi="Calibri" w:cs="Times New Roman"/>
                <w:sz w:val="18"/>
                <w:szCs w:val="18"/>
                <w:lang w:eastAsia="hr-HR"/>
              </w:rPr>
              <w:t>Po zahtjevu</w:t>
            </w:r>
          </w:p>
        </w:tc>
        <w:tc>
          <w:tcPr>
            <w:tcW w:w="1418" w:type="dxa"/>
            <w:shd w:val="clear" w:color="auto" w:fill="auto"/>
            <w:noWrap/>
            <w:vAlign w:val="center"/>
          </w:tcPr>
          <w:p w14:paraId="33013EAC" w14:textId="77777777" w:rsidR="009A75C2" w:rsidRPr="00964781" w:rsidRDefault="009A75C2" w:rsidP="00BA499D">
            <w:pPr>
              <w:jc w:val="center"/>
              <w:rPr>
                <w:sz w:val="18"/>
                <w:szCs w:val="18"/>
              </w:rPr>
            </w:pPr>
            <w:r>
              <w:rPr>
                <w:sz w:val="18"/>
                <w:szCs w:val="18"/>
              </w:rPr>
              <w:t>13</w:t>
            </w:r>
          </w:p>
        </w:tc>
        <w:tc>
          <w:tcPr>
            <w:tcW w:w="1275" w:type="dxa"/>
            <w:shd w:val="clear" w:color="auto" w:fill="auto"/>
            <w:noWrap/>
            <w:vAlign w:val="center"/>
          </w:tcPr>
          <w:p w14:paraId="51CE2679" w14:textId="77777777" w:rsidR="009A75C2" w:rsidRPr="00964781" w:rsidRDefault="009A75C2" w:rsidP="00BA499D">
            <w:pPr>
              <w:jc w:val="center"/>
              <w:rPr>
                <w:sz w:val="18"/>
                <w:szCs w:val="18"/>
              </w:rPr>
            </w:pPr>
            <w:r>
              <w:rPr>
                <w:sz w:val="18"/>
                <w:szCs w:val="18"/>
              </w:rPr>
              <w:t>-</w:t>
            </w:r>
          </w:p>
        </w:tc>
      </w:tr>
    </w:tbl>
    <w:p w14:paraId="5675BED2" w14:textId="77777777" w:rsidR="009A75C2" w:rsidRPr="00964781" w:rsidRDefault="009A75C2" w:rsidP="009A75C2">
      <w:pPr>
        <w:rPr>
          <w:b/>
          <w:sz w:val="18"/>
          <w:szCs w:val="18"/>
        </w:rPr>
      </w:pPr>
    </w:p>
    <w:p w14:paraId="7E2673B3" w14:textId="77777777" w:rsidR="009A75C2" w:rsidRDefault="009A75C2" w:rsidP="009A75C2">
      <w:pPr>
        <w:spacing w:after="120"/>
        <w:rPr>
          <w:b/>
        </w:rPr>
      </w:pPr>
    </w:p>
    <w:p w14:paraId="24318C12" w14:textId="77777777" w:rsidR="009A75C2" w:rsidRPr="00964781" w:rsidRDefault="009A75C2" w:rsidP="009A75C2">
      <w:pPr>
        <w:spacing w:after="120"/>
        <w:rPr>
          <w:b/>
        </w:rPr>
      </w:pPr>
      <w:r w:rsidRPr="00964781">
        <w:rPr>
          <w:b/>
        </w:rPr>
        <w:t xml:space="preserve">Tablica </w:t>
      </w:r>
      <w:r>
        <w:rPr>
          <w:b/>
        </w:rPr>
        <w:t>24</w:t>
      </w:r>
      <w:r w:rsidRPr="00964781">
        <w:rPr>
          <w:b/>
        </w:rPr>
        <w:t>. Sudjelovanja na radnim sastancima u europskim poslovima provjere kakvoće lijekova</w:t>
      </w:r>
    </w:p>
    <w:tbl>
      <w:tblPr>
        <w:tblW w:w="9082"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4565"/>
        <w:gridCol w:w="1843"/>
        <w:gridCol w:w="1955"/>
      </w:tblGrid>
      <w:tr w:rsidR="009A75C2" w:rsidRPr="00964781" w14:paraId="591CB0A0" w14:textId="77777777" w:rsidTr="00BA499D">
        <w:trPr>
          <w:trHeight w:val="453"/>
        </w:trPr>
        <w:tc>
          <w:tcPr>
            <w:tcW w:w="719" w:type="dxa"/>
            <w:vMerge w:val="restart"/>
            <w:shd w:val="clear" w:color="auto" w:fill="A3E7FF"/>
            <w:vAlign w:val="center"/>
            <w:hideMark/>
          </w:tcPr>
          <w:p w14:paraId="1BD753B3" w14:textId="77777777" w:rsidR="009A75C2" w:rsidRPr="00964781" w:rsidRDefault="009A75C2" w:rsidP="00BA499D">
            <w:pPr>
              <w:rPr>
                <w:b/>
                <w:sz w:val="18"/>
                <w:szCs w:val="18"/>
              </w:rPr>
            </w:pPr>
            <w:r w:rsidRPr="00964781">
              <w:rPr>
                <w:b/>
                <w:sz w:val="18"/>
                <w:szCs w:val="18"/>
              </w:rPr>
              <w:t>R.br.</w:t>
            </w:r>
          </w:p>
        </w:tc>
        <w:tc>
          <w:tcPr>
            <w:tcW w:w="4565" w:type="dxa"/>
            <w:vMerge w:val="restart"/>
            <w:shd w:val="clear" w:color="auto" w:fill="A3E7FF"/>
            <w:vAlign w:val="center"/>
            <w:hideMark/>
          </w:tcPr>
          <w:p w14:paraId="2EB2C69B" w14:textId="77777777" w:rsidR="009A75C2" w:rsidRPr="00964781" w:rsidRDefault="009A75C2" w:rsidP="00BA499D">
            <w:pPr>
              <w:rPr>
                <w:b/>
                <w:sz w:val="18"/>
                <w:szCs w:val="18"/>
              </w:rPr>
            </w:pPr>
            <w:r w:rsidRPr="00964781">
              <w:rPr>
                <w:b/>
                <w:sz w:val="18"/>
                <w:szCs w:val="18"/>
              </w:rPr>
              <w:t>Naziv povjerenstva/radne skupine/odbora</w:t>
            </w:r>
          </w:p>
        </w:tc>
        <w:tc>
          <w:tcPr>
            <w:tcW w:w="1843" w:type="dxa"/>
            <w:vMerge w:val="restart"/>
            <w:shd w:val="clear" w:color="auto" w:fill="A3E7FF"/>
            <w:vAlign w:val="center"/>
            <w:hideMark/>
          </w:tcPr>
          <w:p w14:paraId="1B79F437" w14:textId="77777777" w:rsidR="009A75C2" w:rsidRPr="00964781" w:rsidRDefault="009A75C2" w:rsidP="00BA499D">
            <w:pPr>
              <w:jc w:val="center"/>
              <w:rPr>
                <w:b/>
                <w:sz w:val="18"/>
                <w:szCs w:val="18"/>
              </w:rPr>
            </w:pPr>
            <w:r w:rsidRPr="00964781">
              <w:rPr>
                <w:b/>
                <w:sz w:val="18"/>
                <w:szCs w:val="18"/>
              </w:rPr>
              <w:t>Plan za 202</w:t>
            </w:r>
            <w:r>
              <w:rPr>
                <w:b/>
                <w:sz w:val="18"/>
                <w:szCs w:val="18"/>
              </w:rPr>
              <w:t>3</w:t>
            </w:r>
            <w:r w:rsidRPr="00964781">
              <w:rPr>
                <w:b/>
                <w:sz w:val="18"/>
                <w:szCs w:val="18"/>
              </w:rPr>
              <w:t>.</w:t>
            </w:r>
          </w:p>
        </w:tc>
        <w:tc>
          <w:tcPr>
            <w:tcW w:w="1955" w:type="dxa"/>
            <w:vMerge w:val="restart"/>
            <w:shd w:val="clear" w:color="auto" w:fill="A3E7FF"/>
            <w:vAlign w:val="center"/>
            <w:hideMark/>
          </w:tcPr>
          <w:p w14:paraId="309A9588" w14:textId="77777777" w:rsidR="009A75C2" w:rsidRPr="00964781" w:rsidRDefault="009A75C2" w:rsidP="00BA499D">
            <w:pPr>
              <w:jc w:val="center"/>
              <w:rPr>
                <w:b/>
                <w:sz w:val="18"/>
                <w:szCs w:val="18"/>
              </w:rPr>
            </w:pPr>
            <w:r w:rsidRPr="00964781">
              <w:rPr>
                <w:b/>
                <w:sz w:val="18"/>
                <w:szCs w:val="18"/>
              </w:rPr>
              <w:t>Izvršenje</w:t>
            </w:r>
          </w:p>
          <w:p w14:paraId="35675B0C" w14:textId="77777777" w:rsidR="009A75C2" w:rsidRPr="00964781" w:rsidRDefault="009A75C2" w:rsidP="00BA499D">
            <w:pPr>
              <w:jc w:val="center"/>
              <w:rPr>
                <w:b/>
                <w:sz w:val="18"/>
                <w:szCs w:val="18"/>
              </w:rPr>
            </w:pPr>
            <w:r w:rsidRPr="00964781">
              <w:rPr>
                <w:b/>
                <w:sz w:val="18"/>
                <w:szCs w:val="18"/>
              </w:rPr>
              <w:t>01.01.-</w:t>
            </w:r>
            <w:r>
              <w:rPr>
                <w:b/>
                <w:sz w:val="18"/>
                <w:szCs w:val="18"/>
              </w:rPr>
              <w:t>31.12</w:t>
            </w:r>
            <w:r w:rsidRPr="00964781">
              <w:rPr>
                <w:b/>
                <w:sz w:val="18"/>
                <w:szCs w:val="18"/>
              </w:rPr>
              <w:t>.202</w:t>
            </w:r>
            <w:r>
              <w:rPr>
                <w:b/>
                <w:sz w:val="18"/>
                <w:szCs w:val="18"/>
              </w:rPr>
              <w:t>3</w:t>
            </w:r>
            <w:r w:rsidRPr="00964781">
              <w:rPr>
                <w:b/>
                <w:sz w:val="18"/>
                <w:szCs w:val="18"/>
              </w:rPr>
              <w:t>.</w:t>
            </w:r>
          </w:p>
        </w:tc>
      </w:tr>
      <w:tr w:rsidR="009A75C2" w:rsidRPr="00964781" w14:paraId="4D4D3813" w14:textId="77777777" w:rsidTr="00BA499D">
        <w:trPr>
          <w:trHeight w:val="509"/>
        </w:trPr>
        <w:tc>
          <w:tcPr>
            <w:tcW w:w="719" w:type="dxa"/>
            <w:vMerge/>
            <w:tcBorders>
              <w:bottom w:val="single" w:sz="4" w:space="0" w:color="auto"/>
            </w:tcBorders>
            <w:shd w:val="clear" w:color="auto" w:fill="A3E7FF"/>
            <w:vAlign w:val="center"/>
            <w:hideMark/>
          </w:tcPr>
          <w:p w14:paraId="3CB0DF17" w14:textId="77777777" w:rsidR="009A75C2" w:rsidRPr="00964781" w:rsidRDefault="009A75C2" w:rsidP="00BA499D">
            <w:pPr>
              <w:rPr>
                <w:b/>
                <w:sz w:val="18"/>
                <w:szCs w:val="18"/>
              </w:rPr>
            </w:pPr>
          </w:p>
        </w:tc>
        <w:tc>
          <w:tcPr>
            <w:tcW w:w="4565" w:type="dxa"/>
            <w:vMerge/>
            <w:tcBorders>
              <w:bottom w:val="single" w:sz="4" w:space="0" w:color="auto"/>
            </w:tcBorders>
            <w:shd w:val="clear" w:color="auto" w:fill="A3E7FF"/>
            <w:vAlign w:val="center"/>
            <w:hideMark/>
          </w:tcPr>
          <w:p w14:paraId="686B3D96" w14:textId="77777777" w:rsidR="009A75C2" w:rsidRPr="00964781" w:rsidRDefault="009A75C2" w:rsidP="00BA499D">
            <w:pPr>
              <w:rPr>
                <w:b/>
                <w:sz w:val="18"/>
                <w:szCs w:val="18"/>
              </w:rPr>
            </w:pPr>
          </w:p>
        </w:tc>
        <w:tc>
          <w:tcPr>
            <w:tcW w:w="1843" w:type="dxa"/>
            <w:vMerge/>
            <w:tcBorders>
              <w:bottom w:val="single" w:sz="4" w:space="0" w:color="auto"/>
            </w:tcBorders>
            <w:shd w:val="clear" w:color="auto" w:fill="A3E7FF"/>
            <w:vAlign w:val="center"/>
            <w:hideMark/>
          </w:tcPr>
          <w:p w14:paraId="75268139" w14:textId="77777777" w:rsidR="009A75C2" w:rsidRPr="00964781" w:rsidRDefault="009A75C2" w:rsidP="00BA499D">
            <w:pPr>
              <w:rPr>
                <w:b/>
                <w:sz w:val="18"/>
                <w:szCs w:val="18"/>
              </w:rPr>
            </w:pPr>
          </w:p>
        </w:tc>
        <w:tc>
          <w:tcPr>
            <w:tcW w:w="1955" w:type="dxa"/>
            <w:vMerge/>
            <w:tcBorders>
              <w:bottom w:val="single" w:sz="4" w:space="0" w:color="auto"/>
            </w:tcBorders>
            <w:shd w:val="clear" w:color="auto" w:fill="A3E7FF"/>
            <w:vAlign w:val="center"/>
            <w:hideMark/>
          </w:tcPr>
          <w:p w14:paraId="613870D3" w14:textId="77777777" w:rsidR="009A75C2" w:rsidRPr="00964781" w:rsidRDefault="009A75C2" w:rsidP="00BA499D">
            <w:pPr>
              <w:rPr>
                <w:b/>
                <w:sz w:val="18"/>
                <w:szCs w:val="18"/>
              </w:rPr>
            </w:pPr>
          </w:p>
        </w:tc>
      </w:tr>
      <w:tr w:rsidR="009A75C2" w:rsidRPr="00964781" w14:paraId="43866710" w14:textId="77777777" w:rsidTr="00BA499D">
        <w:trPr>
          <w:trHeight w:val="284"/>
        </w:trPr>
        <w:tc>
          <w:tcPr>
            <w:tcW w:w="9082" w:type="dxa"/>
            <w:gridSpan w:val="4"/>
            <w:shd w:val="clear" w:color="auto" w:fill="auto"/>
            <w:noWrap/>
            <w:vAlign w:val="center"/>
            <w:hideMark/>
          </w:tcPr>
          <w:p w14:paraId="266D208C" w14:textId="77777777" w:rsidR="009A75C2" w:rsidRPr="00964781" w:rsidRDefault="009A75C2" w:rsidP="00BA499D">
            <w:pPr>
              <w:rPr>
                <w:b/>
                <w:sz w:val="18"/>
                <w:szCs w:val="18"/>
              </w:rPr>
            </w:pPr>
            <w:r w:rsidRPr="00964781">
              <w:rPr>
                <w:b/>
                <w:sz w:val="18"/>
                <w:szCs w:val="18"/>
              </w:rPr>
              <w:t>Povjerenstva i radne skupine EDQM-a</w:t>
            </w:r>
          </w:p>
        </w:tc>
      </w:tr>
      <w:tr w:rsidR="009A75C2" w:rsidRPr="00964781" w14:paraId="6A7FE1D2" w14:textId="77777777" w:rsidTr="00BA499D">
        <w:trPr>
          <w:trHeight w:val="284"/>
        </w:trPr>
        <w:tc>
          <w:tcPr>
            <w:tcW w:w="719" w:type="dxa"/>
            <w:shd w:val="clear" w:color="auto" w:fill="auto"/>
            <w:noWrap/>
            <w:vAlign w:val="center"/>
          </w:tcPr>
          <w:p w14:paraId="162CA03D" w14:textId="77777777" w:rsidR="009A75C2" w:rsidRPr="00964781" w:rsidRDefault="009A75C2" w:rsidP="00BA499D">
            <w:pPr>
              <w:jc w:val="center"/>
              <w:rPr>
                <w:sz w:val="18"/>
                <w:szCs w:val="18"/>
              </w:rPr>
            </w:pPr>
            <w:r>
              <w:rPr>
                <w:sz w:val="18"/>
                <w:szCs w:val="18"/>
              </w:rPr>
              <w:t>1</w:t>
            </w:r>
            <w:r w:rsidRPr="00964781">
              <w:rPr>
                <w:sz w:val="18"/>
                <w:szCs w:val="18"/>
              </w:rPr>
              <w:t>.</w:t>
            </w:r>
          </w:p>
        </w:tc>
        <w:tc>
          <w:tcPr>
            <w:tcW w:w="4565" w:type="dxa"/>
            <w:shd w:val="clear" w:color="auto" w:fill="auto"/>
            <w:vAlign w:val="center"/>
          </w:tcPr>
          <w:p w14:paraId="490C0C51" w14:textId="77777777" w:rsidR="009A75C2" w:rsidRPr="00964781" w:rsidRDefault="009A75C2" w:rsidP="00BA499D">
            <w:pPr>
              <w:rPr>
                <w:sz w:val="18"/>
                <w:szCs w:val="18"/>
              </w:rPr>
            </w:pPr>
            <w:r w:rsidRPr="00964781">
              <w:rPr>
                <w:sz w:val="18"/>
                <w:szCs w:val="18"/>
              </w:rPr>
              <w:t>Godišnji sastanak mreže laboratorija (OMCL meeting)</w:t>
            </w:r>
          </w:p>
        </w:tc>
        <w:tc>
          <w:tcPr>
            <w:tcW w:w="1843" w:type="dxa"/>
            <w:shd w:val="clear" w:color="auto" w:fill="auto"/>
            <w:noWrap/>
            <w:vAlign w:val="center"/>
          </w:tcPr>
          <w:p w14:paraId="6E415631" w14:textId="77777777" w:rsidR="009A75C2" w:rsidRPr="00964781" w:rsidRDefault="009A75C2" w:rsidP="00BA499D">
            <w:pPr>
              <w:jc w:val="center"/>
              <w:rPr>
                <w:sz w:val="18"/>
                <w:szCs w:val="18"/>
              </w:rPr>
            </w:pPr>
            <w:r>
              <w:rPr>
                <w:sz w:val="18"/>
                <w:szCs w:val="18"/>
              </w:rPr>
              <w:t>1</w:t>
            </w:r>
          </w:p>
        </w:tc>
        <w:tc>
          <w:tcPr>
            <w:tcW w:w="1955" w:type="dxa"/>
            <w:shd w:val="clear" w:color="auto" w:fill="auto"/>
            <w:noWrap/>
            <w:vAlign w:val="center"/>
          </w:tcPr>
          <w:p w14:paraId="5B947CAD" w14:textId="77777777" w:rsidR="009A75C2" w:rsidRPr="00964781" w:rsidRDefault="009A75C2" w:rsidP="00BA499D">
            <w:pPr>
              <w:jc w:val="center"/>
              <w:rPr>
                <w:sz w:val="18"/>
                <w:szCs w:val="18"/>
              </w:rPr>
            </w:pPr>
            <w:r>
              <w:rPr>
                <w:sz w:val="18"/>
                <w:szCs w:val="18"/>
              </w:rPr>
              <w:t>1</w:t>
            </w:r>
          </w:p>
        </w:tc>
      </w:tr>
      <w:tr w:rsidR="009A75C2" w:rsidRPr="00964781" w14:paraId="58C1CCC9" w14:textId="77777777" w:rsidTr="00BA499D">
        <w:trPr>
          <w:trHeight w:val="284"/>
        </w:trPr>
        <w:tc>
          <w:tcPr>
            <w:tcW w:w="719" w:type="dxa"/>
            <w:shd w:val="clear" w:color="auto" w:fill="auto"/>
            <w:noWrap/>
            <w:vAlign w:val="center"/>
          </w:tcPr>
          <w:p w14:paraId="4707217C" w14:textId="77777777" w:rsidR="009A75C2" w:rsidRDefault="009A75C2" w:rsidP="00BA499D">
            <w:pPr>
              <w:jc w:val="center"/>
              <w:rPr>
                <w:sz w:val="18"/>
                <w:szCs w:val="18"/>
              </w:rPr>
            </w:pPr>
            <w:r>
              <w:rPr>
                <w:sz w:val="18"/>
                <w:szCs w:val="18"/>
              </w:rPr>
              <w:t>2</w:t>
            </w:r>
            <w:r w:rsidRPr="00964781">
              <w:rPr>
                <w:sz w:val="18"/>
                <w:szCs w:val="18"/>
              </w:rPr>
              <w:t>.</w:t>
            </w:r>
          </w:p>
        </w:tc>
        <w:tc>
          <w:tcPr>
            <w:tcW w:w="4565" w:type="dxa"/>
            <w:shd w:val="clear" w:color="auto" w:fill="auto"/>
            <w:vAlign w:val="center"/>
          </w:tcPr>
          <w:p w14:paraId="779C76F9" w14:textId="77777777" w:rsidR="009A75C2" w:rsidRPr="00964781" w:rsidRDefault="009A75C2" w:rsidP="00BA499D">
            <w:pPr>
              <w:rPr>
                <w:sz w:val="18"/>
                <w:szCs w:val="18"/>
              </w:rPr>
            </w:pPr>
            <w:r w:rsidRPr="00964781">
              <w:rPr>
                <w:sz w:val="18"/>
                <w:szCs w:val="18"/>
              </w:rPr>
              <w:t xml:space="preserve">Sastanak OMCL radne grupe </w:t>
            </w:r>
            <w:r>
              <w:rPr>
                <w:sz w:val="18"/>
                <w:szCs w:val="18"/>
              </w:rPr>
              <w:t>za krivotvorine</w:t>
            </w:r>
            <w:r w:rsidRPr="00964781">
              <w:rPr>
                <w:sz w:val="18"/>
                <w:szCs w:val="18"/>
              </w:rPr>
              <w:t xml:space="preserve"> </w:t>
            </w:r>
            <w:r>
              <w:rPr>
                <w:sz w:val="18"/>
                <w:szCs w:val="18"/>
              </w:rPr>
              <w:t>(OMCL Falsified Medicines Working Group-</w:t>
            </w:r>
            <w:r w:rsidRPr="00A07B41">
              <w:rPr>
                <w:sz w:val="18"/>
                <w:szCs w:val="18"/>
              </w:rPr>
              <w:t>OMCL FM WG</w:t>
            </w:r>
            <w:r>
              <w:rPr>
                <w:sz w:val="18"/>
                <w:szCs w:val="18"/>
              </w:rPr>
              <w:t>)</w:t>
            </w:r>
          </w:p>
        </w:tc>
        <w:tc>
          <w:tcPr>
            <w:tcW w:w="1843" w:type="dxa"/>
            <w:shd w:val="clear" w:color="auto" w:fill="auto"/>
            <w:noWrap/>
            <w:vAlign w:val="center"/>
          </w:tcPr>
          <w:p w14:paraId="488D21FF" w14:textId="77777777" w:rsidR="009A75C2" w:rsidRDefault="009A75C2" w:rsidP="00BA499D">
            <w:pPr>
              <w:jc w:val="center"/>
              <w:rPr>
                <w:sz w:val="18"/>
                <w:szCs w:val="18"/>
              </w:rPr>
            </w:pPr>
            <w:r>
              <w:rPr>
                <w:sz w:val="18"/>
                <w:szCs w:val="18"/>
              </w:rPr>
              <w:t>1</w:t>
            </w:r>
          </w:p>
        </w:tc>
        <w:tc>
          <w:tcPr>
            <w:tcW w:w="1955" w:type="dxa"/>
            <w:shd w:val="clear" w:color="auto" w:fill="auto"/>
            <w:noWrap/>
            <w:vAlign w:val="center"/>
          </w:tcPr>
          <w:p w14:paraId="695E1112" w14:textId="77777777" w:rsidR="009A75C2" w:rsidDel="00954B90" w:rsidRDefault="009A75C2" w:rsidP="00BA499D">
            <w:pPr>
              <w:jc w:val="center"/>
              <w:rPr>
                <w:sz w:val="18"/>
                <w:szCs w:val="18"/>
              </w:rPr>
            </w:pPr>
            <w:r>
              <w:rPr>
                <w:sz w:val="18"/>
                <w:szCs w:val="18"/>
              </w:rPr>
              <w:t>1</w:t>
            </w:r>
          </w:p>
        </w:tc>
      </w:tr>
      <w:tr w:rsidR="009A75C2" w:rsidRPr="00964781" w14:paraId="316C9276" w14:textId="77777777" w:rsidTr="00BA499D">
        <w:trPr>
          <w:trHeight w:val="284"/>
        </w:trPr>
        <w:tc>
          <w:tcPr>
            <w:tcW w:w="5284" w:type="dxa"/>
            <w:gridSpan w:val="2"/>
            <w:shd w:val="clear" w:color="000000" w:fill="BFBFBF"/>
            <w:vAlign w:val="center"/>
            <w:hideMark/>
          </w:tcPr>
          <w:p w14:paraId="1DDA0E6B" w14:textId="77777777" w:rsidR="009A75C2" w:rsidRPr="00964781" w:rsidRDefault="009A75C2" w:rsidP="00BA499D">
            <w:pPr>
              <w:rPr>
                <w:b/>
                <w:sz w:val="18"/>
                <w:szCs w:val="18"/>
              </w:rPr>
            </w:pPr>
            <w:r w:rsidRPr="00964781">
              <w:rPr>
                <w:b/>
                <w:sz w:val="18"/>
                <w:szCs w:val="18"/>
              </w:rPr>
              <w:t>UKUPNO:</w:t>
            </w:r>
          </w:p>
        </w:tc>
        <w:tc>
          <w:tcPr>
            <w:tcW w:w="1843" w:type="dxa"/>
            <w:shd w:val="clear" w:color="000000" w:fill="BFBFBF"/>
            <w:noWrap/>
            <w:vAlign w:val="center"/>
          </w:tcPr>
          <w:p w14:paraId="5167D8B7" w14:textId="77777777" w:rsidR="009A75C2" w:rsidRPr="00964781" w:rsidRDefault="009A75C2" w:rsidP="00BA499D">
            <w:pPr>
              <w:jc w:val="center"/>
              <w:rPr>
                <w:b/>
                <w:sz w:val="18"/>
                <w:szCs w:val="18"/>
              </w:rPr>
            </w:pPr>
            <w:r>
              <w:rPr>
                <w:b/>
                <w:sz w:val="18"/>
                <w:szCs w:val="18"/>
              </w:rPr>
              <w:t>1</w:t>
            </w:r>
          </w:p>
        </w:tc>
        <w:tc>
          <w:tcPr>
            <w:tcW w:w="1955" w:type="dxa"/>
            <w:shd w:val="clear" w:color="000000" w:fill="BFBFBF"/>
            <w:noWrap/>
            <w:vAlign w:val="center"/>
          </w:tcPr>
          <w:p w14:paraId="17F1C704" w14:textId="77777777" w:rsidR="009A75C2" w:rsidRPr="00964781" w:rsidRDefault="009A75C2" w:rsidP="00BA499D">
            <w:pPr>
              <w:jc w:val="center"/>
              <w:rPr>
                <w:b/>
                <w:sz w:val="18"/>
                <w:szCs w:val="18"/>
              </w:rPr>
            </w:pPr>
            <w:r>
              <w:rPr>
                <w:b/>
                <w:sz w:val="18"/>
                <w:szCs w:val="18"/>
              </w:rPr>
              <w:t>1</w:t>
            </w:r>
          </w:p>
        </w:tc>
      </w:tr>
    </w:tbl>
    <w:p w14:paraId="2D3B8093" w14:textId="77777777" w:rsidR="009A75C2" w:rsidRPr="00964781" w:rsidRDefault="009A75C2" w:rsidP="009A75C2">
      <w:pPr>
        <w:rPr>
          <w:b/>
        </w:rPr>
      </w:pPr>
    </w:p>
    <w:bookmarkEnd w:id="229"/>
    <w:p w14:paraId="5EC05AB9" w14:textId="77777777" w:rsidR="009A75C2" w:rsidRDefault="009A75C2" w:rsidP="009A75C2"/>
    <w:p w14:paraId="14654473" w14:textId="77777777" w:rsidR="009A75C2" w:rsidRDefault="009A75C2" w:rsidP="009A75C2"/>
    <w:p w14:paraId="52E3159D" w14:textId="77777777" w:rsidR="005E6BC2" w:rsidRDefault="005E6BC2" w:rsidP="005E6BC2">
      <w:pPr>
        <w:pStyle w:val="Heading2"/>
      </w:pPr>
      <w:bookmarkStart w:id="242" w:name="_Toc26534682"/>
      <w:bookmarkStart w:id="243" w:name="_Toc165035510"/>
      <w:r w:rsidRPr="00716794">
        <w:lastRenderedPageBreak/>
        <w:t>2.</w:t>
      </w:r>
      <w:r>
        <w:t>7</w:t>
      </w:r>
      <w:r w:rsidRPr="00716794">
        <w:t>. Hrvatska farmakopeja</w:t>
      </w:r>
      <w:bookmarkEnd w:id="242"/>
      <w:bookmarkEnd w:id="243"/>
      <w:r w:rsidRPr="00716794">
        <w:t xml:space="preserve"> </w:t>
      </w:r>
    </w:p>
    <w:p w14:paraId="6CC0F74F" w14:textId="77777777" w:rsidR="005E6BC2" w:rsidRPr="00E959EA" w:rsidRDefault="005E6BC2" w:rsidP="005E6BC2">
      <w:pPr>
        <w:pStyle w:val="Heading3"/>
      </w:pPr>
      <w:bookmarkStart w:id="244" w:name="_Toc26534683"/>
      <w:bookmarkStart w:id="245" w:name="_Toc50540960"/>
      <w:bookmarkStart w:id="246" w:name="_Toc165035511"/>
      <w:r w:rsidRPr="00E959EA">
        <w:t>2.</w:t>
      </w:r>
      <w:r>
        <w:t>7</w:t>
      </w:r>
      <w:r w:rsidRPr="00E959EA">
        <w:t>.1. Rad na Hrvatskoj farmakopeji (HRF)</w:t>
      </w:r>
      <w:bookmarkEnd w:id="244"/>
      <w:bookmarkEnd w:id="245"/>
      <w:bookmarkEnd w:id="246"/>
    </w:p>
    <w:p w14:paraId="41DC7248" w14:textId="77777777" w:rsidR="005E6BC2" w:rsidRDefault="005E6BC2" w:rsidP="005E6BC2">
      <w:pPr>
        <w:spacing w:line="276" w:lineRule="auto"/>
        <w:jc w:val="both"/>
      </w:pPr>
      <w:r w:rsidRPr="00096354">
        <w:t xml:space="preserve">U </w:t>
      </w:r>
      <w:r>
        <w:t xml:space="preserve">izvještajnom </w:t>
      </w:r>
      <w:r w:rsidRPr="00096354">
        <w:t>razdoblju</w:t>
      </w:r>
      <w:r>
        <w:t xml:space="preserve"> </w:t>
      </w:r>
      <w:r w:rsidRPr="00096354">
        <w:t>objavljen</w:t>
      </w:r>
      <w:r>
        <w:t>a su tri dodatka</w:t>
      </w:r>
      <w:r w:rsidRPr="00096354">
        <w:t xml:space="preserve"> </w:t>
      </w:r>
      <w:r>
        <w:t>šestom</w:t>
      </w:r>
      <w:r w:rsidRPr="00096354">
        <w:t xml:space="preserve"> izdanju HRF</w:t>
      </w:r>
      <w:r>
        <w:t xml:space="preserve"> </w:t>
      </w:r>
      <w:r w:rsidRPr="00096354">
        <w:t xml:space="preserve">s </w:t>
      </w:r>
      <w:r>
        <w:t>pet novih prijevoda tekstova monografija, 12 prijevoda novih tekstova opisa biljnih droga, 33 revizije tekstova Europske farmakopeje te jednim novim tekstom i jednom revizijom teksta Europskog pedijatrijskog formularija</w:t>
      </w:r>
      <w:r w:rsidRPr="00096354">
        <w:t xml:space="preserve">. </w:t>
      </w:r>
      <w:r>
        <w:t xml:space="preserve">Na internetskim stranicama HALMED-a ažurirani su: </w:t>
      </w:r>
      <w:r w:rsidRPr="00F44478">
        <w:t>Popis do sada prevedenih tekstova Europske farmakopeje koji su objavljeni u Hrvatskoj farmakopeji</w:t>
      </w:r>
      <w:r>
        <w:t xml:space="preserve"> i dio stranice o Povjerenstvu za farmakopeju. </w:t>
      </w:r>
      <w:r w:rsidRPr="00096354">
        <w:t xml:space="preserve">Također se radilo na unapređivanju aplikacije za HRF, posebno na cijepanju poglavlja farmakopeje na manje tekstove, što </w:t>
      </w:r>
      <w:r>
        <w:t>će</w:t>
      </w:r>
      <w:r w:rsidRPr="00096354">
        <w:t xml:space="preserve"> </w:t>
      </w:r>
      <w:r>
        <w:t>olakšati i ubrzati</w:t>
      </w:r>
      <w:r w:rsidRPr="00096354">
        <w:t xml:space="preserve"> pretraživanje po HRF.</w:t>
      </w:r>
      <w:r>
        <w:t xml:space="preserve"> Dodatno je unaprijeđen proces podjele resursa u aplikaciji, čime se stvaraju preduvjeti potrebni za dovršetak podjele sadržaja na manja poglavlja u cijeloj HRF. </w:t>
      </w:r>
      <w:r w:rsidRPr="00A4152E">
        <w:t>Djelatnici Ureda</w:t>
      </w:r>
      <w:r>
        <w:t xml:space="preserve"> za farmakopeju</w:t>
      </w:r>
      <w:r w:rsidRPr="00A4152E">
        <w:t xml:space="preserve"> odgovorili su na </w:t>
      </w:r>
      <w:r>
        <w:t>34</w:t>
      </w:r>
      <w:r w:rsidRPr="00A4152E">
        <w:t xml:space="preserve"> upita o prijevodima nazivlja djelatnih ili pomoćnih tvari.</w:t>
      </w:r>
      <w:r>
        <w:t xml:space="preserve"> U svrhu promocije HRF i obilježavanja 10 godina kontinuiranog objavljivanja elektroničkog izdanja, pripremljena je posterska prezentacija pod nazivom „Hrvatska farmakopeja – 10 godina elektroničkog izdanja“ i predstavljena na konferenciji farmaceuta Hrvatske „PharmaCRO 2023“. Također, na konferenciji „20 godina HALMED-a: zajedno u izazovima, zajedno u rješenjima“ djelatnik Ureda za farmakopeju održao je predavanje pod nazivom „10 godina elektroničkog izdanja Hrvatske farmakopeje“.</w:t>
      </w:r>
    </w:p>
    <w:p w14:paraId="4119133E" w14:textId="77777777" w:rsidR="005E6BC2" w:rsidRPr="00E959EA" w:rsidRDefault="005E6BC2" w:rsidP="005E6BC2">
      <w:pPr>
        <w:pStyle w:val="Heading3"/>
      </w:pPr>
      <w:bookmarkStart w:id="247" w:name="_Toc26534684"/>
      <w:bookmarkStart w:id="248" w:name="_Toc50540961"/>
      <w:bookmarkStart w:id="249" w:name="_Toc165035512"/>
      <w:r w:rsidRPr="00E959EA">
        <w:t>2.</w:t>
      </w:r>
      <w:r>
        <w:t>7</w:t>
      </w:r>
      <w:r w:rsidRPr="00E959EA">
        <w:t>.2. Povjerenstvo za Hrvatsku farmakopeju</w:t>
      </w:r>
      <w:bookmarkEnd w:id="247"/>
      <w:bookmarkEnd w:id="248"/>
      <w:bookmarkEnd w:id="249"/>
    </w:p>
    <w:p w14:paraId="7A03F841" w14:textId="77777777" w:rsidR="005E6BC2" w:rsidRDefault="005E6BC2" w:rsidP="005E6BC2">
      <w:pPr>
        <w:spacing w:line="276" w:lineRule="auto"/>
        <w:jc w:val="both"/>
        <w:rPr>
          <w:rFonts w:eastAsia="Times New Roman" w:cstheme="minorHAnsi"/>
        </w:rPr>
      </w:pPr>
      <w:r w:rsidRPr="00096354">
        <w:rPr>
          <w:rFonts w:eastAsia="Times New Roman" w:cstheme="minorHAnsi"/>
        </w:rPr>
        <w:t xml:space="preserve">U </w:t>
      </w:r>
      <w:r>
        <w:rPr>
          <w:rFonts w:eastAsia="Times New Roman" w:cstheme="minorHAnsi"/>
        </w:rPr>
        <w:t xml:space="preserve">izvještajnom razdoblju održane su tri </w:t>
      </w:r>
      <w:r w:rsidRPr="00A4152E">
        <w:rPr>
          <w:rFonts w:eastAsia="Times New Roman" w:cstheme="minorHAnsi"/>
        </w:rPr>
        <w:t>sjednic</w:t>
      </w:r>
      <w:r>
        <w:rPr>
          <w:rFonts w:eastAsia="Times New Roman" w:cstheme="minorHAnsi"/>
        </w:rPr>
        <w:t>e</w:t>
      </w:r>
      <w:r w:rsidRPr="00A4152E">
        <w:rPr>
          <w:rFonts w:eastAsia="Times New Roman" w:cstheme="minorHAnsi"/>
        </w:rPr>
        <w:t xml:space="preserve"> Povjerenstva za Hrvatsku farmakopeju. </w:t>
      </w:r>
      <w:r>
        <w:rPr>
          <w:rFonts w:eastAsia="Times New Roman" w:cstheme="minorHAnsi"/>
        </w:rPr>
        <w:t xml:space="preserve">Ovo su prve sjednice Povjerenstva u novom sazivu nakon odlaska dosadašnje predsjednice P. Jakšić u mirovinu i dolaska nove djelatnice M. Osenički Švarc u Ured za farmakopeju. </w:t>
      </w:r>
      <w:r w:rsidRPr="00A4152E">
        <w:rPr>
          <w:rFonts w:eastAsia="Times New Roman" w:cstheme="minorHAnsi"/>
        </w:rPr>
        <w:t>Na sjednic</w:t>
      </w:r>
      <w:r>
        <w:rPr>
          <w:rFonts w:eastAsia="Times New Roman" w:cstheme="minorHAnsi"/>
        </w:rPr>
        <w:t>ama</w:t>
      </w:r>
      <w:r w:rsidRPr="00A4152E">
        <w:rPr>
          <w:rFonts w:eastAsia="Times New Roman" w:cstheme="minorHAnsi"/>
        </w:rPr>
        <w:t xml:space="preserve"> su članovima Povjerenstva prenesene novosti iz EDQM</w:t>
      </w:r>
      <w:r w:rsidRPr="00096354">
        <w:rPr>
          <w:rFonts w:eastAsia="Times New Roman" w:cstheme="minorHAnsi"/>
        </w:rPr>
        <w:t>-a i HALMED-a</w:t>
      </w:r>
      <w:r>
        <w:rPr>
          <w:rFonts w:eastAsia="Times New Roman" w:cstheme="minorHAnsi"/>
        </w:rPr>
        <w:t xml:space="preserve">, zajednički se, između ostalog, </w:t>
      </w:r>
      <w:r w:rsidRPr="00096354">
        <w:rPr>
          <w:rFonts w:eastAsia="Times New Roman" w:cstheme="minorHAnsi"/>
        </w:rPr>
        <w:t>radilo</w:t>
      </w:r>
      <w:r>
        <w:rPr>
          <w:rFonts w:eastAsia="Times New Roman" w:cstheme="minorHAnsi"/>
        </w:rPr>
        <w:t xml:space="preserve"> na </w:t>
      </w:r>
      <w:r w:rsidRPr="00096354">
        <w:rPr>
          <w:rFonts w:eastAsia="Times New Roman" w:cstheme="minorHAnsi"/>
        </w:rPr>
        <w:t>proširenju englesko-hrvatskog farmakopejskog rječnika</w:t>
      </w:r>
      <w:r>
        <w:rPr>
          <w:rFonts w:eastAsia="Times New Roman" w:cstheme="minorHAnsi"/>
        </w:rPr>
        <w:t xml:space="preserve"> te na prijedlogu izmjene hrvatskog nazivlja za lijekove iz skupine antagonista</w:t>
      </w:r>
      <w:r w:rsidRPr="003E26E5">
        <w:rPr>
          <w:rFonts w:eastAsia="Times New Roman" w:cstheme="minorHAnsi"/>
        </w:rPr>
        <w:t xml:space="preserve"> serotonina (ATK skupina A 04 AA </w:t>
      </w:r>
      <w:r>
        <w:rPr>
          <w:rFonts w:eastAsia="Times New Roman" w:cstheme="minorHAnsi"/>
        </w:rPr>
        <w:t>), tzv. „zetrona“, zatim iz skupine benzilpenicilina i njihovih soli te za djelatne tvari koje dolaze u obliku solvata.</w:t>
      </w:r>
    </w:p>
    <w:p w14:paraId="0557C170" w14:textId="77777777" w:rsidR="005E6BC2" w:rsidRPr="00E959EA" w:rsidRDefault="005E6BC2" w:rsidP="005E6BC2">
      <w:pPr>
        <w:pStyle w:val="Heading3"/>
      </w:pPr>
      <w:bookmarkStart w:id="250" w:name="_Toc26534685"/>
      <w:bookmarkStart w:id="251" w:name="_Toc50540962"/>
      <w:bookmarkStart w:id="252" w:name="_Toc165035513"/>
      <w:r w:rsidRPr="00E959EA">
        <w:t>2.</w:t>
      </w:r>
      <w:r>
        <w:t>7</w:t>
      </w:r>
      <w:r w:rsidRPr="00E959EA">
        <w:t>.3. Radna grupa za normirane izraze</w:t>
      </w:r>
      <w:bookmarkEnd w:id="250"/>
      <w:bookmarkEnd w:id="251"/>
      <w:bookmarkEnd w:id="252"/>
    </w:p>
    <w:p w14:paraId="12A4A7DA" w14:textId="77777777" w:rsidR="005E6BC2" w:rsidRPr="00A4152E" w:rsidRDefault="005E6BC2" w:rsidP="005E6BC2">
      <w:pPr>
        <w:spacing w:line="276" w:lineRule="auto"/>
        <w:jc w:val="both"/>
        <w:rPr>
          <w:rFonts w:eastAsia="Times New Roman" w:cstheme="minorHAnsi"/>
        </w:rPr>
      </w:pPr>
      <w:r w:rsidRPr="00096354">
        <w:rPr>
          <w:rFonts w:eastAsia="Times New Roman" w:cstheme="minorHAnsi"/>
        </w:rPr>
        <w:t xml:space="preserve">U </w:t>
      </w:r>
      <w:r w:rsidRPr="00A4152E">
        <w:rPr>
          <w:rFonts w:eastAsia="Times New Roman" w:cstheme="minorHAnsi"/>
        </w:rPr>
        <w:t xml:space="preserve">izvještajnom razdoblju </w:t>
      </w:r>
      <w:r>
        <w:rPr>
          <w:rFonts w:eastAsia="Times New Roman" w:cstheme="minorHAnsi"/>
        </w:rPr>
        <w:t>ravnatelj je imenovao članove grupe u novom mandatu i odredio voditelja grupe ponovno iz redova Ureda za farmakopeju G. Benkovića</w:t>
      </w:r>
      <w:r w:rsidRPr="00A4152E">
        <w:rPr>
          <w:rFonts w:eastAsia="Times New Roman" w:cstheme="minorHAnsi"/>
        </w:rPr>
        <w:t xml:space="preserve">. </w:t>
      </w:r>
      <w:r>
        <w:rPr>
          <w:rFonts w:eastAsia="Times New Roman" w:cstheme="minorHAnsi"/>
        </w:rPr>
        <w:t>U izvještajnom razdoblju nije održan nijedan sastanak niti korespondencija putem elektroničke pošte.</w:t>
      </w:r>
    </w:p>
    <w:p w14:paraId="51C81895" w14:textId="77777777" w:rsidR="005E6BC2" w:rsidRPr="00E959EA" w:rsidRDefault="005E6BC2" w:rsidP="005E6BC2">
      <w:pPr>
        <w:pStyle w:val="Heading3"/>
      </w:pPr>
      <w:bookmarkStart w:id="253" w:name="_Toc26534686"/>
      <w:bookmarkStart w:id="254" w:name="_Toc50540963"/>
      <w:bookmarkStart w:id="255" w:name="_Toc165035514"/>
      <w:r w:rsidRPr="00A4152E">
        <w:t>2.</w:t>
      </w:r>
      <w:r>
        <w:t>7</w:t>
      </w:r>
      <w:r w:rsidRPr="00A4152E">
        <w:t>.4. Europski poslovi</w:t>
      </w:r>
      <w:bookmarkEnd w:id="253"/>
      <w:bookmarkEnd w:id="254"/>
      <w:bookmarkEnd w:id="255"/>
    </w:p>
    <w:p w14:paraId="0463E36D" w14:textId="77777777" w:rsidR="005E6BC2" w:rsidRPr="00E959EA" w:rsidRDefault="005E6BC2" w:rsidP="005E6BC2">
      <w:pPr>
        <w:pStyle w:val="Heading4"/>
      </w:pPr>
      <w:r w:rsidRPr="00E959EA">
        <w:t>2.</w:t>
      </w:r>
      <w:r>
        <w:t>7</w:t>
      </w:r>
      <w:r w:rsidRPr="00E959EA">
        <w:t>.4.1. Izvješće o radu HALMED-a u povjerenstvima i radnim skupinama EDQM-a</w:t>
      </w:r>
    </w:p>
    <w:p w14:paraId="0718712B" w14:textId="77777777" w:rsidR="005E6BC2" w:rsidRDefault="005E6BC2" w:rsidP="005E6BC2">
      <w:pPr>
        <w:spacing w:before="240" w:after="240"/>
        <w:jc w:val="both"/>
        <w:rPr>
          <w:b/>
        </w:rPr>
      </w:pPr>
      <w:r>
        <w:rPr>
          <w:b/>
        </w:rPr>
        <w:t xml:space="preserve">A) KOMISIJA EUROPSKE FARMAKOPEJE </w:t>
      </w:r>
    </w:p>
    <w:p w14:paraId="4FBA244F" w14:textId="77777777" w:rsidR="005E6BC2" w:rsidRDefault="005E6BC2" w:rsidP="005E6BC2">
      <w:pPr>
        <w:spacing w:before="240" w:after="240" w:line="276" w:lineRule="auto"/>
        <w:jc w:val="both"/>
        <w:rPr>
          <w:rFonts w:eastAsia="Times New Roman" w:cstheme="minorHAnsi"/>
        </w:rPr>
      </w:pPr>
      <w:r w:rsidRPr="00096354">
        <w:rPr>
          <w:rFonts w:eastAsia="Times New Roman" w:cstheme="minorHAnsi"/>
        </w:rPr>
        <w:t xml:space="preserve">U </w:t>
      </w:r>
      <w:r>
        <w:rPr>
          <w:rFonts w:eastAsia="Times New Roman" w:cstheme="minorHAnsi"/>
        </w:rPr>
        <w:t xml:space="preserve">izvještajnom </w:t>
      </w:r>
      <w:r w:rsidRPr="00096354">
        <w:rPr>
          <w:rFonts w:eastAsia="Times New Roman" w:cstheme="minorHAnsi"/>
        </w:rPr>
        <w:t xml:space="preserve">razdoblju </w:t>
      </w:r>
      <w:r>
        <w:rPr>
          <w:rFonts w:eastAsia="Times New Roman" w:cstheme="minorHAnsi"/>
        </w:rPr>
        <w:t>djelatnik Ureda za farmakopeju sudjelovao je kao član hrvatske delegacije na tri sjednice Komisije Europske farmakopeje</w:t>
      </w:r>
      <w:r w:rsidRPr="00096354">
        <w:rPr>
          <w:rFonts w:eastAsia="Times New Roman" w:cstheme="minorHAnsi"/>
        </w:rPr>
        <w:t xml:space="preserve">. </w:t>
      </w:r>
      <w:r>
        <w:rPr>
          <w:rFonts w:eastAsia="Times New Roman" w:cstheme="minorHAnsi"/>
        </w:rPr>
        <w:t xml:space="preserve">U drugom kvartalu napravljene su promjene u hrvatskoj delegaciji pri Komisiji Europske farmakopeje. Dosadašnje članice P. Jakšić i S. Terzić zbog odlaska u mirovinu razriješene su dužnosti, a u delegaciju je, nakon završene edukacije pod mentorstovom za rad na </w:t>
      </w:r>
      <w:r>
        <w:rPr>
          <w:rFonts w:eastAsia="Times New Roman" w:cstheme="minorHAnsi"/>
        </w:rPr>
        <w:lastRenderedPageBreak/>
        <w:t>farmakopejskim poslovima, kao nova članica imenovana nova djelatnica Ureda za farmakopeju Maja Osenički Švarc. Djelatnica ureda je nakon toga sudjelovala na dvije sjednice Komisije Europske farmakopeje.</w:t>
      </w:r>
    </w:p>
    <w:p w14:paraId="330FD28D" w14:textId="77777777" w:rsidR="005E6BC2" w:rsidRDefault="005E6BC2" w:rsidP="005E6BC2">
      <w:pPr>
        <w:spacing w:before="240" w:after="240" w:line="276" w:lineRule="auto"/>
      </w:pPr>
      <w:r>
        <w:rPr>
          <w:b/>
        </w:rPr>
        <w:t>B) NACIONALNA FARMAKOPEJSKA TIJELA (NPA)</w:t>
      </w:r>
    </w:p>
    <w:p w14:paraId="010D3BA0" w14:textId="77777777" w:rsidR="005E6BC2" w:rsidRDefault="005E6BC2" w:rsidP="005E6BC2">
      <w:pPr>
        <w:spacing w:before="240" w:after="240" w:line="276" w:lineRule="auto"/>
        <w:jc w:val="both"/>
        <w:rPr>
          <w:rFonts w:eastAsia="Times New Roman" w:cstheme="minorHAnsi"/>
        </w:rPr>
      </w:pPr>
      <w:r>
        <w:t xml:space="preserve">Održano je šest mjesečnih </w:t>
      </w:r>
      <w:r w:rsidRPr="00A4152E">
        <w:t>virtualn</w:t>
      </w:r>
      <w:r>
        <w:t>ih</w:t>
      </w:r>
      <w:r w:rsidRPr="00A4152E">
        <w:t xml:space="preserve"> NPA sastanka</w:t>
      </w:r>
      <w:r>
        <w:t xml:space="preserve"> i jedan godišnji NPA sastanak na kojima je sudjelovao djelatnik ureda.</w:t>
      </w:r>
      <w:bookmarkStart w:id="256" w:name="_Toc50540964"/>
      <w:r>
        <w:t xml:space="preserve"> </w:t>
      </w:r>
      <w:r>
        <w:rPr>
          <w:rFonts w:eastAsia="Times New Roman" w:cstheme="minorHAnsi"/>
        </w:rPr>
        <w:t>U drugom kvartalu napravljene su promjene u hrvatskom NPA. Dosadašnja članica P. Jakšić zbog odlaska u mirovinu razriješena je dužnosti, a umjesto nje je, nakon završene edukacije pod mentorstovom za rad na farmakopejskim poslovima, kao nova članica imenovana nova djelatnica Ureda za farmakopeju Maja Osenički Švarc. Djelatnica ureda je nakon toga sudjelovala na godišnjem NPA sastanku i na tri mjesečna virtualna NPA sastanka.</w:t>
      </w:r>
    </w:p>
    <w:p w14:paraId="73B518C7" w14:textId="77777777" w:rsidR="005E6BC2" w:rsidRDefault="005E6BC2" w:rsidP="005E6BC2">
      <w:pPr>
        <w:spacing w:before="240" w:line="276" w:lineRule="auto"/>
        <w:jc w:val="both"/>
        <w:rPr>
          <w:b/>
        </w:rPr>
      </w:pPr>
      <w:r>
        <w:rPr>
          <w:b/>
        </w:rPr>
        <w:t>C) RADNE GRUPE</w:t>
      </w:r>
    </w:p>
    <w:p w14:paraId="05847838" w14:textId="77777777" w:rsidR="005E6BC2" w:rsidRPr="00E34191" w:rsidRDefault="005E6BC2" w:rsidP="005E6BC2">
      <w:pPr>
        <w:spacing w:before="240" w:after="240" w:line="276" w:lineRule="auto"/>
        <w:jc w:val="both"/>
        <w:rPr>
          <w:rFonts w:ascii="Calibri" w:hAnsi="Calibri" w:cs="Calibri"/>
        </w:rPr>
      </w:pPr>
      <w:r>
        <w:rPr>
          <w:rFonts w:eastAsia="Times New Roman" w:cstheme="minorHAnsi"/>
        </w:rPr>
        <w:t>Predstavnik Ureda za farmakopeju</w:t>
      </w:r>
      <w:r w:rsidRPr="00096354">
        <w:rPr>
          <w:rFonts w:eastAsia="Times New Roman" w:cstheme="minorHAnsi"/>
        </w:rPr>
        <w:t xml:space="preserve"> </w:t>
      </w:r>
      <w:r>
        <w:rPr>
          <w:rFonts w:eastAsia="Times New Roman" w:cstheme="minorHAnsi"/>
        </w:rPr>
        <w:t xml:space="preserve">(OMCL) </w:t>
      </w:r>
      <w:r w:rsidRPr="00096354">
        <w:rPr>
          <w:rFonts w:eastAsia="Times New Roman" w:cstheme="minorHAnsi"/>
        </w:rPr>
        <w:t>sudjelov</w:t>
      </w:r>
      <w:r>
        <w:rPr>
          <w:rFonts w:eastAsia="Times New Roman" w:cstheme="minorHAnsi"/>
        </w:rPr>
        <w:t>ao je</w:t>
      </w:r>
      <w:r w:rsidRPr="00096354">
        <w:rPr>
          <w:rFonts w:eastAsia="Times New Roman" w:cstheme="minorHAnsi"/>
        </w:rPr>
        <w:t xml:space="preserve"> </w:t>
      </w:r>
      <w:r>
        <w:rPr>
          <w:rFonts w:eastAsia="Times New Roman" w:cstheme="minorHAnsi"/>
        </w:rPr>
        <w:t xml:space="preserve">na tri </w:t>
      </w:r>
      <w:r w:rsidRPr="00A4152E">
        <w:rPr>
          <w:rFonts w:eastAsia="Times New Roman" w:cstheme="minorHAnsi"/>
        </w:rPr>
        <w:t>sastank</w:t>
      </w:r>
      <w:r>
        <w:rPr>
          <w:rFonts w:eastAsia="Times New Roman" w:cstheme="minorHAnsi"/>
        </w:rPr>
        <w:t>a</w:t>
      </w:r>
      <w:r w:rsidRPr="00A4152E">
        <w:rPr>
          <w:rFonts w:eastAsia="Times New Roman" w:cstheme="minorHAnsi"/>
        </w:rPr>
        <w:t xml:space="preserve"> </w:t>
      </w:r>
      <w:r>
        <w:rPr>
          <w:rFonts w:eastAsia="Times New Roman" w:cstheme="minorHAnsi"/>
        </w:rPr>
        <w:t>stručne</w:t>
      </w:r>
      <w:r w:rsidRPr="00A4152E">
        <w:rPr>
          <w:rFonts w:eastAsia="Times New Roman" w:cstheme="minorHAnsi"/>
        </w:rPr>
        <w:t xml:space="preserve"> grupe P4 Europske farmakopeje</w:t>
      </w:r>
      <w:r>
        <w:rPr>
          <w:rFonts w:eastAsia="Times New Roman" w:cstheme="minorHAnsi"/>
        </w:rPr>
        <w:t>, predstavnica Odsjeka za biološka ispitivanja (OMCL) na tri sastanka stručne grupe 1 Europske farmakopeje (Mikrobiologija) i predstavnica Odsjeka za ocjenu kakvoće lijekova (OZOL) na dva sastanka stručne grupe za terapiju stanicama (CTP) Europske farmakopeje</w:t>
      </w:r>
      <w:r>
        <w:rPr>
          <w:rFonts w:ascii="Calibri" w:hAnsi="Calibri" w:cs="Calibri"/>
        </w:rPr>
        <w:t>.</w:t>
      </w:r>
    </w:p>
    <w:p w14:paraId="4604A6FA" w14:textId="77777777" w:rsidR="005E6BC2" w:rsidRDefault="005E6BC2" w:rsidP="005E6BC2">
      <w:pPr>
        <w:pStyle w:val="Heading3"/>
      </w:pPr>
      <w:bookmarkStart w:id="257" w:name="_Toc165035515"/>
      <w:r>
        <w:t xml:space="preserve">2.7.5. Izvršenja </w:t>
      </w:r>
      <w:r w:rsidRPr="00E959EA">
        <w:t>prihodovnih poslova</w:t>
      </w:r>
      <w:bookmarkEnd w:id="256"/>
      <w:bookmarkEnd w:id="257"/>
    </w:p>
    <w:p w14:paraId="3B86AC39" w14:textId="77777777" w:rsidR="005E6BC2" w:rsidRPr="00B64114" w:rsidRDefault="005E6BC2" w:rsidP="005E6BC2">
      <w:pPr>
        <w:tabs>
          <w:tab w:val="center" w:pos="858"/>
          <w:tab w:val="center" w:pos="4320"/>
          <w:tab w:val="right" w:pos="8306"/>
          <w:tab w:val="right" w:pos="8640"/>
        </w:tabs>
        <w:spacing w:after="120"/>
        <w:jc w:val="both"/>
        <w:rPr>
          <w:rFonts w:eastAsia="Times New Roman" w:cstheme="minorHAnsi"/>
          <w:b/>
          <w:bCs/>
          <w:lang w:eastAsia="hr-HR"/>
        </w:rPr>
      </w:pPr>
      <w:r w:rsidRPr="00B64114">
        <w:rPr>
          <w:rFonts w:eastAsia="Times New Roman" w:cstheme="minorHAnsi"/>
          <w:b/>
          <w:bCs/>
          <w:lang w:eastAsia="hr-HR"/>
        </w:rPr>
        <w:t>Tablica 2</w:t>
      </w:r>
      <w:r>
        <w:rPr>
          <w:rFonts w:eastAsia="Times New Roman" w:cstheme="minorHAnsi"/>
          <w:b/>
          <w:bCs/>
          <w:lang w:eastAsia="hr-HR"/>
        </w:rPr>
        <w:t>5</w:t>
      </w:r>
      <w:r w:rsidRPr="00B64114">
        <w:rPr>
          <w:rFonts w:eastAsia="Times New Roman" w:cstheme="minorHAnsi"/>
          <w:b/>
          <w:bCs/>
          <w:lang w:eastAsia="hr-HR"/>
        </w:rPr>
        <w:t xml:space="preserve">. </w:t>
      </w:r>
      <w:r>
        <w:rPr>
          <w:rFonts w:eastAsia="Times New Roman" w:cstheme="minorHAnsi"/>
          <w:b/>
          <w:bCs/>
          <w:lang w:eastAsia="hr-HR"/>
        </w:rPr>
        <w:t>Broj online pristupa</w:t>
      </w:r>
      <w:r w:rsidRPr="00B64114">
        <w:rPr>
          <w:rFonts w:eastAsia="Times New Roman" w:cstheme="minorHAnsi"/>
          <w:b/>
          <w:bCs/>
          <w:lang w:eastAsia="hr-HR"/>
        </w:rPr>
        <w:t xml:space="preserve"> Hrvatsk</w:t>
      </w:r>
      <w:r>
        <w:rPr>
          <w:rFonts w:eastAsia="Times New Roman" w:cstheme="minorHAnsi"/>
          <w:b/>
          <w:bCs/>
          <w:lang w:eastAsia="hr-HR"/>
        </w:rPr>
        <w:t>oj</w:t>
      </w:r>
      <w:r w:rsidRPr="00B64114">
        <w:rPr>
          <w:rFonts w:eastAsia="Times New Roman" w:cstheme="minorHAnsi"/>
          <w:b/>
          <w:bCs/>
          <w:lang w:eastAsia="hr-HR"/>
        </w:rPr>
        <w:t xml:space="preserve"> farmakopej</w:t>
      </w:r>
      <w:r>
        <w:rPr>
          <w:rFonts w:eastAsia="Times New Roman" w:cstheme="minorHAnsi"/>
          <w:b/>
          <w:bCs/>
          <w:lang w:eastAsia="hr-HR"/>
        </w:rPr>
        <w:t>i</w:t>
      </w:r>
    </w:p>
    <w:tbl>
      <w:tblPr>
        <w:tblW w:w="9082"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4216"/>
        <w:gridCol w:w="1417"/>
        <w:gridCol w:w="1701"/>
        <w:gridCol w:w="1134"/>
      </w:tblGrid>
      <w:tr w:rsidR="005E6BC2" w:rsidRPr="00A862F6" w14:paraId="4D029E31" w14:textId="77777777" w:rsidTr="00BA499D">
        <w:trPr>
          <w:trHeight w:val="284"/>
        </w:trPr>
        <w:tc>
          <w:tcPr>
            <w:tcW w:w="614" w:type="dxa"/>
            <w:vMerge w:val="restart"/>
            <w:shd w:val="clear" w:color="auto" w:fill="A3E7FF"/>
            <w:vAlign w:val="center"/>
            <w:hideMark/>
          </w:tcPr>
          <w:p w14:paraId="3889D3A9" w14:textId="77777777" w:rsidR="005E6BC2" w:rsidRPr="00AF1E8F" w:rsidRDefault="005E6BC2" w:rsidP="00BA499D">
            <w:pPr>
              <w:jc w:val="center"/>
              <w:rPr>
                <w:rFonts w:eastAsia="Times New Roman" w:cstheme="minorHAnsi"/>
                <w:b/>
                <w:bCs/>
                <w:sz w:val="18"/>
                <w:szCs w:val="18"/>
                <w:lang w:eastAsia="hr-HR"/>
              </w:rPr>
            </w:pPr>
            <w:r w:rsidRPr="00AF1E8F">
              <w:rPr>
                <w:rFonts w:eastAsia="Times New Roman" w:cstheme="minorHAnsi"/>
                <w:b/>
                <w:bCs/>
                <w:sz w:val="18"/>
                <w:szCs w:val="18"/>
                <w:lang w:eastAsia="hr-HR"/>
              </w:rPr>
              <w:t>R.br.</w:t>
            </w:r>
          </w:p>
        </w:tc>
        <w:tc>
          <w:tcPr>
            <w:tcW w:w="4216" w:type="dxa"/>
            <w:vMerge w:val="restart"/>
            <w:shd w:val="clear" w:color="auto" w:fill="A3E7FF"/>
            <w:vAlign w:val="center"/>
            <w:hideMark/>
          </w:tcPr>
          <w:p w14:paraId="1A89C2C7" w14:textId="77777777" w:rsidR="005E6BC2" w:rsidRPr="00AF1E8F" w:rsidRDefault="005E6BC2" w:rsidP="00BA499D">
            <w:pPr>
              <w:rPr>
                <w:rFonts w:eastAsia="Times New Roman" w:cstheme="minorHAnsi"/>
                <w:b/>
                <w:bCs/>
                <w:sz w:val="18"/>
                <w:szCs w:val="18"/>
                <w:lang w:eastAsia="hr-HR"/>
              </w:rPr>
            </w:pPr>
            <w:r w:rsidRPr="00AF1E8F">
              <w:rPr>
                <w:rFonts w:eastAsia="Times New Roman" w:cstheme="minorHAnsi"/>
                <w:b/>
                <w:bCs/>
                <w:sz w:val="18"/>
                <w:szCs w:val="18"/>
                <w:lang w:eastAsia="hr-HR"/>
              </w:rPr>
              <w:t>Naziv usluge</w:t>
            </w:r>
          </w:p>
        </w:tc>
        <w:tc>
          <w:tcPr>
            <w:tcW w:w="1417" w:type="dxa"/>
            <w:vMerge w:val="restart"/>
            <w:shd w:val="clear" w:color="auto" w:fill="A3E7FF"/>
            <w:vAlign w:val="center"/>
            <w:hideMark/>
          </w:tcPr>
          <w:p w14:paraId="3202119A" w14:textId="77777777" w:rsidR="005E6BC2" w:rsidRPr="00AF1E8F" w:rsidRDefault="005E6BC2" w:rsidP="00BA499D">
            <w:pPr>
              <w:jc w:val="center"/>
              <w:rPr>
                <w:rFonts w:eastAsia="Times New Roman" w:cstheme="minorHAnsi"/>
                <w:b/>
                <w:bCs/>
                <w:sz w:val="18"/>
                <w:szCs w:val="18"/>
                <w:lang w:eastAsia="hr-HR"/>
              </w:rPr>
            </w:pPr>
            <w:r>
              <w:rPr>
                <w:rFonts w:eastAsia="Times New Roman" w:cstheme="minorHAnsi"/>
                <w:b/>
                <w:bCs/>
                <w:sz w:val="18"/>
                <w:szCs w:val="18"/>
                <w:lang w:eastAsia="hr-HR"/>
              </w:rPr>
              <w:t>Plan za 2023</w:t>
            </w:r>
            <w:r w:rsidRPr="00AF1E8F">
              <w:rPr>
                <w:rFonts w:eastAsia="Times New Roman" w:cstheme="minorHAnsi"/>
                <w:b/>
                <w:bCs/>
                <w:sz w:val="18"/>
                <w:szCs w:val="18"/>
                <w:lang w:eastAsia="hr-HR"/>
              </w:rPr>
              <w:t xml:space="preserve">. </w:t>
            </w:r>
          </w:p>
        </w:tc>
        <w:tc>
          <w:tcPr>
            <w:tcW w:w="1701" w:type="dxa"/>
            <w:vMerge w:val="restart"/>
            <w:shd w:val="clear" w:color="auto" w:fill="A3E7FF"/>
            <w:vAlign w:val="center"/>
            <w:hideMark/>
          </w:tcPr>
          <w:p w14:paraId="146A1B76" w14:textId="77777777" w:rsidR="005E6BC2" w:rsidRPr="00AF1E8F" w:rsidRDefault="005E6BC2" w:rsidP="00BA499D">
            <w:pPr>
              <w:jc w:val="center"/>
              <w:rPr>
                <w:rFonts w:eastAsia="Times New Roman" w:cstheme="minorHAnsi"/>
                <w:b/>
                <w:bCs/>
                <w:sz w:val="18"/>
                <w:szCs w:val="18"/>
                <w:lang w:eastAsia="hr-HR"/>
              </w:rPr>
            </w:pPr>
            <w:r w:rsidRPr="00AF1E8F">
              <w:rPr>
                <w:rFonts w:eastAsia="Times New Roman" w:cstheme="minorHAnsi"/>
                <w:b/>
                <w:bCs/>
                <w:sz w:val="18"/>
                <w:szCs w:val="18"/>
                <w:lang w:eastAsia="hr-HR"/>
              </w:rPr>
              <w:t xml:space="preserve">Izvršenje </w:t>
            </w:r>
          </w:p>
          <w:p w14:paraId="45AC4187" w14:textId="77777777" w:rsidR="005E6BC2" w:rsidRDefault="005E6BC2" w:rsidP="00BA499D">
            <w:pPr>
              <w:jc w:val="center"/>
              <w:rPr>
                <w:rFonts w:eastAsia="Times New Roman" w:cstheme="minorHAnsi"/>
                <w:b/>
                <w:bCs/>
                <w:sz w:val="18"/>
                <w:szCs w:val="18"/>
                <w:lang w:eastAsia="hr-HR"/>
              </w:rPr>
            </w:pPr>
            <w:r>
              <w:rPr>
                <w:rFonts w:eastAsia="Times New Roman" w:cstheme="minorHAnsi"/>
                <w:b/>
                <w:bCs/>
                <w:sz w:val="18"/>
                <w:szCs w:val="18"/>
                <w:lang w:eastAsia="hr-HR"/>
              </w:rPr>
              <w:t>01.01.-</w:t>
            </w:r>
          </w:p>
          <w:p w14:paraId="7C5AB2B4" w14:textId="77777777" w:rsidR="005E6BC2" w:rsidRPr="00AF1E8F" w:rsidRDefault="005E6BC2" w:rsidP="00BA499D">
            <w:pPr>
              <w:jc w:val="center"/>
              <w:rPr>
                <w:rFonts w:eastAsia="Times New Roman" w:cstheme="minorHAnsi"/>
                <w:b/>
                <w:bCs/>
                <w:sz w:val="18"/>
                <w:szCs w:val="18"/>
                <w:lang w:eastAsia="hr-HR"/>
              </w:rPr>
            </w:pPr>
            <w:r>
              <w:rPr>
                <w:rFonts w:eastAsia="Times New Roman" w:cstheme="minorHAnsi"/>
                <w:b/>
                <w:bCs/>
                <w:sz w:val="18"/>
                <w:szCs w:val="18"/>
                <w:lang w:eastAsia="hr-HR"/>
              </w:rPr>
              <w:t>31.12.2023.</w:t>
            </w:r>
            <w:r w:rsidRPr="00AF1E8F">
              <w:rPr>
                <w:rFonts w:eastAsia="Times New Roman" w:cstheme="minorHAnsi"/>
                <w:b/>
                <w:bCs/>
                <w:sz w:val="18"/>
                <w:szCs w:val="18"/>
                <w:lang w:eastAsia="hr-HR"/>
              </w:rPr>
              <w:t xml:space="preserve"> </w:t>
            </w:r>
          </w:p>
        </w:tc>
        <w:tc>
          <w:tcPr>
            <w:tcW w:w="1134" w:type="dxa"/>
            <w:vMerge w:val="restart"/>
            <w:shd w:val="clear" w:color="auto" w:fill="A3E7FF"/>
            <w:vAlign w:val="center"/>
            <w:hideMark/>
          </w:tcPr>
          <w:p w14:paraId="3E869B5A" w14:textId="77777777" w:rsidR="005E6BC2" w:rsidRPr="00AF1E8F" w:rsidRDefault="005E6BC2" w:rsidP="00BA499D">
            <w:pPr>
              <w:jc w:val="center"/>
              <w:rPr>
                <w:rFonts w:eastAsia="Times New Roman" w:cstheme="minorHAnsi"/>
                <w:b/>
                <w:bCs/>
                <w:sz w:val="18"/>
                <w:szCs w:val="18"/>
                <w:lang w:eastAsia="hr-HR"/>
              </w:rPr>
            </w:pPr>
            <w:r w:rsidRPr="00AF1E8F">
              <w:rPr>
                <w:rFonts w:eastAsia="Times New Roman" w:cstheme="minorHAnsi"/>
                <w:b/>
                <w:bCs/>
                <w:sz w:val="18"/>
                <w:szCs w:val="18"/>
                <w:lang w:eastAsia="hr-HR"/>
              </w:rPr>
              <w:t>% izvršenja</w:t>
            </w:r>
          </w:p>
        </w:tc>
      </w:tr>
      <w:tr w:rsidR="005E6BC2" w:rsidRPr="00A862F6" w14:paraId="691C4F27" w14:textId="77777777" w:rsidTr="00BA499D">
        <w:trPr>
          <w:trHeight w:val="509"/>
        </w:trPr>
        <w:tc>
          <w:tcPr>
            <w:tcW w:w="614" w:type="dxa"/>
            <w:vMerge/>
            <w:shd w:val="clear" w:color="auto" w:fill="A3E7FF"/>
            <w:vAlign w:val="center"/>
            <w:hideMark/>
          </w:tcPr>
          <w:p w14:paraId="787B971D" w14:textId="77777777" w:rsidR="005E6BC2" w:rsidRPr="00A862F6" w:rsidRDefault="005E6BC2" w:rsidP="00BA499D">
            <w:pPr>
              <w:jc w:val="center"/>
              <w:rPr>
                <w:rFonts w:eastAsia="Times New Roman" w:cstheme="minorHAnsi"/>
                <w:b/>
                <w:bCs/>
                <w:color w:val="000000"/>
                <w:sz w:val="18"/>
                <w:szCs w:val="18"/>
                <w:lang w:eastAsia="hr-HR"/>
              </w:rPr>
            </w:pPr>
          </w:p>
        </w:tc>
        <w:tc>
          <w:tcPr>
            <w:tcW w:w="4216" w:type="dxa"/>
            <w:vMerge/>
            <w:shd w:val="clear" w:color="auto" w:fill="A3E7FF"/>
            <w:vAlign w:val="center"/>
            <w:hideMark/>
          </w:tcPr>
          <w:p w14:paraId="38612128" w14:textId="77777777" w:rsidR="005E6BC2" w:rsidRPr="00A862F6" w:rsidRDefault="005E6BC2" w:rsidP="00BA499D">
            <w:pPr>
              <w:rPr>
                <w:rFonts w:eastAsia="Times New Roman" w:cstheme="minorHAnsi"/>
                <w:b/>
                <w:bCs/>
                <w:color w:val="000000"/>
                <w:sz w:val="18"/>
                <w:szCs w:val="18"/>
                <w:lang w:eastAsia="hr-HR"/>
              </w:rPr>
            </w:pPr>
          </w:p>
        </w:tc>
        <w:tc>
          <w:tcPr>
            <w:tcW w:w="1417" w:type="dxa"/>
            <w:vMerge/>
            <w:shd w:val="clear" w:color="auto" w:fill="A3E7FF"/>
            <w:vAlign w:val="center"/>
            <w:hideMark/>
          </w:tcPr>
          <w:p w14:paraId="0141CB7C" w14:textId="77777777" w:rsidR="005E6BC2" w:rsidRPr="00A862F6" w:rsidRDefault="005E6BC2" w:rsidP="00BA499D">
            <w:pPr>
              <w:jc w:val="center"/>
              <w:rPr>
                <w:rFonts w:eastAsia="Times New Roman" w:cstheme="minorHAnsi"/>
                <w:b/>
                <w:bCs/>
                <w:color w:val="000000"/>
                <w:sz w:val="18"/>
                <w:szCs w:val="18"/>
                <w:lang w:eastAsia="hr-HR"/>
              </w:rPr>
            </w:pPr>
          </w:p>
        </w:tc>
        <w:tc>
          <w:tcPr>
            <w:tcW w:w="1701" w:type="dxa"/>
            <w:vMerge/>
            <w:shd w:val="clear" w:color="auto" w:fill="A3E7FF"/>
            <w:vAlign w:val="center"/>
            <w:hideMark/>
          </w:tcPr>
          <w:p w14:paraId="54280041" w14:textId="77777777" w:rsidR="005E6BC2" w:rsidRPr="00A862F6" w:rsidRDefault="005E6BC2" w:rsidP="00BA499D">
            <w:pPr>
              <w:jc w:val="center"/>
              <w:rPr>
                <w:rFonts w:eastAsia="Times New Roman" w:cstheme="minorHAnsi"/>
                <w:b/>
                <w:bCs/>
                <w:color w:val="000000"/>
                <w:sz w:val="18"/>
                <w:szCs w:val="18"/>
                <w:lang w:eastAsia="hr-HR"/>
              </w:rPr>
            </w:pPr>
          </w:p>
        </w:tc>
        <w:tc>
          <w:tcPr>
            <w:tcW w:w="1134" w:type="dxa"/>
            <w:vMerge/>
            <w:shd w:val="clear" w:color="auto" w:fill="A3E7FF"/>
            <w:vAlign w:val="center"/>
            <w:hideMark/>
          </w:tcPr>
          <w:p w14:paraId="1D9E9DE6" w14:textId="77777777" w:rsidR="005E6BC2" w:rsidRPr="00A862F6" w:rsidRDefault="005E6BC2" w:rsidP="00BA499D">
            <w:pPr>
              <w:jc w:val="center"/>
              <w:rPr>
                <w:rFonts w:eastAsia="Times New Roman" w:cstheme="minorHAnsi"/>
                <w:b/>
                <w:bCs/>
                <w:color w:val="000000"/>
                <w:sz w:val="18"/>
                <w:szCs w:val="18"/>
                <w:lang w:eastAsia="hr-HR"/>
              </w:rPr>
            </w:pPr>
          </w:p>
        </w:tc>
      </w:tr>
      <w:tr w:rsidR="005E6BC2" w:rsidRPr="00A862F6" w14:paraId="50A6A538" w14:textId="77777777" w:rsidTr="00BA499D">
        <w:trPr>
          <w:trHeight w:val="284"/>
        </w:trPr>
        <w:tc>
          <w:tcPr>
            <w:tcW w:w="614" w:type="dxa"/>
            <w:shd w:val="clear" w:color="auto" w:fill="auto"/>
            <w:noWrap/>
            <w:vAlign w:val="center"/>
            <w:hideMark/>
          </w:tcPr>
          <w:p w14:paraId="7E1579C2" w14:textId="77777777" w:rsidR="005E6BC2" w:rsidRPr="00A862F6" w:rsidRDefault="005E6BC2" w:rsidP="00BA499D">
            <w:pPr>
              <w:jc w:val="center"/>
              <w:rPr>
                <w:rFonts w:eastAsia="Times New Roman" w:cstheme="minorHAnsi"/>
                <w:color w:val="1A1A1A"/>
                <w:sz w:val="18"/>
                <w:szCs w:val="18"/>
                <w:lang w:eastAsia="hr-HR"/>
              </w:rPr>
            </w:pPr>
            <w:r w:rsidRPr="00A862F6">
              <w:rPr>
                <w:rFonts w:eastAsia="Times New Roman" w:cstheme="minorHAnsi"/>
                <w:color w:val="1A1A1A"/>
                <w:sz w:val="18"/>
                <w:szCs w:val="18"/>
                <w:lang w:eastAsia="hr-HR"/>
              </w:rPr>
              <w:t>1.</w:t>
            </w:r>
          </w:p>
        </w:tc>
        <w:tc>
          <w:tcPr>
            <w:tcW w:w="4216" w:type="dxa"/>
            <w:shd w:val="clear" w:color="auto" w:fill="auto"/>
            <w:vAlign w:val="center"/>
          </w:tcPr>
          <w:p w14:paraId="18ED0B94" w14:textId="77777777" w:rsidR="005E6BC2" w:rsidRPr="00807BA2" w:rsidRDefault="005E6BC2" w:rsidP="00BA499D">
            <w:pPr>
              <w:rPr>
                <w:rFonts w:eastAsia="Times New Roman" w:cstheme="minorHAnsi"/>
                <w:bCs/>
                <w:color w:val="1A1A1A"/>
                <w:sz w:val="18"/>
                <w:szCs w:val="18"/>
                <w:lang w:eastAsia="hr-HR"/>
              </w:rPr>
            </w:pPr>
            <w:r w:rsidRPr="00807BA2">
              <w:rPr>
                <w:rFonts w:eastAsia="Times New Roman" w:cstheme="minorHAnsi"/>
                <w:bCs/>
                <w:color w:val="1A1A1A"/>
                <w:sz w:val="18"/>
                <w:szCs w:val="18"/>
                <w:lang w:eastAsia="hr-HR"/>
              </w:rPr>
              <w:t>Godišnja naknada za online pristup Farmakopeji</w:t>
            </w:r>
          </w:p>
        </w:tc>
        <w:tc>
          <w:tcPr>
            <w:tcW w:w="1417" w:type="dxa"/>
            <w:shd w:val="clear" w:color="auto" w:fill="auto"/>
            <w:noWrap/>
            <w:vAlign w:val="center"/>
          </w:tcPr>
          <w:p w14:paraId="58E1E93B" w14:textId="77777777" w:rsidR="005E6BC2" w:rsidRPr="00807BA2" w:rsidRDefault="005E6BC2" w:rsidP="00BA499D">
            <w:pPr>
              <w:jc w:val="center"/>
              <w:rPr>
                <w:bCs/>
                <w:sz w:val="18"/>
                <w:szCs w:val="18"/>
              </w:rPr>
            </w:pPr>
            <w:r w:rsidRPr="00807BA2">
              <w:rPr>
                <w:bCs/>
                <w:sz w:val="18"/>
                <w:szCs w:val="18"/>
              </w:rPr>
              <w:t>40</w:t>
            </w:r>
          </w:p>
        </w:tc>
        <w:tc>
          <w:tcPr>
            <w:tcW w:w="1701" w:type="dxa"/>
            <w:shd w:val="clear" w:color="auto" w:fill="auto"/>
            <w:noWrap/>
            <w:vAlign w:val="center"/>
          </w:tcPr>
          <w:p w14:paraId="6DBD6CAC" w14:textId="77777777" w:rsidR="005E6BC2" w:rsidRPr="00807BA2" w:rsidRDefault="005E6BC2" w:rsidP="00BA499D">
            <w:pPr>
              <w:jc w:val="center"/>
              <w:rPr>
                <w:bCs/>
                <w:sz w:val="18"/>
                <w:szCs w:val="18"/>
              </w:rPr>
            </w:pPr>
            <w:r>
              <w:rPr>
                <w:bCs/>
                <w:sz w:val="18"/>
                <w:szCs w:val="18"/>
              </w:rPr>
              <w:t>47</w:t>
            </w:r>
          </w:p>
        </w:tc>
        <w:tc>
          <w:tcPr>
            <w:tcW w:w="1134" w:type="dxa"/>
            <w:shd w:val="clear" w:color="auto" w:fill="auto"/>
            <w:noWrap/>
            <w:vAlign w:val="center"/>
          </w:tcPr>
          <w:p w14:paraId="16FF0670" w14:textId="77777777" w:rsidR="005E6BC2" w:rsidRPr="008C546B" w:rsidRDefault="005E6BC2" w:rsidP="00BA499D">
            <w:pPr>
              <w:jc w:val="center"/>
              <w:rPr>
                <w:sz w:val="18"/>
                <w:szCs w:val="18"/>
              </w:rPr>
            </w:pPr>
            <w:r>
              <w:rPr>
                <w:sz w:val="18"/>
                <w:szCs w:val="18"/>
              </w:rPr>
              <w:t>118%</w:t>
            </w:r>
          </w:p>
        </w:tc>
      </w:tr>
      <w:tr w:rsidR="005E6BC2" w:rsidRPr="00A862F6" w14:paraId="14CD1624" w14:textId="77777777" w:rsidTr="00BA499D">
        <w:trPr>
          <w:trHeight w:val="284"/>
        </w:trPr>
        <w:tc>
          <w:tcPr>
            <w:tcW w:w="4830" w:type="dxa"/>
            <w:gridSpan w:val="2"/>
            <w:shd w:val="clear" w:color="000000" w:fill="BFBFBF"/>
            <w:vAlign w:val="center"/>
            <w:hideMark/>
          </w:tcPr>
          <w:p w14:paraId="241D2778" w14:textId="77777777" w:rsidR="005E6BC2" w:rsidRPr="00807BA2" w:rsidRDefault="005E6BC2" w:rsidP="00BA499D">
            <w:pPr>
              <w:rPr>
                <w:rFonts w:eastAsia="Times New Roman" w:cstheme="minorHAnsi"/>
                <w:b/>
                <w:bCs/>
                <w:color w:val="1A1A1A"/>
                <w:sz w:val="18"/>
                <w:szCs w:val="18"/>
                <w:lang w:eastAsia="hr-HR"/>
              </w:rPr>
            </w:pPr>
            <w:r w:rsidRPr="00807BA2">
              <w:rPr>
                <w:rFonts w:eastAsia="Times New Roman" w:cstheme="minorHAnsi"/>
                <w:b/>
                <w:bCs/>
                <w:color w:val="1A1A1A"/>
                <w:sz w:val="18"/>
                <w:szCs w:val="18"/>
                <w:lang w:eastAsia="hr-HR"/>
              </w:rPr>
              <w:t>UKUPNO:</w:t>
            </w:r>
          </w:p>
        </w:tc>
        <w:tc>
          <w:tcPr>
            <w:tcW w:w="1417" w:type="dxa"/>
            <w:shd w:val="clear" w:color="000000" w:fill="BFBFBF"/>
            <w:noWrap/>
            <w:vAlign w:val="center"/>
          </w:tcPr>
          <w:p w14:paraId="0D7FDD12" w14:textId="77777777" w:rsidR="005E6BC2" w:rsidRPr="00807BA2" w:rsidRDefault="005E6BC2" w:rsidP="00BA499D">
            <w:pPr>
              <w:jc w:val="center"/>
              <w:rPr>
                <w:rFonts w:eastAsia="Times New Roman" w:cstheme="minorHAnsi"/>
                <w:b/>
                <w:bCs/>
                <w:color w:val="000000"/>
                <w:sz w:val="18"/>
                <w:szCs w:val="18"/>
                <w:lang w:eastAsia="hr-HR"/>
              </w:rPr>
            </w:pPr>
            <w:r w:rsidRPr="00807BA2">
              <w:rPr>
                <w:rFonts w:eastAsia="Times New Roman" w:cstheme="minorHAnsi"/>
                <w:b/>
                <w:bCs/>
                <w:color w:val="000000"/>
                <w:sz w:val="18"/>
                <w:szCs w:val="18"/>
                <w:lang w:eastAsia="hr-HR"/>
              </w:rPr>
              <w:t>40</w:t>
            </w:r>
          </w:p>
        </w:tc>
        <w:tc>
          <w:tcPr>
            <w:tcW w:w="1701" w:type="dxa"/>
            <w:shd w:val="clear" w:color="000000" w:fill="BFBFBF"/>
            <w:noWrap/>
            <w:vAlign w:val="center"/>
          </w:tcPr>
          <w:p w14:paraId="7D50B109" w14:textId="77777777" w:rsidR="005E6BC2" w:rsidRPr="00807BA2" w:rsidRDefault="005E6BC2" w:rsidP="00BA499D">
            <w:pPr>
              <w:jc w:val="center"/>
              <w:rPr>
                <w:rFonts w:eastAsia="Times New Roman" w:cstheme="minorHAnsi"/>
                <w:b/>
                <w:bCs/>
                <w:color w:val="000000"/>
                <w:sz w:val="18"/>
                <w:szCs w:val="18"/>
                <w:lang w:eastAsia="hr-HR"/>
              </w:rPr>
            </w:pPr>
            <w:r>
              <w:rPr>
                <w:rFonts w:eastAsia="Times New Roman" w:cstheme="minorHAnsi"/>
                <w:b/>
                <w:bCs/>
                <w:color w:val="000000"/>
                <w:sz w:val="18"/>
                <w:szCs w:val="18"/>
                <w:lang w:eastAsia="hr-HR"/>
              </w:rPr>
              <w:t>47</w:t>
            </w:r>
          </w:p>
        </w:tc>
        <w:tc>
          <w:tcPr>
            <w:tcW w:w="1134" w:type="dxa"/>
            <w:shd w:val="clear" w:color="000000" w:fill="BFBFBF"/>
            <w:noWrap/>
            <w:vAlign w:val="center"/>
          </w:tcPr>
          <w:p w14:paraId="1BA49AA3" w14:textId="77777777" w:rsidR="005E6BC2" w:rsidRPr="00807BA2" w:rsidRDefault="005E6BC2" w:rsidP="00BA499D">
            <w:pPr>
              <w:jc w:val="center"/>
              <w:rPr>
                <w:rFonts w:eastAsia="Times New Roman" w:cstheme="minorHAnsi"/>
                <w:b/>
                <w:bCs/>
                <w:color w:val="000000"/>
                <w:sz w:val="18"/>
                <w:szCs w:val="18"/>
                <w:lang w:eastAsia="hr-HR"/>
              </w:rPr>
            </w:pPr>
            <w:r>
              <w:rPr>
                <w:rFonts w:eastAsia="Times New Roman" w:cstheme="minorHAnsi"/>
                <w:b/>
                <w:bCs/>
                <w:color w:val="000000"/>
                <w:sz w:val="18"/>
                <w:szCs w:val="18"/>
                <w:lang w:eastAsia="hr-HR"/>
              </w:rPr>
              <w:t>118%</w:t>
            </w:r>
          </w:p>
        </w:tc>
      </w:tr>
    </w:tbl>
    <w:p w14:paraId="1AD71C07" w14:textId="77777777" w:rsidR="005E6BC2" w:rsidRPr="00E959EA" w:rsidRDefault="005E6BC2" w:rsidP="005E6BC2">
      <w:pPr>
        <w:pStyle w:val="Heading3"/>
      </w:pPr>
      <w:bookmarkStart w:id="258" w:name="_Toc26534688"/>
      <w:bookmarkStart w:id="259" w:name="_Toc50540965"/>
      <w:bookmarkStart w:id="260" w:name="_Toc165035516"/>
      <w:r w:rsidRPr="00E959EA">
        <w:t>2.6.6. Izvršenja neprihodovnih poslova</w:t>
      </w:r>
      <w:bookmarkEnd w:id="258"/>
      <w:bookmarkEnd w:id="259"/>
      <w:bookmarkEnd w:id="260"/>
    </w:p>
    <w:p w14:paraId="495AEDD1" w14:textId="77777777" w:rsidR="005E6BC2" w:rsidRDefault="005E6BC2" w:rsidP="005E6BC2">
      <w:pPr>
        <w:tabs>
          <w:tab w:val="center" w:pos="858"/>
          <w:tab w:val="center" w:pos="4320"/>
          <w:tab w:val="right" w:pos="8306"/>
          <w:tab w:val="right" w:pos="8640"/>
        </w:tabs>
        <w:spacing w:after="120"/>
        <w:jc w:val="both"/>
        <w:rPr>
          <w:rFonts w:eastAsia="Times New Roman" w:cstheme="minorHAnsi"/>
          <w:b/>
          <w:bCs/>
          <w:lang w:eastAsia="hr-HR"/>
        </w:rPr>
      </w:pPr>
      <w:r w:rsidRPr="000A386E">
        <w:rPr>
          <w:rFonts w:eastAsia="Times New Roman" w:cstheme="minorHAnsi"/>
          <w:b/>
          <w:bCs/>
          <w:lang w:eastAsia="hr-HR"/>
        </w:rPr>
        <w:t>Tablica 2</w:t>
      </w:r>
      <w:r>
        <w:rPr>
          <w:rFonts w:eastAsia="Times New Roman" w:cstheme="minorHAnsi"/>
          <w:b/>
          <w:bCs/>
          <w:lang w:eastAsia="hr-HR"/>
        </w:rPr>
        <w:t>6</w:t>
      </w:r>
      <w:r w:rsidRPr="000A386E">
        <w:rPr>
          <w:rFonts w:eastAsia="Times New Roman" w:cstheme="minorHAnsi"/>
          <w:b/>
          <w:bCs/>
          <w:lang w:eastAsia="hr-HR"/>
        </w:rPr>
        <w:t>. Izvršenje neprihodovnih usluga iz područja Hrvatske farmakopeje</w:t>
      </w:r>
    </w:p>
    <w:tbl>
      <w:tblPr>
        <w:tblW w:w="9082"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4253"/>
        <w:gridCol w:w="1417"/>
        <w:gridCol w:w="1588"/>
        <w:gridCol w:w="1105"/>
      </w:tblGrid>
      <w:tr w:rsidR="005E6BC2" w:rsidRPr="00D77148" w14:paraId="46334AF8" w14:textId="77777777" w:rsidTr="00BA499D">
        <w:trPr>
          <w:trHeight w:val="284"/>
        </w:trPr>
        <w:tc>
          <w:tcPr>
            <w:tcW w:w="719" w:type="dxa"/>
            <w:vMerge w:val="restart"/>
            <w:shd w:val="clear" w:color="auto" w:fill="A3E7FF"/>
            <w:vAlign w:val="center"/>
            <w:hideMark/>
          </w:tcPr>
          <w:p w14:paraId="40624A62" w14:textId="77777777" w:rsidR="005E6BC2" w:rsidRPr="00AF1E8F" w:rsidRDefault="005E6BC2" w:rsidP="00BA499D">
            <w:pPr>
              <w:jc w:val="center"/>
              <w:rPr>
                <w:rFonts w:eastAsia="Times New Roman" w:cstheme="minorHAnsi"/>
                <w:b/>
                <w:bCs/>
                <w:sz w:val="18"/>
                <w:szCs w:val="18"/>
                <w:lang w:eastAsia="hr-HR"/>
              </w:rPr>
            </w:pPr>
            <w:r w:rsidRPr="00AF1E8F">
              <w:rPr>
                <w:rFonts w:eastAsia="Times New Roman" w:cstheme="minorHAnsi"/>
                <w:b/>
                <w:bCs/>
                <w:sz w:val="18"/>
                <w:szCs w:val="18"/>
                <w:lang w:eastAsia="hr-HR"/>
              </w:rPr>
              <w:t>R.br.</w:t>
            </w:r>
          </w:p>
        </w:tc>
        <w:tc>
          <w:tcPr>
            <w:tcW w:w="4253" w:type="dxa"/>
            <w:vMerge w:val="restart"/>
            <w:shd w:val="clear" w:color="auto" w:fill="A3E7FF"/>
            <w:vAlign w:val="center"/>
            <w:hideMark/>
          </w:tcPr>
          <w:p w14:paraId="15CC7B2E" w14:textId="77777777" w:rsidR="005E6BC2" w:rsidRPr="00AF1E8F" w:rsidRDefault="005E6BC2" w:rsidP="00BA499D">
            <w:pPr>
              <w:rPr>
                <w:rFonts w:eastAsia="Times New Roman" w:cstheme="minorHAnsi"/>
                <w:b/>
                <w:bCs/>
                <w:sz w:val="18"/>
                <w:szCs w:val="18"/>
                <w:lang w:eastAsia="hr-HR"/>
              </w:rPr>
            </w:pPr>
            <w:r w:rsidRPr="00AF1E8F">
              <w:rPr>
                <w:rFonts w:eastAsia="Times New Roman" w:cstheme="minorHAnsi"/>
                <w:b/>
                <w:bCs/>
                <w:sz w:val="18"/>
                <w:szCs w:val="18"/>
                <w:lang w:eastAsia="hr-HR"/>
              </w:rPr>
              <w:t>Naziv usluge</w:t>
            </w:r>
          </w:p>
        </w:tc>
        <w:tc>
          <w:tcPr>
            <w:tcW w:w="1417" w:type="dxa"/>
            <w:vMerge w:val="restart"/>
            <w:shd w:val="clear" w:color="auto" w:fill="A3E7FF"/>
            <w:vAlign w:val="center"/>
            <w:hideMark/>
          </w:tcPr>
          <w:p w14:paraId="609E4490" w14:textId="77777777" w:rsidR="005E6BC2" w:rsidRPr="00AF1E8F" w:rsidRDefault="005E6BC2" w:rsidP="00BA499D">
            <w:pPr>
              <w:jc w:val="center"/>
              <w:rPr>
                <w:rFonts w:eastAsia="Times New Roman" w:cstheme="minorHAnsi"/>
                <w:b/>
                <w:bCs/>
                <w:sz w:val="18"/>
                <w:szCs w:val="18"/>
                <w:lang w:eastAsia="hr-HR"/>
              </w:rPr>
            </w:pPr>
            <w:r>
              <w:rPr>
                <w:rFonts w:eastAsia="Times New Roman" w:cstheme="minorHAnsi"/>
                <w:b/>
                <w:bCs/>
                <w:sz w:val="18"/>
                <w:szCs w:val="18"/>
                <w:lang w:eastAsia="hr-HR"/>
              </w:rPr>
              <w:t>Plan za 2023</w:t>
            </w:r>
            <w:r w:rsidRPr="00AF1E8F">
              <w:rPr>
                <w:rFonts w:eastAsia="Times New Roman" w:cstheme="minorHAnsi"/>
                <w:b/>
                <w:bCs/>
                <w:sz w:val="18"/>
                <w:szCs w:val="18"/>
                <w:lang w:eastAsia="hr-HR"/>
              </w:rPr>
              <w:t xml:space="preserve">. </w:t>
            </w:r>
          </w:p>
        </w:tc>
        <w:tc>
          <w:tcPr>
            <w:tcW w:w="1588" w:type="dxa"/>
            <w:vMerge w:val="restart"/>
            <w:shd w:val="clear" w:color="auto" w:fill="A3E7FF"/>
            <w:vAlign w:val="center"/>
            <w:hideMark/>
          </w:tcPr>
          <w:p w14:paraId="32B932A3" w14:textId="77777777" w:rsidR="005E6BC2" w:rsidRPr="00AF1E8F" w:rsidRDefault="005E6BC2" w:rsidP="00BA499D">
            <w:pPr>
              <w:jc w:val="center"/>
              <w:rPr>
                <w:rFonts w:eastAsia="Times New Roman" w:cstheme="minorHAnsi"/>
                <w:b/>
                <w:bCs/>
                <w:sz w:val="18"/>
                <w:szCs w:val="18"/>
                <w:lang w:eastAsia="hr-HR"/>
              </w:rPr>
            </w:pPr>
            <w:r w:rsidRPr="00AF1E8F">
              <w:rPr>
                <w:rFonts w:eastAsia="Times New Roman" w:cstheme="minorHAnsi"/>
                <w:b/>
                <w:bCs/>
                <w:sz w:val="18"/>
                <w:szCs w:val="18"/>
                <w:lang w:eastAsia="hr-HR"/>
              </w:rPr>
              <w:t xml:space="preserve">Izvršenje </w:t>
            </w:r>
          </w:p>
          <w:p w14:paraId="05D86764" w14:textId="77777777" w:rsidR="005E6BC2" w:rsidRPr="00AF1E8F" w:rsidRDefault="005E6BC2" w:rsidP="00BA499D">
            <w:pPr>
              <w:jc w:val="center"/>
              <w:rPr>
                <w:rFonts w:eastAsia="Times New Roman" w:cstheme="minorHAnsi"/>
                <w:b/>
                <w:bCs/>
                <w:sz w:val="18"/>
                <w:szCs w:val="18"/>
                <w:lang w:eastAsia="hr-HR"/>
              </w:rPr>
            </w:pPr>
            <w:r>
              <w:rPr>
                <w:rFonts w:eastAsia="Times New Roman" w:cstheme="minorHAnsi"/>
                <w:b/>
                <w:bCs/>
                <w:sz w:val="18"/>
                <w:szCs w:val="18"/>
                <w:lang w:eastAsia="hr-HR"/>
              </w:rPr>
              <w:t>01.01.-31.12.2023</w:t>
            </w:r>
            <w:r w:rsidRPr="00AF1E8F">
              <w:rPr>
                <w:rFonts w:eastAsia="Times New Roman" w:cstheme="minorHAnsi"/>
                <w:b/>
                <w:bCs/>
                <w:sz w:val="18"/>
                <w:szCs w:val="18"/>
                <w:lang w:eastAsia="hr-HR"/>
              </w:rPr>
              <w:t>.</w:t>
            </w:r>
          </w:p>
        </w:tc>
        <w:tc>
          <w:tcPr>
            <w:tcW w:w="1105" w:type="dxa"/>
            <w:vMerge w:val="restart"/>
            <w:shd w:val="clear" w:color="auto" w:fill="A3E7FF"/>
            <w:vAlign w:val="center"/>
            <w:hideMark/>
          </w:tcPr>
          <w:p w14:paraId="5A032871" w14:textId="77777777" w:rsidR="005E6BC2" w:rsidRPr="00AF1E8F" w:rsidRDefault="005E6BC2" w:rsidP="00BA499D">
            <w:pPr>
              <w:jc w:val="center"/>
              <w:rPr>
                <w:rFonts w:eastAsia="Times New Roman" w:cstheme="minorHAnsi"/>
                <w:b/>
                <w:bCs/>
                <w:sz w:val="18"/>
                <w:szCs w:val="18"/>
                <w:lang w:eastAsia="hr-HR"/>
              </w:rPr>
            </w:pPr>
            <w:r w:rsidRPr="00AF1E8F">
              <w:rPr>
                <w:rFonts w:eastAsia="Times New Roman" w:cstheme="minorHAnsi"/>
                <w:b/>
                <w:bCs/>
                <w:sz w:val="18"/>
                <w:szCs w:val="18"/>
                <w:lang w:eastAsia="hr-HR"/>
              </w:rPr>
              <w:t>% izvršenja</w:t>
            </w:r>
          </w:p>
        </w:tc>
      </w:tr>
      <w:tr w:rsidR="005E6BC2" w:rsidRPr="00AD459D" w14:paraId="739BE262" w14:textId="77777777" w:rsidTr="00BA499D">
        <w:trPr>
          <w:trHeight w:val="509"/>
        </w:trPr>
        <w:tc>
          <w:tcPr>
            <w:tcW w:w="719" w:type="dxa"/>
            <w:vMerge/>
            <w:shd w:val="clear" w:color="auto" w:fill="A3E7FF"/>
            <w:vAlign w:val="center"/>
            <w:hideMark/>
          </w:tcPr>
          <w:p w14:paraId="38CFF6B8" w14:textId="77777777" w:rsidR="005E6BC2" w:rsidRPr="00133B9B" w:rsidRDefault="005E6BC2" w:rsidP="00BA499D">
            <w:pPr>
              <w:jc w:val="center"/>
              <w:rPr>
                <w:rFonts w:eastAsia="Times New Roman" w:cstheme="minorHAnsi"/>
                <w:b/>
                <w:bCs/>
                <w:color w:val="000000"/>
                <w:sz w:val="18"/>
                <w:szCs w:val="18"/>
                <w:lang w:eastAsia="hr-HR"/>
              </w:rPr>
            </w:pPr>
          </w:p>
        </w:tc>
        <w:tc>
          <w:tcPr>
            <w:tcW w:w="4253" w:type="dxa"/>
            <w:vMerge/>
            <w:shd w:val="clear" w:color="auto" w:fill="A3E7FF"/>
            <w:vAlign w:val="center"/>
            <w:hideMark/>
          </w:tcPr>
          <w:p w14:paraId="1D38B688" w14:textId="77777777" w:rsidR="005E6BC2" w:rsidRPr="00133B9B" w:rsidRDefault="005E6BC2" w:rsidP="00BA499D">
            <w:pPr>
              <w:rPr>
                <w:rFonts w:eastAsia="Times New Roman" w:cstheme="minorHAnsi"/>
                <w:b/>
                <w:bCs/>
                <w:color w:val="000000"/>
                <w:sz w:val="18"/>
                <w:szCs w:val="18"/>
                <w:lang w:eastAsia="hr-HR"/>
              </w:rPr>
            </w:pPr>
          </w:p>
        </w:tc>
        <w:tc>
          <w:tcPr>
            <w:tcW w:w="1417" w:type="dxa"/>
            <w:vMerge/>
            <w:shd w:val="clear" w:color="auto" w:fill="A3E7FF"/>
            <w:vAlign w:val="center"/>
            <w:hideMark/>
          </w:tcPr>
          <w:p w14:paraId="23BF3009" w14:textId="77777777" w:rsidR="005E6BC2" w:rsidRPr="00133B9B" w:rsidRDefault="005E6BC2" w:rsidP="00BA499D">
            <w:pPr>
              <w:jc w:val="center"/>
              <w:rPr>
                <w:rFonts w:eastAsia="Times New Roman" w:cstheme="minorHAnsi"/>
                <w:b/>
                <w:bCs/>
                <w:color w:val="000000"/>
                <w:sz w:val="18"/>
                <w:szCs w:val="18"/>
                <w:lang w:eastAsia="hr-HR"/>
              </w:rPr>
            </w:pPr>
          </w:p>
        </w:tc>
        <w:tc>
          <w:tcPr>
            <w:tcW w:w="1588" w:type="dxa"/>
            <w:vMerge/>
            <w:shd w:val="clear" w:color="auto" w:fill="A3E7FF"/>
            <w:vAlign w:val="center"/>
            <w:hideMark/>
          </w:tcPr>
          <w:p w14:paraId="78A29EAF" w14:textId="77777777" w:rsidR="005E6BC2" w:rsidRPr="00133B9B" w:rsidRDefault="005E6BC2" w:rsidP="00BA499D">
            <w:pPr>
              <w:jc w:val="center"/>
              <w:rPr>
                <w:rFonts w:eastAsia="Times New Roman" w:cstheme="minorHAnsi"/>
                <w:b/>
                <w:bCs/>
                <w:color w:val="000000"/>
                <w:sz w:val="18"/>
                <w:szCs w:val="18"/>
                <w:lang w:eastAsia="hr-HR"/>
              </w:rPr>
            </w:pPr>
          </w:p>
        </w:tc>
        <w:tc>
          <w:tcPr>
            <w:tcW w:w="1105" w:type="dxa"/>
            <w:vMerge/>
            <w:shd w:val="clear" w:color="auto" w:fill="A3E7FF"/>
            <w:vAlign w:val="center"/>
            <w:hideMark/>
          </w:tcPr>
          <w:p w14:paraId="11AEA27A" w14:textId="77777777" w:rsidR="005E6BC2" w:rsidRPr="00133B9B" w:rsidRDefault="005E6BC2" w:rsidP="00BA499D">
            <w:pPr>
              <w:jc w:val="center"/>
              <w:rPr>
                <w:rFonts w:eastAsia="Times New Roman" w:cstheme="minorHAnsi"/>
                <w:b/>
                <w:bCs/>
                <w:color w:val="000000"/>
                <w:sz w:val="18"/>
                <w:szCs w:val="18"/>
                <w:lang w:eastAsia="hr-HR"/>
              </w:rPr>
            </w:pPr>
          </w:p>
        </w:tc>
      </w:tr>
      <w:tr w:rsidR="005E6BC2" w:rsidRPr="00AD459D" w14:paraId="099C71DC" w14:textId="77777777" w:rsidTr="00BA499D">
        <w:trPr>
          <w:trHeight w:val="284"/>
        </w:trPr>
        <w:tc>
          <w:tcPr>
            <w:tcW w:w="719" w:type="dxa"/>
            <w:shd w:val="clear" w:color="auto" w:fill="auto"/>
            <w:noWrap/>
            <w:vAlign w:val="center"/>
            <w:hideMark/>
          </w:tcPr>
          <w:p w14:paraId="3E48AF0E" w14:textId="77777777" w:rsidR="005E6BC2" w:rsidRPr="00133B9B" w:rsidRDefault="005E6BC2" w:rsidP="00BA499D">
            <w:pPr>
              <w:jc w:val="center"/>
              <w:rPr>
                <w:rFonts w:eastAsia="Times New Roman" w:cstheme="minorHAnsi"/>
                <w:color w:val="1A1A1A"/>
                <w:sz w:val="18"/>
                <w:szCs w:val="18"/>
                <w:lang w:eastAsia="hr-HR"/>
              </w:rPr>
            </w:pPr>
            <w:r>
              <w:rPr>
                <w:rFonts w:eastAsia="Times New Roman" w:cstheme="minorHAnsi"/>
                <w:color w:val="1A1A1A"/>
                <w:sz w:val="18"/>
                <w:szCs w:val="18"/>
                <w:lang w:eastAsia="hr-HR"/>
              </w:rPr>
              <w:t>1</w:t>
            </w:r>
            <w:r w:rsidRPr="00133B9B">
              <w:rPr>
                <w:rFonts w:eastAsia="Times New Roman" w:cstheme="minorHAnsi"/>
                <w:color w:val="1A1A1A"/>
                <w:sz w:val="18"/>
                <w:szCs w:val="18"/>
                <w:lang w:eastAsia="hr-HR"/>
              </w:rPr>
              <w:t>.</w:t>
            </w:r>
          </w:p>
        </w:tc>
        <w:tc>
          <w:tcPr>
            <w:tcW w:w="4253" w:type="dxa"/>
            <w:shd w:val="clear" w:color="auto" w:fill="auto"/>
            <w:vAlign w:val="center"/>
          </w:tcPr>
          <w:p w14:paraId="057083D5" w14:textId="77777777" w:rsidR="005E6BC2" w:rsidRPr="00133B9B" w:rsidRDefault="005E6BC2" w:rsidP="00BA499D">
            <w:pPr>
              <w:rPr>
                <w:rFonts w:eastAsia="Times New Roman" w:cstheme="minorHAnsi"/>
                <w:bCs/>
                <w:color w:val="1A1A1A"/>
                <w:sz w:val="18"/>
                <w:szCs w:val="18"/>
                <w:lang w:eastAsia="hr-HR"/>
              </w:rPr>
            </w:pPr>
            <w:r w:rsidRPr="00133B9B">
              <w:rPr>
                <w:rFonts w:eastAsia="Times New Roman" w:cs="Times New Roman"/>
                <w:color w:val="1A1A1A"/>
                <w:sz w:val="18"/>
                <w:szCs w:val="18"/>
                <w:lang w:eastAsia="hr-HR"/>
              </w:rPr>
              <w:t>Predavanja o Hrvatskoj farmakopeji izvan HALMED-a</w:t>
            </w:r>
          </w:p>
        </w:tc>
        <w:tc>
          <w:tcPr>
            <w:tcW w:w="1417" w:type="dxa"/>
            <w:shd w:val="clear" w:color="auto" w:fill="auto"/>
            <w:noWrap/>
            <w:vAlign w:val="center"/>
          </w:tcPr>
          <w:p w14:paraId="487E2A64" w14:textId="77777777" w:rsidR="005E6BC2" w:rsidRPr="00133B9B" w:rsidRDefault="005E6BC2" w:rsidP="00BA499D">
            <w:pPr>
              <w:jc w:val="center"/>
              <w:rPr>
                <w:rFonts w:eastAsia="Times New Roman" w:cstheme="minorHAnsi"/>
                <w:bCs/>
                <w:color w:val="000000"/>
                <w:sz w:val="18"/>
                <w:szCs w:val="18"/>
                <w:lang w:eastAsia="hr-HR"/>
              </w:rPr>
            </w:pPr>
            <w:r>
              <w:rPr>
                <w:rFonts w:eastAsia="Times New Roman" w:cstheme="minorHAnsi"/>
                <w:bCs/>
                <w:color w:val="000000"/>
                <w:sz w:val="18"/>
                <w:szCs w:val="18"/>
                <w:lang w:eastAsia="hr-HR"/>
              </w:rPr>
              <w:t>1</w:t>
            </w:r>
          </w:p>
        </w:tc>
        <w:tc>
          <w:tcPr>
            <w:tcW w:w="1588" w:type="dxa"/>
            <w:shd w:val="clear" w:color="auto" w:fill="auto"/>
            <w:noWrap/>
            <w:vAlign w:val="center"/>
          </w:tcPr>
          <w:p w14:paraId="2B2D1805" w14:textId="77777777" w:rsidR="005E6BC2" w:rsidRPr="00E7145E" w:rsidRDefault="005E6BC2" w:rsidP="00BA499D">
            <w:pPr>
              <w:jc w:val="center"/>
              <w:rPr>
                <w:rFonts w:eastAsia="Times New Roman" w:cstheme="minorHAnsi"/>
                <w:bCs/>
                <w:color w:val="000000"/>
                <w:sz w:val="18"/>
                <w:szCs w:val="18"/>
                <w:lang w:eastAsia="hr-HR"/>
              </w:rPr>
            </w:pPr>
            <w:r>
              <w:rPr>
                <w:rFonts w:eastAsia="Times New Roman" w:cstheme="minorHAnsi"/>
                <w:bCs/>
                <w:color w:val="000000"/>
                <w:sz w:val="18"/>
                <w:szCs w:val="18"/>
                <w:lang w:eastAsia="hr-HR"/>
              </w:rPr>
              <w:t>1</w:t>
            </w:r>
          </w:p>
        </w:tc>
        <w:tc>
          <w:tcPr>
            <w:tcW w:w="1105" w:type="dxa"/>
            <w:shd w:val="clear" w:color="auto" w:fill="auto"/>
            <w:noWrap/>
            <w:vAlign w:val="center"/>
          </w:tcPr>
          <w:p w14:paraId="7BFF3B8C" w14:textId="77777777" w:rsidR="005E6BC2" w:rsidRPr="00133B9B" w:rsidRDefault="005E6BC2" w:rsidP="00BA499D">
            <w:pPr>
              <w:jc w:val="center"/>
              <w:rPr>
                <w:rFonts w:eastAsia="Times New Roman" w:cstheme="minorHAnsi"/>
                <w:bCs/>
                <w:color w:val="000000"/>
                <w:sz w:val="18"/>
                <w:szCs w:val="18"/>
                <w:lang w:eastAsia="hr-HR"/>
              </w:rPr>
            </w:pPr>
            <w:r>
              <w:rPr>
                <w:rFonts w:eastAsia="Times New Roman" w:cstheme="minorHAnsi"/>
                <w:bCs/>
                <w:color w:val="000000"/>
                <w:sz w:val="18"/>
                <w:szCs w:val="18"/>
                <w:lang w:eastAsia="hr-HR"/>
              </w:rPr>
              <w:t>100%</w:t>
            </w:r>
          </w:p>
        </w:tc>
      </w:tr>
      <w:tr w:rsidR="005E6BC2" w:rsidRPr="00AD459D" w14:paraId="556AB6C7" w14:textId="77777777" w:rsidTr="00BA499D">
        <w:trPr>
          <w:trHeight w:val="284"/>
        </w:trPr>
        <w:tc>
          <w:tcPr>
            <w:tcW w:w="719" w:type="dxa"/>
            <w:shd w:val="clear" w:color="auto" w:fill="auto"/>
            <w:noWrap/>
            <w:vAlign w:val="center"/>
          </w:tcPr>
          <w:p w14:paraId="51C8AC1C" w14:textId="77777777" w:rsidR="005E6BC2" w:rsidRPr="00133B9B" w:rsidRDefault="005E6BC2" w:rsidP="00BA499D">
            <w:pPr>
              <w:jc w:val="center"/>
              <w:rPr>
                <w:rFonts w:eastAsia="Times New Roman" w:cstheme="minorHAnsi"/>
                <w:color w:val="1A1A1A"/>
                <w:sz w:val="18"/>
                <w:szCs w:val="18"/>
                <w:lang w:eastAsia="hr-HR"/>
              </w:rPr>
            </w:pPr>
            <w:r>
              <w:rPr>
                <w:rFonts w:eastAsia="Times New Roman" w:cstheme="minorHAnsi"/>
                <w:color w:val="1A1A1A"/>
                <w:sz w:val="18"/>
                <w:szCs w:val="18"/>
                <w:lang w:eastAsia="hr-HR"/>
              </w:rPr>
              <w:t>2</w:t>
            </w:r>
            <w:r w:rsidRPr="00133B9B">
              <w:rPr>
                <w:rFonts w:eastAsia="Times New Roman" w:cstheme="minorHAnsi"/>
                <w:color w:val="1A1A1A"/>
                <w:sz w:val="18"/>
                <w:szCs w:val="18"/>
                <w:lang w:eastAsia="hr-HR"/>
              </w:rPr>
              <w:t>.</w:t>
            </w:r>
          </w:p>
        </w:tc>
        <w:tc>
          <w:tcPr>
            <w:tcW w:w="4253" w:type="dxa"/>
            <w:shd w:val="clear" w:color="auto" w:fill="auto"/>
            <w:vAlign w:val="center"/>
          </w:tcPr>
          <w:p w14:paraId="1A7F87F0" w14:textId="77777777" w:rsidR="005E6BC2" w:rsidRPr="00133B9B" w:rsidRDefault="005E6BC2" w:rsidP="00BA499D">
            <w:pPr>
              <w:rPr>
                <w:rFonts w:eastAsia="Times New Roman" w:cs="Times New Roman"/>
                <w:color w:val="1A1A1A"/>
                <w:sz w:val="18"/>
                <w:szCs w:val="18"/>
                <w:lang w:eastAsia="hr-HR"/>
              </w:rPr>
            </w:pPr>
            <w:r w:rsidRPr="00133B9B">
              <w:rPr>
                <w:rFonts w:eastAsia="Times New Roman" w:cs="Times New Roman"/>
                <w:color w:val="1A1A1A"/>
                <w:sz w:val="18"/>
                <w:szCs w:val="18"/>
                <w:lang w:eastAsia="hr-HR"/>
              </w:rPr>
              <w:t>Održavanje sjednica Povjerenstva za Hrvatsku farmakopeju</w:t>
            </w:r>
          </w:p>
        </w:tc>
        <w:tc>
          <w:tcPr>
            <w:tcW w:w="1417" w:type="dxa"/>
            <w:shd w:val="clear" w:color="auto" w:fill="auto"/>
            <w:noWrap/>
            <w:vAlign w:val="center"/>
          </w:tcPr>
          <w:p w14:paraId="298ECCE5" w14:textId="77777777" w:rsidR="005E6BC2" w:rsidRPr="00133B9B" w:rsidRDefault="005E6BC2" w:rsidP="00BA499D">
            <w:pPr>
              <w:jc w:val="center"/>
              <w:rPr>
                <w:rFonts w:eastAsia="Times New Roman" w:cstheme="minorHAnsi"/>
                <w:bCs/>
                <w:color w:val="000000"/>
                <w:sz w:val="18"/>
                <w:szCs w:val="18"/>
                <w:lang w:eastAsia="hr-HR"/>
              </w:rPr>
            </w:pPr>
            <w:r>
              <w:rPr>
                <w:rFonts w:eastAsia="Times New Roman" w:cstheme="minorHAnsi"/>
                <w:bCs/>
                <w:color w:val="000000"/>
                <w:sz w:val="18"/>
                <w:szCs w:val="18"/>
                <w:lang w:eastAsia="hr-HR"/>
              </w:rPr>
              <w:t>4</w:t>
            </w:r>
          </w:p>
        </w:tc>
        <w:tc>
          <w:tcPr>
            <w:tcW w:w="1588" w:type="dxa"/>
            <w:shd w:val="clear" w:color="auto" w:fill="auto"/>
            <w:noWrap/>
            <w:vAlign w:val="center"/>
          </w:tcPr>
          <w:p w14:paraId="66572456" w14:textId="77777777" w:rsidR="005E6BC2" w:rsidRPr="00E7145E" w:rsidRDefault="005E6BC2" w:rsidP="00BA499D">
            <w:pPr>
              <w:jc w:val="center"/>
              <w:rPr>
                <w:rFonts w:eastAsia="Times New Roman" w:cstheme="minorHAnsi"/>
                <w:bCs/>
                <w:color w:val="000000"/>
                <w:sz w:val="18"/>
                <w:szCs w:val="18"/>
                <w:lang w:eastAsia="hr-HR"/>
              </w:rPr>
            </w:pPr>
            <w:r>
              <w:rPr>
                <w:rFonts w:eastAsia="Times New Roman" w:cstheme="minorHAnsi"/>
                <w:bCs/>
                <w:color w:val="000000"/>
                <w:sz w:val="18"/>
                <w:szCs w:val="18"/>
                <w:lang w:eastAsia="hr-HR"/>
              </w:rPr>
              <w:t>3</w:t>
            </w:r>
          </w:p>
        </w:tc>
        <w:tc>
          <w:tcPr>
            <w:tcW w:w="1105" w:type="dxa"/>
            <w:shd w:val="clear" w:color="auto" w:fill="auto"/>
            <w:noWrap/>
            <w:vAlign w:val="center"/>
          </w:tcPr>
          <w:p w14:paraId="3819EB75" w14:textId="77777777" w:rsidR="005E6BC2" w:rsidRPr="00133B9B" w:rsidRDefault="005E6BC2" w:rsidP="00BA499D">
            <w:pPr>
              <w:spacing w:line="360" w:lineRule="auto"/>
              <w:jc w:val="center"/>
              <w:rPr>
                <w:rFonts w:eastAsia="Times New Roman" w:cstheme="minorHAnsi"/>
                <w:bCs/>
                <w:color w:val="000000"/>
                <w:sz w:val="18"/>
                <w:szCs w:val="18"/>
                <w:lang w:eastAsia="hr-HR"/>
              </w:rPr>
            </w:pPr>
            <w:r>
              <w:rPr>
                <w:rFonts w:eastAsia="Times New Roman" w:cstheme="minorHAnsi"/>
                <w:bCs/>
                <w:color w:val="000000"/>
                <w:sz w:val="18"/>
                <w:szCs w:val="18"/>
                <w:lang w:eastAsia="hr-HR"/>
              </w:rPr>
              <w:t>75%</w:t>
            </w:r>
          </w:p>
        </w:tc>
      </w:tr>
      <w:tr w:rsidR="005E6BC2" w:rsidRPr="00AD459D" w14:paraId="38AD9989" w14:textId="77777777" w:rsidTr="00BA499D">
        <w:trPr>
          <w:trHeight w:val="284"/>
        </w:trPr>
        <w:tc>
          <w:tcPr>
            <w:tcW w:w="4972" w:type="dxa"/>
            <w:gridSpan w:val="2"/>
            <w:shd w:val="clear" w:color="000000" w:fill="BFBFBF"/>
            <w:vAlign w:val="center"/>
            <w:hideMark/>
          </w:tcPr>
          <w:p w14:paraId="79F2D0DF" w14:textId="77777777" w:rsidR="005E6BC2" w:rsidRPr="00133B9B" w:rsidRDefault="005E6BC2" w:rsidP="00BA499D">
            <w:pPr>
              <w:rPr>
                <w:rFonts w:eastAsia="Times New Roman" w:cstheme="minorHAnsi"/>
                <w:b/>
                <w:bCs/>
                <w:color w:val="1A1A1A"/>
                <w:sz w:val="18"/>
                <w:szCs w:val="18"/>
                <w:lang w:eastAsia="hr-HR"/>
              </w:rPr>
            </w:pPr>
            <w:r w:rsidRPr="00133B9B">
              <w:rPr>
                <w:rFonts w:eastAsia="Times New Roman" w:cstheme="minorHAnsi"/>
                <w:b/>
                <w:bCs/>
                <w:color w:val="1A1A1A"/>
                <w:sz w:val="18"/>
                <w:szCs w:val="18"/>
                <w:lang w:eastAsia="hr-HR"/>
              </w:rPr>
              <w:t>UKUPNO</w:t>
            </w:r>
            <w:r>
              <w:rPr>
                <w:rFonts w:eastAsia="Times New Roman" w:cstheme="minorHAnsi"/>
                <w:b/>
                <w:bCs/>
                <w:color w:val="1A1A1A"/>
                <w:sz w:val="18"/>
                <w:szCs w:val="18"/>
                <w:lang w:eastAsia="hr-HR"/>
              </w:rPr>
              <w:t>:</w:t>
            </w:r>
          </w:p>
        </w:tc>
        <w:tc>
          <w:tcPr>
            <w:tcW w:w="1417" w:type="dxa"/>
            <w:shd w:val="clear" w:color="000000" w:fill="BFBFBF"/>
            <w:noWrap/>
            <w:vAlign w:val="center"/>
          </w:tcPr>
          <w:p w14:paraId="73440062" w14:textId="77777777" w:rsidR="005E6BC2" w:rsidRPr="00133B9B" w:rsidRDefault="005E6BC2" w:rsidP="00BA499D">
            <w:pPr>
              <w:jc w:val="center"/>
              <w:rPr>
                <w:rFonts w:eastAsia="Times New Roman" w:cstheme="minorHAnsi"/>
                <w:b/>
                <w:bCs/>
                <w:color w:val="000000"/>
                <w:sz w:val="18"/>
                <w:szCs w:val="18"/>
                <w:lang w:eastAsia="hr-HR"/>
              </w:rPr>
            </w:pPr>
            <w:r>
              <w:rPr>
                <w:rFonts w:eastAsia="Times New Roman" w:cstheme="minorHAnsi"/>
                <w:b/>
                <w:bCs/>
                <w:color w:val="000000"/>
                <w:sz w:val="18"/>
                <w:szCs w:val="18"/>
                <w:lang w:eastAsia="hr-HR"/>
              </w:rPr>
              <w:t>5</w:t>
            </w:r>
          </w:p>
        </w:tc>
        <w:tc>
          <w:tcPr>
            <w:tcW w:w="1588" w:type="dxa"/>
            <w:shd w:val="clear" w:color="000000" w:fill="BFBFBF"/>
            <w:noWrap/>
            <w:vAlign w:val="center"/>
          </w:tcPr>
          <w:p w14:paraId="12CF95BB" w14:textId="77777777" w:rsidR="005E6BC2" w:rsidRPr="00E7145E" w:rsidRDefault="005E6BC2" w:rsidP="00BA499D">
            <w:pPr>
              <w:jc w:val="center"/>
              <w:rPr>
                <w:rFonts w:eastAsia="Times New Roman" w:cstheme="minorHAnsi"/>
                <w:b/>
                <w:bCs/>
                <w:color w:val="000000"/>
                <w:sz w:val="18"/>
                <w:szCs w:val="18"/>
                <w:lang w:eastAsia="hr-HR"/>
              </w:rPr>
            </w:pPr>
            <w:r>
              <w:rPr>
                <w:rFonts w:eastAsia="Times New Roman" w:cstheme="minorHAnsi"/>
                <w:b/>
                <w:bCs/>
                <w:color w:val="000000"/>
                <w:sz w:val="18"/>
                <w:szCs w:val="18"/>
                <w:lang w:eastAsia="hr-HR"/>
              </w:rPr>
              <w:t>4</w:t>
            </w:r>
          </w:p>
        </w:tc>
        <w:tc>
          <w:tcPr>
            <w:tcW w:w="1105" w:type="dxa"/>
            <w:shd w:val="clear" w:color="000000" w:fill="BFBFBF"/>
            <w:noWrap/>
            <w:vAlign w:val="center"/>
          </w:tcPr>
          <w:p w14:paraId="40AFF097" w14:textId="77777777" w:rsidR="005E6BC2" w:rsidRPr="00133B9B" w:rsidRDefault="005E6BC2" w:rsidP="00BA499D">
            <w:pPr>
              <w:jc w:val="center"/>
              <w:rPr>
                <w:rFonts w:eastAsia="Times New Roman" w:cstheme="minorHAnsi"/>
                <w:b/>
                <w:bCs/>
                <w:color w:val="000000"/>
                <w:sz w:val="18"/>
                <w:szCs w:val="18"/>
                <w:lang w:eastAsia="hr-HR"/>
              </w:rPr>
            </w:pPr>
            <w:r>
              <w:rPr>
                <w:rFonts w:eastAsia="Times New Roman" w:cstheme="minorHAnsi"/>
                <w:b/>
                <w:bCs/>
                <w:color w:val="000000"/>
                <w:sz w:val="18"/>
                <w:szCs w:val="18"/>
                <w:lang w:eastAsia="hr-HR"/>
              </w:rPr>
              <w:t>80%</w:t>
            </w:r>
          </w:p>
        </w:tc>
      </w:tr>
    </w:tbl>
    <w:p w14:paraId="76E7FDF3" w14:textId="77777777" w:rsidR="005E6BC2" w:rsidRPr="000E02DA" w:rsidRDefault="005E6BC2" w:rsidP="005E6BC2">
      <w:pPr>
        <w:tabs>
          <w:tab w:val="center" w:pos="858"/>
          <w:tab w:val="center" w:pos="4320"/>
          <w:tab w:val="right" w:pos="8306"/>
          <w:tab w:val="right" w:pos="8640"/>
        </w:tabs>
        <w:spacing w:before="240" w:after="120"/>
        <w:jc w:val="both"/>
        <w:rPr>
          <w:rFonts w:ascii="Calibri" w:eastAsia="Times New Roman" w:hAnsi="Calibri" w:cs="Calibri"/>
          <w:b/>
          <w:bCs/>
          <w:lang w:eastAsia="hr-HR"/>
        </w:rPr>
      </w:pPr>
      <w:r w:rsidRPr="000A386E">
        <w:rPr>
          <w:rFonts w:ascii="Calibri" w:eastAsia="Times New Roman" w:hAnsi="Calibri" w:cs="Calibri"/>
          <w:b/>
          <w:bCs/>
          <w:lang w:eastAsia="hr-HR"/>
        </w:rPr>
        <w:t>Tablica 2</w:t>
      </w:r>
      <w:r>
        <w:rPr>
          <w:rFonts w:ascii="Calibri" w:eastAsia="Times New Roman" w:hAnsi="Calibri" w:cs="Calibri"/>
          <w:b/>
          <w:bCs/>
          <w:lang w:eastAsia="hr-HR"/>
        </w:rPr>
        <w:t>7</w:t>
      </w:r>
      <w:r w:rsidRPr="000A386E">
        <w:rPr>
          <w:rFonts w:ascii="Calibri" w:eastAsia="Times New Roman" w:hAnsi="Calibri" w:cs="Calibri"/>
          <w:b/>
          <w:bCs/>
          <w:lang w:eastAsia="hr-HR"/>
        </w:rPr>
        <w:t>. Sudjelovanja na radnim sastancima u europskim poslovima farmakopeje</w:t>
      </w:r>
    </w:p>
    <w:tbl>
      <w:tblPr>
        <w:tblW w:w="9082"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4253"/>
        <w:gridCol w:w="2013"/>
        <w:gridCol w:w="2097"/>
      </w:tblGrid>
      <w:tr w:rsidR="005E6BC2" w:rsidRPr="000E02DA" w14:paraId="4DD66C9E" w14:textId="77777777" w:rsidTr="00BA499D">
        <w:trPr>
          <w:trHeight w:val="284"/>
        </w:trPr>
        <w:tc>
          <w:tcPr>
            <w:tcW w:w="719" w:type="dxa"/>
            <w:vMerge w:val="restart"/>
            <w:tcBorders>
              <w:top w:val="single" w:sz="4" w:space="0" w:color="auto"/>
              <w:left w:val="single" w:sz="4" w:space="0" w:color="auto"/>
              <w:bottom w:val="single" w:sz="4" w:space="0" w:color="auto"/>
              <w:right w:val="single" w:sz="4" w:space="0" w:color="auto"/>
            </w:tcBorders>
            <w:shd w:val="clear" w:color="auto" w:fill="A3E7FF"/>
            <w:vAlign w:val="center"/>
            <w:hideMark/>
          </w:tcPr>
          <w:p w14:paraId="3D0643AC" w14:textId="77777777" w:rsidR="005E6BC2" w:rsidRPr="000E02DA" w:rsidRDefault="005E6BC2" w:rsidP="00BA499D">
            <w:pPr>
              <w:spacing w:line="276" w:lineRule="auto"/>
              <w:jc w:val="center"/>
              <w:rPr>
                <w:rFonts w:ascii="Calibri" w:eastAsia="Times New Roman" w:hAnsi="Calibri" w:cs="Calibri"/>
                <w:b/>
                <w:bCs/>
                <w:sz w:val="18"/>
                <w:szCs w:val="18"/>
                <w:lang w:eastAsia="hr-HR"/>
              </w:rPr>
            </w:pPr>
            <w:r w:rsidRPr="000E02DA">
              <w:rPr>
                <w:rFonts w:ascii="Calibri" w:eastAsia="Times New Roman" w:hAnsi="Calibri" w:cs="Calibri"/>
                <w:b/>
                <w:bCs/>
                <w:sz w:val="18"/>
                <w:szCs w:val="18"/>
                <w:lang w:eastAsia="hr-HR"/>
              </w:rPr>
              <w:t>R.br.</w:t>
            </w:r>
          </w:p>
        </w:tc>
        <w:tc>
          <w:tcPr>
            <w:tcW w:w="4253" w:type="dxa"/>
            <w:vMerge w:val="restart"/>
            <w:tcBorders>
              <w:top w:val="single" w:sz="4" w:space="0" w:color="auto"/>
              <w:left w:val="single" w:sz="4" w:space="0" w:color="auto"/>
              <w:bottom w:val="single" w:sz="4" w:space="0" w:color="auto"/>
              <w:right w:val="single" w:sz="4" w:space="0" w:color="auto"/>
            </w:tcBorders>
            <w:shd w:val="clear" w:color="auto" w:fill="A3E7FF"/>
            <w:vAlign w:val="center"/>
            <w:hideMark/>
          </w:tcPr>
          <w:p w14:paraId="345EE2A5" w14:textId="77777777" w:rsidR="005E6BC2" w:rsidRPr="000E02DA" w:rsidRDefault="005E6BC2" w:rsidP="00BA499D">
            <w:pPr>
              <w:spacing w:line="276" w:lineRule="auto"/>
              <w:rPr>
                <w:rFonts w:ascii="Calibri" w:eastAsia="Times New Roman" w:hAnsi="Calibri" w:cs="Calibri"/>
                <w:b/>
                <w:bCs/>
                <w:sz w:val="18"/>
                <w:szCs w:val="18"/>
                <w:lang w:eastAsia="hr-HR"/>
              </w:rPr>
            </w:pPr>
            <w:r w:rsidRPr="000E02DA">
              <w:rPr>
                <w:rFonts w:ascii="Calibri" w:eastAsia="Times New Roman" w:hAnsi="Calibri" w:cs="Calibri"/>
                <w:b/>
                <w:bCs/>
                <w:sz w:val="18"/>
                <w:szCs w:val="18"/>
                <w:lang w:eastAsia="hr-HR"/>
              </w:rPr>
              <w:t>Naziv povjerenstva/radne skupine/odbora</w:t>
            </w:r>
          </w:p>
        </w:tc>
        <w:tc>
          <w:tcPr>
            <w:tcW w:w="2013" w:type="dxa"/>
            <w:vMerge w:val="restart"/>
            <w:tcBorders>
              <w:top w:val="single" w:sz="4" w:space="0" w:color="auto"/>
              <w:left w:val="single" w:sz="4" w:space="0" w:color="auto"/>
              <w:bottom w:val="single" w:sz="4" w:space="0" w:color="auto"/>
              <w:right w:val="single" w:sz="4" w:space="0" w:color="auto"/>
            </w:tcBorders>
            <w:shd w:val="clear" w:color="auto" w:fill="A3E7FF"/>
            <w:vAlign w:val="center"/>
            <w:hideMark/>
          </w:tcPr>
          <w:p w14:paraId="3729A085" w14:textId="77777777" w:rsidR="005E6BC2" w:rsidRPr="000E02DA" w:rsidRDefault="005E6BC2" w:rsidP="00BA499D">
            <w:pPr>
              <w:spacing w:line="276" w:lineRule="auto"/>
              <w:jc w:val="center"/>
              <w:rPr>
                <w:rFonts w:ascii="Calibri" w:eastAsia="Times New Roman" w:hAnsi="Calibri" w:cs="Calibri"/>
                <w:b/>
                <w:bCs/>
                <w:sz w:val="18"/>
                <w:szCs w:val="18"/>
                <w:lang w:eastAsia="hr-HR"/>
              </w:rPr>
            </w:pPr>
            <w:r w:rsidRPr="000E02DA">
              <w:rPr>
                <w:rFonts w:ascii="Calibri" w:eastAsia="Times New Roman" w:hAnsi="Calibri" w:cs="Calibri"/>
                <w:b/>
                <w:bCs/>
                <w:sz w:val="18"/>
                <w:szCs w:val="18"/>
                <w:lang w:eastAsia="hr-HR"/>
              </w:rPr>
              <w:t>Plan za 202</w:t>
            </w:r>
            <w:r>
              <w:rPr>
                <w:rFonts w:ascii="Calibri" w:eastAsia="Times New Roman" w:hAnsi="Calibri" w:cs="Calibri"/>
                <w:b/>
                <w:bCs/>
                <w:sz w:val="18"/>
                <w:szCs w:val="18"/>
                <w:lang w:eastAsia="hr-HR"/>
              </w:rPr>
              <w:t>3</w:t>
            </w:r>
            <w:r w:rsidRPr="000E02DA">
              <w:rPr>
                <w:rFonts w:ascii="Calibri" w:eastAsia="Times New Roman" w:hAnsi="Calibri" w:cs="Calibri"/>
                <w:b/>
                <w:bCs/>
                <w:sz w:val="18"/>
                <w:szCs w:val="18"/>
                <w:lang w:eastAsia="hr-HR"/>
              </w:rPr>
              <w:t xml:space="preserve">. </w:t>
            </w:r>
          </w:p>
        </w:tc>
        <w:tc>
          <w:tcPr>
            <w:tcW w:w="2097" w:type="dxa"/>
            <w:vMerge w:val="restart"/>
            <w:tcBorders>
              <w:top w:val="single" w:sz="4" w:space="0" w:color="auto"/>
              <w:left w:val="single" w:sz="4" w:space="0" w:color="auto"/>
              <w:bottom w:val="single" w:sz="4" w:space="0" w:color="auto"/>
              <w:right w:val="single" w:sz="4" w:space="0" w:color="auto"/>
            </w:tcBorders>
            <w:shd w:val="clear" w:color="auto" w:fill="A3E7FF"/>
            <w:vAlign w:val="center"/>
            <w:hideMark/>
          </w:tcPr>
          <w:p w14:paraId="52FFDA38" w14:textId="77777777" w:rsidR="005E6BC2" w:rsidRPr="000E02DA" w:rsidRDefault="005E6BC2" w:rsidP="00BA499D">
            <w:pPr>
              <w:spacing w:line="276" w:lineRule="auto"/>
              <w:jc w:val="center"/>
              <w:rPr>
                <w:rFonts w:ascii="Calibri" w:eastAsia="Times New Roman" w:hAnsi="Calibri" w:cs="Calibri"/>
                <w:b/>
                <w:bCs/>
                <w:sz w:val="18"/>
                <w:szCs w:val="18"/>
                <w:lang w:eastAsia="hr-HR"/>
              </w:rPr>
            </w:pPr>
            <w:r w:rsidRPr="000E02DA">
              <w:rPr>
                <w:rFonts w:ascii="Calibri" w:eastAsia="Times New Roman" w:hAnsi="Calibri" w:cs="Calibri"/>
                <w:b/>
                <w:bCs/>
                <w:sz w:val="18"/>
                <w:szCs w:val="18"/>
                <w:lang w:eastAsia="hr-HR"/>
              </w:rPr>
              <w:t xml:space="preserve">Izvršenje </w:t>
            </w:r>
          </w:p>
          <w:p w14:paraId="3C637042" w14:textId="77777777" w:rsidR="005E6BC2" w:rsidRPr="000E02DA" w:rsidRDefault="005E6BC2" w:rsidP="00BA499D">
            <w:pPr>
              <w:spacing w:line="276" w:lineRule="auto"/>
              <w:jc w:val="center"/>
              <w:rPr>
                <w:rFonts w:ascii="Calibri" w:eastAsia="Times New Roman" w:hAnsi="Calibri" w:cs="Calibri"/>
                <w:b/>
                <w:bCs/>
                <w:sz w:val="18"/>
                <w:szCs w:val="18"/>
                <w:lang w:eastAsia="hr-HR"/>
              </w:rPr>
            </w:pPr>
            <w:r>
              <w:rPr>
                <w:rFonts w:ascii="Calibri" w:eastAsia="Times New Roman" w:hAnsi="Calibri" w:cs="Calibri"/>
                <w:b/>
                <w:bCs/>
                <w:sz w:val="18"/>
                <w:szCs w:val="18"/>
                <w:lang w:eastAsia="hr-HR"/>
              </w:rPr>
              <w:t>01.01.-31.12</w:t>
            </w:r>
            <w:r w:rsidRPr="000E02DA">
              <w:rPr>
                <w:rFonts w:ascii="Calibri" w:eastAsia="Times New Roman" w:hAnsi="Calibri" w:cs="Calibri"/>
                <w:b/>
                <w:bCs/>
                <w:sz w:val="18"/>
                <w:szCs w:val="18"/>
                <w:lang w:eastAsia="hr-HR"/>
              </w:rPr>
              <w:t>.202</w:t>
            </w:r>
            <w:r>
              <w:rPr>
                <w:rFonts w:ascii="Calibri" w:eastAsia="Times New Roman" w:hAnsi="Calibri" w:cs="Calibri"/>
                <w:b/>
                <w:bCs/>
                <w:sz w:val="18"/>
                <w:szCs w:val="18"/>
                <w:lang w:eastAsia="hr-HR"/>
              </w:rPr>
              <w:t>3</w:t>
            </w:r>
            <w:r w:rsidRPr="000E02DA">
              <w:rPr>
                <w:rFonts w:ascii="Calibri" w:eastAsia="Times New Roman" w:hAnsi="Calibri" w:cs="Calibri"/>
                <w:b/>
                <w:bCs/>
                <w:sz w:val="18"/>
                <w:szCs w:val="18"/>
                <w:lang w:eastAsia="hr-HR"/>
              </w:rPr>
              <w:t>.</w:t>
            </w:r>
          </w:p>
        </w:tc>
      </w:tr>
      <w:tr w:rsidR="005E6BC2" w:rsidRPr="000E02DA" w14:paraId="142EED11" w14:textId="77777777" w:rsidTr="00BA499D">
        <w:trPr>
          <w:trHeight w:val="5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11BEAB" w14:textId="77777777" w:rsidR="005E6BC2" w:rsidRPr="000E02DA" w:rsidRDefault="005E6BC2" w:rsidP="00BA499D">
            <w:pPr>
              <w:spacing w:line="276" w:lineRule="auto"/>
              <w:rPr>
                <w:rFonts w:ascii="Calibri" w:eastAsia="Times New Roman" w:hAnsi="Calibri" w:cs="Calibri"/>
                <w:b/>
                <w:bCs/>
                <w:sz w:val="18"/>
                <w:szCs w:val="18"/>
                <w:lang w:eastAsia="hr-H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CC74B8" w14:textId="77777777" w:rsidR="005E6BC2" w:rsidRPr="000E02DA" w:rsidRDefault="005E6BC2" w:rsidP="00BA499D">
            <w:pPr>
              <w:spacing w:line="276" w:lineRule="auto"/>
              <w:rPr>
                <w:rFonts w:ascii="Calibri" w:eastAsia="Times New Roman" w:hAnsi="Calibri" w:cs="Calibri"/>
                <w:b/>
                <w:bCs/>
                <w:sz w:val="18"/>
                <w:szCs w:val="18"/>
                <w:lang w:eastAsia="hr-HR"/>
              </w:rPr>
            </w:pPr>
          </w:p>
        </w:tc>
        <w:tc>
          <w:tcPr>
            <w:tcW w:w="2013" w:type="dxa"/>
            <w:vMerge/>
            <w:tcBorders>
              <w:top w:val="single" w:sz="4" w:space="0" w:color="auto"/>
              <w:left w:val="single" w:sz="4" w:space="0" w:color="auto"/>
              <w:bottom w:val="single" w:sz="4" w:space="0" w:color="auto"/>
              <w:right w:val="single" w:sz="4" w:space="0" w:color="auto"/>
            </w:tcBorders>
            <w:vAlign w:val="center"/>
            <w:hideMark/>
          </w:tcPr>
          <w:p w14:paraId="7BA6A56F" w14:textId="77777777" w:rsidR="005E6BC2" w:rsidRPr="000E02DA" w:rsidRDefault="005E6BC2" w:rsidP="00BA499D">
            <w:pPr>
              <w:spacing w:line="276" w:lineRule="auto"/>
              <w:rPr>
                <w:rFonts w:ascii="Calibri" w:eastAsia="Times New Roman" w:hAnsi="Calibri" w:cs="Calibri"/>
                <w:b/>
                <w:bCs/>
                <w:sz w:val="18"/>
                <w:szCs w:val="18"/>
                <w:lang w:eastAsia="hr-HR"/>
              </w:rPr>
            </w:pPr>
          </w:p>
        </w:tc>
        <w:tc>
          <w:tcPr>
            <w:tcW w:w="2097" w:type="dxa"/>
            <w:vMerge/>
            <w:tcBorders>
              <w:top w:val="single" w:sz="4" w:space="0" w:color="auto"/>
              <w:left w:val="single" w:sz="4" w:space="0" w:color="auto"/>
              <w:bottom w:val="single" w:sz="4" w:space="0" w:color="auto"/>
              <w:right w:val="single" w:sz="4" w:space="0" w:color="auto"/>
            </w:tcBorders>
            <w:vAlign w:val="center"/>
            <w:hideMark/>
          </w:tcPr>
          <w:p w14:paraId="4325976C" w14:textId="77777777" w:rsidR="005E6BC2" w:rsidRPr="000E02DA" w:rsidRDefault="005E6BC2" w:rsidP="00BA499D">
            <w:pPr>
              <w:spacing w:line="276" w:lineRule="auto"/>
              <w:rPr>
                <w:rFonts w:ascii="Calibri" w:eastAsia="Times New Roman" w:hAnsi="Calibri" w:cs="Calibri"/>
                <w:b/>
                <w:bCs/>
                <w:sz w:val="18"/>
                <w:szCs w:val="18"/>
                <w:lang w:eastAsia="hr-HR"/>
              </w:rPr>
            </w:pPr>
          </w:p>
        </w:tc>
      </w:tr>
      <w:tr w:rsidR="005E6BC2" w:rsidRPr="000E02DA" w14:paraId="073649AD" w14:textId="77777777" w:rsidTr="00BA499D">
        <w:trPr>
          <w:trHeight w:val="284"/>
        </w:trPr>
        <w:tc>
          <w:tcPr>
            <w:tcW w:w="9082" w:type="dxa"/>
            <w:gridSpan w:val="4"/>
            <w:tcBorders>
              <w:top w:val="single" w:sz="4" w:space="0" w:color="auto"/>
              <w:left w:val="single" w:sz="4" w:space="0" w:color="auto"/>
              <w:bottom w:val="single" w:sz="4" w:space="0" w:color="auto"/>
              <w:right w:val="single" w:sz="4" w:space="0" w:color="auto"/>
            </w:tcBorders>
            <w:noWrap/>
            <w:vAlign w:val="center"/>
            <w:hideMark/>
          </w:tcPr>
          <w:p w14:paraId="67496F0E" w14:textId="77777777" w:rsidR="005E6BC2" w:rsidRPr="000E02DA" w:rsidRDefault="005E6BC2" w:rsidP="00BA499D">
            <w:pPr>
              <w:spacing w:line="276" w:lineRule="auto"/>
              <w:rPr>
                <w:rFonts w:ascii="Calibri" w:eastAsia="Times New Roman" w:hAnsi="Calibri" w:cs="Calibri"/>
                <w:bCs/>
                <w:color w:val="000000"/>
                <w:sz w:val="18"/>
                <w:szCs w:val="18"/>
                <w:lang w:eastAsia="hr-HR"/>
              </w:rPr>
            </w:pPr>
            <w:r w:rsidRPr="000E02DA">
              <w:rPr>
                <w:rFonts w:ascii="Calibri" w:eastAsia="Times New Roman" w:hAnsi="Calibri" w:cs="Times New Roman"/>
                <w:b/>
                <w:bCs/>
                <w:color w:val="1A1A1A"/>
                <w:sz w:val="18"/>
                <w:szCs w:val="18"/>
                <w:lang w:eastAsia="hr-HR"/>
              </w:rPr>
              <w:t>Povjerenstva i radne skupine EDQM-a</w:t>
            </w:r>
          </w:p>
        </w:tc>
      </w:tr>
      <w:tr w:rsidR="005E6BC2" w:rsidRPr="000E02DA" w14:paraId="3E03CEBD" w14:textId="77777777" w:rsidTr="00BA499D">
        <w:trPr>
          <w:trHeight w:val="284"/>
        </w:trPr>
        <w:tc>
          <w:tcPr>
            <w:tcW w:w="719" w:type="dxa"/>
            <w:tcBorders>
              <w:top w:val="single" w:sz="4" w:space="0" w:color="auto"/>
              <w:left w:val="single" w:sz="4" w:space="0" w:color="auto"/>
              <w:bottom w:val="single" w:sz="4" w:space="0" w:color="auto"/>
              <w:right w:val="single" w:sz="4" w:space="0" w:color="auto"/>
            </w:tcBorders>
            <w:noWrap/>
            <w:vAlign w:val="center"/>
            <w:hideMark/>
          </w:tcPr>
          <w:p w14:paraId="48B5204E" w14:textId="77777777" w:rsidR="005E6BC2" w:rsidRPr="000E02DA" w:rsidRDefault="005E6BC2" w:rsidP="00BA499D">
            <w:pPr>
              <w:spacing w:line="276" w:lineRule="auto"/>
              <w:jc w:val="center"/>
              <w:rPr>
                <w:rFonts w:ascii="Calibri" w:eastAsia="Times New Roman" w:hAnsi="Calibri" w:cs="Calibri"/>
                <w:color w:val="1A1A1A"/>
                <w:sz w:val="18"/>
                <w:szCs w:val="18"/>
                <w:lang w:eastAsia="hr-HR"/>
              </w:rPr>
            </w:pPr>
            <w:r w:rsidRPr="000E02DA">
              <w:rPr>
                <w:rFonts w:ascii="Calibri" w:eastAsia="Times New Roman" w:hAnsi="Calibri" w:cs="Calibri"/>
                <w:color w:val="1A1A1A"/>
                <w:sz w:val="18"/>
                <w:szCs w:val="18"/>
                <w:lang w:eastAsia="hr-HR"/>
              </w:rPr>
              <w:t>1.</w:t>
            </w:r>
          </w:p>
        </w:tc>
        <w:tc>
          <w:tcPr>
            <w:tcW w:w="4253" w:type="dxa"/>
            <w:tcBorders>
              <w:top w:val="single" w:sz="4" w:space="0" w:color="auto"/>
              <w:left w:val="single" w:sz="4" w:space="0" w:color="auto"/>
              <w:bottom w:val="single" w:sz="4" w:space="0" w:color="auto"/>
              <w:right w:val="single" w:sz="4" w:space="0" w:color="auto"/>
            </w:tcBorders>
            <w:vAlign w:val="center"/>
            <w:hideMark/>
          </w:tcPr>
          <w:p w14:paraId="67A51B7D" w14:textId="77777777" w:rsidR="005E6BC2" w:rsidRPr="000E02DA" w:rsidRDefault="005E6BC2" w:rsidP="00BA499D">
            <w:pPr>
              <w:spacing w:line="276" w:lineRule="auto"/>
              <w:rPr>
                <w:rFonts w:ascii="Calibri" w:eastAsia="Times New Roman" w:hAnsi="Calibri" w:cs="Calibri"/>
                <w:bCs/>
                <w:color w:val="1A1A1A"/>
                <w:sz w:val="18"/>
                <w:szCs w:val="18"/>
                <w:lang w:eastAsia="hr-HR"/>
              </w:rPr>
            </w:pPr>
            <w:r w:rsidRPr="000E02DA">
              <w:rPr>
                <w:rFonts w:eastAsia="Times New Roman"/>
                <w:sz w:val="18"/>
                <w:szCs w:val="18"/>
              </w:rPr>
              <w:t>Komisija Europske farmakopeje</w:t>
            </w:r>
          </w:p>
        </w:tc>
        <w:tc>
          <w:tcPr>
            <w:tcW w:w="2013" w:type="dxa"/>
            <w:tcBorders>
              <w:top w:val="single" w:sz="4" w:space="0" w:color="auto"/>
              <w:left w:val="single" w:sz="4" w:space="0" w:color="auto"/>
              <w:bottom w:val="single" w:sz="4" w:space="0" w:color="auto"/>
              <w:right w:val="single" w:sz="4" w:space="0" w:color="auto"/>
            </w:tcBorders>
            <w:noWrap/>
            <w:vAlign w:val="center"/>
          </w:tcPr>
          <w:p w14:paraId="441C6B5E" w14:textId="77777777" w:rsidR="005E6BC2" w:rsidRPr="000E02DA" w:rsidRDefault="005E6BC2" w:rsidP="00BA499D">
            <w:pPr>
              <w:spacing w:line="276" w:lineRule="auto"/>
              <w:jc w:val="center"/>
              <w:rPr>
                <w:rFonts w:ascii="Calibri" w:eastAsia="Times New Roman" w:hAnsi="Calibri" w:cs="Calibri"/>
                <w:bCs/>
                <w:color w:val="000000"/>
                <w:sz w:val="18"/>
                <w:szCs w:val="18"/>
                <w:lang w:eastAsia="hr-HR"/>
              </w:rPr>
            </w:pPr>
            <w:r>
              <w:rPr>
                <w:rFonts w:eastAsia="Times New Roman" w:cs="Calibri"/>
                <w:bCs/>
                <w:color w:val="000000"/>
                <w:sz w:val="18"/>
                <w:szCs w:val="18"/>
                <w:lang w:eastAsia="hr-HR"/>
              </w:rPr>
              <w:t>3</w:t>
            </w:r>
          </w:p>
        </w:tc>
        <w:tc>
          <w:tcPr>
            <w:tcW w:w="2097" w:type="dxa"/>
            <w:tcBorders>
              <w:top w:val="single" w:sz="4" w:space="0" w:color="auto"/>
              <w:left w:val="single" w:sz="4" w:space="0" w:color="auto"/>
              <w:bottom w:val="single" w:sz="4" w:space="0" w:color="auto"/>
              <w:right w:val="single" w:sz="4" w:space="0" w:color="auto"/>
            </w:tcBorders>
            <w:noWrap/>
            <w:vAlign w:val="center"/>
          </w:tcPr>
          <w:p w14:paraId="114FD0A4" w14:textId="77777777" w:rsidR="005E6BC2" w:rsidRPr="00E7145E" w:rsidRDefault="005E6BC2" w:rsidP="00BA499D">
            <w:pPr>
              <w:spacing w:line="276" w:lineRule="auto"/>
              <w:jc w:val="center"/>
              <w:rPr>
                <w:rFonts w:ascii="Calibri" w:eastAsia="Times New Roman" w:hAnsi="Calibri" w:cs="Calibri"/>
                <w:bCs/>
                <w:color w:val="000000"/>
                <w:sz w:val="18"/>
                <w:szCs w:val="18"/>
                <w:lang w:eastAsia="hr-HR"/>
              </w:rPr>
            </w:pPr>
            <w:r>
              <w:rPr>
                <w:rFonts w:ascii="Calibri" w:eastAsia="Times New Roman" w:hAnsi="Calibri" w:cs="Calibri"/>
                <w:bCs/>
                <w:color w:val="000000"/>
                <w:sz w:val="18"/>
                <w:szCs w:val="18"/>
                <w:lang w:eastAsia="hr-HR"/>
              </w:rPr>
              <w:t>3</w:t>
            </w:r>
          </w:p>
        </w:tc>
      </w:tr>
      <w:tr w:rsidR="005E6BC2" w:rsidRPr="000E02DA" w14:paraId="6E055259" w14:textId="77777777" w:rsidTr="00BA499D">
        <w:trPr>
          <w:trHeight w:val="284"/>
        </w:trPr>
        <w:tc>
          <w:tcPr>
            <w:tcW w:w="719" w:type="dxa"/>
            <w:tcBorders>
              <w:top w:val="single" w:sz="4" w:space="0" w:color="auto"/>
              <w:left w:val="single" w:sz="4" w:space="0" w:color="auto"/>
              <w:bottom w:val="single" w:sz="4" w:space="0" w:color="auto"/>
              <w:right w:val="single" w:sz="4" w:space="0" w:color="auto"/>
            </w:tcBorders>
            <w:noWrap/>
            <w:vAlign w:val="center"/>
            <w:hideMark/>
          </w:tcPr>
          <w:p w14:paraId="331EF41D" w14:textId="77777777" w:rsidR="005E6BC2" w:rsidRPr="000E02DA" w:rsidRDefault="005E6BC2" w:rsidP="00BA499D">
            <w:pPr>
              <w:spacing w:line="276" w:lineRule="auto"/>
              <w:jc w:val="center"/>
              <w:rPr>
                <w:rFonts w:ascii="Calibri" w:eastAsia="Times New Roman" w:hAnsi="Calibri" w:cs="Calibri"/>
                <w:color w:val="1A1A1A"/>
                <w:sz w:val="18"/>
                <w:szCs w:val="18"/>
                <w:lang w:eastAsia="hr-HR"/>
              </w:rPr>
            </w:pPr>
            <w:r>
              <w:rPr>
                <w:rFonts w:ascii="Calibri" w:eastAsia="Times New Roman" w:hAnsi="Calibri" w:cs="Calibri"/>
                <w:color w:val="1A1A1A"/>
                <w:sz w:val="18"/>
                <w:szCs w:val="18"/>
                <w:lang w:eastAsia="hr-HR"/>
              </w:rPr>
              <w:t>2</w:t>
            </w:r>
            <w:r w:rsidRPr="000E02DA">
              <w:rPr>
                <w:rFonts w:ascii="Calibri" w:eastAsia="Times New Roman" w:hAnsi="Calibri" w:cs="Calibri"/>
                <w:color w:val="1A1A1A"/>
                <w:sz w:val="18"/>
                <w:szCs w:val="18"/>
                <w:lang w:eastAsia="hr-HR"/>
              </w:rPr>
              <w:t>.</w:t>
            </w:r>
          </w:p>
        </w:tc>
        <w:tc>
          <w:tcPr>
            <w:tcW w:w="4253" w:type="dxa"/>
            <w:tcBorders>
              <w:top w:val="single" w:sz="4" w:space="0" w:color="auto"/>
              <w:left w:val="single" w:sz="4" w:space="0" w:color="auto"/>
              <w:bottom w:val="single" w:sz="4" w:space="0" w:color="auto"/>
              <w:right w:val="single" w:sz="4" w:space="0" w:color="auto"/>
            </w:tcBorders>
            <w:vAlign w:val="center"/>
            <w:hideMark/>
          </w:tcPr>
          <w:p w14:paraId="4587D301" w14:textId="77777777" w:rsidR="005E6BC2" w:rsidRPr="000E02DA" w:rsidRDefault="005E6BC2" w:rsidP="00BA499D">
            <w:pPr>
              <w:spacing w:line="276" w:lineRule="auto"/>
              <w:rPr>
                <w:rFonts w:ascii="Calibri" w:eastAsia="Times New Roman" w:hAnsi="Calibri" w:cs="Times New Roman"/>
                <w:sz w:val="18"/>
                <w:szCs w:val="18"/>
              </w:rPr>
            </w:pPr>
            <w:r>
              <w:rPr>
                <w:rFonts w:eastAsia="Times New Roman"/>
                <w:sz w:val="18"/>
                <w:szCs w:val="18"/>
              </w:rPr>
              <w:t>Stručna grupa</w:t>
            </w:r>
            <w:r w:rsidRPr="000E02DA">
              <w:rPr>
                <w:rFonts w:eastAsia="Times New Roman"/>
                <w:sz w:val="18"/>
                <w:szCs w:val="18"/>
              </w:rPr>
              <w:t xml:space="preserve"> P4 (Procedura 4) pri Europskoj farmakopeji</w:t>
            </w:r>
          </w:p>
        </w:tc>
        <w:tc>
          <w:tcPr>
            <w:tcW w:w="2013" w:type="dxa"/>
            <w:tcBorders>
              <w:top w:val="single" w:sz="4" w:space="0" w:color="auto"/>
              <w:left w:val="single" w:sz="4" w:space="0" w:color="auto"/>
              <w:bottom w:val="single" w:sz="4" w:space="0" w:color="auto"/>
              <w:right w:val="single" w:sz="4" w:space="0" w:color="auto"/>
            </w:tcBorders>
            <w:noWrap/>
            <w:vAlign w:val="center"/>
          </w:tcPr>
          <w:p w14:paraId="06B6985F" w14:textId="77777777" w:rsidR="005E6BC2" w:rsidRPr="000E02DA" w:rsidRDefault="005E6BC2" w:rsidP="00BA499D">
            <w:pPr>
              <w:spacing w:line="276" w:lineRule="auto"/>
              <w:jc w:val="center"/>
              <w:rPr>
                <w:rFonts w:ascii="Calibri" w:eastAsia="Times New Roman" w:hAnsi="Calibri" w:cs="Calibri"/>
                <w:bCs/>
                <w:color w:val="000000"/>
                <w:sz w:val="18"/>
                <w:szCs w:val="18"/>
                <w:lang w:eastAsia="hr-HR"/>
              </w:rPr>
            </w:pPr>
            <w:r>
              <w:rPr>
                <w:rFonts w:eastAsia="Times New Roman" w:cs="Calibri"/>
                <w:bCs/>
                <w:color w:val="000000"/>
                <w:sz w:val="18"/>
                <w:szCs w:val="18"/>
                <w:lang w:eastAsia="hr-HR"/>
              </w:rPr>
              <w:t>3</w:t>
            </w:r>
          </w:p>
        </w:tc>
        <w:tc>
          <w:tcPr>
            <w:tcW w:w="2097" w:type="dxa"/>
            <w:tcBorders>
              <w:top w:val="single" w:sz="4" w:space="0" w:color="auto"/>
              <w:left w:val="single" w:sz="4" w:space="0" w:color="auto"/>
              <w:bottom w:val="single" w:sz="4" w:space="0" w:color="auto"/>
              <w:right w:val="single" w:sz="4" w:space="0" w:color="auto"/>
            </w:tcBorders>
            <w:noWrap/>
            <w:vAlign w:val="center"/>
          </w:tcPr>
          <w:p w14:paraId="2600212C" w14:textId="77777777" w:rsidR="005E6BC2" w:rsidRPr="00E7145E" w:rsidRDefault="005E6BC2" w:rsidP="00BA499D">
            <w:pPr>
              <w:spacing w:line="276" w:lineRule="auto"/>
              <w:jc w:val="center"/>
              <w:rPr>
                <w:rFonts w:ascii="Calibri" w:eastAsia="Times New Roman" w:hAnsi="Calibri" w:cs="Calibri"/>
                <w:bCs/>
                <w:color w:val="000000"/>
                <w:sz w:val="18"/>
                <w:szCs w:val="18"/>
                <w:lang w:eastAsia="hr-HR"/>
              </w:rPr>
            </w:pPr>
            <w:r>
              <w:rPr>
                <w:rFonts w:ascii="Calibri" w:eastAsia="Times New Roman" w:hAnsi="Calibri" w:cs="Calibri"/>
                <w:bCs/>
                <w:color w:val="000000"/>
                <w:sz w:val="18"/>
                <w:szCs w:val="18"/>
                <w:lang w:eastAsia="hr-HR"/>
              </w:rPr>
              <w:t>3</w:t>
            </w:r>
          </w:p>
        </w:tc>
      </w:tr>
      <w:tr w:rsidR="005E6BC2" w:rsidRPr="000E02DA" w14:paraId="2AFDD24E" w14:textId="77777777" w:rsidTr="00BA499D">
        <w:trPr>
          <w:trHeight w:val="284"/>
        </w:trPr>
        <w:tc>
          <w:tcPr>
            <w:tcW w:w="719" w:type="dxa"/>
            <w:tcBorders>
              <w:top w:val="single" w:sz="4" w:space="0" w:color="auto"/>
              <w:left w:val="single" w:sz="4" w:space="0" w:color="auto"/>
              <w:bottom w:val="single" w:sz="4" w:space="0" w:color="auto"/>
              <w:right w:val="single" w:sz="4" w:space="0" w:color="auto"/>
            </w:tcBorders>
            <w:noWrap/>
            <w:vAlign w:val="center"/>
          </w:tcPr>
          <w:p w14:paraId="5D351777" w14:textId="77777777" w:rsidR="005E6BC2" w:rsidRDefault="005E6BC2" w:rsidP="00BA499D">
            <w:pPr>
              <w:spacing w:line="276" w:lineRule="auto"/>
              <w:jc w:val="center"/>
              <w:rPr>
                <w:rFonts w:ascii="Calibri" w:eastAsia="Times New Roman" w:hAnsi="Calibri" w:cs="Calibri"/>
                <w:color w:val="1A1A1A"/>
                <w:sz w:val="18"/>
                <w:szCs w:val="18"/>
                <w:lang w:eastAsia="hr-HR"/>
              </w:rPr>
            </w:pPr>
            <w:r>
              <w:rPr>
                <w:rFonts w:ascii="Calibri" w:eastAsia="Times New Roman" w:hAnsi="Calibri" w:cs="Calibri"/>
                <w:color w:val="1A1A1A"/>
                <w:sz w:val="18"/>
                <w:szCs w:val="18"/>
                <w:lang w:eastAsia="hr-HR"/>
              </w:rPr>
              <w:lastRenderedPageBreak/>
              <w:t>3.</w:t>
            </w:r>
          </w:p>
        </w:tc>
        <w:tc>
          <w:tcPr>
            <w:tcW w:w="4253" w:type="dxa"/>
            <w:tcBorders>
              <w:top w:val="single" w:sz="4" w:space="0" w:color="auto"/>
              <w:left w:val="single" w:sz="4" w:space="0" w:color="auto"/>
              <w:bottom w:val="single" w:sz="4" w:space="0" w:color="auto"/>
              <w:right w:val="single" w:sz="4" w:space="0" w:color="auto"/>
            </w:tcBorders>
            <w:vAlign w:val="center"/>
          </w:tcPr>
          <w:p w14:paraId="58D2293D" w14:textId="77777777" w:rsidR="005E6BC2" w:rsidRPr="000E02DA" w:rsidRDefault="005E6BC2" w:rsidP="00BA499D">
            <w:pPr>
              <w:spacing w:line="276" w:lineRule="auto"/>
              <w:rPr>
                <w:rFonts w:eastAsia="Times New Roman"/>
                <w:sz w:val="18"/>
                <w:szCs w:val="18"/>
              </w:rPr>
            </w:pPr>
            <w:r>
              <w:rPr>
                <w:rFonts w:eastAsia="Times New Roman"/>
                <w:sz w:val="18"/>
                <w:szCs w:val="18"/>
              </w:rPr>
              <w:t>Stručna grupa</w:t>
            </w:r>
            <w:r w:rsidRPr="000E02DA">
              <w:rPr>
                <w:rFonts w:eastAsia="Times New Roman"/>
                <w:sz w:val="18"/>
                <w:szCs w:val="18"/>
              </w:rPr>
              <w:t xml:space="preserve"> </w:t>
            </w:r>
            <w:r>
              <w:rPr>
                <w:rFonts w:eastAsia="Times New Roman"/>
                <w:sz w:val="18"/>
                <w:szCs w:val="18"/>
              </w:rPr>
              <w:t>1 (Mikrobiologija) pri Europskoj farmakopeji</w:t>
            </w:r>
          </w:p>
        </w:tc>
        <w:tc>
          <w:tcPr>
            <w:tcW w:w="2013" w:type="dxa"/>
            <w:tcBorders>
              <w:top w:val="single" w:sz="4" w:space="0" w:color="auto"/>
              <w:left w:val="single" w:sz="4" w:space="0" w:color="auto"/>
              <w:bottom w:val="single" w:sz="4" w:space="0" w:color="auto"/>
              <w:right w:val="single" w:sz="4" w:space="0" w:color="auto"/>
            </w:tcBorders>
            <w:noWrap/>
            <w:vAlign w:val="center"/>
          </w:tcPr>
          <w:p w14:paraId="1184F06A" w14:textId="77777777" w:rsidR="005E6BC2" w:rsidRDefault="005E6BC2" w:rsidP="00BA499D">
            <w:pPr>
              <w:spacing w:line="276" w:lineRule="auto"/>
              <w:jc w:val="center"/>
              <w:rPr>
                <w:rFonts w:eastAsia="Times New Roman" w:cs="Calibri"/>
                <w:bCs/>
                <w:color w:val="000000"/>
                <w:sz w:val="18"/>
                <w:szCs w:val="18"/>
                <w:lang w:eastAsia="hr-HR"/>
              </w:rPr>
            </w:pPr>
            <w:r>
              <w:rPr>
                <w:rFonts w:eastAsia="Times New Roman" w:cs="Calibri"/>
                <w:bCs/>
                <w:color w:val="000000"/>
                <w:sz w:val="18"/>
                <w:szCs w:val="18"/>
                <w:lang w:eastAsia="hr-HR"/>
              </w:rPr>
              <w:t>3</w:t>
            </w:r>
          </w:p>
        </w:tc>
        <w:tc>
          <w:tcPr>
            <w:tcW w:w="2097" w:type="dxa"/>
            <w:tcBorders>
              <w:top w:val="single" w:sz="4" w:space="0" w:color="auto"/>
              <w:left w:val="single" w:sz="4" w:space="0" w:color="auto"/>
              <w:bottom w:val="single" w:sz="4" w:space="0" w:color="auto"/>
              <w:right w:val="single" w:sz="4" w:space="0" w:color="auto"/>
            </w:tcBorders>
            <w:noWrap/>
            <w:vAlign w:val="center"/>
          </w:tcPr>
          <w:p w14:paraId="3407D186" w14:textId="77777777" w:rsidR="005E6BC2" w:rsidRDefault="005E6BC2" w:rsidP="00BA499D">
            <w:pPr>
              <w:spacing w:line="276" w:lineRule="auto"/>
              <w:jc w:val="center"/>
              <w:rPr>
                <w:rFonts w:ascii="Calibri" w:eastAsia="Times New Roman" w:hAnsi="Calibri" w:cs="Calibri"/>
                <w:bCs/>
                <w:color w:val="000000"/>
                <w:sz w:val="18"/>
                <w:szCs w:val="18"/>
                <w:lang w:eastAsia="hr-HR"/>
              </w:rPr>
            </w:pPr>
            <w:r>
              <w:rPr>
                <w:rFonts w:ascii="Calibri" w:eastAsia="Times New Roman" w:hAnsi="Calibri" w:cs="Calibri"/>
                <w:bCs/>
                <w:color w:val="000000"/>
                <w:sz w:val="18"/>
                <w:szCs w:val="18"/>
                <w:lang w:eastAsia="hr-HR"/>
              </w:rPr>
              <w:t>3</w:t>
            </w:r>
          </w:p>
        </w:tc>
      </w:tr>
      <w:tr w:rsidR="005E6BC2" w:rsidRPr="000E02DA" w14:paraId="47D9B5A4" w14:textId="77777777" w:rsidTr="00BA499D">
        <w:trPr>
          <w:trHeight w:val="284"/>
        </w:trPr>
        <w:tc>
          <w:tcPr>
            <w:tcW w:w="719" w:type="dxa"/>
            <w:tcBorders>
              <w:top w:val="single" w:sz="4" w:space="0" w:color="auto"/>
              <w:left w:val="single" w:sz="4" w:space="0" w:color="auto"/>
              <w:bottom w:val="single" w:sz="4" w:space="0" w:color="auto"/>
              <w:right w:val="single" w:sz="4" w:space="0" w:color="auto"/>
            </w:tcBorders>
            <w:noWrap/>
            <w:vAlign w:val="center"/>
          </w:tcPr>
          <w:p w14:paraId="6679BEE5" w14:textId="77777777" w:rsidR="005E6BC2" w:rsidRPr="000E02DA" w:rsidRDefault="005E6BC2" w:rsidP="00BA499D">
            <w:pPr>
              <w:spacing w:line="276" w:lineRule="auto"/>
              <w:jc w:val="center"/>
              <w:rPr>
                <w:rFonts w:ascii="Calibri" w:eastAsia="Times New Roman" w:hAnsi="Calibri" w:cs="Calibri"/>
                <w:color w:val="1A1A1A"/>
                <w:sz w:val="18"/>
                <w:szCs w:val="18"/>
                <w:lang w:eastAsia="hr-HR"/>
              </w:rPr>
            </w:pPr>
            <w:r>
              <w:rPr>
                <w:rFonts w:ascii="Calibri" w:eastAsia="Times New Roman" w:hAnsi="Calibri" w:cs="Calibri"/>
                <w:color w:val="1A1A1A"/>
                <w:sz w:val="18"/>
                <w:szCs w:val="18"/>
                <w:lang w:eastAsia="hr-HR"/>
              </w:rPr>
              <w:t>4.</w:t>
            </w:r>
          </w:p>
        </w:tc>
        <w:tc>
          <w:tcPr>
            <w:tcW w:w="4253" w:type="dxa"/>
            <w:tcBorders>
              <w:top w:val="single" w:sz="4" w:space="0" w:color="auto"/>
              <w:left w:val="single" w:sz="4" w:space="0" w:color="auto"/>
              <w:bottom w:val="single" w:sz="4" w:space="0" w:color="auto"/>
              <w:right w:val="single" w:sz="4" w:space="0" w:color="auto"/>
            </w:tcBorders>
            <w:vAlign w:val="center"/>
          </w:tcPr>
          <w:p w14:paraId="679D38BF" w14:textId="77777777" w:rsidR="005E6BC2" w:rsidRPr="000E02DA" w:rsidRDefault="005E6BC2" w:rsidP="00BA499D">
            <w:pPr>
              <w:spacing w:line="276" w:lineRule="auto"/>
              <w:rPr>
                <w:rFonts w:ascii="Calibri" w:eastAsia="Times New Roman" w:hAnsi="Calibri" w:cs="Times New Roman"/>
                <w:sz w:val="18"/>
                <w:szCs w:val="18"/>
              </w:rPr>
            </w:pPr>
            <w:r w:rsidRPr="000E02DA">
              <w:rPr>
                <w:rFonts w:eastAsia="Times New Roman"/>
                <w:sz w:val="18"/>
                <w:szCs w:val="18"/>
              </w:rPr>
              <w:t>Sastanak Nacionalnih farmakopejskih tijela u organizaciji EDQM-a</w:t>
            </w:r>
            <w:r>
              <w:rPr>
                <w:rFonts w:eastAsia="Times New Roman"/>
                <w:sz w:val="18"/>
                <w:szCs w:val="18"/>
              </w:rPr>
              <w:t>, godišnji</w:t>
            </w:r>
          </w:p>
        </w:tc>
        <w:tc>
          <w:tcPr>
            <w:tcW w:w="2013" w:type="dxa"/>
            <w:tcBorders>
              <w:top w:val="single" w:sz="4" w:space="0" w:color="auto"/>
              <w:left w:val="single" w:sz="4" w:space="0" w:color="auto"/>
              <w:bottom w:val="single" w:sz="4" w:space="0" w:color="auto"/>
              <w:right w:val="single" w:sz="4" w:space="0" w:color="auto"/>
            </w:tcBorders>
            <w:noWrap/>
            <w:vAlign w:val="center"/>
          </w:tcPr>
          <w:p w14:paraId="1596E443" w14:textId="77777777" w:rsidR="005E6BC2" w:rsidRDefault="005E6BC2" w:rsidP="00BA499D">
            <w:pPr>
              <w:spacing w:line="276" w:lineRule="auto"/>
              <w:jc w:val="center"/>
              <w:rPr>
                <w:rFonts w:ascii="Calibri" w:eastAsia="Times New Roman" w:hAnsi="Calibri" w:cs="Calibri"/>
                <w:bCs/>
                <w:color w:val="000000"/>
                <w:sz w:val="18"/>
                <w:szCs w:val="18"/>
                <w:lang w:eastAsia="hr-HR"/>
              </w:rPr>
            </w:pPr>
            <w:r>
              <w:rPr>
                <w:rFonts w:eastAsia="Times New Roman" w:cs="Calibri"/>
                <w:bCs/>
                <w:color w:val="000000"/>
                <w:sz w:val="18"/>
                <w:szCs w:val="18"/>
                <w:lang w:eastAsia="hr-HR"/>
              </w:rPr>
              <w:t>1</w:t>
            </w:r>
          </w:p>
        </w:tc>
        <w:tc>
          <w:tcPr>
            <w:tcW w:w="2097" w:type="dxa"/>
            <w:tcBorders>
              <w:top w:val="single" w:sz="4" w:space="0" w:color="auto"/>
              <w:left w:val="single" w:sz="4" w:space="0" w:color="auto"/>
              <w:bottom w:val="single" w:sz="4" w:space="0" w:color="auto"/>
              <w:right w:val="single" w:sz="4" w:space="0" w:color="auto"/>
            </w:tcBorders>
            <w:noWrap/>
            <w:vAlign w:val="center"/>
          </w:tcPr>
          <w:p w14:paraId="58BF8EE4" w14:textId="77777777" w:rsidR="005E6BC2" w:rsidRPr="00E7145E" w:rsidRDefault="005E6BC2" w:rsidP="00BA499D">
            <w:pPr>
              <w:spacing w:line="276" w:lineRule="auto"/>
              <w:jc w:val="center"/>
              <w:rPr>
                <w:rFonts w:ascii="Calibri" w:eastAsia="Times New Roman" w:hAnsi="Calibri" w:cs="Calibri"/>
                <w:bCs/>
                <w:color w:val="000000"/>
                <w:sz w:val="18"/>
                <w:szCs w:val="18"/>
                <w:lang w:eastAsia="hr-HR"/>
              </w:rPr>
            </w:pPr>
            <w:r>
              <w:rPr>
                <w:rFonts w:ascii="Calibri" w:eastAsia="Times New Roman" w:hAnsi="Calibri" w:cs="Calibri"/>
                <w:bCs/>
                <w:color w:val="000000"/>
                <w:sz w:val="18"/>
                <w:szCs w:val="18"/>
                <w:lang w:eastAsia="hr-HR"/>
              </w:rPr>
              <w:t>1</w:t>
            </w:r>
          </w:p>
        </w:tc>
      </w:tr>
      <w:tr w:rsidR="005E6BC2" w:rsidRPr="000E02DA" w14:paraId="0A6DCFA3" w14:textId="77777777" w:rsidTr="00BA499D">
        <w:trPr>
          <w:trHeight w:val="284"/>
        </w:trPr>
        <w:tc>
          <w:tcPr>
            <w:tcW w:w="719" w:type="dxa"/>
            <w:tcBorders>
              <w:top w:val="single" w:sz="4" w:space="0" w:color="auto"/>
              <w:left w:val="single" w:sz="4" w:space="0" w:color="auto"/>
              <w:bottom w:val="single" w:sz="4" w:space="0" w:color="auto"/>
              <w:right w:val="single" w:sz="4" w:space="0" w:color="auto"/>
            </w:tcBorders>
            <w:noWrap/>
            <w:vAlign w:val="center"/>
          </w:tcPr>
          <w:p w14:paraId="061A353D" w14:textId="77777777" w:rsidR="005E6BC2" w:rsidRPr="000E02DA" w:rsidRDefault="005E6BC2" w:rsidP="00BA499D">
            <w:pPr>
              <w:spacing w:line="276" w:lineRule="auto"/>
              <w:jc w:val="center"/>
              <w:rPr>
                <w:rFonts w:ascii="Calibri" w:eastAsia="Times New Roman" w:hAnsi="Calibri" w:cs="Calibri"/>
                <w:color w:val="1A1A1A"/>
                <w:sz w:val="18"/>
                <w:szCs w:val="18"/>
                <w:lang w:eastAsia="hr-HR"/>
              </w:rPr>
            </w:pPr>
            <w:r>
              <w:rPr>
                <w:rFonts w:ascii="Calibri" w:eastAsia="Times New Roman" w:hAnsi="Calibri" w:cs="Calibri"/>
                <w:color w:val="1A1A1A"/>
                <w:sz w:val="18"/>
                <w:szCs w:val="18"/>
                <w:lang w:eastAsia="hr-HR"/>
              </w:rPr>
              <w:t>5.</w:t>
            </w:r>
          </w:p>
        </w:tc>
        <w:tc>
          <w:tcPr>
            <w:tcW w:w="4253" w:type="dxa"/>
            <w:tcBorders>
              <w:top w:val="single" w:sz="4" w:space="0" w:color="auto"/>
              <w:left w:val="single" w:sz="4" w:space="0" w:color="auto"/>
              <w:bottom w:val="single" w:sz="4" w:space="0" w:color="auto"/>
              <w:right w:val="single" w:sz="4" w:space="0" w:color="auto"/>
            </w:tcBorders>
            <w:vAlign w:val="center"/>
          </w:tcPr>
          <w:p w14:paraId="367924C6" w14:textId="77777777" w:rsidR="005E6BC2" w:rsidRPr="000E02DA" w:rsidRDefault="005E6BC2" w:rsidP="00BA499D">
            <w:pPr>
              <w:spacing w:line="276" w:lineRule="auto"/>
              <w:rPr>
                <w:rFonts w:ascii="Calibri" w:eastAsia="Times New Roman" w:hAnsi="Calibri" w:cs="Times New Roman"/>
                <w:sz w:val="18"/>
                <w:szCs w:val="18"/>
              </w:rPr>
            </w:pPr>
            <w:r w:rsidRPr="000E02DA">
              <w:rPr>
                <w:rFonts w:eastAsia="Times New Roman"/>
                <w:sz w:val="18"/>
                <w:szCs w:val="18"/>
              </w:rPr>
              <w:t>Sastanak Nacionalnih farmakopejskih tijela u organizaciji EDQM-a</w:t>
            </w:r>
            <w:r>
              <w:rPr>
                <w:rFonts w:eastAsia="Times New Roman"/>
                <w:sz w:val="18"/>
                <w:szCs w:val="18"/>
              </w:rPr>
              <w:t>, mjesečni</w:t>
            </w:r>
          </w:p>
        </w:tc>
        <w:tc>
          <w:tcPr>
            <w:tcW w:w="2013" w:type="dxa"/>
            <w:tcBorders>
              <w:top w:val="single" w:sz="4" w:space="0" w:color="auto"/>
              <w:left w:val="single" w:sz="4" w:space="0" w:color="auto"/>
              <w:bottom w:val="single" w:sz="4" w:space="0" w:color="auto"/>
              <w:right w:val="single" w:sz="4" w:space="0" w:color="auto"/>
            </w:tcBorders>
            <w:noWrap/>
            <w:vAlign w:val="center"/>
          </w:tcPr>
          <w:p w14:paraId="6084A1EF" w14:textId="77777777" w:rsidR="005E6BC2" w:rsidRDefault="005E6BC2" w:rsidP="00BA499D">
            <w:pPr>
              <w:spacing w:line="276" w:lineRule="auto"/>
              <w:jc w:val="center"/>
              <w:rPr>
                <w:rFonts w:ascii="Calibri" w:eastAsia="Times New Roman" w:hAnsi="Calibri" w:cs="Calibri"/>
                <w:bCs/>
                <w:color w:val="000000"/>
                <w:sz w:val="18"/>
                <w:szCs w:val="18"/>
                <w:lang w:eastAsia="hr-HR"/>
              </w:rPr>
            </w:pPr>
            <w:r>
              <w:rPr>
                <w:rFonts w:eastAsia="Times New Roman" w:cs="Calibri"/>
                <w:bCs/>
                <w:color w:val="000000"/>
                <w:sz w:val="18"/>
                <w:szCs w:val="18"/>
                <w:lang w:eastAsia="hr-HR"/>
              </w:rPr>
              <w:t>8</w:t>
            </w:r>
          </w:p>
        </w:tc>
        <w:tc>
          <w:tcPr>
            <w:tcW w:w="2097" w:type="dxa"/>
            <w:tcBorders>
              <w:top w:val="single" w:sz="4" w:space="0" w:color="auto"/>
              <w:left w:val="single" w:sz="4" w:space="0" w:color="auto"/>
              <w:bottom w:val="single" w:sz="4" w:space="0" w:color="auto"/>
              <w:right w:val="single" w:sz="4" w:space="0" w:color="auto"/>
            </w:tcBorders>
            <w:noWrap/>
            <w:vAlign w:val="center"/>
          </w:tcPr>
          <w:p w14:paraId="5B453E24" w14:textId="77777777" w:rsidR="005E6BC2" w:rsidRPr="00E7145E" w:rsidRDefault="005E6BC2" w:rsidP="00BA499D">
            <w:pPr>
              <w:spacing w:line="276" w:lineRule="auto"/>
              <w:jc w:val="center"/>
              <w:rPr>
                <w:rFonts w:ascii="Calibri" w:eastAsia="Times New Roman" w:hAnsi="Calibri" w:cs="Calibri"/>
                <w:bCs/>
                <w:color w:val="000000"/>
                <w:sz w:val="18"/>
                <w:szCs w:val="18"/>
                <w:lang w:eastAsia="hr-HR"/>
              </w:rPr>
            </w:pPr>
            <w:r>
              <w:rPr>
                <w:rFonts w:ascii="Calibri" w:eastAsia="Times New Roman" w:hAnsi="Calibri" w:cs="Calibri"/>
                <w:bCs/>
                <w:color w:val="000000"/>
                <w:sz w:val="18"/>
                <w:szCs w:val="18"/>
                <w:lang w:eastAsia="hr-HR"/>
              </w:rPr>
              <w:t>6</w:t>
            </w:r>
          </w:p>
        </w:tc>
      </w:tr>
      <w:tr w:rsidR="005E6BC2" w:rsidRPr="000E02DA" w14:paraId="1CE4ED52" w14:textId="77777777" w:rsidTr="00BA499D">
        <w:trPr>
          <w:trHeight w:val="284"/>
        </w:trPr>
        <w:tc>
          <w:tcPr>
            <w:tcW w:w="497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1C34A8D" w14:textId="77777777" w:rsidR="005E6BC2" w:rsidRPr="000E02DA" w:rsidRDefault="005E6BC2" w:rsidP="00BA499D">
            <w:pPr>
              <w:spacing w:line="276" w:lineRule="auto"/>
              <w:rPr>
                <w:rFonts w:ascii="Calibri" w:eastAsia="Times New Roman" w:hAnsi="Calibri" w:cs="Calibri"/>
                <w:b/>
                <w:bCs/>
                <w:color w:val="1A1A1A"/>
                <w:sz w:val="18"/>
                <w:szCs w:val="18"/>
                <w:lang w:eastAsia="hr-HR"/>
              </w:rPr>
            </w:pPr>
            <w:r w:rsidRPr="000E02DA">
              <w:rPr>
                <w:rFonts w:ascii="Calibri" w:eastAsia="Times New Roman" w:hAnsi="Calibri" w:cs="Calibri"/>
                <w:b/>
                <w:bCs/>
                <w:color w:val="1A1A1A"/>
                <w:sz w:val="18"/>
                <w:szCs w:val="18"/>
                <w:lang w:eastAsia="hr-HR"/>
              </w:rPr>
              <w:t>UKUPNO:</w:t>
            </w:r>
          </w:p>
        </w:tc>
        <w:tc>
          <w:tcPr>
            <w:tcW w:w="2013" w:type="dxa"/>
            <w:tcBorders>
              <w:top w:val="single" w:sz="4" w:space="0" w:color="auto"/>
              <w:left w:val="single" w:sz="4" w:space="0" w:color="auto"/>
              <w:bottom w:val="single" w:sz="4" w:space="0" w:color="auto"/>
              <w:right w:val="single" w:sz="4" w:space="0" w:color="auto"/>
            </w:tcBorders>
            <w:shd w:val="clear" w:color="auto" w:fill="BFBFBF"/>
            <w:noWrap/>
            <w:vAlign w:val="center"/>
          </w:tcPr>
          <w:p w14:paraId="2C0FCEC0" w14:textId="77777777" w:rsidR="005E6BC2" w:rsidRPr="000E02DA" w:rsidRDefault="005E6BC2" w:rsidP="00BA499D">
            <w:pPr>
              <w:spacing w:line="276" w:lineRule="auto"/>
              <w:jc w:val="center"/>
              <w:rPr>
                <w:rFonts w:ascii="Calibri" w:eastAsia="Times New Roman" w:hAnsi="Calibri" w:cs="Calibri"/>
                <w:b/>
                <w:bCs/>
                <w:color w:val="000000"/>
                <w:sz w:val="18"/>
                <w:szCs w:val="18"/>
                <w:lang w:eastAsia="hr-HR"/>
              </w:rPr>
            </w:pPr>
            <w:r>
              <w:rPr>
                <w:rFonts w:ascii="Calibri" w:eastAsia="Times New Roman" w:hAnsi="Calibri" w:cs="Calibri"/>
                <w:b/>
                <w:bCs/>
                <w:color w:val="000000"/>
                <w:sz w:val="18"/>
                <w:szCs w:val="18"/>
                <w:lang w:eastAsia="hr-HR"/>
              </w:rPr>
              <w:t>18</w:t>
            </w:r>
          </w:p>
        </w:tc>
        <w:tc>
          <w:tcPr>
            <w:tcW w:w="2097" w:type="dxa"/>
            <w:tcBorders>
              <w:top w:val="single" w:sz="4" w:space="0" w:color="auto"/>
              <w:left w:val="single" w:sz="4" w:space="0" w:color="auto"/>
              <w:bottom w:val="single" w:sz="4" w:space="0" w:color="auto"/>
              <w:right w:val="single" w:sz="4" w:space="0" w:color="auto"/>
            </w:tcBorders>
            <w:shd w:val="clear" w:color="auto" w:fill="BFBFBF"/>
            <w:noWrap/>
            <w:vAlign w:val="center"/>
          </w:tcPr>
          <w:p w14:paraId="757B792F" w14:textId="77777777" w:rsidR="005E6BC2" w:rsidRPr="00E7145E" w:rsidRDefault="005E6BC2" w:rsidP="00BA499D">
            <w:pPr>
              <w:spacing w:line="276" w:lineRule="auto"/>
              <w:jc w:val="center"/>
              <w:rPr>
                <w:rFonts w:ascii="Calibri" w:eastAsia="Times New Roman" w:hAnsi="Calibri" w:cs="Calibri"/>
                <w:b/>
                <w:bCs/>
                <w:color w:val="000000"/>
                <w:sz w:val="18"/>
                <w:szCs w:val="18"/>
                <w:lang w:eastAsia="hr-HR"/>
              </w:rPr>
            </w:pPr>
            <w:r>
              <w:rPr>
                <w:rFonts w:ascii="Calibri" w:eastAsia="Times New Roman" w:hAnsi="Calibri" w:cs="Calibri"/>
                <w:b/>
                <w:bCs/>
                <w:color w:val="000000"/>
                <w:sz w:val="18"/>
                <w:szCs w:val="18"/>
                <w:lang w:eastAsia="hr-HR"/>
              </w:rPr>
              <w:t>16</w:t>
            </w:r>
          </w:p>
        </w:tc>
      </w:tr>
    </w:tbl>
    <w:p w14:paraId="15713656" w14:textId="77777777" w:rsidR="005E6BC2" w:rsidRDefault="005E6BC2" w:rsidP="005E6BC2">
      <w:pPr>
        <w:tabs>
          <w:tab w:val="center" w:pos="858"/>
          <w:tab w:val="center" w:pos="4320"/>
          <w:tab w:val="right" w:pos="8306"/>
          <w:tab w:val="right" w:pos="8640"/>
        </w:tabs>
        <w:spacing w:after="240"/>
        <w:jc w:val="both"/>
        <w:rPr>
          <w:rFonts w:ascii="Calibri" w:eastAsia="Times New Roman" w:hAnsi="Calibri" w:cs="Calibri"/>
          <w:b/>
          <w:bCs/>
          <w:color w:val="1D1B11"/>
          <w:lang w:eastAsia="hr-HR"/>
        </w:rPr>
      </w:pPr>
    </w:p>
    <w:p w14:paraId="562D9035" w14:textId="2EC6F8F3" w:rsidR="00EA51C4" w:rsidRDefault="00EA51C4">
      <w:r>
        <w:br w:type="page"/>
      </w:r>
    </w:p>
    <w:p w14:paraId="5F1A4380" w14:textId="77777777" w:rsidR="00EA51C4" w:rsidRPr="000F3B33" w:rsidRDefault="00EA51C4" w:rsidP="00EA51C4">
      <w:pPr>
        <w:pStyle w:val="Heading2"/>
      </w:pPr>
      <w:bookmarkStart w:id="261" w:name="_Toc26534689"/>
      <w:bookmarkStart w:id="262" w:name="_Toc165035517"/>
      <w:r w:rsidRPr="000F3B33">
        <w:lastRenderedPageBreak/>
        <w:t>2.</w:t>
      </w:r>
      <w:r>
        <w:t>8</w:t>
      </w:r>
      <w:r w:rsidRPr="000F3B33">
        <w:t>. Medicinski proizvodi</w:t>
      </w:r>
      <w:bookmarkEnd w:id="261"/>
      <w:bookmarkEnd w:id="262"/>
      <w:r w:rsidRPr="000F3B33">
        <w:t xml:space="preserve"> </w:t>
      </w:r>
    </w:p>
    <w:p w14:paraId="0D9C7A77" w14:textId="77777777" w:rsidR="00EA51C4" w:rsidRPr="0008136B" w:rsidRDefault="00EA51C4" w:rsidP="00EA51C4">
      <w:pPr>
        <w:spacing w:after="240" w:line="276" w:lineRule="auto"/>
        <w:jc w:val="both"/>
        <w:rPr>
          <w:rFonts w:eastAsia="Times New Roman" w:cstheme="minorHAnsi"/>
          <w:bCs/>
          <w:color w:val="1D1B11"/>
        </w:rPr>
      </w:pPr>
      <w:r w:rsidRPr="0008136B">
        <w:rPr>
          <w:rFonts w:eastAsia="Times New Roman" w:cstheme="minorHAnsi"/>
          <w:bCs/>
          <w:color w:val="1D1B11"/>
        </w:rPr>
        <w:t>R</w:t>
      </w:r>
      <w:r>
        <w:rPr>
          <w:rFonts w:eastAsia="Times New Roman" w:cstheme="minorHAnsi"/>
          <w:bCs/>
          <w:color w:val="1D1B11"/>
        </w:rPr>
        <w:t xml:space="preserve">epublika </w:t>
      </w:r>
      <w:r w:rsidRPr="0008136B">
        <w:rPr>
          <w:rFonts w:eastAsia="Times New Roman" w:cstheme="minorHAnsi"/>
          <w:bCs/>
          <w:color w:val="1D1B11"/>
        </w:rPr>
        <w:t>H</w:t>
      </w:r>
      <w:r>
        <w:rPr>
          <w:rFonts w:eastAsia="Times New Roman" w:cstheme="minorHAnsi"/>
          <w:bCs/>
          <w:color w:val="1D1B11"/>
        </w:rPr>
        <w:t>rvatska</w:t>
      </w:r>
      <w:r w:rsidRPr="0008136B">
        <w:rPr>
          <w:rFonts w:eastAsia="Times New Roman" w:cstheme="minorHAnsi"/>
          <w:bCs/>
          <w:color w:val="1D1B11"/>
        </w:rPr>
        <w:t xml:space="preserve"> je dio jedinstvenog tržišta E</w:t>
      </w:r>
      <w:r>
        <w:rPr>
          <w:rFonts w:eastAsia="Times New Roman" w:cstheme="minorHAnsi"/>
          <w:bCs/>
          <w:color w:val="1D1B11"/>
        </w:rPr>
        <w:t>U-a</w:t>
      </w:r>
      <w:r w:rsidRPr="0008136B">
        <w:rPr>
          <w:rFonts w:eastAsia="Times New Roman" w:cstheme="minorHAnsi"/>
          <w:bCs/>
          <w:color w:val="1D1B11"/>
        </w:rPr>
        <w:t xml:space="preserve"> na kojem vrijedi načelo slobodnog kretanja robe</w:t>
      </w:r>
      <w:r>
        <w:rPr>
          <w:rFonts w:eastAsia="Times New Roman" w:cstheme="minorHAnsi"/>
          <w:bCs/>
          <w:color w:val="1D1B11"/>
        </w:rPr>
        <w:t xml:space="preserve">, odnosno </w:t>
      </w:r>
      <w:r w:rsidRPr="0008136B">
        <w:rPr>
          <w:rFonts w:eastAsia="Times New Roman" w:cstheme="minorHAnsi"/>
          <w:bCs/>
          <w:color w:val="1D1B11"/>
        </w:rPr>
        <w:t xml:space="preserve">medicinskih proizvoda označenih oznakom CE. CE </w:t>
      </w:r>
      <w:r>
        <w:rPr>
          <w:rFonts w:eastAsia="Times New Roman" w:cstheme="minorHAnsi"/>
          <w:bCs/>
          <w:color w:val="1D1B11"/>
        </w:rPr>
        <w:t>o</w:t>
      </w:r>
      <w:r w:rsidRPr="0008136B">
        <w:rPr>
          <w:rFonts w:eastAsia="Times New Roman" w:cstheme="minorHAnsi"/>
          <w:bCs/>
          <w:color w:val="1D1B11"/>
        </w:rPr>
        <w:t>znaka je jedini uvjet za stavljanje u promet medicinskih proizvoda</w:t>
      </w:r>
      <w:r>
        <w:rPr>
          <w:rFonts w:eastAsia="Times New Roman" w:cstheme="minorHAnsi"/>
          <w:bCs/>
          <w:color w:val="1D1B11"/>
        </w:rPr>
        <w:t xml:space="preserve">, </w:t>
      </w:r>
      <w:r w:rsidRPr="0008136B">
        <w:rPr>
          <w:rFonts w:eastAsia="Times New Roman" w:cstheme="minorHAnsi"/>
          <w:bCs/>
          <w:color w:val="1D1B11"/>
        </w:rPr>
        <w:t xml:space="preserve">a označava da je završen postupak ocjenjivanja sukladnosti u EU </w:t>
      </w:r>
      <w:r>
        <w:rPr>
          <w:rFonts w:eastAsia="Times New Roman" w:cstheme="minorHAnsi"/>
          <w:bCs/>
          <w:color w:val="1D1B11"/>
        </w:rPr>
        <w:t>te da</w:t>
      </w:r>
      <w:r w:rsidRPr="0008136B">
        <w:rPr>
          <w:rFonts w:eastAsia="Times New Roman" w:cstheme="minorHAnsi"/>
          <w:bCs/>
          <w:color w:val="1D1B11"/>
        </w:rPr>
        <w:t xml:space="preserve"> proizvod koji je njome označen ispunjava sve bitne zahtjeve propisane harmoniziranim propisima E</w:t>
      </w:r>
      <w:r>
        <w:rPr>
          <w:rFonts w:eastAsia="Times New Roman" w:cstheme="minorHAnsi"/>
          <w:bCs/>
          <w:color w:val="1D1B11"/>
        </w:rPr>
        <w:t>U-a</w:t>
      </w:r>
      <w:r w:rsidRPr="0008136B">
        <w:rPr>
          <w:rFonts w:eastAsia="Times New Roman" w:cstheme="minorHAnsi"/>
          <w:bCs/>
          <w:color w:val="1D1B11"/>
        </w:rPr>
        <w:t xml:space="preserve">. HALMED </w:t>
      </w:r>
      <w:r w:rsidRPr="00B47C7A">
        <w:rPr>
          <w:rFonts w:eastAsia="Times New Roman" w:cstheme="minorHAnsi"/>
          <w:bCs/>
          <w:color w:val="1D1B11"/>
        </w:rPr>
        <w:t>provjerava podatke upisane u elektroničkom sustavu za registraciju gospodarskih subjekata</w:t>
      </w:r>
      <w:r>
        <w:rPr>
          <w:rFonts w:eastAsia="Times New Roman" w:cstheme="minorHAnsi"/>
          <w:bCs/>
          <w:color w:val="1D1B11"/>
        </w:rPr>
        <w:t xml:space="preserve"> - Eudamed</w:t>
      </w:r>
      <w:r w:rsidRPr="00B47C7A">
        <w:rPr>
          <w:rFonts w:eastAsia="Times New Roman" w:cstheme="minorHAnsi"/>
          <w:bCs/>
          <w:color w:val="1D1B11"/>
        </w:rPr>
        <w:t xml:space="preserve"> te dodjeljuje jedinstveni registracijski broj</w:t>
      </w:r>
      <w:r>
        <w:rPr>
          <w:rFonts w:eastAsia="Times New Roman" w:cstheme="minorHAnsi"/>
          <w:bCs/>
          <w:color w:val="1D1B11"/>
        </w:rPr>
        <w:t xml:space="preserve">, </w:t>
      </w:r>
      <w:r>
        <w:rPr>
          <w:color w:val="231F20"/>
          <w:shd w:val="clear" w:color="auto" w:fill="FFFFFF"/>
        </w:rPr>
        <w:t xml:space="preserve">rješava o sporovima između proizvođača i prijavljenog tijela koji proizlaze iz primjene pravila za </w:t>
      </w:r>
      <w:r w:rsidRPr="00B509E8">
        <w:rPr>
          <w:color w:val="231F20"/>
          <w:shd w:val="clear" w:color="auto" w:fill="FFFFFF"/>
        </w:rPr>
        <w:t>razvrstavanje</w:t>
      </w:r>
      <w:r>
        <w:rPr>
          <w:color w:val="231F20"/>
          <w:shd w:val="clear" w:color="auto" w:fill="FFFFFF"/>
        </w:rPr>
        <w:t xml:space="preserve"> medicinskih proizvoda,</w:t>
      </w:r>
      <w:r>
        <w:rPr>
          <w:rFonts w:eastAsia="Times New Roman" w:cstheme="minorHAnsi"/>
          <w:bCs/>
          <w:color w:val="1D1B11"/>
        </w:rPr>
        <w:t xml:space="preserve"> </w:t>
      </w:r>
      <w:r>
        <w:rPr>
          <w:color w:val="231F20"/>
          <w:shd w:val="clear" w:color="auto" w:fill="FFFFFF"/>
        </w:rPr>
        <w:t>daje potvrdu o slobodnoj prodaji za potrebe izvoza medicinskih proizvoda, provodi vigilanciju medicinskih proizvoda te u slučaju opravdane potrebe može dati odobrenje za</w:t>
      </w:r>
      <w:r w:rsidRPr="00B47C7A">
        <w:rPr>
          <w:color w:val="231F20"/>
          <w:shd w:val="clear" w:color="auto" w:fill="FFFFFF"/>
        </w:rPr>
        <w:t xml:space="preserve"> stavljanje na tržište ili u uporabu, na području </w:t>
      </w:r>
      <w:r>
        <w:rPr>
          <w:color w:val="231F20"/>
          <w:shd w:val="clear" w:color="auto" w:fill="FFFFFF"/>
        </w:rPr>
        <w:t>RH</w:t>
      </w:r>
      <w:r w:rsidRPr="00B47C7A">
        <w:rPr>
          <w:color w:val="231F20"/>
          <w:shd w:val="clear" w:color="auto" w:fill="FFFFFF"/>
        </w:rPr>
        <w:t xml:space="preserve">, određenog proizvoda za koji nisu provedeni </w:t>
      </w:r>
      <w:r>
        <w:rPr>
          <w:color w:val="231F20"/>
          <w:shd w:val="clear" w:color="auto" w:fill="FFFFFF"/>
        </w:rPr>
        <w:t>propisani postupci ocjenjivanja sukladnosti</w:t>
      </w:r>
      <w:r w:rsidRPr="00B47C7A">
        <w:rPr>
          <w:color w:val="231F20"/>
          <w:shd w:val="clear" w:color="auto" w:fill="FFFFFF"/>
        </w:rPr>
        <w:t>, ali čija je uporaba od interesa za javno zdravlje odnosno sigurnost ili zdravlja pacijenata.</w:t>
      </w:r>
      <w:r>
        <w:rPr>
          <w:color w:val="231F20"/>
          <w:shd w:val="clear" w:color="auto" w:fill="FFFFFF"/>
        </w:rPr>
        <w:t xml:space="preserve"> </w:t>
      </w:r>
      <w:r>
        <w:rPr>
          <w:rFonts w:eastAsia="Times New Roman" w:cstheme="minorHAnsi"/>
          <w:bCs/>
          <w:color w:val="1D1B11"/>
        </w:rPr>
        <w:t xml:space="preserve">Također, do pune implementacije Uredbe (EU) 2017/745 te do početka primjene Uredbe (EU) 2017/746 provodi upis u </w:t>
      </w:r>
      <w:r w:rsidRPr="0008136B">
        <w:rPr>
          <w:rFonts w:eastAsia="Times New Roman" w:cstheme="minorHAnsi"/>
          <w:color w:val="1D1B11"/>
        </w:rPr>
        <w:t>očevidnik za medicinske proizvode klase rizika I</w:t>
      </w:r>
      <w:r>
        <w:rPr>
          <w:rFonts w:eastAsia="Times New Roman" w:cstheme="minorHAnsi"/>
          <w:color w:val="1D1B11"/>
        </w:rPr>
        <w:t xml:space="preserve">, </w:t>
      </w:r>
      <w:r w:rsidRPr="0008136B">
        <w:rPr>
          <w:rFonts w:eastAsia="Times New Roman" w:cstheme="minorHAnsi"/>
          <w:color w:val="1D1B11"/>
        </w:rPr>
        <w:t>očevidnik proizvođača medicinskih proizvoda</w:t>
      </w:r>
      <w:r>
        <w:rPr>
          <w:rFonts w:eastAsia="Times New Roman" w:cstheme="minorHAnsi"/>
          <w:color w:val="1D1B11"/>
        </w:rPr>
        <w:t xml:space="preserve"> te očevidnik veleprodaja medicinskih proizvoda</w:t>
      </w:r>
      <w:r w:rsidRPr="0008136B">
        <w:rPr>
          <w:rFonts w:eastAsia="Times New Roman" w:cstheme="minorHAnsi"/>
          <w:color w:val="1D1B11"/>
        </w:rPr>
        <w:t xml:space="preserve">, </w:t>
      </w:r>
      <w:r>
        <w:rPr>
          <w:rFonts w:eastAsia="Times New Roman" w:cstheme="minorHAnsi"/>
          <w:color w:val="1D1B11"/>
        </w:rPr>
        <w:t xml:space="preserve">kao </w:t>
      </w:r>
      <w:r w:rsidRPr="0008136B">
        <w:rPr>
          <w:rFonts w:eastAsia="Times New Roman" w:cstheme="minorHAnsi"/>
          <w:color w:val="1D1B11"/>
        </w:rPr>
        <w:t>i postupke davanja</w:t>
      </w:r>
      <w:r>
        <w:rPr>
          <w:rFonts w:eastAsia="Times New Roman" w:cstheme="minorHAnsi"/>
          <w:color w:val="1D1B11"/>
        </w:rPr>
        <w:t xml:space="preserve">, </w:t>
      </w:r>
      <w:r w:rsidRPr="0008136B">
        <w:rPr>
          <w:rFonts w:eastAsia="Times New Roman" w:cstheme="minorHAnsi"/>
          <w:color w:val="1D1B11"/>
        </w:rPr>
        <w:t>uskraćivanja</w:t>
      </w:r>
      <w:r>
        <w:rPr>
          <w:rFonts w:eastAsia="Times New Roman" w:cstheme="minorHAnsi"/>
          <w:color w:val="1D1B11"/>
        </w:rPr>
        <w:t xml:space="preserve">, </w:t>
      </w:r>
      <w:r w:rsidRPr="0008136B">
        <w:rPr>
          <w:rFonts w:eastAsia="Times New Roman" w:cstheme="minorHAnsi"/>
          <w:color w:val="1D1B11"/>
        </w:rPr>
        <w:t>izmjene</w:t>
      </w:r>
      <w:r>
        <w:rPr>
          <w:rFonts w:eastAsia="Times New Roman" w:cstheme="minorHAnsi"/>
          <w:color w:val="1D1B11"/>
        </w:rPr>
        <w:t xml:space="preserve"> i </w:t>
      </w:r>
      <w:r w:rsidRPr="0008136B">
        <w:rPr>
          <w:rFonts w:eastAsia="Times New Roman" w:cstheme="minorHAnsi"/>
          <w:color w:val="1D1B11"/>
        </w:rPr>
        <w:t xml:space="preserve">oduzimanja dozvole za promet </w:t>
      </w:r>
      <w:r>
        <w:rPr>
          <w:rFonts w:eastAsia="Times New Roman" w:cstheme="minorHAnsi"/>
          <w:color w:val="1D1B11"/>
        </w:rPr>
        <w:t xml:space="preserve">na </w:t>
      </w:r>
      <w:r w:rsidRPr="0008136B">
        <w:rPr>
          <w:rFonts w:eastAsia="Times New Roman" w:cstheme="minorHAnsi"/>
          <w:color w:val="1D1B11"/>
        </w:rPr>
        <w:t>malo medicinskim proizvodima</w:t>
      </w:r>
      <w:r>
        <w:rPr>
          <w:rFonts w:eastAsia="Times New Roman" w:cstheme="minorHAnsi"/>
          <w:color w:val="1D1B11"/>
        </w:rPr>
        <w:t>.</w:t>
      </w:r>
    </w:p>
    <w:p w14:paraId="4712EF76" w14:textId="77777777" w:rsidR="00EA51C4" w:rsidRPr="008D312D" w:rsidRDefault="00EA51C4" w:rsidP="00EA51C4">
      <w:pPr>
        <w:pStyle w:val="Heading3"/>
      </w:pPr>
      <w:bookmarkStart w:id="263" w:name="_Toc26534690"/>
      <w:bookmarkStart w:id="264" w:name="_Toc165035518"/>
      <w:r w:rsidRPr="008D312D">
        <w:t>2.</w:t>
      </w:r>
      <w:r>
        <w:t>8</w:t>
      </w:r>
      <w:r w:rsidRPr="008D312D">
        <w:t>.1. Obavijesti o stavljanju medicinskog proizvoda u promet</w:t>
      </w:r>
      <w:bookmarkEnd w:id="263"/>
      <w:bookmarkEnd w:id="264"/>
    </w:p>
    <w:p w14:paraId="3C795F9A" w14:textId="77777777" w:rsidR="00EA51C4" w:rsidRPr="0008136B" w:rsidRDefault="00EA51C4" w:rsidP="00EA51C4">
      <w:pPr>
        <w:spacing w:after="240" w:line="276" w:lineRule="auto"/>
        <w:jc w:val="both"/>
        <w:rPr>
          <w:rFonts w:eastAsia="Times New Roman" w:cstheme="minorHAnsi"/>
          <w:bCs/>
          <w:color w:val="1D1B11"/>
        </w:rPr>
      </w:pPr>
      <w:r w:rsidRPr="0008136B">
        <w:rPr>
          <w:rFonts w:eastAsia="Times New Roman" w:cstheme="minorHAnsi"/>
          <w:bCs/>
          <w:color w:val="1D1B11"/>
        </w:rPr>
        <w:t>Sukladno Zakonu o medicinskim proizvodima</w:t>
      </w:r>
      <w:r>
        <w:rPr>
          <w:rFonts w:eastAsia="Times New Roman" w:cstheme="minorHAnsi"/>
          <w:bCs/>
          <w:color w:val="1D1B11"/>
        </w:rPr>
        <w:t xml:space="preserve"> i temeljem prijelaznih odredbi Uredbe (EU) 2017/745 </w:t>
      </w:r>
      <w:r w:rsidRPr="0008136B">
        <w:rPr>
          <w:rFonts w:eastAsia="Times New Roman" w:cstheme="minorHAnsi"/>
          <w:bCs/>
          <w:color w:val="1D1B11"/>
        </w:rPr>
        <w:t xml:space="preserve">HALMED zaprima obavijesti o stavljanju medicinskih proizvoda klase rizika IIa, IIb, III, </w:t>
      </w:r>
      <w:r w:rsidRPr="00146C64">
        <w:rPr>
          <w:rFonts w:eastAsia="Times New Roman" w:cstheme="minorHAnsi"/>
          <w:bCs/>
          <w:i/>
          <w:color w:val="1D1B11"/>
        </w:rPr>
        <w:t>in vitro</w:t>
      </w:r>
      <w:r w:rsidRPr="0008136B">
        <w:rPr>
          <w:rFonts w:eastAsia="Times New Roman" w:cstheme="minorHAnsi"/>
          <w:bCs/>
          <w:color w:val="1D1B11"/>
        </w:rPr>
        <w:t xml:space="preserve"> dijagnostičkih medicinskih proizvoda i aktivnih medicinskih proizvoda za ugradnju u promet na tržištu R</w:t>
      </w:r>
      <w:r>
        <w:rPr>
          <w:rFonts w:eastAsia="Times New Roman" w:cstheme="minorHAnsi"/>
          <w:bCs/>
          <w:color w:val="1D1B11"/>
        </w:rPr>
        <w:t>H</w:t>
      </w:r>
      <w:r w:rsidRPr="0008136B">
        <w:rPr>
          <w:rFonts w:eastAsia="Times New Roman" w:cstheme="minorHAnsi"/>
          <w:bCs/>
          <w:color w:val="1D1B11"/>
        </w:rPr>
        <w:t>. Prikupljeni podaci koriste se u svrhu nadzora i funkcioniranja sustava vigilancije medicinskih proizvoda.</w:t>
      </w:r>
    </w:p>
    <w:p w14:paraId="175579B4" w14:textId="77777777" w:rsidR="00EA51C4" w:rsidRPr="0008136B" w:rsidRDefault="00EA51C4" w:rsidP="00EA51C4">
      <w:pPr>
        <w:spacing w:after="240" w:line="276" w:lineRule="auto"/>
        <w:jc w:val="both"/>
        <w:rPr>
          <w:rFonts w:eastAsia="Times New Roman" w:cstheme="minorHAnsi"/>
          <w:bCs/>
          <w:color w:val="1D1B11"/>
        </w:rPr>
      </w:pPr>
      <w:r w:rsidRPr="00CA2A8A">
        <w:rPr>
          <w:rFonts w:eastAsia="Times New Roman" w:cstheme="minorHAnsi"/>
          <w:bCs/>
          <w:color w:val="1D1B11"/>
        </w:rPr>
        <w:t>U izvještajnom razdoblju obrađeno je i u evidenciju upisano 966 obavijesti s ukupno 19.135 pojedinačnih medicinskih proizvoda.</w:t>
      </w:r>
    </w:p>
    <w:p w14:paraId="452AB14D" w14:textId="77777777" w:rsidR="00EA51C4" w:rsidRDefault="00EA51C4" w:rsidP="00EA51C4">
      <w:pPr>
        <w:spacing w:after="120"/>
        <w:jc w:val="both"/>
        <w:rPr>
          <w:rFonts w:cstheme="minorHAnsi"/>
          <w:b/>
          <w:bCs/>
        </w:rPr>
      </w:pPr>
      <w:r w:rsidRPr="00B64114">
        <w:rPr>
          <w:rFonts w:eastAsia="Times New Roman" w:cstheme="minorHAnsi"/>
          <w:b/>
        </w:rPr>
        <w:t>Tablica 2</w:t>
      </w:r>
      <w:r>
        <w:rPr>
          <w:rFonts w:eastAsia="Times New Roman" w:cstheme="minorHAnsi"/>
          <w:b/>
        </w:rPr>
        <w:t>8</w:t>
      </w:r>
      <w:r w:rsidRPr="00B64114">
        <w:rPr>
          <w:rFonts w:eastAsia="Times New Roman" w:cstheme="minorHAnsi"/>
          <w:b/>
        </w:rPr>
        <w:t xml:space="preserve">. </w:t>
      </w:r>
      <w:r>
        <w:rPr>
          <w:rFonts w:eastAsia="Times New Roman" w:cstheme="minorHAnsi"/>
          <w:b/>
        </w:rPr>
        <w:t>B</w:t>
      </w:r>
      <w:r w:rsidRPr="00B64114">
        <w:rPr>
          <w:rFonts w:cstheme="minorHAnsi"/>
          <w:b/>
          <w:bCs/>
        </w:rPr>
        <w:t>roj zaprimljen</w:t>
      </w:r>
      <w:r>
        <w:rPr>
          <w:rFonts w:cstheme="minorHAnsi"/>
          <w:b/>
          <w:bCs/>
        </w:rPr>
        <w:t>ih</w:t>
      </w:r>
      <w:r w:rsidRPr="00B64114">
        <w:rPr>
          <w:rFonts w:cstheme="minorHAnsi"/>
          <w:b/>
          <w:bCs/>
        </w:rPr>
        <w:t xml:space="preserve"> obavijest</w:t>
      </w:r>
      <w:r>
        <w:rPr>
          <w:rFonts w:cstheme="minorHAnsi"/>
          <w:b/>
          <w:bCs/>
        </w:rPr>
        <w:t>i</w:t>
      </w:r>
      <w:r w:rsidRPr="00B64114">
        <w:rPr>
          <w:rFonts w:cstheme="minorHAnsi"/>
          <w:b/>
          <w:bCs/>
        </w:rPr>
        <w:t xml:space="preserve"> o stavljanju u promet medicinskih proizvo</w:t>
      </w:r>
      <w:r>
        <w:rPr>
          <w:rFonts w:cstheme="minorHAnsi"/>
          <w:b/>
          <w:bCs/>
        </w:rPr>
        <w:t>da po klasama rizika</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268"/>
        <w:gridCol w:w="2130"/>
        <w:gridCol w:w="1980"/>
      </w:tblGrid>
      <w:tr w:rsidR="00EA51C4" w:rsidRPr="00BB4CB0" w14:paraId="78198A64" w14:textId="77777777" w:rsidTr="00BA499D">
        <w:trPr>
          <w:trHeight w:val="284"/>
          <w:tblHeader/>
        </w:trPr>
        <w:tc>
          <w:tcPr>
            <w:tcW w:w="1485" w:type="pct"/>
            <w:tcBorders>
              <w:top w:val="single" w:sz="4" w:space="0" w:color="auto"/>
              <w:left w:val="single" w:sz="4" w:space="0" w:color="auto"/>
              <w:bottom w:val="single" w:sz="4" w:space="0" w:color="auto"/>
              <w:right w:val="single" w:sz="4" w:space="0" w:color="auto"/>
            </w:tcBorders>
            <w:shd w:val="clear" w:color="auto" w:fill="A3E7FF"/>
            <w:vAlign w:val="center"/>
            <w:hideMark/>
          </w:tcPr>
          <w:p w14:paraId="11E0B8AF" w14:textId="77777777" w:rsidR="00EA51C4" w:rsidRPr="008D0FA0" w:rsidRDefault="00EA51C4" w:rsidP="00BA499D">
            <w:pPr>
              <w:rPr>
                <w:rFonts w:eastAsia="Times New Roman" w:cs="Calibri"/>
                <w:b/>
                <w:sz w:val="18"/>
                <w:szCs w:val="18"/>
                <w:lang w:eastAsia="hr-HR"/>
              </w:rPr>
            </w:pPr>
            <w:r w:rsidRPr="008D0FA0">
              <w:rPr>
                <w:rFonts w:eastAsia="Times New Roman" w:cs="Calibri"/>
                <w:b/>
                <w:sz w:val="18"/>
                <w:szCs w:val="18"/>
                <w:lang w:eastAsia="hr-HR"/>
              </w:rPr>
              <w:t>Klasa rizika</w:t>
            </w:r>
          </w:p>
        </w:tc>
        <w:tc>
          <w:tcPr>
            <w:tcW w:w="1250" w:type="pct"/>
            <w:tcBorders>
              <w:top w:val="single" w:sz="4" w:space="0" w:color="auto"/>
              <w:left w:val="single" w:sz="4" w:space="0" w:color="auto"/>
              <w:bottom w:val="single" w:sz="4" w:space="0" w:color="auto"/>
              <w:right w:val="single" w:sz="4" w:space="0" w:color="auto"/>
            </w:tcBorders>
            <w:shd w:val="clear" w:color="auto" w:fill="A3E7FF"/>
            <w:vAlign w:val="center"/>
          </w:tcPr>
          <w:p w14:paraId="7519BFA7" w14:textId="77777777" w:rsidR="00EA51C4" w:rsidRPr="008D0FA0" w:rsidRDefault="00EA51C4" w:rsidP="00BA499D">
            <w:pPr>
              <w:jc w:val="center"/>
              <w:rPr>
                <w:rFonts w:eastAsia="Times New Roman" w:cs="Calibri"/>
                <w:b/>
                <w:sz w:val="18"/>
                <w:szCs w:val="18"/>
                <w:lang w:eastAsia="hr-HR"/>
              </w:rPr>
            </w:pPr>
            <w:r w:rsidRPr="008D0FA0">
              <w:rPr>
                <w:rFonts w:eastAsia="Times New Roman" w:cs="Calibri"/>
                <w:b/>
                <w:sz w:val="18"/>
                <w:szCs w:val="18"/>
                <w:lang w:eastAsia="hr-HR"/>
              </w:rPr>
              <w:t>Planirani broj zaprimljenih obavijesti</w:t>
            </w:r>
            <w:r>
              <w:rPr>
                <w:rFonts w:eastAsia="Times New Roman" w:cs="Calibri"/>
                <w:b/>
                <w:sz w:val="18"/>
                <w:szCs w:val="18"/>
                <w:lang w:eastAsia="hr-HR"/>
              </w:rPr>
              <w:t xml:space="preserve"> za pojedinačne medicinske proizvode</w:t>
            </w:r>
          </w:p>
        </w:tc>
        <w:tc>
          <w:tcPr>
            <w:tcW w:w="1174" w:type="pct"/>
            <w:tcBorders>
              <w:top w:val="single" w:sz="4" w:space="0" w:color="auto"/>
              <w:left w:val="single" w:sz="4" w:space="0" w:color="auto"/>
              <w:bottom w:val="single" w:sz="4" w:space="0" w:color="auto"/>
              <w:right w:val="single" w:sz="4" w:space="0" w:color="auto"/>
            </w:tcBorders>
            <w:shd w:val="clear" w:color="auto" w:fill="A3E7FF"/>
            <w:vAlign w:val="center"/>
            <w:hideMark/>
          </w:tcPr>
          <w:p w14:paraId="77DA5EB4" w14:textId="77777777" w:rsidR="00EA51C4" w:rsidRPr="008D0FA0" w:rsidRDefault="00EA51C4" w:rsidP="00BA499D">
            <w:pPr>
              <w:jc w:val="center"/>
              <w:rPr>
                <w:rFonts w:eastAsia="Times New Roman" w:cstheme="minorHAnsi"/>
                <w:b/>
                <w:bCs/>
                <w:sz w:val="18"/>
                <w:szCs w:val="18"/>
                <w:lang w:eastAsia="hr-HR"/>
              </w:rPr>
            </w:pPr>
            <w:r w:rsidRPr="008D0FA0">
              <w:rPr>
                <w:rFonts w:eastAsia="Times New Roman" w:cstheme="minorHAnsi"/>
                <w:b/>
                <w:bCs/>
                <w:sz w:val="18"/>
                <w:szCs w:val="18"/>
                <w:lang w:eastAsia="hr-HR"/>
              </w:rPr>
              <w:t>Izvršenje</w:t>
            </w:r>
          </w:p>
          <w:p w14:paraId="0F70151B" w14:textId="77777777" w:rsidR="00EA51C4" w:rsidRPr="008D0FA0" w:rsidRDefault="00EA51C4" w:rsidP="00BA499D">
            <w:pPr>
              <w:jc w:val="center"/>
              <w:rPr>
                <w:rFonts w:eastAsia="Times New Roman" w:cstheme="minorHAnsi"/>
                <w:b/>
                <w:bCs/>
                <w:sz w:val="18"/>
                <w:szCs w:val="18"/>
                <w:lang w:eastAsia="hr-HR"/>
              </w:rPr>
            </w:pPr>
            <w:r>
              <w:rPr>
                <w:rFonts w:eastAsia="Times New Roman" w:cstheme="minorHAnsi"/>
                <w:b/>
                <w:bCs/>
                <w:sz w:val="18"/>
                <w:szCs w:val="18"/>
                <w:lang w:eastAsia="hr-HR"/>
              </w:rPr>
              <w:t>01.01.-31.12.2023</w:t>
            </w:r>
            <w:r w:rsidRPr="008D0FA0">
              <w:rPr>
                <w:rFonts w:eastAsia="Times New Roman" w:cstheme="minorHAnsi"/>
                <w:b/>
                <w:bCs/>
                <w:sz w:val="18"/>
                <w:szCs w:val="18"/>
                <w:lang w:eastAsia="hr-HR"/>
              </w:rPr>
              <w:t>.</w:t>
            </w:r>
          </w:p>
        </w:tc>
        <w:tc>
          <w:tcPr>
            <w:tcW w:w="1091" w:type="pct"/>
            <w:tcBorders>
              <w:top w:val="single" w:sz="4" w:space="0" w:color="auto"/>
              <w:left w:val="single" w:sz="4" w:space="0" w:color="auto"/>
              <w:bottom w:val="single" w:sz="4" w:space="0" w:color="auto"/>
              <w:right w:val="single" w:sz="4" w:space="0" w:color="auto"/>
            </w:tcBorders>
            <w:shd w:val="clear" w:color="auto" w:fill="A3E7FF"/>
            <w:vAlign w:val="center"/>
          </w:tcPr>
          <w:p w14:paraId="59E66E12" w14:textId="77777777" w:rsidR="00EA51C4" w:rsidRPr="008D0FA0" w:rsidRDefault="00EA51C4" w:rsidP="00BA499D">
            <w:pPr>
              <w:jc w:val="center"/>
              <w:rPr>
                <w:rFonts w:eastAsia="Times New Roman" w:cs="Calibri"/>
                <w:b/>
                <w:sz w:val="18"/>
                <w:szCs w:val="18"/>
                <w:lang w:eastAsia="hr-HR"/>
              </w:rPr>
            </w:pPr>
            <w:r w:rsidRPr="008D0FA0">
              <w:rPr>
                <w:rFonts w:eastAsia="Times New Roman" w:cs="Calibri"/>
                <w:b/>
                <w:sz w:val="18"/>
                <w:szCs w:val="18"/>
                <w:lang w:eastAsia="hr-HR"/>
              </w:rPr>
              <w:t>% izvršenja</w:t>
            </w:r>
          </w:p>
        </w:tc>
      </w:tr>
      <w:tr w:rsidR="00EA51C4" w:rsidRPr="00BB4CB0" w14:paraId="4DB12C12" w14:textId="77777777" w:rsidTr="00BA499D">
        <w:trPr>
          <w:trHeight w:val="284"/>
        </w:trPr>
        <w:tc>
          <w:tcPr>
            <w:tcW w:w="1485" w:type="pct"/>
            <w:tcBorders>
              <w:top w:val="single" w:sz="4" w:space="0" w:color="auto"/>
              <w:left w:val="single" w:sz="4" w:space="0" w:color="auto"/>
              <w:bottom w:val="single" w:sz="4" w:space="0" w:color="auto"/>
              <w:right w:val="single" w:sz="4" w:space="0" w:color="auto"/>
            </w:tcBorders>
            <w:vAlign w:val="center"/>
          </w:tcPr>
          <w:p w14:paraId="06DF2713" w14:textId="77777777" w:rsidR="00EA51C4" w:rsidRPr="008D0FA0" w:rsidRDefault="00EA51C4" w:rsidP="00BA499D">
            <w:pPr>
              <w:rPr>
                <w:rFonts w:eastAsia="Times New Roman" w:cs="Calibri"/>
                <w:sz w:val="18"/>
                <w:szCs w:val="18"/>
                <w:lang w:eastAsia="hr-HR"/>
              </w:rPr>
            </w:pPr>
            <w:r w:rsidRPr="008D0FA0">
              <w:rPr>
                <w:rFonts w:eastAsia="Times New Roman" w:cstheme="minorHAnsi"/>
                <w:sz w:val="18"/>
                <w:szCs w:val="18"/>
                <w:lang w:eastAsia="hr-HR"/>
              </w:rPr>
              <w:t>Aktivni proizvodi za ugradnju</w:t>
            </w:r>
          </w:p>
        </w:tc>
        <w:tc>
          <w:tcPr>
            <w:tcW w:w="1250" w:type="pct"/>
            <w:tcBorders>
              <w:top w:val="single" w:sz="4" w:space="0" w:color="auto"/>
              <w:left w:val="single" w:sz="4" w:space="0" w:color="auto"/>
              <w:bottom w:val="single" w:sz="4" w:space="0" w:color="auto"/>
              <w:right w:val="single" w:sz="4" w:space="0" w:color="auto"/>
            </w:tcBorders>
            <w:vAlign w:val="center"/>
          </w:tcPr>
          <w:p w14:paraId="39EACA69" w14:textId="77777777" w:rsidR="00EA51C4" w:rsidRPr="008D0FA0" w:rsidRDefault="00EA51C4" w:rsidP="00BA499D">
            <w:pPr>
              <w:jc w:val="center"/>
              <w:rPr>
                <w:rFonts w:eastAsia="Times New Roman" w:cs="Calibri"/>
                <w:sz w:val="18"/>
                <w:szCs w:val="18"/>
                <w:lang w:eastAsia="hr-HR"/>
              </w:rPr>
            </w:pPr>
            <w:r>
              <w:rPr>
                <w:rFonts w:eastAsia="Times New Roman" w:cs="Calibri"/>
                <w:sz w:val="18"/>
                <w:szCs w:val="18"/>
                <w:lang w:eastAsia="hr-HR"/>
              </w:rPr>
              <w:t>100</w:t>
            </w:r>
          </w:p>
        </w:tc>
        <w:tc>
          <w:tcPr>
            <w:tcW w:w="1174" w:type="pct"/>
            <w:tcBorders>
              <w:top w:val="single" w:sz="4" w:space="0" w:color="auto"/>
              <w:left w:val="single" w:sz="4" w:space="0" w:color="auto"/>
              <w:bottom w:val="single" w:sz="4" w:space="0" w:color="auto"/>
              <w:right w:val="single" w:sz="4" w:space="0" w:color="auto"/>
            </w:tcBorders>
            <w:vAlign w:val="center"/>
          </w:tcPr>
          <w:p w14:paraId="7F63F50F" w14:textId="77777777" w:rsidR="00EA51C4" w:rsidRPr="008D0FA0" w:rsidRDefault="00EA51C4" w:rsidP="00BA499D">
            <w:pPr>
              <w:jc w:val="center"/>
              <w:rPr>
                <w:rFonts w:eastAsia="Times New Roman" w:cs="Calibri"/>
                <w:sz w:val="18"/>
                <w:szCs w:val="18"/>
                <w:lang w:eastAsia="hr-HR"/>
              </w:rPr>
            </w:pPr>
            <w:r>
              <w:rPr>
                <w:rFonts w:eastAsia="Times New Roman" w:cs="Calibri"/>
                <w:sz w:val="18"/>
                <w:szCs w:val="18"/>
                <w:lang w:eastAsia="hr-HR"/>
              </w:rPr>
              <w:t>0</w:t>
            </w:r>
          </w:p>
        </w:tc>
        <w:tc>
          <w:tcPr>
            <w:tcW w:w="1091" w:type="pct"/>
            <w:tcBorders>
              <w:top w:val="single" w:sz="4" w:space="0" w:color="auto"/>
              <w:left w:val="nil"/>
              <w:bottom w:val="single" w:sz="4" w:space="0" w:color="auto"/>
              <w:right w:val="single" w:sz="4" w:space="0" w:color="auto"/>
            </w:tcBorders>
            <w:shd w:val="clear" w:color="auto" w:fill="auto"/>
            <w:vAlign w:val="bottom"/>
          </w:tcPr>
          <w:p w14:paraId="38BD3543" w14:textId="77777777" w:rsidR="00EA51C4" w:rsidRPr="00CF2F8C" w:rsidRDefault="00EA51C4" w:rsidP="00BA499D">
            <w:pPr>
              <w:jc w:val="center"/>
              <w:rPr>
                <w:rFonts w:eastAsia="Times New Roman" w:cs="Calibri"/>
                <w:sz w:val="18"/>
                <w:szCs w:val="18"/>
                <w:lang w:eastAsia="hr-HR"/>
              </w:rPr>
            </w:pPr>
            <w:r>
              <w:rPr>
                <w:rFonts w:eastAsia="Times New Roman" w:cs="Calibri"/>
                <w:sz w:val="18"/>
                <w:szCs w:val="18"/>
                <w:lang w:eastAsia="hr-HR"/>
              </w:rPr>
              <w:t>0%</w:t>
            </w:r>
          </w:p>
        </w:tc>
      </w:tr>
      <w:tr w:rsidR="00EA51C4" w:rsidRPr="00BB4CB0" w14:paraId="59AD33FB" w14:textId="77777777" w:rsidTr="00BA499D">
        <w:trPr>
          <w:trHeight w:val="284"/>
        </w:trPr>
        <w:tc>
          <w:tcPr>
            <w:tcW w:w="1485" w:type="pct"/>
            <w:tcBorders>
              <w:top w:val="single" w:sz="4" w:space="0" w:color="auto"/>
              <w:left w:val="single" w:sz="4" w:space="0" w:color="auto"/>
              <w:bottom w:val="single" w:sz="4" w:space="0" w:color="auto"/>
              <w:right w:val="single" w:sz="4" w:space="0" w:color="auto"/>
            </w:tcBorders>
            <w:vAlign w:val="center"/>
          </w:tcPr>
          <w:p w14:paraId="20F49B7D" w14:textId="77777777" w:rsidR="00EA51C4" w:rsidRPr="008D0FA0" w:rsidRDefault="00EA51C4" w:rsidP="00BA499D">
            <w:pPr>
              <w:rPr>
                <w:rFonts w:eastAsia="Times New Roman" w:cs="Calibri"/>
                <w:sz w:val="18"/>
                <w:szCs w:val="18"/>
                <w:lang w:eastAsia="hr-HR"/>
              </w:rPr>
            </w:pPr>
            <w:r w:rsidRPr="008D0FA0">
              <w:rPr>
                <w:rFonts w:eastAsia="Times New Roman" w:cstheme="minorHAnsi"/>
                <w:sz w:val="18"/>
                <w:szCs w:val="18"/>
                <w:lang w:eastAsia="hr-HR"/>
              </w:rPr>
              <w:t>Klasa IIa</w:t>
            </w:r>
          </w:p>
        </w:tc>
        <w:tc>
          <w:tcPr>
            <w:tcW w:w="1250" w:type="pct"/>
            <w:tcBorders>
              <w:top w:val="single" w:sz="4" w:space="0" w:color="auto"/>
              <w:left w:val="single" w:sz="4" w:space="0" w:color="auto"/>
              <w:bottom w:val="single" w:sz="4" w:space="0" w:color="auto"/>
              <w:right w:val="single" w:sz="4" w:space="0" w:color="auto"/>
            </w:tcBorders>
            <w:vAlign w:val="center"/>
          </w:tcPr>
          <w:p w14:paraId="62FDC1EE" w14:textId="77777777" w:rsidR="00EA51C4" w:rsidRPr="008D0FA0" w:rsidRDefault="00EA51C4" w:rsidP="00BA499D">
            <w:pPr>
              <w:jc w:val="center"/>
              <w:rPr>
                <w:rFonts w:eastAsia="Times New Roman" w:cs="Calibri"/>
                <w:sz w:val="18"/>
                <w:szCs w:val="18"/>
                <w:lang w:eastAsia="hr-HR"/>
              </w:rPr>
            </w:pPr>
            <w:r>
              <w:rPr>
                <w:rFonts w:eastAsia="Times New Roman" w:cs="Calibri"/>
                <w:sz w:val="18"/>
                <w:szCs w:val="18"/>
                <w:lang w:eastAsia="hr-HR"/>
              </w:rPr>
              <w:t>8000</w:t>
            </w:r>
          </w:p>
        </w:tc>
        <w:tc>
          <w:tcPr>
            <w:tcW w:w="1174" w:type="pct"/>
            <w:tcBorders>
              <w:top w:val="single" w:sz="4" w:space="0" w:color="auto"/>
              <w:left w:val="single" w:sz="4" w:space="0" w:color="auto"/>
              <w:bottom w:val="single" w:sz="4" w:space="0" w:color="auto"/>
              <w:right w:val="single" w:sz="4" w:space="0" w:color="auto"/>
            </w:tcBorders>
            <w:vAlign w:val="center"/>
          </w:tcPr>
          <w:p w14:paraId="3C05B827" w14:textId="77777777" w:rsidR="00EA51C4" w:rsidRPr="008D0FA0" w:rsidRDefault="00EA51C4" w:rsidP="00BA499D">
            <w:pPr>
              <w:jc w:val="center"/>
              <w:rPr>
                <w:rFonts w:eastAsia="Times New Roman" w:cs="Calibri"/>
                <w:sz w:val="18"/>
                <w:szCs w:val="18"/>
                <w:lang w:eastAsia="hr-HR"/>
              </w:rPr>
            </w:pPr>
            <w:r>
              <w:rPr>
                <w:rFonts w:eastAsia="Times New Roman" w:cs="Calibri"/>
                <w:sz w:val="18"/>
                <w:szCs w:val="18"/>
                <w:lang w:eastAsia="hr-HR"/>
              </w:rPr>
              <w:t>7812</w:t>
            </w:r>
          </w:p>
        </w:tc>
        <w:tc>
          <w:tcPr>
            <w:tcW w:w="1091" w:type="pct"/>
            <w:tcBorders>
              <w:top w:val="single" w:sz="4" w:space="0" w:color="auto"/>
              <w:left w:val="nil"/>
              <w:bottom w:val="single" w:sz="4" w:space="0" w:color="auto"/>
              <w:right w:val="single" w:sz="4" w:space="0" w:color="auto"/>
            </w:tcBorders>
            <w:shd w:val="clear" w:color="auto" w:fill="auto"/>
            <w:vAlign w:val="bottom"/>
          </w:tcPr>
          <w:p w14:paraId="42769133" w14:textId="77777777" w:rsidR="00EA51C4" w:rsidRPr="00CF2F8C" w:rsidRDefault="00EA51C4" w:rsidP="00BA499D">
            <w:pPr>
              <w:jc w:val="center"/>
              <w:rPr>
                <w:rFonts w:eastAsia="Times New Roman" w:cs="Calibri"/>
                <w:sz w:val="18"/>
                <w:szCs w:val="18"/>
                <w:lang w:eastAsia="hr-HR"/>
              </w:rPr>
            </w:pPr>
            <w:r>
              <w:rPr>
                <w:rFonts w:eastAsia="Times New Roman" w:cs="Calibri"/>
                <w:sz w:val="18"/>
                <w:szCs w:val="18"/>
                <w:lang w:eastAsia="hr-HR"/>
              </w:rPr>
              <w:t>98%</w:t>
            </w:r>
          </w:p>
        </w:tc>
      </w:tr>
      <w:tr w:rsidR="00EA51C4" w:rsidRPr="00BB4CB0" w14:paraId="6C5A3145" w14:textId="77777777" w:rsidTr="00BA499D">
        <w:trPr>
          <w:trHeight w:val="284"/>
        </w:trPr>
        <w:tc>
          <w:tcPr>
            <w:tcW w:w="1485" w:type="pct"/>
            <w:tcBorders>
              <w:top w:val="single" w:sz="4" w:space="0" w:color="auto"/>
              <w:left w:val="single" w:sz="4" w:space="0" w:color="auto"/>
              <w:bottom w:val="single" w:sz="4" w:space="0" w:color="auto"/>
              <w:right w:val="single" w:sz="4" w:space="0" w:color="auto"/>
            </w:tcBorders>
            <w:vAlign w:val="center"/>
          </w:tcPr>
          <w:p w14:paraId="64B017F2" w14:textId="77777777" w:rsidR="00EA51C4" w:rsidRPr="008D0FA0" w:rsidRDefault="00EA51C4" w:rsidP="00BA499D">
            <w:pPr>
              <w:rPr>
                <w:rFonts w:eastAsia="Times New Roman" w:cstheme="minorHAnsi"/>
                <w:sz w:val="18"/>
                <w:szCs w:val="18"/>
                <w:lang w:eastAsia="hr-HR"/>
              </w:rPr>
            </w:pPr>
            <w:r w:rsidRPr="008D0FA0">
              <w:rPr>
                <w:rFonts w:eastAsia="Times New Roman" w:cstheme="minorHAnsi"/>
                <w:sz w:val="18"/>
                <w:szCs w:val="18"/>
                <w:lang w:eastAsia="hr-HR"/>
              </w:rPr>
              <w:t>Klasa IIb</w:t>
            </w:r>
          </w:p>
        </w:tc>
        <w:tc>
          <w:tcPr>
            <w:tcW w:w="1250" w:type="pct"/>
            <w:tcBorders>
              <w:top w:val="single" w:sz="4" w:space="0" w:color="auto"/>
              <w:left w:val="single" w:sz="4" w:space="0" w:color="auto"/>
              <w:bottom w:val="single" w:sz="4" w:space="0" w:color="auto"/>
              <w:right w:val="single" w:sz="4" w:space="0" w:color="auto"/>
            </w:tcBorders>
            <w:vAlign w:val="center"/>
          </w:tcPr>
          <w:p w14:paraId="5293911B" w14:textId="77777777" w:rsidR="00EA51C4" w:rsidRPr="008D0FA0" w:rsidRDefault="00EA51C4" w:rsidP="00BA499D">
            <w:pPr>
              <w:jc w:val="center"/>
              <w:rPr>
                <w:rFonts w:eastAsia="Times New Roman" w:cs="Calibri"/>
                <w:sz w:val="18"/>
                <w:szCs w:val="18"/>
                <w:lang w:eastAsia="hr-HR"/>
              </w:rPr>
            </w:pPr>
            <w:r>
              <w:rPr>
                <w:rFonts w:eastAsia="Times New Roman" w:cs="Calibri"/>
                <w:sz w:val="18"/>
                <w:szCs w:val="18"/>
                <w:lang w:eastAsia="hr-HR"/>
              </w:rPr>
              <w:t>8000</w:t>
            </w:r>
          </w:p>
        </w:tc>
        <w:tc>
          <w:tcPr>
            <w:tcW w:w="1174" w:type="pct"/>
            <w:tcBorders>
              <w:top w:val="single" w:sz="4" w:space="0" w:color="auto"/>
              <w:left w:val="single" w:sz="4" w:space="0" w:color="auto"/>
              <w:bottom w:val="single" w:sz="4" w:space="0" w:color="auto"/>
              <w:right w:val="single" w:sz="4" w:space="0" w:color="auto"/>
            </w:tcBorders>
            <w:vAlign w:val="center"/>
          </w:tcPr>
          <w:p w14:paraId="02328BC2" w14:textId="77777777" w:rsidR="00EA51C4" w:rsidRPr="008D0FA0" w:rsidRDefault="00EA51C4" w:rsidP="00BA499D">
            <w:pPr>
              <w:jc w:val="center"/>
              <w:rPr>
                <w:rFonts w:eastAsia="Times New Roman" w:cs="Calibri"/>
                <w:sz w:val="18"/>
                <w:szCs w:val="18"/>
                <w:lang w:eastAsia="hr-HR"/>
              </w:rPr>
            </w:pPr>
            <w:r>
              <w:rPr>
                <w:rFonts w:eastAsia="Times New Roman" w:cs="Calibri"/>
                <w:sz w:val="18"/>
                <w:szCs w:val="18"/>
                <w:lang w:eastAsia="hr-HR"/>
              </w:rPr>
              <w:t>7650</w:t>
            </w:r>
          </w:p>
        </w:tc>
        <w:tc>
          <w:tcPr>
            <w:tcW w:w="1091" w:type="pct"/>
            <w:tcBorders>
              <w:top w:val="single" w:sz="4" w:space="0" w:color="auto"/>
              <w:left w:val="nil"/>
              <w:bottom w:val="single" w:sz="4" w:space="0" w:color="auto"/>
              <w:right w:val="single" w:sz="4" w:space="0" w:color="auto"/>
            </w:tcBorders>
            <w:shd w:val="clear" w:color="auto" w:fill="auto"/>
            <w:vAlign w:val="bottom"/>
          </w:tcPr>
          <w:p w14:paraId="682847DF" w14:textId="77777777" w:rsidR="00EA51C4" w:rsidRPr="00CF2F8C" w:rsidRDefault="00EA51C4" w:rsidP="00BA499D">
            <w:pPr>
              <w:jc w:val="center"/>
              <w:rPr>
                <w:rFonts w:eastAsia="Times New Roman" w:cs="Calibri"/>
                <w:sz w:val="18"/>
                <w:szCs w:val="18"/>
                <w:lang w:eastAsia="hr-HR"/>
              </w:rPr>
            </w:pPr>
            <w:r>
              <w:rPr>
                <w:rFonts w:eastAsia="Times New Roman" w:cs="Calibri"/>
                <w:sz w:val="18"/>
                <w:szCs w:val="18"/>
                <w:lang w:eastAsia="hr-HR"/>
              </w:rPr>
              <w:t>96%</w:t>
            </w:r>
          </w:p>
        </w:tc>
      </w:tr>
      <w:tr w:rsidR="00EA51C4" w:rsidRPr="00BB4CB0" w14:paraId="08E3E096" w14:textId="77777777" w:rsidTr="00BA499D">
        <w:trPr>
          <w:trHeight w:val="284"/>
        </w:trPr>
        <w:tc>
          <w:tcPr>
            <w:tcW w:w="1485" w:type="pct"/>
            <w:tcBorders>
              <w:top w:val="single" w:sz="4" w:space="0" w:color="auto"/>
              <w:left w:val="single" w:sz="4" w:space="0" w:color="auto"/>
              <w:bottom w:val="single" w:sz="4" w:space="0" w:color="auto"/>
              <w:right w:val="single" w:sz="4" w:space="0" w:color="auto"/>
            </w:tcBorders>
            <w:vAlign w:val="center"/>
          </w:tcPr>
          <w:p w14:paraId="5B210D31" w14:textId="77777777" w:rsidR="00EA51C4" w:rsidRPr="008D0FA0" w:rsidRDefault="00EA51C4" w:rsidP="00BA499D">
            <w:pPr>
              <w:rPr>
                <w:rFonts w:eastAsia="Times New Roman" w:cstheme="minorHAnsi"/>
                <w:sz w:val="18"/>
                <w:szCs w:val="18"/>
                <w:lang w:eastAsia="hr-HR"/>
              </w:rPr>
            </w:pPr>
            <w:r w:rsidRPr="008D0FA0">
              <w:rPr>
                <w:rFonts w:eastAsia="Times New Roman" w:cstheme="minorHAnsi"/>
                <w:sz w:val="18"/>
                <w:szCs w:val="18"/>
                <w:lang w:eastAsia="hr-HR"/>
              </w:rPr>
              <w:t>Klasa III</w:t>
            </w:r>
          </w:p>
        </w:tc>
        <w:tc>
          <w:tcPr>
            <w:tcW w:w="1250" w:type="pct"/>
            <w:tcBorders>
              <w:top w:val="single" w:sz="4" w:space="0" w:color="auto"/>
              <w:left w:val="single" w:sz="4" w:space="0" w:color="auto"/>
              <w:bottom w:val="single" w:sz="4" w:space="0" w:color="auto"/>
              <w:right w:val="single" w:sz="4" w:space="0" w:color="auto"/>
            </w:tcBorders>
            <w:vAlign w:val="center"/>
          </w:tcPr>
          <w:p w14:paraId="1E03E4A6" w14:textId="77777777" w:rsidR="00EA51C4" w:rsidRPr="008D0FA0" w:rsidRDefault="00EA51C4" w:rsidP="00BA499D">
            <w:pPr>
              <w:jc w:val="center"/>
              <w:rPr>
                <w:rFonts w:eastAsia="Times New Roman" w:cs="Calibri"/>
                <w:sz w:val="18"/>
                <w:szCs w:val="18"/>
                <w:lang w:eastAsia="hr-HR"/>
              </w:rPr>
            </w:pPr>
            <w:r>
              <w:rPr>
                <w:rFonts w:eastAsia="Times New Roman" w:cs="Calibri"/>
                <w:sz w:val="18"/>
                <w:szCs w:val="18"/>
                <w:lang w:eastAsia="hr-HR"/>
              </w:rPr>
              <w:t>4000</w:t>
            </w:r>
          </w:p>
        </w:tc>
        <w:tc>
          <w:tcPr>
            <w:tcW w:w="1174" w:type="pct"/>
            <w:tcBorders>
              <w:top w:val="single" w:sz="4" w:space="0" w:color="auto"/>
              <w:left w:val="single" w:sz="4" w:space="0" w:color="auto"/>
              <w:bottom w:val="single" w:sz="4" w:space="0" w:color="auto"/>
              <w:right w:val="single" w:sz="4" w:space="0" w:color="auto"/>
            </w:tcBorders>
            <w:vAlign w:val="center"/>
          </w:tcPr>
          <w:p w14:paraId="16677199" w14:textId="77777777" w:rsidR="00EA51C4" w:rsidRPr="008D0FA0" w:rsidRDefault="00EA51C4" w:rsidP="00BA499D">
            <w:pPr>
              <w:jc w:val="center"/>
              <w:rPr>
                <w:rFonts w:eastAsia="Times New Roman" w:cs="Calibri"/>
                <w:sz w:val="18"/>
                <w:szCs w:val="18"/>
                <w:lang w:eastAsia="hr-HR"/>
              </w:rPr>
            </w:pPr>
            <w:r>
              <w:rPr>
                <w:rFonts w:eastAsia="Times New Roman" w:cs="Calibri"/>
                <w:sz w:val="18"/>
                <w:szCs w:val="18"/>
                <w:lang w:eastAsia="hr-HR"/>
              </w:rPr>
              <w:t>6202</w:t>
            </w:r>
          </w:p>
        </w:tc>
        <w:tc>
          <w:tcPr>
            <w:tcW w:w="1091" w:type="pct"/>
            <w:tcBorders>
              <w:top w:val="single" w:sz="4" w:space="0" w:color="auto"/>
              <w:left w:val="nil"/>
              <w:bottom w:val="single" w:sz="4" w:space="0" w:color="auto"/>
              <w:right w:val="single" w:sz="4" w:space="0" w:color="auto"/>
            </w:tcBorders>
            <w:shd w:val="clear" w:color="auto" w:fill="auto"/>
            <w:vAlign w:val="bottom"/>
          </w:tcPr>
          <w:p w14:paraId="197DC464" w14:textId="77777777" w:rsidR="00EA51C4" w:rsidRPr="00CF2F8C" w:rsidRDefault="00EA51C4" w:rsidP="00BA499D">
            <w:pPr>
              <w:jc w:val="center"/>
              <w:rPr>
                <w:rFonts w:eastAsia="Times New Roman" w:cs="Calibri"/>
                <w:sz w:val="18"/>
                <w:szCs w:val="18"/>
                <w:lang w:eastAsia="hr-HR"/>
              </w:rPr>
            </w:pPr>
            <w:r>
              <w:rPr>
                <w:rFonts w:eastAsia="Times New Roman" w:cs="Calibri"/>
                <w:sz w:val="18"/>
                <w:szCs w:val="18"/>
                <w:lang w:eastAsia="hr-HR"/>
              </w:rPr>
              <w:t>155%</w:t>
            </w:r>
          </w:p>
        </w:tc>
      </w:tr>
      <w:tr w:rsidR="00EA51C4" w:rsidRPr="00BB4CB0" w14:paraId="6E77E5BC" w14:textId="77777777" w:rsidTr="00BA499D">
        <w:trPr>
          <w:trHeight w:val="284"/>
        </w:trPr>
        <w:tc>
          <w:tcPr>
            <w:tcW w:w="1485" w:type="pct"/>
            <w:tcBorders>
              <w:top w:val="single" w:sz="4" w:space="0" w:color="auto"/>
              <w:left w:val="single" w:sz="4" w:space="0" w:color="auto"/>
              <w:bottom w:val="single" w:sz="4" w:space="0" w:color="auto"/>
              <w:right w:val="single" w:sz="4" w:space="0" w:color="auto"/>
            </w:tcBorders>
            <w:vAlign w:val="center"/>
          </w:tcPr>
          <w:p w14:paraId="292B8D12" w14:textId="77777777" w:rsidR="00EA51C4" w:rsidRPr="008D0FA0" w:rsidRDefault="00EA51C4" w:rsidP="00BA499D">
            <w:pPr>
              <w:rPr>
                <w:rFonts w:eastAsia="Times New Roman" w:cstheme="minorHAnsi"/>
                <w:sz w:val="18"/>
                <w:szCs w:val="18"/>
                <w:lang w:eastAsia="hr-HR"/>
              </w:rPr>
            </w:pPr>
            <w:r w:rsidRPr="008D0FA0">
              <w:rPr>
                <w:rFonts w:eastAsia="Times New Roman" w:cstheme="minorHAnsi"/>
                <w:i/>
                <w:sz w:val="18"/>
                <w:szCs w:val="18"/>
                <w:lang w:eastAsia="hr-HR"/>
              </w:rPr>
              <w:t>In vitro</w:t>
            </w:r>
            <w:r w:rsidRPr="008D0FA0">
              <w:rPr>
                <w:rFonts w:eastAsia="Times New Roman" w:cstheme="minorHAnsi"/>
                <w:sz w:val="18"/>
                <w:szCs w:val="18"/>
                <w:lang w:eastAsia="hr-HR"/>
              </w:rPr>
              <w:t xml:space="preserve"> ostalo</w:t>
            </w:r>
          </w:p>
        </w:tc>
        <w:tc>
          <w:tcPr>
            <w:tcW w:w="1250" w:type="pct"/>
            <w:tcBorders>
              <w:top w:val="single" w:sz="4" w:space="0" w:color="auto"/>
              <w:left w:val="single" w:sz="4" w:space="0" w:color="auto"/>
              <w:bottom w:val="single" w:sz="4" w:space="0" w:color="auto"/>
              <w:right w:val="single" w:sz="4" w:space="0" w:color="auto"/>
            </w:tcBorders>
            <w:vAlign w:val="center"/>
          </w:tcPr>
          <w:p w14:paraId="06CFB652" w14:textId="77777777" w:rsidR="00EA51C4" w:rsidRPr="008D0FA0" w:rsidRDefault="00EA51C4" w:rsidP="00BA499D">
            <w:pPr>
              <w:jc w:val="center"/>
              <w:rPr>
                <w:rFonts w:eastAsia="Times New Roman" w:cs="Calibri"/>
                <w:sz w:val="18"/>
                <w:szCs w:val="18"/>
                <w:lang w:eastAsia="hr-HR"/>
              </w:rPr>
            </w:pPr>
            <w:r>
              <w:rPr>
                <w:rFonts w:eastAsia="Times New Roman" w:cs="Calibri"/>
                <w:sz w:val="18"/>
                <w:szCs w:val="18"/>
                <w:lang w:eastAsia="hr-HR"/>
              </w:rPr>
              <w:t>500</w:t>
            </w:r>
          </w:p>
        </w:tc>
        <w:tc>
          <w:tcPr>
            <w:tcW w:w="1174" w:type="pct"/>
            <w:tcBorders>
              <w:top w:val="single" w:sz="4" w:space="0" w:color="auto"/>
              <w:left w:val="single" w:sz="4" w:space="0" w:color="auto"/>
              <w:bottom w:val="single" w:sz="4" w:space="0" w:color="auto"/>
              <w:right w:val="single" w:sz="4" w:space="0" w:color="auto"/>
            </w:tcBorders>
            <w:vAlign w:val="center"/>
          </w:tcPr>
          <w:p w14:paraId="699225E7" w14:textId="77777777" w:rsidR="00EA51C4" w:rsidRPr="008D0FA0" w:rsidRDefault="00EA51C4" w:rsidP="00BA499D">
            <w:pPr>
              <w:jc w:val="center"/>
              <w:rPr>
                <w:rFonts w:eastAsia="Times New Roman" w:cs="Calibri"/>
                <w:sz w:val="18"/>
                <w:szCs w:val="18"/>
                <w:lang w:eastAsia="hr-HR"/>
              </w:rPr>
            </w:pPr>
            <w:r>
              <w:rPr>
                <w:rFonts w:eastAsia="Times New Roman" w:cs="Calibri"/>
                <w:sz w:val="18"/>
                <w:szCs w:val="18"/>
                <w:lang w:eastAsia="hr-HR"/>
              </w:rPr>
              <w:t>523</w:t>
            </w:r>
          </w:p>
        </w:tc>
        <w:tc>
          <w:tcPr>
            <w:tcW w:w="1091" w:type="pct"/>
            <w:tcBorders>
              <w:top w:val="single" w:sz="4" w:space="0" w:color="auto"/>
              <w:left w:val="nil"/>
              <w:bottom w:val="single" w:sz="4" w:space="0" w:color="auto"/>
              <w:right w:val="single" w:sz="4" w:space="0" w:color="auto"/>
            </w:tcBorders>
            <w:shd w:val="clear" w:color="auto" w:fill="auto"/>
            <w:vAlign w:val="bottom"/>
          </w:tcPr>
          <w:p w14:paraId="26C4FF03" w14:textId="77777777" w:rsidR="00EA51C4" w:rsidRPr="00CF2F8C" w:rsidRDefault="00EA51C4" w:rsidP="00BA499D">
            <w:pPr>
              <w:jc w:val="center"/>
              <w:rPr>
                <w:rFonts w:eastAsia="Times New Roman" w:cs="Calibri"/>
                <w:sz w:val="18"/>
                <w:szCs w:val="18"/>
                <w:lang w:eastAsia="hr-HR"/>
              </w:rPr>
            </w:pPr>
            <w:r>
              <w:rPr>
                <w:rFonts w:eastAsia="Times New Roman" w:cs="Calibri"/>
                <w:sz w:val="18"/>
                <w:szCs w:val="18"/>
                <w:lang w:eastAsia="hr-HR"/>
              </w:rPr>
              <w:t>104%</w:t>
            </w:r>
          </w:p>
        </w:tc>
      </w:tr>
      <w:tr w:rsidR="00EA51C4" w:rsidRPr="00BB4CB0" w14:paraId="48A0F178" w14:textId="77777777" w:rsidTr="00BA499D">
        <w:trPr>
          <w:trHeight w:val="284"/>
        </w:trPr>
        <w:tc>
          <w:tcPr>
            <w:tcW w:w="1485" w:type="pct"/>
            <w:tcBorders>
              <w:top w:val="single" w:sz="4" w:space="0" w:color="auto"/>
              <w:left w:val="single" w:sz="4" w:space="0" w:color="auto"/>
              <w:bottom w:val="single" w:sz="4" w:space="0" w:color="auto"/>
              <w:right w:val="single" w:sz="4" w:space="0" w:color="auto"/>
            </w:tcBorders>
            <w:vAlign w:val="center"/>
          </w:tcPr>
          <w:p w14:paraId="08B560BA" w14:textId="77777777" w:rsidR="00EA51C4" w:rsidRPr="008D0FA0" w:rsidRDefault="00EA51C4" w:rsidP="00BA499D">
            <w:pPr>
              <w:rPr>
                <w:rFonts w:eastAsia="Times New Roman" w:cstheme="minorHAnsi"/>
                <w:sz w:val="18"/>
                <w:szCs w:val="18"/>
                <w:lang w:eastAsia="hr-HR"/>
              </w:rPr>
            </w:pPr>
            <w:r w:rsidRPr="008D0FA0">
              <w:rPr>
                <w:rFonts w:eastAsia="Times New Roman" w:cstheme="minorHAnsi"/>
                <w:i/>
                <w:sz w:val="18"/>
                <w:szCs w:val="18"/>
                <w:lang w:eastAsia="hr-HR"/>
              </w:rPr>
              <w:t>In vitro</w:t>
            </w:r>
            <w:r w:rsidRPr="008D0FA0">
              <w:rPr>
                <w:rFonts w:eastAsia="Times New Roman" w:cstheme="minorHAnsi"/>
                <w:sz w:val="18"/>
                <w:szCs w:val="18"/>
                <w:lang w:eastAsia="hr-HR"/>
              </w:rPr>
              <w:t xml:space="preserve"> za samotestiranje</w:t>
            </w:r>
          </w:p>
        </w:tc>
        <w:tc>
          <w:tcPr>
            <w:tcW w:w="1250" w:type="pct"/>
            <w:tcBorders>
              <w:top w:val="single" w:sz="4" w:space="0" w:color="auto"/>
              <w:left w:val="single" w:sz="4" w:space="0" w:color="auto"/>
              <w:bottom w:val="single" w:sz="4" w:space="0" w:color="auto"/>
              <w:right w:val="single" w:sz="4" w:space="0" w:color="auto"/>
            </w:tcBorders>
            <w:vAlign w:val="center"/>
          </w:tcPr>
          <w:p w14:paraId="314C63C3" w14:textId="77777777" w:rsidR="00EA51C4" w:rsidRPr="008D0FA0" w:rsidRDefault="00EA51C4" w:rsidP="00BA499D">
            <w:pPr>
              <w:jc w:val="center"/>
              <w:rPr>
                <w:rFonts w:eastAsia="Times New Roman" w:cs="Calibri"/>
                <w:sz w:val="18"/>
                <w:szCs w:val="18"/>
                <w:lang w:eastAsia="hr-HR"/>
              </w:rPr>
            </w:pPr>
            <w:r>
              <w:rPr>
                <w:rFonts w:eastAsia="Times New Roman" w:cs="Calibri"/>
                <w:sz w:val="18"/>
                <w:szCs w:val="18"/>
                <w:lang w:eastAsia="hr-HR"/>
              </w:rPr>
              <w:t>20</w:t>
            </w:r>
          </w:p>
        </w:tc>
        <w:tc>
          <w:tcPr>
            <w:tcW w:w="1174" w:type="pct"/>
            <w:tcBorders>
              <w:top w:val="single" w:sz="4" w:space="0" w:color="auto"/>
              <w:left w:val="single" w:sz="4" w:space="0" w:color="auto"/>
              <w:bottom w:val="single" w:sz="4" w:space="0" w:color="auto"/>
              <w:right w:val="single" w:sz="4" w:space="0" w:color="auto"/>
            </w:tcBorders>
            <w:vAlign w:val="center"/>
          </w:tcPr>
          <w:p w14:paraId="5A9BFF6A" w14:textId="77777777" w:rsidR="00EA51C4" w:rsidRPr="008D0FA0" w:rsidRDefault="00EA51C4" w:rsidP="00BA499D">
            <w:pPr>
              <w:jc w:val="center"/>
              <w:rPr>
                <w:rFonts w:eastAsia="Times New Roman" w:cs="Calibri"/>
                <w:sz w:val="18"/>
                <w:szCs w:val="18"/>
                <w:lang w:eastAsia="hr-HR"/>
              </w:rPr>
            </w:pPr>
            <w:r>
              <w:rPr>
                <w:rFonts w:eastAsia="Times New Roman" w:cs="Calibri"/>
                <w:sz w:val="18"/>
                <w:szCs w:val="18"/>
                <w:lang w:eastAsia="hr-HR"/>
              </w:rPr>
              <w:t>29</w:t>
            </w:r>
          </w:p>
        </w:tc>
        <w:tc>
          <w:tcPr>
            <w:tcW w:w="1091" w:type="pct"/>
            <w:tcBorders>
              <w:top w:val="single" w:sz="4" w:space="0" w:color="auto"/>
              <w:left w:val="nil"/>
              <w:bottom w:val="single" w:sz="4" w:space="0" w:color="auto"/>
              <w:right w:val="single" w:sz="4" w:space="0" w:color="auto"/>
            </w:tcBorders>
            <w:shd w:val="clear" w:color="auto" w:fill="auto"/>
            <w:vAlign w:val="bottom"/>
          </w:tcPr>
          <w:p w14:paraId="2DA25B9A" w14:textId="77777777" w:rsidR="00EA51C4" w:rsidRPr="00CF2F8C" w:rsidRDefault="00EA51C4" w:rsidP="00BA499D">
            <w:pPr>
              <w:jc w:val="center"/>
              <w:rPr>
                <w:rFonts w:eastAsia="Times New Roman" w:cs="Calibri"/>
                <w:sz w:val="18"/>
                <w:szCs w:val="18"/>
                <w:lang w:eastAsia="hr-HR"/>
              </w:rPr>
            </w:pPr>
            <w:r>
              <w:rPr>
                <w:rFonts w:eastAsia="Times New Roman" w:cs="Calibri"/>
                <w:sz w:val="18"/>
                <w:szCs w:val="18"/>
                <w:lang w:eastAsia="hr-HR"/>
              </w:rPr>
              <w:t>145%</w:t>
            </w:r>
          </w:p>
        </w:tc>
      </w:tr>
      <w:tr w:rsidR="00EA51C4" w:rsidRPr="00BB4CB0" w14:paraId="79562036" w14:textId="77777777" w:rsidTr="00BA499D">
        <w:trPr>
          <w:trHeight w:val="284"/>
        </w:trPr>
        <w:tc>
          <w:tcPr>
            <w:tcW w:w="1485" w:type="pct"/>
            <w:tcBorders>
              <w:top w:val="single" w:sz="4" w:space="0" w:color="auto"/>
              <w:left w:val="single" w:sz="4" w:space="0" w:color="auto"/>
              <w:bottom w:val="single" w:sz="4" w:space="0" w:color="auto"/>
              <w:right w:val="single" w:sz="4" w:space="0" w:color="auto"/>
            </w:tcBorders>
            <w:vAlign w:val="center"/>
          </w:tcPr>
          <w:p w14:paraId="615C7038" w14:textId="77777777" w:rsidR="00EA51C4" w:rsidRPr="008D0FA0" w:rsidRDefault="00EA51C4" w:rsidP="00BA499D">
            <w:pPr>
              <w:rPr>
                <w:rFonts w:eastAsia="Times New Roman" w:cstheme="minorHAnsi"/>
                <w:i/>
                <w:sz w:val="18"/>
                <w:szCs w:val="18"/>
                <w:lang w:eastAsia="hr-HR"/>
              </w:rPr>
            </w:pPr>
            <w:r w:rsidRPr="008D0FA0">
              <w:rPr>
                <w:rFonts w:eastAsia="Times New Roman" w:cstheme="minorHAnsi"/>
                <w:i/>
                <w:sz w:val="18"/>
                <w:szCs w:val="18"/>
                <w:lang w:eastAsia="hr-HR"/>
              </w:rPr>
              <w:t>In vitro</w:t>
            </w:r>
            <w:r w:rsidRPr="008D0FA0">
              <w:rPr>
                <w:rFonts w:eastAsia="Times New Roman" w:cstheme="minorHAnsi"/>
                <w:sz w:val="18"/>
                <w:szCs w:val="18"/>
                <w:lang w:eastAsia="hr-HR"/>
              </w:rPr>
              <w:t xml:space="preserve"> Lista A</w:t>
            </w:r>
          </w:p>
        </w:tc>
        <w:tc>
          <w:tcPr>
            <w:tcW w:w="1250" w:type="pct"/>
            <w:tcBorders>
              <w:top w:val="single" w:sz="4" w:space="0" w:color="auto"/>
              <w:left w:val="single" w:sz="4" w:space="0" w:color="auto"/>
              <w:bottom w:val="single" w:sz="4" w:space="0" w:color="auto"/>
              <w:right w:val="single" w:sz="4" w:space="0" w:color="auto"/>
            </w:tcBorders>
            <w:vAlign w:val="center"/>
          </w:tcPr>
          <w:p w14:paraId="3249F634" w14:textId="77777777" w:rsidR="00EA51C4" w:rsidRPr="008D0FA0" w:rsidRDefault="00EA51C4" w:rsidP="00BA499D">
            <w:pPr>
              <w:jc w:val="center"/>
              <w:rPr>
                <w:rFonts w:eastAsia="Times New Roman" w:cs="Calibri"/>
                <w:sz w:val="18"/>
                <w:szCs w:val="18"/>
                <w:lang w:eastAsia="hr-HR"/>
              </w:rPr>
            </w:pPr>
            <w:r>
              <w:rPr>
                <w:rFonts w:eastAsia="Times New Roman" w:cs="Calibri"/>
                <w:sz w:val="18"/>
                <w:szCs w:val="18"/>
                <w:lang w:eastAsia="hr-HR"/>
              </w:rPr>
              <w:t>20</w:t>
            </w:r>
          </w:p>
        </w:tc>
        <w:tc>
          <w:tcPr>
            <w:tcW w:w="1174" w:type="pct"/>
            <w:tcBorders>
              <w:top w:val="single" w:sz="4" w:space="0" w:color="auto"/>
              <w:left w:val="single" w:sz="4" w:space="0" w:color="auto"/>
              <w:bottom w:val="single" w:sz="4" w:space="0" w:color="auto"/>
              <w:right w:val="single" w:sz="4" w:space="0" w:color="auto"/>
            </w:tcBorders>
            <w:vAlign w:val="center"/>
          </w:tcPr>
          <w:p w14:paraId="5A76E4E8" w14:textId="77777777" w:rsidR="00EA51C4" w:rsidRPr="008D0FA0" w:rsidRDefault="00EA51C4" w:rsidP="00BA499D">
            <w:pPr>
              <w:jc w:val="center"/>
              <w:rPr>
                <w:rFonts w:eastAsia="Times New Roman" w:cs="Calibri"/>
                <w:sz w:val="18"/>
                <w:szCs w:val="18"/>
                <w:lang w:eastAsia="hr-HR"/>
              </w:rPr>
            </w:pPr>
            <w:r>
              <w:rPr>
                <w:rFonts w:eastAsia="Times New Roman" w:cs="Calibri"/>
                <w:sz w:val="18"/>
                <w:szCs w:val="18"/>
                <w:lang w:eastAsia="hr-HR"/>
              </w:rPr>
              <w:t>3</w:t>
            </w:r>
          </w:p>
        </w:tc>
        <w:tc>
          <w:tcPr>
            <w:tcW w:w="1091" w:type="pct"/>
            <w:tcBorders>
              <w:top w:val="single" w:sz="4" w:space="0" w:color="auto"/>
              <w:left w:val="nil"/>
              <w:bottom w:val="single" w:sz="4" w:space="0" w:color="auto"/>
              <w:right w:val="single" w:sz="4" w:space="0" w:color="auto"/>
            </w:tcBorders>
            <w:shd w:val="clear" w:color="auto" w:fill="auto"/>
            <w:vAlign w:val="bottom"/>
          </w:tcPr>
          <w:p w14:paraId="1E388514" w14:textId="77777777" w:rsidR="00EA51C4" w:rsidRPr="00CF2F8C" w:rsidRDefault="00EA51C4" w:rsidP="00BA499D">
            <w:pPr>
              <w:jc w:val="center"/>
              <w:rPr>
                <w:rFonts w:eastAsia="Times New Roman" w:cs="Calibri"/>
                <w:sz w:val="18"/>
                <w:szCs w:val="18"/>
                <w:lang w:eastAsia="hr-HR"/>
              </w:rPr>
            </w:pPr>
            <w:r>
              <w:rPr>
                <w:rFonts w:eastAsia="Times New Roman" w:cs="Calibri"/>
                <w:sz w:val="18"/>
                <w:szCs w:val="18"/>
                <w:lang w:eastAsia="hr-HR"/>
              </w:rPr>
              <w:t>15%</w:t>
            </w:r>
          </w:p>
        </w:tc>
      </w:tr>
      <w:tr w:rsidR="00EA51C4" w:rsidRPr="00BB4CB0" w14:paraId="128B4EA6" w14:textId="77777777" w:rsidTr="00BA499D">
        <w:trPr>
          <w:trHeight w:val="284"/>
        </w:trPr>
        <w:tc>
          <w:tcPr>
            <w:tcW w:w="1485" w:type="pct"/>
            <w:tcBorders>
              <w:top w:val="single" w:sz="4" w:space="0" w:color="auto"/>
              <w:left w:val="single" w:sz="4" w:space="0" w:color="auto"/>
              <w:bottom w:val="single" w:sz="4" w:space="0" w:color="auto"/>
              <w:right w:val="single" w:sz="4" w:space="0" w:color="auto"/>
            </w:tcBorders>
            <w:vAlign w:val="center"/>
          </w:tcPr>
          <w:p w14:paraId="781EB08C" w14:textId="77777777" w:rsidR="00EA51C4" w:rsidRPr="008D0FA0" w:rsidRDefault="00EA51C4" w:rsidP="00BA499D">
            <w:pPr>
              <w:rPr>
                <w:rFonts w:eastAsia="Times New Roman" w:cstheme="minorHAnsi"/>
                <w:i/>
                <w:sz w:val="18"/>
                <w:szCs w:val="18"/>
                <w:lang w:eastAsia="hr-HR"/>
              </w:rPr>
            </w:pPr>
            <w:r w:rsidRPr="008D0FA0">
              <w:rPr>
                <w:rFonts w:eastAsia="Times New Roman" w:cstheme="minorHAnsi"/>
                <w:i/>
                <w:sz w:val="18"/>
                <w:szCs w:val="18"/>
                <w:lang w:eastAsia="hr-HR"/>
              </w:rPr>
              <w:t>In vitro</w:t>
            </w:r>
            <w:r w:rsidRPr="008D0FA0">
              <w:rPr>
                <w:rFonts w:eastAsia="Times New Roman" w:cstheme="minorHAnsi"/>
                <w:sz w:val="18"/>
                <w:szCs w:val="18"/>
                <w:lang w:eastAsia="hr-HR"/>
              </w:rPr>
              <w:t xml:space="preserve"> Lista B</w:t>
            </w:r>
          </w:p>
        </w:tc>
        <w:tc>
          <w:tcPr>
            <w:tcW w:w="1250" w:type="pct"/>
            <w:tcBorders>
              <w:top w:val="single" w:sz="4" w:space="0" w:color="auto"/>
              <w:left w:val="single" w:sz="4" w:space="0" w:color="auto"/>
              <w:bottom w:val="single" w:sz="4" w:space="0" w:color="auto"/>
              <w:right w:val="single" w:sz="4" w:space="0" w:color="auto"/>
            </w:tcBorders>
            <w:vAlign w:val="center"/>
          </w:tcPr>
          <w:p w14:paraId="4C67F1A8" w14:textId="77777777" w:rsidR="00EA51C4" w:rsidRPr="008D0FA0" w:rsidRDefault="00EA51C4" w:rsidP="00BA499D">
            <w:pPr>
              <w:jc w:val="center"/>
              <w:rPr>
                <w:rFonts w:eastAsia="Times New Roman" w:cs="Calibri"/>
                <w:sz w:val="18"/>
                <w:szCs w:val="18"/>
                <w:lang w:eastAsia="hr-HR"/>
              </w:rPr>
            </w:pPr>
            <w:r>
              <w:rPr>
                <w:rFonts w:eastAsia="Times New Roman" w:cs="Calibri"/>
                <w:sz w:val="18"/>
                <w:szCs w:val="18"/>
                <w:lang w:eastAsia="hr-HR"/>
              </w:rPr>
              <w:t>60</w:t>
            </w:r>
          </w:p>
        </w:tc>
        <w:tc>
          <w:tcPr>
            <w:tcW w:w="1174" w:type="pct"/>
            <w:tcBorders>
              <w:top w:val="single" w:sz="4" w:space="0" w:color="auto"/>
              <w:left w:val="single" w:sz="4" w:space="0" w:color="auto"/>
              <w:bottom w:val="single" w:sz="4" w:space="0" w:color="auto"/>
              <w:right w:val="single" w:sz="4" w:space="0" w:color="auto"/>
            </w:tcBorders>
            <w:vAlign w:val="center"/>
          </w:tcPr>
          <w:p w14:paraId="4AAE8B2E" w14:textId="77777777" w:rsidR="00EA51C4" w:rsidRPr="008D0FA0" w:rsidRDefault="00EA51C4" w:rsidP="00BA499D">
            <w:pPr>
              <w:jc w:val="center"/>
              <w:rPr>
                <w:rFonts w:eastAsia="Times New Roman" w:cs="Calibri"/>
                <w:sz w:val="18"/>
                <w:szCs w:val="18"/>
                <w:lang w:eastAsia="hr-HR"/>
              </w:rPr>
            </w:pPr>
            <w:r>
              <w:rPr>
                <w:rFonts w:eastAsia="Times New Roman" w:cs="Calibri"/>
                <w:sz w:val="18"/>
                <w:szCs w:val="18"/>
                <w:lang w:eastAsia="hr-HR"/>
              </w:rPr>
              <w:t>7</w:t>
            </w:r>
          </w:p>
        </w:tc>
        <w:tc>
          <w:tcPr>
            <w:tcW w:w="1091" w:type="pct"/>
            <w:tcBorders>
              <w:top w:val="single" w:sz="4" w:space="0" w:color="auto"/>
              <w:left w:val="nil"/>
              <w:bottom w:val="single" w:sz="4" w:space="0" w:color="auto"/>
              <w:right w:val="single" w:sz="4" w:space="0" w:color="auto"/>
            </w:tcBorders>
            <w:shd w:val="clear" w:color="auto" w:fill="auto"/>
            <w:vAlign w:val="bottom"/>
          </w:tcPr>
          <w:p w14:paraId="251E32B0" w14:textId="77777777" w:rsidR="00EA51C4" w:rsidRPr="00CF2F8C" w:rsidRDefault="00EA51C4" w:rsidP="00BA499D">
            <w:pPr>
              <w:jc w:val="center"/>
              <w:rPr>
                <w:rFonts w:eastAsia="Times New Roman" w:cs="Calibri"/>
                <w:sz w:val="18"/>
                <w:szCs w:val="18"/>
                <w:lang w:eastAsia="hr-HR"/>
              </w:rPr>
            </w:pPr>
            <w:r>
              <w:rPr>
                <w:rFonts w:eastAsia="Times New Roman" w:cs="Calibri"/>
                <w:sz w:val="18"/>
                <w:szCs w:val="18"/>
                <w:lang w:eastAsia="hr-HR"/>
              </w:rPr>
              <w:t>2%</w:t>
            </w:r>
          </w:p>
        </w:tc>
      </w:tr>
      <w:tr w:rsidR="00EA51C4" w:rsidRPr="00BB4CB0" w14:paraId="7D49C49E" w14:textId="77777777" w:rsidTr="00BA499D">
        <w:trPr>
          <w:trHeight w:val="284"/>
        </w:trPr>
        <w:tc>
          <w:tcPr>
            <w:tcW w:w="1485" w:type="pct"/>
            <w:tcBorders>
              <w:top w:val="single" w:sz="4" w:space="0" w:color="auto"/>
              <w:left w:val="single" w:sz="4" w:space="0" w:color="auto"/>
              <w:bottom w:val="single" w:sz="4" w:space="0" w:color="auto"/>
              <w:right w:val="single" w:sz="4" w:space="0" w:color="auto"/>
            </w:tcBorders>
            <w:vAlign w:val="center"/>
          </w:tcPr>
          <w:p w14:paraId="0554FF70" w14:textId="77777777" w:rsidR="00EA51C4" w:rsidRPr="009566CB" w:rsidRDefault="00EA51C4" w:rsidP="00BA499D">
            <w:pPr>
              <w:rPr>
                <w:rFonts w:eastAsia="Times New Roman" w:cstheme="minorHAnsi"/>
                <w:sz w:val="18"/>
                <w:szCs w:val="18"/>
                <w:lang w:eastAsia="hr-HR"/>
              </w:rPr>
            </w:pPr>
            <w:r>
              <w:rPr>
                <w:rFonts w:eastAsia="Times New Roman" w:cstheme="minorHAnsi"/>
                <w:sz w:val="18"/>
                <w:szCs w:val="18"/>
                <w:lang w:eastAsia="hr-HR"/>
              </w:rPr>
              <w:t>Klasa A</w:t>
            </w:r>
          </w:p>
        </w:tc>
        <w:tc>
          <w:tcPr>
            <w:tcW w:w="1250" w:type="pct"/>
            <w:tcBorders>
              <w:top w:val="single" w:sz="4" w:space="0" w:color="auto"/>
              <w:left w:val="single" w:sz="4" w:space="0" w:color="auto"/>
              <w:bottom w:val="single" w:sz="4" w:space="0" w:color="auto"/>
              <w:right w:val="single" w:sz="4" w:space="0" w:color="auto"/>
            </w:tcBorders>
            <w:vAlign w:val="center"/>
          </w:tcPr>
          <w:p w14:paraId="28D829F4" w14:textId="77777777" w:rsidR="00EA51C4" w:rsidRDefault="00EA51C4" w:rsidP="00BA499D">
            <w:pPr>
              <w:jc w:val="center"/>
              <w:rPr>
                <w:rFonts w:eastAsia="Times New Roman" w:cs="Calibri"/>
                <w:sz w:val="18"/>
                <w:szCs w:val="18"/>
                <w:lang w:eastAsia="hr-HR"/>
              </w:rPr>
            </w:pPr>
            <w:r>
              <w:rPr>
                <w:rFonts w:eastAsia="Times New Roman" w:cs="Calibri"/>
                <w:sz w:val="18"/>
                <w:szCs w:val="18"/>
                <w:lang w:eastAsia="hr-HR"/>
              </w:rPr>
              <w:t>0</w:t>
            </w:r>
          </w:p>
        </w:tc>
        <w:tc>
          <w:tcPr>
            <w:tcW w:w="1174" w:type="pct"/>
            <w:tcBorders>
              <w:top w:val="single" w:sz="4" w:space="0" w:color="auto"/>
              <w:left w:val="single" w:sz="4" w:space="0" w:color="auto"/>
              <w:bottom w:val="single" w:sz="4" w:space="0" w:color="auto"/>
              <w:right w:val="single" w:sz="4" w:space="0" w:color="auto"/>
            </w:tcBorders>
            <w:vAlign w:val="center"/>
          </w:tcPr>
          <w:p w14:paraId="07CE4D4F" w14:textId="77777777" w:rsidR="00EA51C4" w:rsidRDefault="00EA51C4" w:rsidP="00BA499D">
            <w:pPr>
              <w:jc w:val="center"/>
              <w:rPr>
                <w:rFonts w:eastAsia="Times New Roman" w:cs="Calibri"/>
                <w:sz w:val="18"/>
                <w:szCs w:val="18"/>
                <w:lang w:eastAsia="hr-HR"/>
              </w:rPr>
            </w:pPr>
            <w:r>
              <w:rPr>
                <w:rFonts w:eastAsia="Times New Roman" w:cs="Calibri"/>
                <w:sz w:val="18"/>
                <w:szCs w:val="18"/>
                <w:lang w:eastAsia="hr-HR"/>
              </w:rPr>
              <w:t>112</w:t>
            </w:r>
          </w:p>
        </w:tc>
        <w:tc>
          <w:tcPr>
            <w:tcW w:w="1091" w:type="pct"/>
            <w:tcBorders>
              <w:top w:val="single" w:sz="4" w:space="0" w:color="auto"/>
              <w:left w:val="nil"/>
              <w:bottom w:val="single" w:sz="4" w:space="0" w:color="auto"/>
              <w:right w:val="single" w:sz="4" w:space="0" w:color="auto"/>
            </w:tcBorders>
            <w:shd w:val="clear" w:color="auto" w:fill="auto"/>
            <w:vAlign w:val="bottom"/>
          </w:tcPr>
          <w:p w14:paraId="1078971C" w14:textId="77777777" w:rsidR="00EA51C4" w:rsidRDefault="00EA51C4" w:rsidP="00BA499D">
            <w:pPr>
              <w:jc w:val="center"/>
              <w:rPr>
                <w:rFonts w:eastAsia="Times New Roman" w:cs="Calibri"/>
                <w:sz w:val="18"/>
                <w:szCs w:val="18"/>
                <w:lang w:eastAsia="hr-HR"/>
              </w:rPr>
            </w:pPr>
            <w:r>
              <w:rPr>
                <w:rFonts w:eastAsia="Times New Roman" w:cs="Calibri"/>
                <w:sz w:val="18"/>
                <w:szCs w:val="18"/>
                <w:lang w:eastAsia="hr-HR"/>
              </w:rPr>
              <w:t>n/p</w:t>
            </w:r>
          </w:p>
        </w:tc>
      </w:tr>
      <w:tr w:rsidR="00EA51C4" w:rsidRPr="00BB4CB0" w14:paraId="1B6F20AC" w14:textId="77777777" w:rsidTr="00BA499D">
        <w:trPr>
          <w:trHeight w:val="284"/>
        </w:trPr>
        <w:tc>
          <w:tcPr>
            <w:tcW w:w="1485" w:type="pct"/>
            <w:tcBorders>
              <w:top w:val="single" w:sz="4" w:space="0" w:color="auto"/>
              <w:left w:val="single" w:sz="4" w:space="0" w:color="auto"/>
              <w:bottom w:val="single" w:sz="4" w:space="0" w:color="auto"/>
              <w:right w:val="single" w:sz="4" w:space="0" w:color="auto"/>
            </w:tcBorders>
            <w:vAlign w:val="center"/>
          </w:tcPr>
          <w:p w14:paraId="1208CB20" w14:textId="77777777" w:rsidR="00EA51C4" w:rsidRPr="009566CB" w:rsidRDefault="00EA51C4" w:rsidP="00BA499D">
            <w:pPr>
              <w:rPr>
                <w:rFonts w:eastAsia="Times New Roman" w:cstheme="minorHAnsi"/>
                <w:sz w:val="18"/>
                <w:szCs w:val="18"/>
                <w:lang w:eastAsia="hr-HR"/>
              </w:rPr>
            </w:pPr>
            <w:r>
              <w:rPr>
                <w:rFonts w:eastAsia="Times New Roman" w:cstheme="minorHAnsi"/>
                <w:sz w:val="18"/>
                <w:szCs w:val="18"/>
                <w:lang w:eastAsia="hr-HR"/>
              </w:rPr>
              <w:t>Klasa B</w:t>
            </w:r>
          </w:p>
        </w:tc>
        <w:tc>
          <w:tcPr>
            <w:tcW w:w="1250" w:type="pct"/>
            <w:tcBorders>
              <w:top w:val="single" w:sz="4" w:space="0" w:color="auto"/>
              <w:left w:val="single" w:sz="4" w:space="0" w:color="auto"/>
              <w:bottom w:val="single" w:sz="4" w:space="0" w:color="auto"/>
              <w:right w:val="single" w:sz="4" w:space="0" w:color="auto"/>
            </w:tcBorders>
            <w:vAlign w:val="center"/>
          </w:tcPr>
          <w:p w14:paraId="7665497D" w14:textId="77777777" w:rsidR="00EA51C4" w:rsidRDefault="00EA51C4" w:rsidP="00BA499D">
            <w:pPr>
              <w:jc w:val="center"/>
              <w:rPr>
                <w:rFonts w:eastAsia="Times New Roman" w:cs="Calibri"/>
                <w:sz w:val="18"/>
                <w:szCs w:val="18"/>
                <w:lang w:eastAsia="hr-HR"/>
              </w:rPr>
            </w:pPr>
            <w:r>
              <w:rPr>
                <w:rFonts w:eastAsia="Times New Roman" w:cs="Calibri"/>
                <w:sz w:val="18"/>
                <w:szCs w:val="18"/>
                <w:lang w:eastAsia="hr-HR"/>
              </w:rPr>
              <w:t>0</w:t>
            </w:r>
          </w:p>
        </w:tc>
        <w:tc>
          <w:tcPr>
            <w:tcW w:w="1174" w:type="pct"/>
            <w:tcBorders>
              <w:top w:val="single" w:sz="4" w:space="0" w:color="auto"/>
              <w:left w:val="single" w:sz="4" w:space="0" w:color="auto"/>
              <w:bottom w:val="single" w:sz="4" w:space="0" w:color="auto"/>
              <w:right w:val="single" w:sz="4" w:space="0" w:color="auto"/>
            </w:tcBorders>
            <w:vAlign w:val="center"/>
          </w:tcPr>
          <w:p w14:paraId="26C12976" w14:textId="77777777" w:rsidR="00EA51C4" w:rsidRDefault="00EA51C4" w:rsidP="00BA499D">
            <w:pPr>
              <w:jc w:val="center"/>
              <w:rPr>
                <w:rFonts w:eastAsia="Times New Roman" w:cs="Calibri"/>
                <w:sz w:val="18"/>
                <w:szCs w:val="18"/>
                <w:lang w:eastAsia="hr-HR"/>
              </w:rPr>
            </w:pPr>
            <w:r>
              <w:rPr>
                <w:rFonts w:eastAsia="Times New Roman" w:cs="Calibri"/>
                <w:sz w:val="18"/>
                <w:szCs w:val="18"/>
                <w:lang w:eastAsia="hr-HR"/>
              </w:rPr>
              <w:t>130</w:t>
            </w:r>
          </w:p>
        </w:tc>
        <w:tc>
          <w:tcPr>
            <w:tcW w:w="1091" w:type="pct"/>
            <w:tcBorders>
              <w:top w:val="single" w:sz="4" w:space="0" w:color="auto"/>
              <w:left w:val="nil"/>
              <w:bottom w:val="single" w:sz="4" w:space="0" w:color="auto"/>
              <w:right w:val="single" w:sz="4" w:space="0" w:color="auto"/>
            </w:tcBorders>
            <w:shd w:val="clear" w:color="auto" w:fill="auto"/>
            <w:vAlign w:val="bottom"/>
          </w:tcPr>
          <w:p w14:paraId="5B6060D1" w14:textId="77777777" w:rsidR="00EA51C4" w:rsidRDefault="00EA51C4" w:rsidP="00BA499D">
            <w:pPr>
              <w:jc w:val="center"/>
              <w:rPr>
                <w:rFonts w:eastAsia="Times New Roman" w:cs="Calibri"/>
                <w:sz w:val="18"/>
                <w:szCs w:val="18"/>
                <w:lang w:eastAsia="hr-HR"/>
              </w:rPr>
            </w:pPr>
            <w:r>
              <w:rPr>
                <w:rFonts w:eastAsia="Times New Roman" w:cs="Calibri"/>
                <w:sz w:val="18"/>
                <w:szCs w:val="18"/>
                <w:lang w:eastAsia="hr-HR"/>
              </w:rPr>
              <w:t>n/p</w:t>
            </w:r>
          </w:p>
        </w:tc>
      </w:tr>
      <w:tr w:rsidR="00EA51C4" w:rsidRPr="00BB4CB0" w14:paraId="7A78B45A" w14:textId="77777777" w:rsidTr="00BA499D">
        <w:trPr>
          <w:trHeight w:val="284"/>
        </w:trPr>
        <w:tc>
          <w:tcPr>
            <w:tcW w:w="1485" w:type="pct"/>
            <w:tcBorders>
              <w:top w:val="single" w:sz="4" w:space="0" w:color="auto"/>
              <w:left w:val="single" w:sz="4" w:space="0" w:color="auto"/>
              <w:bottom w:val="single" w:sz="4" w:space="0" w:color="auto"/>
              <w:right w:val="single" w:sz="4" w:space="0" w:color="auto"/>
            </w:tcBorders>
            <w:vAlign w:val="center"/>
          </w:tcPr>
          <w:p w14:paraId="11452BCC" w14:textId="77777777" w:rsidR="00EA51C4" w:rsidRDefault="00EA51C4" w:rsidP="00BA499D">
            <w:pPr>
              <w:rPr>
                <w:rFonts w:eastAsia="Times New Roman" w:cstheme="minorHAnsi"/>
                <w:sz w:val="18"/>
                <w:szCs w:val="18"/>
                <w:lang w:eastAsia="hr-HR"/>
              </w:rPr>
            </w:pPr>
            <w:r>
              <w:rPr>
                <w:rFonts w:eastAsia="Times New Roman" w:cstheme="minorHAnsi"/>
                <w:sz w:val="18"/>
                <w:szCs w:val="18"/>
                <w:lang w:eastAsia="hr-HR"/>
              </w:rPr>
              <w:t>Klasa C</w:t>
            </w:r>
          </w:p>
        </w:tc>
        <w:tc>
          <w:tcPr>
            <w:tcW w:w="1250" w:type="pct"/>
            <w:tcBorders>
              <w:top w:val="single" w:sz="4" w:space="0" w:color="auto"/>
              <w:left w:val="single" w:sz="4" w:space="0" w:color="auto"/>
              <w:bottom w:val="single" w:sz="4" w:space="0" w:color="auto"/>
              <w:right w:val="single" w:sz="4" w:space="0" w:color="auto"/>
            </w:tcBorders>
            <w:vAlign w:val="center"/>
          </w:tcPr>
          <w:p w14:paraId="25ADE543" w14:textId="77777777" w:rsidR="00EA51C4" w:rsidRDefault="00EA51C4" w:rsidP="00BA499D">
            <w:pPr>
              <w:jc w:val="center"/>
              <w:rPr>
                <w:rFonts w:eastAsia="Times New Roman" w:cs="Calibri"/>
                <w:sz w:val="18"/>
                <w:szCs w:val="18"/>
                <w:lang w:eastAsia="hr-HR"/>
              </w:rPr>
            </w:pPr>
            <w:r>
              <w:rPr>
                <w:rFonts w:eastAsia="Times New Roman" w:cs="Calibri"/>
                <w:sz w:val="18"/>
                <w:szCs w:val="18"/>
                <w:lang w:eastAsia="hr-HR"/>
              </w:rPr>
              <w:t>0</w:t>
            </w:r>
          </w:p>
        </w:tc>
        <w:tc>
          <w:tcPr>
            <w:tcW w:w="1174" w:type="pct"/>
            <w:tcBorders>
              <w:top w:val="single" w:sz="4" w:space="0" w:color="auto"/>
              <w:left w:val="single" w:sz="4" w:space="0" w:color="auto"/>
              <w:bottom w:val="single" w:sz="4" w:space="0" w:color="auto"/>
              <w:right w:val="single" w:sz="4" w:space="0" w:color="auto"/>
            </w:tcBorders>
            <w:vAlign w:val="center"/>
          </w:tcPr>
          <w:p w14:paraId="1B40FF01" w14:textId="77777777" w:rsidR="00EA51C4" w:rsidRDefault="00EA51C4" w:rsidP="00BA499D">
            <w:pPr>
              <w:jc w:val="center"/>
              <w:rPr>
                <w:rFonts w:eastAsia="Times New Roman" w:cs="Calibri"/>
                <w:sz w:val="18"/>
                <w:szCs w:val="18"/>
                <w:lang w:eastAsia="hr-HR"/>
              </w:rPr>
            </w:pPr>
            <w:r>
              <w:rPr>
                <w:rFonts w:eastAsia="Times New Roman" w:cs="Calibri"/>
                <w:sz w:val="18"/>
                <w:szCs w:val="18"/>
                <w:lang w:eastAsia="hr-HR"/>
              </w:rPr>
              <w:t>285</w:t>
            </w:r>
          </w:p>
        </w:tc>
        <w:tc>
          <w:tcPr>
            <w:tcW w:w="1091" w:type="pct"/>
            <w:tcBorders>
              <w:top w:val="single" w:sz="4" w:space="0" w:color="auto"/>
              <w:left w:val="nil"/>
              <w:bottom w:val="single" w:sz="4" w:space="0" w:color="auto"/>
              <w:right w:val="single" w:sz="4" w:space="0" w:color="auto"/>
            </w:tcBorders>
            <w:shd w:val="clear" w:color="auto" w:fill="auto"/>
            <w:vAlign w:val="bottom"/>
          </w:tcPr>
          <w:p w14:paraId="27837DAA" w14:textId="77777777" w:rsidR="00EA51C4" w:rsidRDefault="00EA51C4" w:rsidP="00BA499D">
            <w:pPr>
              <w:jc w:val="center"/>
              <w:rPr>
                <w:rFonts w:eastAsia="Times New Roman" w:cs="Calibri"/>
                <w:sz w:val="18"/>
                <w:szCs w:val="18"/>
                <w:lang w:eastAsia="hr-HR"/>
              </w:rPr>
            </w:pPr>
            <w:r>
              <w:rPr>
                <w:rFonts w:eastAsia="Times New Roman" w:cs="Calibri"/>
                <w:sz w:val="18"/>
                <w:szCs w:val="18"/>
                <w:lang w:eastAsia="hr-HR"/>
              </w:rPr>
              <w:t>n/p</w:t>
            </w:r>
          </w:p>
        </w:tc>
      </w:tr>
    </w:tbl>
    <w:p w14:paraId="03ABD97C" w14:textId="77777777" w:rsidR="00EA51C4" w:rsidRDefault="00EA51C4" w:rsidP="00EA51C4">
      <w:pPr>
        <w:spacing w:after="240"/>
      </w:pPr>
    </w:p>
    <w:p w14:paraId="72C31607" w14:textId="77777777" w:rsidR="00EA51C4" w:rsidRPr="008D312D" w:rsidRDefault="00EA51C4" w:rsidP="00EA51C4">
      <w:pPr>
        <w:pStyle w:val="Heading3"/>
      </w:pPr>
      <w:bookmarkStart w:id="265" w:name="_Toc165035519"/>
      <w:bookmarkStart w:id="266" w:name="_Toc26534691"/>
      <w:r w:rsidRPr="008D312D">
        <w:lastRenderedPageBreak/>
        <w:t>2.</w:t>
      </w:r>
      <w:r>
        <w:t>8</w:t>
      </w:r>
      <w:r w:rsidRPr="008D312D">
        <w:t>.</w:t>
      </w:r>
      <w:r>
        <w:t>2</w:t>
      </w:r>
      <w:r w:rsidRPr="008D312D">
        <w:t xml:space="preserve">. </w:t>
      </w:r>
      <w:r>
        <w:t>Dodjeljivanje jedinstvenog registracijskog broja gospodarskim subjektima</w:t>
      </w:r>
      <w:bookmarkEnd w:id="265"/>
    </w:p>
    <w:p w14:paraId="4130FC49" w14:textId="77777777" w:rsidR="00EA51C4" w:rsidRDefault="00EA51C4" w:rsidP="00EA51C4">
      <w:pPr>
        <w:spacing w:after="240" w:line="276" w:lineRule="auto"/>
        <w:jc w:val="both"/>
        <w:rPr>
          <w:rFonts w:eastAsia="Times New Roman" w:cstheme="minorHAnsi"/>
          <w:bCs/>
          <w:color w:val="1D1B11"/>
        </w:rPr>
      </w:pPr>
      <w:r w:rsidRPr="0008136B">
        <w:rPr>
          <w:rFonts w:eastAsia="Times New Roman" w:cstheme="minorHAnsi"/>
          <w:bCs/>
          <w:color w:val="1D1B11"/>
        </w:rPr>
        <w:t xml:space="preserve">Sukladno Zakonu o </w:t>
      </w:r>
      <w:r w:rsidRPr="001D715C">
        <w:rPr>
          <w:rFonts w:eastAsia="Times New Roman" w:cstheme="minorHAnsi"/>
          <w:bCs/>
          <w:color w:val="1D1B11"/>
        </w:rPr>
        <w:t xml:space="preserve">provedbi Uredbe (EU) 2017/745 o medicinskim proizvodima i Uredbe (EU) 2017/746 o in vitro dijagnostičkim medicinskim proizvodima </w:t>
      </w:r>
      <w:r>
        <w:rPr>
          <w:rFonts w:eastAsia="Times New Roman" w:cstheme="minorHAnsi"/>
          <w:bCs/>
          <w:color w:val="1D1B11"/>
        </w:rPr>
        <w:t>HALMED n</w:t>
      </w:r>
      <w:r w:rsidRPr="001D715C">
        <w:rPr>
          <w:rFonts w:eastAsia="Times New Roman" w:cstheme="minorHAnsi"/>
          <w:bCs/>
          <w:color w:val="1D1B11"/>
        </w:rPr>
        <w:t xml:space="preserve">akon provjere unesenih podataka nadležno tijelo putem elektroničkog sustava </w:t>
      </w:r>
      <w:r>
        <w:rPr>
          <w:rFonts w:eastAsia="Times New Roman" w:cstheme="minorHAnsi"/>
          <w:bCs/>
          <w:color w:val="1D1B11"/>
        </w:rPr>
        <w:t>Eudamed</w:t>
      </w:r>
      <w:r w:rsidRPr="001D715C">
        <w:rPr>
          <w:rFonts w:eastAsia="Times New Roman" w:cstheme="minorHAnsi"/>
          <w:bCs/>
          <w:color w:val="1D1B11"/>
        </w:rPr>
        <w:t xml:space="preserve"> pribavlja jedinstveni registracijski broj („SRN”) i izdaje ga proizvođaču, ovlaštenom zastupniku</w:t>
      </w:r>
      <w:r>
        <w:rPr>
          <w:rFonts w:eastAsia="Times New Roman" w:cstheme="minorHAnsi"/>
          <w:bCs/>
          <w:color w:val="1D1B11"/>
        </w:rPr>
        <w:t>,</w:t>
      </w:r>
      <w:r w:rsidRPr="001D715C">
        <w:rPr>
          <w:rFonts w:eastAsia="Times New Roman" w:cstheme="minorHAnsi"/>
          <w:bCs/>
          <w:color w:val="1D1B11"/>
        </w:rPr>
        <w:t xml:space="preserve"> uvozniku</w:t>
      </w:r>
      <w:r>
        <w:rPr>
          <w:rFonts w:eastAsia="Times New Roman" w:cstheme="minorHAnsi"/>
          <w:bCs/>
          <w:color w:val="1D1B11"/>
        </w:rPr>
        <w:t xml:space="preserve"> te fizičkim ili pravnim osobama koje sastavljaju komplete. </w:t>
      </w:r>
    </w:p>
    <w:p w14:paraId="0F4B4C2C" w14:textId="3AEF5625" w:rsidR="00EA51C4" w:rsidRDefault="00EA51C4" w:rsidP="00EA51C4">
      <w:pPr>
        <w:spacing w:after="240"/>
        <w:jc w:val="both"/>
        <w:rPr>
          <w:rFonts w:eastAsia="Times New Roman" w:cstheme="minorHAnsi"/>
          <w:bCs/>
          <w:color w:val="1D1B11"/>
        </w:rPr>
      </w:pPr>
      <w:r>
        <w:rPr>
          <w:rFonts w:eastAsia="Times New Roman" w:cstheme="minorHAnsi"/>
          <w:bCs/>
          <w:color w:val="1D1B11"/>
        </w:rPr>
        <w:t>U izvještajnom</w:t>
      </w:r>
      <w:r w:rsidR="00702551">
        <w:rPr>
          <w:rFonts w:eastAsia="Times New Roman" w:cstheme="minorHAnsi"/>
          <w:bCs/>
          <w:color w:val="1D1B11"/>
        </w:rPr>
        <w:t xml:space="preserve"> razdoblju HALMED je dodijelio 27</w:t>
      </w:r>
      <w:r>
        <w:rPr>
          <w:rFonts w:eastAsia="Times New Roman" w:cstheme="minorHAnsi"/>
          <w:bCs/>
          <w:color w:val="1D1B11"/>
        </w:rPr>
        <w:t xml:space="preserve"> jedinstvenih registracijskih brojeva.</w:t>
      </w:r>
    </w:p>
    <w:p w14:paraId="56B5EAAE" w14:textId="77777777" w:rsidR="00EA51C4" w:rsidRDefault="00EA51C4" w:rsidP="00EA51C4">
      <w:pPr>
        <w:spacing w:after="240"/>
        <w:jc w:val="both"/>
        <w:rPr>
          <w:rFonts w:eastAsia="Times New Roman" w:cstheme="minorHAnsi"/>
          <w:bCs/>
          <w:color w:val="1D1B11"/>
        </w:rPr>
      </w:pPr>
      <w:r>
        <w:rPr>
          <w:rFonts w:eastAsia="Times New Roman" w:cstheme="minorHAnsi"/>
          <w:bCs/>
          <w:color w:val="1D1B11"/>
        </w:rPr>
        <w:t>Broj izdanih SRN-ova prema vrsti gospodarskog subjekta:</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1559"/>
        <w:gridCol w:w="2268"/>
        <w:gridCol w:w="1276"/>
        <w:gridCol w:w="2551"/>
      </w:tblGrid>
      <w:tr w:rsidR="00EA51C4" w:rsidRPr="00DD3903" w14:paraId="6470D506" w14:textId="77777777" w:rsidTr="00BA499D">
        <w:trPr>
          <w:trHeight w:val="567"/>
        </w:trPr>
        <w:tc>
          <w:tcPr>
            <w:tcW w:w="1447" w:type="dxa"/>
            <w:tcBorders>
              <w:top w:val="single" w:sz="4" w:space="0" w:color="auto"/>
              <w:left w:val="single" w:sz="4" w:space="0" w:color="auto"/>
              <w:bottom w:val="single" w:sz="4" w:space="0" w:color="auto"/>
              <w:right w:val="single" w:sz="4" w:space="0" w:color="auto"/>
            </w:tcBorders>
            <w:shd w:val="clear" w:color="auto" w:fill="A3E7FF"/>
            <w:vAlign w:val="center"/>
          </w:tcPr>
          <w:p w14:paraId="1BF905FB" w14:textId="77777777" w:rsidR="00EA51C4" w:rsidRPr="008D0FA0" w:rsidRDefault="00EA51C4" w:rsidP="00BA499D">
            <w:pPr>
              <w:jc w:val="center"/>
              <w:rPr>
                <w:rFonts w:eastAsia="Times New Roman" w:cs="Calibri"/>
                <w:b/>
                <w:sz w:val="18"/>
                <w:szCs w:val="18"/>
                <w:lang w:eastAsia="hr-HR"/>
              </w:rPr>
            </w:pPr>
          </w:p>
        </w:tc>
        <w:tc>
          <w:tcPr>
            <w:tcW w:w="1559" w:type="dxa"/>
            <w:tcBorders>
              <w:top w:val="single" w:sz="4" w:space="0" w:color="auto"/>
              <w:left w:val="single" w:sz="4" w:space="0" w:color="auto"/>
              <w:bottom w:val="single" w:sz="4" w:space="0" w:color="auto"/>
              <w:right w:val="single" w:sz="4" w:space="0" w:color="auto"/>
            </w:tcBorders>
            <w:shd w:val="clear" w:color="auto" w:fill="A3E7FF"/>
            <w:vAlign w:val="center"/>
            <w:hideMark/>
          </w:tcPr>
          <w:p w14:paraId="3B672FD2" w14:textId="77777777" w:rsidR="00EA51C4" w:rsidRPr="008D0FA0" w:rsidRDefault="00EA51C4" w:rsidP="00BA499D">
            <w:pPr>
              <w:jc w:val="center"/>
              <w:rPr>
                <w:rFonts w:eastAsia="Times New Roman" w:cs="Calibri"/>
                <w:b/>
                <w:sz w:val="18"/>
                <w:szCs w:val="18"/>
                <w:lang w:eastAsia="hr-HR"/>
              </w:rPr>
            </w:pPr>
            <w:r>
              <w:rPr>
                <w:rFonts w:eastAsia="Times New Roman" w:cs="Calibri"/>
                <w:b/>
                <w:sz w:val="18"/>
                <w:szCs w:val="18"/>
                <w:lang w:eastAsia="hr-HR"/>
              </w:rPr>
              <w:t>Proizvođači</w:t>
            </w:r>
          </w:p>
        </w:tc>
        <w:tc>
          <w:tcPr>
            <w:tcW w:w="2268" w:type="dxa"/>
            <w:tcBorders>
              <w:top w:val="single" w:sz="4" w:space="0" w:color="auto"/>
              <w:left w:val="single" w:sz="4" w:space="0" w:color="auto"/>
              <w:bottom w:val="single" w:sz="4" w:space="0" w:color="auto"/>
              <w:right w:val="single" w:sz="4" w:space="0" w:color="auto"/>
            </w:tcBorders>
            <w:shd w:val="clear" w:color="auto" w:fill="A3E7FF"/>
            <w:vAlign w:val="center"/>
            <w:hideMark/>
          </w:tcPr>
          <w:p w14:paraId="00A269A1" w14:textId="77777777" w:rsidR="00EA51C4" w:rsidRPr="008D0FA0" w:rsidRDefault="00EA51C4" w:rsidP="00BA499D">
            <w:pPr>
              <w:jc w:val="center"/>
              <w:rPr>
                <w:rFonts w:eastAsia="Times New Roman" w:cs="Calibri"/>
                <w:b/>
                <w:sz w:val="18"/>
                <w:szCs w:val="18"/>
                <w:lang w:eastAsia="hr-HR"/>
              </w:rPr>
            </w:pPr>
            <w:r>
              <w:rPr>
                <w:rFonts w:eastAsia="Times New Roman" w:cs="Calibri"/>
                <w:b/>
                <w:sz w:val="18"/>
                <w:szCs w:val="18"/>
                <w:lang w:eastAsia="hr-HR"/>
              </w:rPr>
              <w:t>Ovlašteni zastupnici</w:t>
            </w:r>
          </w:p>
        </w:tc>
        <w:tc>
          <w:tcPr>
            <w:tcW w:w="1276" w:type="dxa"/>
            <w:tcBorders>
              <w:top w:val="single" w:sz="4" w:space="0" w:color="auto"/>
              <w:left w:val="single" w:sz="4" w:space="0" w:color="auto"/>
              <w:bottom w:val="single" w:sz="4" w:space="0" w:color="auto"/>
              <w:right w:val="single" w:sz="4" w:space="0" w:color="auto"/>
            </w:tcBorders>
            <w:shd w:val="clear" w:color="auto" w:fill="A3E7FF"/>
            <w:vAlign w:val="center"/>
            <w:hideMark/>
          </w:tcPr>
          <w:p w14:paraId="71BAECE6" w14:textId="77777777" w:rsidR="00EA51C4" w:rsidRPr="008D0FA0" w:rsidRDefault="00EA51C4" w:rsidP="00BA499D">
            <w:pPr>
              <w:jc w:val="center"/>
              <w:rPr>
                <w:rFonts w:eastAsia="Times New Roman" w:cs="Calibri"/>
                <w:b/>
                <w:sz w:val="18"/>
                <w:szCs w:val="18"/>
                <w:lang w:eastAsia="hr-HR"/>
              </w:rPr>
            </w:pPr>
            <w:r>
              <w:rPr>
                <w:rFonts w:eastAsia="Times New Roman" w:cs="Calibri"/>
                <w:b/>
                <w:sz w:val="18"/>
                <w:szCs w:val="18"/>
                <w:lang w:eastAsia="hr-HR"/>
              </w:rPr>
              <w:t>Uvoznici</w:t>
            </w:r>
          </w:p>
        </w:tc>
        <w:tc>
          <w:tcPr>
            <w:tcW w:w="2551" w:type="dxa"/>
            <w:tcBorders>
              <w:top w:val="single" w:sz="4" w:space="0" w:color="auto"/>
              <w:left w:val="single" w:sz="4" w:space="0" w:color="auto"/>
              <w:bottom w:val="single" w:sz="4" w:space="0" w:color="auto"/>
              <w:right w:val="single" w:sz="4" w:space="0" w:color="auto"/>
            </w:tcBorders>
            <w:shd w:val="clear" w:color="auto" w:fill="A3E7FF"/>
            <w:vAlign w:val="center"/>
            <w:hideMark/>
          </w:tcPr>
          <w:p w14:paraId="2B1F223A" w14:textId="77777777" w:rsidR="00EA51C4" w:rsidRPr="008D0FA0" w:rsidRDefault="00EA51C4" w:rsidP="00BA499D">
            <w:pPr>
              <w:jc w:val="center"/>
              <w:rPr>
                <w:rFonts w:eastAsia="Times New Roman" w:cs="Calibri"/>
                <w:b/>
                <w:sz w:val="18"/>
                <w:szCs w:val="18"/>
                <w:lang w:eastAsia="hr-HR"/>
              </w:rPr>
            </w:pPr>
            <w:r>
              <w:rPr>
                <w:rFonts w:eastAsia="Times New Roman" w:cs="Calibri"/>
                <w:b/>
                <w:sz w:val="18"/>
                <w:szCs w:val="18"/>
                <w:lang w:eastAsia="hr-HR"/>
              </w:rPr>
              <w:t>Subjekti koji sastavljaju komplete</w:t>
            </w:r>
          </w:p>
        </w:tc>
      </w:tr>
      <w:tr w:rsidR="00EA51C4" w:rsidRPr="00E708B3" w14:paraId="60B49267" w14:textId="77777777" w:rsidTr="00BA499D">
        <w:trPr>
          <w:trHeight w:val="284"/>
        </w:trPr>
        <w:tc>
          <w:tcPr>
            <w:tcW w:w="14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92BBB" w14:textId="77777777" w:rsidR="00EA51C4" w:rsidRPr="00E708B3" w:rsidRDefault="00EA51C4" w:rsidP="00BA499D">
            <w:pPr>
              <w:rPr>
                <w:rFonts w:eastAsia="Times New Roman" w:cs="Calibri"/>
                <w:sz w:val="20"/>
                <w:szCs w:val="20"/>
                <w:lang w:eastAsia="hr-HR"/>
              </w:rPr>
            </w:pPr>
            <w:r w:rsidRPr="00E708B3">
              <w:rPr>
                <w:rFonts w:eastAsia="Times New Roman" w:cs="Calibri"/>
                <w:sz w:val="20"/>
                <w:szCs w:val="20"/>
                <w:lang w:eastAsia="hr-HR"/>
              </w:rPr>
              <w:t xml:space="preserve">Broj </w:t>
            </w:r>
            <w:r>
              <w:rPr>
                <w:rFonts w:eastAsia="Times New Roman" w:cs="Calibri"/>
                <w:sz w:val="20"/>
                <w:szCs w:val="20"/>
                <w:lang w:eastAsia="hr-HR"/>
              </w:rPr>
              <w:t>izdanih SRN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FFF9BFF" w14:textId="77777777" w:rsidR="00EA51C4" w:rsidRPr="00E708B3" w:rsidRDefault="00EA51C4" w:rsidP="00BA499D">
            <w:pPr>
              <w:jc w:val="center"/>
              <w:rPr>
                <w:rFonts w:cs="Calibri"/>
                <w:sz w:val="20"/>
                <w:szCs w:val="20"/>
              </w:rPr>
            </w:pPr>
            <w:r>
              <w:rPr>
                <w:rFonts w:cs="Calibri"/>
                <w:sz w:val="20"/>
                <w:szCs w:val="20"/>
              </w:rPr>
              <w:t>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C10512A" w14:textId="77777777" w:rsidR="00EA51C4" w:rsidRPr="00E708B3" w:rsidRDefault="00EA51C4" w:rsidP="00BA499D">
            <w:pPr>
              <w:jc w:val="center"/>
              <w:rPr>
                <w:rFonts w:cs="Calibri"/>
                <w:sz w:val="20"/>
                <w:szCs w:val="20"/>
              </w:rPr>
            </w:pPr>
            <w:r>
              <w:rPr>
                <w:rFonts w:cs="Calibri"/>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0695B1" w14:textId="77777777" w:rsidR="00EA51C4" w:rsidRPr="00E708B3" w:rsidRDefault="00EA51C4" w:rsidP="00BA499D">
            <w:pPr>
              <w:jc w:val="center"/>
              <w:rPr>
                <w:rFonts w:cs="Calibri"/>
                <w:sz w:val="20"/>
                <w:szCs w:val="20"/>
              </w:rPr>
            </w:pPr>
            <w:r>
              <w:rPr>
                <w:rFonts w:cs="Calibri"/>
                <w:sz w:val="20"/>
                <w:szCs w:val="20"/>
              </w:rPr>
              <w:t>15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CA9948D" w14:textId="77777777" w:rsidR="00EA51C4" w:rsidRPr="00E708B3" w:rsidRDefault="00EA51C4" w:rsidP="00BA499D">
            <w:pPr>
              <w:jc w:val="center"/>
              <w:rPr>
                <w:rFonts w:cs="Calibri"/>
                <w:sz w:val="20"/>
                <w:szCs w:val="20"/>
              </w:rPr>
            </w:pPr>
            <w:r>
              <w:rPr>
                <w:rFonts w:cs="Calibri"/>
                <w:sz w:val="20"/>
                <w:szCs w:val="20"/>
              </w:rPr>
              <w:t>1</w:t>
            </w:r>
          </w:p>
        </w:tc>
      </w:tr>
    </w:tbl>
    <w:p w14:paraId="0A616791" w14:textId="77777777" w:rsidR="00EA51C4" w:rsidRDefault="00EA51C4" w:rsidP="00EA51C4">
      <w:pPr>
        <w:spacing w:after="240"/>
        <w:jc w:val="both"/>
      </w:pPr>
    </w:p>
    <w:p w14:paraId="55CED99A" w14:textId="77777777" w:rsidR="00EA51C4" w:rsidRPr="008D312D" w:rsidRDefault="00EA51C4" w:rsidP="00EA51C4">
      <w:pPr>
        <w:pStyle w:val="Heading3"/>
      </w:pPr>
      <w:bookmarkStart w:id="267" w:name="_Toc165035520"/>
      <w:r w:rsidRPr="008D312D">
        <w:t>2.</w:t>
      </w:r>
      <w:r>
        <w:t>8</w:t>
      </w:r>
      <w:r w:rsidRPr="008D312D">
        <w:t>.</w:t>
      </w:r>
      <w:r>
        <w:t>3</w:t>
      </w:r>
      <w:r w:rsidRPr="008D312D">
        <w:t xml:space="preserve">. </w:t>
      </w:r>
      <w:r>
        <w:t>Rješavanje o sporovima o razvrstavanju medicinskih proizvoda</w:t>
      </w:r>
      <w:bookmarkEnd w:id="267"/>
    </w:p>
    <w:p w14:paraId="7B7EBE10" w14:textId="77777777" w:rsidR="00EA51C4" w:rsidRDefault="00EA51C4" w:rsidP="00EA51C4">
      <w:pPr>
        <w:spacing w:after="240" w:line="276" w:lineRule="auto"/>
        <w:jc w:val="both"/>
      </w:pPr>
      <w:r w:rsidRPr="0008136B">
        <w:rPr>
          <w:rFonts w:eastAsia="Times New Roman" w:cstheme="minorHAnsi"/>
          <w:bCs/>
          <w:color w:val="1D1B11"/>
        </w:rPr>
        <w:t xml:space="preserve">Sukladno Zakonu o </w:t>
      </w:r>
      <w:r w:rsidRPr="001D715C">
        <w:rPr>
          <w:rFonts w:eastAsia="Times New Roman" w:cstheme="minorHAnsi"/>
          <w:bCs/>
          <w:color w:val="1D1B11"/>
        </w:rPr>
        <w:t>provedbi Uredbe (EU) 2017/745 o medicinskim proizvodima i Uredbe (EU) 2017/746 o in vitro dijagnostičkim medicinskim proizvodima</w:t>
      </w:r>
      <w:r w:rsidRPr="008D312D" w:rsidDel="003A4581">
        <w:t xml:space="preserve"> </w:t>
      </w:r>
      <w:r>
        <w:t>HALMED rješava sporove između</w:t>
      </w:r>
      <w:r w:rsidRPr="001D715C">
        <w:t xml:space="preserve"> proizvođača</w:t>
      </w:r>
      <w:r>
        <w:t xml:space="preserve"> medicinskog proizvoda, koji </w:t>
      </w:r>
      <w:r w:rsidRPr="001D715C">
        <w:t>ima registrirano mjesto poslovanja</w:t>
      </w:r>
      <w:r>
        <w:t xml:space="preserve"> u RH,</w:t>
      </w:r>
      <w:r w:rsidRPr="001D715C">
        <w:t xml:space="preserve"> i prijavljenog tijela koji proizlazi iz primjene </w:t>
      </w:r>
      <w:r>
        <w:t>propisanih pravila za razvrstavanje. U postupku, HALMED</w:t>
      </w:r>
      <w:r w:rsidRPr="001D715C">
        <w:t xml:space="preserve"> don</w:t>
      </w:r>
      <w:r>
        <w:t>osi odluku u pogledu tog spora.</w:t>
      </w:r>
    </w:p>
    <w:p w14:paraId="484E52D7" w14:textId="77777777" w:rsidR="00EA51C4" w:rsidRDefault="00EA51C4" w:rsidP="00EA51C4">
      <w:pPr>
        <w:spacing w:after="240"/>
        <w:jc w:val="both"/>
      </w:pPr>
      <w:r>
        <w:t>U izvještajnom razdoblju nije zaprimljen niti jedan zahtjev.</w:t>
      </w:r>
    </w:p>
    <w:p w14:paraId="7FCCD2A6" w14:textId="77777777" w:rsidR="00EA51C4" w:rsidRPr="008D312D" w:rsidRDefault="00EA51C4" w:rsidP="00EA51C4">
      <w:pPr>
        <w:pStyle w:val="Heading3"/>
        <w:jc w:val="both"/>
      </w:pPr>
      <w:bookmarkStart w:id="268" w:name="_Toc165035521"/>
      <w:r w:rsidRPr="008D312D">
        <w:t>2.</w:t>
      </w:r>
      <w:r>
        <w:t>8</w:t>
      </w:r>
      <w:r w:rsidRPr="008D312D">
        <w:t>.</w:t>
      </w:r>
      <w:r>
        <w:t>4</w:t>
      </w:r>
      <w:r w:rsidRPr="008D312D">
        <w:t xml:space="preserve">. </w:t>
      </w:r>
      <w:r>
        <w:t xml:space="preserve">Odobravanje medicinskih proizvoda - </w:t>
      </w:r>
      <w:r w:rsidRPr="008E1012">
        <w:t>Odstupanje od postupaka ocjenjivanja sukladnosti</w:t>
      </w:r>
      <w:bookmarkEnd w:id="268"/>
    </w:p>
    <w:p w14:paraId="6FBA349F" w14:textId="77777777" w:rsidR="00EA51C4" w:rsidRDefault="00EA51C4" w:rsidP="00EA51C4">
      <w:pPr>
        <w:spacing w:after="240" w:line="276" w:lineRule="auto"/>
        <w:jc w:val="both"/>
        <w:rPr>
          <w:rFonts w:eastAsia="Times New Roman" w:cstheme="minorHAnsi"/>
          <w:bCs/>
          <w:color w:val="1D1B11"/>
        </w:rPr>
      </w:pPr>
      <w:r w:rsidRPr="008E1012">
        <w:rPr>
          <w:rFonts w:eastAsia="Times New Roman" w:cstheme="minorHAnsi"/>
          <w:bCs/>
          <w:color w:val="1D1B11"/>
        </w:rPr>
        <w:t xml:space="preserve">Odstupajući od </w:t>
      </w:r>
      <w:r>
        <w:rPr>
          <w:rFonts w:eastAsia="Times New Roman" w:cstheme="minorHAnsi"/>
          <w:bCs/>
          <w:color w:val="1D1B11"/>
        </w:rPr>
        <w:t>propisanih zahtjeva</w:t>
      </w:r>
      <w:r w:rsidRPr="008E1012">
        <w:rPr>
          <w:rFonts w:eastAsia="Times New Roman" w:cstheme="minorHAnsi"/>
          <w:bCs/>
          <w:color w:val="1D1B11"/>
        </w:rPr>
        <w:t xml:space="preserve">, </w:t>
      </w:r>
      <w:r>
        <w:rPr>
          <w:rFonts w:eastAsia="Times New Roman" w:cstheme="minorHAnsi"/>
          <w:bCs/>
          <w:color w:val="1D1B11"/>
        </w:rPr>
        <w:t xml:space="preserve">HALMED </w:t>
      </w:r>
      <w:r w:rsidRPr="008E1012">
        <w:rPr>
          <w:rFonts w:eastAsia="Times New Roman" w:cstheme="minorHAnsi"/>
          <w:bCs/>
          <w:color w:val="1D1B11"/>
        </w:rPr>
        <w:t xml:space="preserve">može, na propisno utemeljen zahtjev, odobriti stavljanje na tržište ili u uporabu, na državnom području </w:t>
      </w:r>
      <w:r>
        <w:rPr>
          <w:rFonts w:eastAsia="Times New Roman" w:cstheme="minorHAnsi"/>
          <w:bCs/>
          <w:color w:val="1D1B11"/>
        </w:rPr>
        <w:t>Republike Hrvatske</w:t>
      </w:r>
      <w:r w:rsidRPr="008E1012">
        <w:rPr>
          <w:rFonts w:eastAsia="Times New Roman" w:cstheme="minorHAnsi"/>
          <w:bCs/>
          <w:color w:val="1D1B11"/>
        </w:rPr>
        <w:t xml:space="preserve">, određenog </w:t>
      </w:r>
      <w:r>
        <w:rPr>
          <w:rFonts w:eastAsia="Times New Roman" w:cstheme="minorHAnsi"/>
          <w:bCs/>
          <w:color w:val="1D1B11"/>
        </w:rPr>
        <w:t xml:space="preserve">medicinskog proizvoda </w:t>
      </w:r>
      <w:r w:rsidRPr="008E1012">
        <w:rPr>
          <w:rFonts w:eastAsia="Times New Roman" w:cstheme="minorHAnsi"/>
          <w:bCs/>
          <w:color w:val="1D1B11"/>
        </w:rPr>
        <w:t xml:space="preserve">za koji nisu provedeni primjenjivi postupci </w:t>
      </w:r>
      <w:r>
        <w:rPr>
          <w:rFonts w:eastAsia="Times New Roman" w:cstheme="minorHAnsi"/>
          <w:bCs/>
          <w:color w:val="1D1B11"/>
        </w:rPr>
        <w:t>ocjenjivanja sukladnosti</w:t>
      </w:r>
      <w:r w:rsidRPr="008E1012">
        <w:rPr>
          <w:rFonts w:eastAsia="Times New Roman" w:cstheme="minorHAnsi"/>
          <w:bCs/>
          <w:color w:val="1D1B11"/>
        </w:rPr>
        <w:t>, ali čija je uporaba od interesa za javno zdravlje odnosno sigurnost ili zdravlja pacijenata.</w:t>
      </w:r>
    </w:p>
    <w:p w14:paraId="55819D97" w14:textId="77777777" w:rsidR="00EA51C4" w:rsidRPr="001A7552" w:rsidRDefault="00EA51C4" w:rsidP="00EA51C4">
      <w:pPr>
        <w:spacing w:after="240"/>
        <w:jc w:val="both"/>
        <w:rPr>
          <w:rFonts w:eastAsia="SimSun" w:cstheme="minorHAnsi"/>
          <w:iCs/>
          <w:color w:val="000000"/>
          <w:lang w:eastAsia="zh-CN"/>
        </w:rPr>
      </w:pPr>
      <w:r>
        <w:t>U izvještajnom razdoblju izdana su 2 takva odobrenja.</w:t>
      </w:r>
      <w:bookmarkEnd w:id="266"/>
    </w:p>
    <w:p w14:paraId="68877DFF" w14:textId="77777777" w:rsidR="00EA51C4" w:rsidRPr="008D312D" w:rsidRDefault="00EA51C4" w:rsidP="00EA51C4">
      <w:pPr>
        <w:pStyle w:val="Heading3"/>
      </w:pPr>
      <w:bookmarkStart w:id="269" w:name="_Toc26534692"/>
      <w:bookmarkStart w:id="270" w:name="_Toc165035522"/>
      <w:r w:rsidRPr="008D312D">
        <w:t>2.</w:t>
      </w:r>
      <w:r>
        <w:t>8</w:t>
      </w:r>
      <w:r w:rsidRPr="008D312D">
        <w:t>.</w:t>
      </w:r>
      <w:r>
        <w:t>5</w:t>
      </w:r>
      <w:r w:rsidRPr="008D312D">
        <w:t>. Vigilancija medicinskih proizvoda</w:t>
      </w:r>
      <w:bookmarkEnd w:id="269"/>
      <w:bookmarkEnd w:id="270"/>
    </w:p>
    <w:p w14:paraId="30F99F2A" w14:textId="77777777" w:rsidR="00EA51C4" w:rsidRPr="008879E4" w:rsidRDefault="00EA51C4" w:rsidP="00EA51C4">
      <w:pPr>
        <w:spacing w:after="120" w:line="276" w:lineRule="auto"/>
        <w:jc w:val="both"/>
        <w:rPr>
          <w:rFonts w:eastAsia="SimSun" w:cstheme="minorHAnsi"/>
          <w:iCs/>
          <w:color w:val="000000"/>
          <w:lang w:eastAsia="zh-CN"/>
        </w:rPr>
      </w:pPr>
      <w:r w:rsidRPr="008879E4">
        <w:rPr>
          <w:rFonts w:eastAsia="SimSun" w:cstheme="minorHAnsi"/>
          <w:iCs/>
          <w:color w:val="000000"/>
          <w:lang w:eastAsia="zh-CN"/>
        </w:rPr>
        <w:t>Prema Zakonu o medicinskim proizvodima</w:t>
      </w:r>
      <w:r>
        <w:rPr>
          <w:rFonts w:eastAsia="SimSun" w:cstheme="minorHAnsi"/>
          <w:iCs/>
          <w:color w:val="000000"/>
          <w:lang w:eastAsia="zh-CN"/>
        </w:rPr>
        <w:t>,</w:t>
      </w:r>
      <w:r w:rsidRPr="008879E4">
        <w:rPr>
          <w:rFonts w:eastAsia="SimSun" w:cstheme="minorHAnsi"/>
          <w:iCs/>
          <w:color w:val="000000"/>
          <w:lang w:eastAsia="zh-CN"/>
        </w:rPr>
        <w:t xml:space="preserve"> zdravstveni radnik, proizvođač ili ovlašteni zastupnik proizvođača, kao i pravne i fizičke osobe koje obavljaju promet na veliko ili uvoz medicinskih proizvoda obvezni su pisano obavijestiti HALMED o štetnim događajima vezanim uz </w:t>
      </w:r>
      <w:r>
        <w:rPr>
          <w:rFonts w:eastAsia="SimSun" w:cstheme="minorHAnsi"/>
          <w:iCs/>
          <w:color w:val="000000"/>
          <w:lang w:eastAsia="zh-CN"/>
        </w:rPr>
        <w:t xml:space="preserve">in vitro dijagnostičke </w:t>
      </w:r>
      <w:r w:rsidRPr="008879E4">
        <w:rPr>
          <w:rFonts w:eastAsia="SimSun" w:cstheme="minorHAnsi"/>
          <w:iCs/>
          <w:color w:val="000000"/>
          <w:lang w:eastAsia="zh-CN"/>
        </w:rPr>
        <w:t>medicinske proizvode:</w:t>
      </w:r>
    </w:p>
    <w:p w14:paraId="735BEDF0" w14:textId="77777777" w:rsidR="00EA51C4" w:rsidRPr="000A6743" w:rsidRDefault="00EA51C4" w:rsidP="00EA51C4">
      <w:pPr>
        <w:numPr>
          <w:ilvl w:val="0"/>
          <w:numId w:val="19"/>
        </w:numPr>
        <w:spacing w:before="110" w:after="240" w:line="276" w:lineRule="auto"/>
        <w:jc w:val="both"/>
        <w:rPr>
          <w:rFonts w:eastAsia="SimSun" w:cstheme="minorHAnsi"/>
          <w:iCs/>
          <w:color w:val="000000"/>
          <w:lang w:eastAsia="zh-CN"/>
        </w:rPr>
      </w:pPr>
      <w:r>
        <w:rPr>
          <w:rFonts w:eastAsia="SimSun" w:cstheme="minorHAnsi"/>
          <w:iCs/>
          <w:color w:val="000000"/>
          <w:lang w:eastAsia="zh-CN"/>
        </w:rPr>
        <w:t xml:space="preserve">o </w:t>
      </w:r>
      <w:r w:rsidRPr="008879E4">
        <w:rPr>
          <w:rFonts w:eastAsia="SimSun" w:cstheme="minorHAnsi"/>
          <w:iCs/>
          <w:color w:val="000000"/>
          <w:lang w:eastAsia="zh-CN"/>
        </w:rPr>
        <w:t xml:space="preserve">svakoj neispravnosti ili izmjeni karakteristika ili izvedbi </w:t>
      </w:r>
      <w:r>
        <w:rPr>
          <w:rFonts w:eastAsia="SimSun" w:cstheme="minorHAnsi"/>
          <w:iCs/>
          <w:color w:val="000000"/>
          <w:lang w:eastAsia="zh-CN"/>
        </w:rPr>
        <w:t xml:space="preserve">in vitro dijagnostičkog </w:t>
      </w:r>
      <w:r w:rsidRPr="008879E4">
        <w:rPr>
          <w:rFonts w:eastAsia="SimSun" w:cstheme="minorHAnsi"/>
          <w:iCs/>
          <w:color w:val="000000"/>
          <w:lang w:eastAsia="zh-CN"/>
        </w:rPr>
        <w:t>medicinskog proizvoda, kao i o neodgovarajućem označivanju ili uputi o uporabi, a što bi moglo uzrokovati smrt ili ozbiljno pogoršanje zdravstvenog stanja pacijenta ili korisnika</w:t>
      </w:r>
    </w:p>
    <w:p w14:paraId="28C40EAB" w14:textId="77777777" w:rsidR="00EA51C4" w:rsidRPr="008879E4" w:rsidRDefault="00EA51C4" w:rsidP="00EA51C4">
      <w:pPr>
        <w:numPr>
          <w:ilvl w:val="0"/>
          <w:numId w:val="19"/>
        </w:numPr>
        <w:spacing w:before="110" w:after="120" w:line="276" w:lineRule="auto"/>
        <w:ind w:left="357" w:hanging="357"/>
        <w:jc w:val="both"/>
        <w:rPr>
          <w:rFonts w:eastAsia="SimSun" w:cstheme="minorHAnsi"/>
          <w:iCs/>
          <w:color w:val="000000"/>
          <w:lang w:eastAsia="zh-CN"/>
        </w:rPr>
      </w:pPr>
      <w:r>
        <w:rPr>
          <w:rFonts w:eastAsia="SimSun" w:cstheme="minorHAnsi"/>
          <w:iCs/>
          <w:color w:val="000000"/>
          <w:lang w:eastAsia="zh-CN"/>
        </w:rPr>
        <w:lastRenderedPageBreak/>
        <w:t xml:space="preserve">o </w:t>
      </w:r>
      <w:r w:rsidRPr="008879E4">
        <w:rPr>
          <w:rFonts w:eastAsia="SimSun" w:cstheme="minorHAnsi"/>
          <w:iCs/>
          <w:color w:val="000000"/>
          <w:lang w:eastAsia="zh-CN"/>
        </w:rPr>
        <w:t xml:space="preserve">svakom tehničkom ili medicinskom uzroku koji se odnosi na karakteristike ili izvedbu </w:t>
      </w:r>
      <w:r>
        <w:rPr>
          <w:rFonts w:eastAsia="SimSun" w:cstheme="minorHAnsi"/>
          <w:iCs/>
          <w:color w:val="000000"/>
          <w:lang w:eastAsia="zh-CN"/>
        </w:rPr>
        <w:t xml:space="preserve">in vitro dijagnostičkog </w:t>
      </w:r>
      <w:r w:rsidRPr="008879E4">
        <w:rPr>
          <w:rFonts w:eastAsia="SimSun" w:cstheme="minorHAnsi"/>
          <w:iCs/>
          <w:color w:val="000000"/>
          <w:lang w:eastAsia="zh-CN"/>
        </w:rPr>
        <w:t xml:space="preserve">medicinskog proizvoda, iz prethodno navedenih razloga, što bi imalo za posljedicu povlačenje navedenoga </w:t>
      </w:r>
      <w:r>
        <w:rPr>
          <w:rFonts w:eastAsia="SimSun" w:cstheme="minorHAnsi"/>
          <w:iCs/>
          <w:color w:val="000000"/>
          <w:lang w:eastAsia="zh-CN"/>
        </w:rPr>
        <w:t xml:space="preserve">in vitro dijagnostičkog </w:t>
      </w:r>
      <w:r w:rsidRPr="008879E4">
        <w:rPr>
          <w:rFonts w:eastAsia="SimSun" w:cstheme="minorHAnsi"/>
          <w:iCs/>
          <w:color w:val="000000"/>
          <w:lang w:eastAsia="zh-CN"/>
        </w:rPr>
        <w:t>medicinskog proizvoda od strane proizvođača.</w:t>
      </w:r>
      <w:r w:rsidRPr="008879E4">
        <w:rPr>
          <w:rFonts w:cstheme="minorHAnsi"/>
          <w:color w:val="FFFFFF"/>
          <w:sz w:val="20"/>
          <w:szCs w:val="19"/>
          <w:shd w:val="clear" w:color="auto" w:fill="428BCA"/>
        </w:rPr>
        <w:t xml:space="preserve"> </w:t>
      </w:r>
    </w:p>
    <w:p w14:paraId="047380FA" w14:textId="77777777" w:rsidR="00EA51C4" w:rsidRPr="00D649BF" w:rsidRDefault="00EA51C4" w:rsidP="00EA51C4">
      <w:pPr>
        <w:spacing w:after="240" w:line="276" w:lineRule="auto"/>
        <w:jc w:val="both"/>
        <w:rPr>
          <w:rFonts w:eastAsia="SimSun" w:cstheme="minorHAnsi"/>
          <w:iCs/>
          <w:color w:val="000000"/>
          <w:lang w:eastAsia="zh-CN"/>
        </w:rPr>
      </w:pPr>
      <w:r w:rsidRPr="00BE401D">
        <w:rPr>
          <w:rFonts w:eastAsia="SimSun" w:cstheme="minorHAnsi"/>
          <w:iCs/>
          <w:color w:val="000000"/>
          <w:lang w:eastAsia="zh-CN"/>
        </w:rPr>
        <w:t xml:space="preserve">U sustavu vigilancije medicinskih proizvoda </w:t>
      </w:r>
      <w:r>
        <w:rPr>
          <w:rFonts w:eastAsia="SimSun" w:cstheme="minorHAnsi"/>
          <w:iCs/>
          <w:color w:val="000000"/>
          <w:lang w:eastAsia="zh-CN"/>
        </w:rPr>
        <w:t xml:space="preserve">proizvođači medicinskih proizvoda </w:t>
      </w:r>
      <w:r w:rsidRPr="00D649BF">
        <w:rPr>
          <w:rFonts w:eastAsia="SimSun" w:cstheme="minorHAnsi"/>
          <w:iCs/>
          <w:color w:val="000000"/>
          <w:lang w:eastAsia="zh-CN"/>
        </w:rPr>
        <w:t xml:space="preserve">koji su stavljeni na raspolaganje na tržištu Unije, osim proizvoda koji se ispituju, izvješćuju </w:t>
      </w:r>
      <w:r>
        <w:rPr>
          <w:rFonts w:eastAsia="SimSun" w:cstheme="minorHAnsi"/>
          <w:iCs/>
          <w:color w:val="000000"/>
          <w:lang w:eastAsia="zh-CN"/>
        </w:rPr>
        <w:t xml:space="preserve">HALMED </w:t>
      </w:r>
      <w:r w:rsidRPr="00D649BF">
        <w:rPr>
          <w:rFonts w:eastAsia="SimSun" w:cstheme="minorHAnsi"/>
          <w:iCs/>
          <w:color w:val="000000"/>
          <w:lang w:eastAsia="zh-CN"/>
        </w:rPr>
        <w:t>o sljedećemu:</w:t>
      </w:r>
    </w:p>
    <w:p w14:paraId="5E27BBE7" w14:textId="77777777" w:rsidR="00EA51C4" w:rsidRPr="00D649BF" w:rsidRDefault="00EA51C4" w:rsidP="00EA51C4">
      <w:pPr>
        <w:spacing w:after="240" w:line="276" w:lineRule="auto"/>
        <w:jc w:val="both"/>
        <w:rPr>
          <w:rFonts w:eastAsia="SimSun" w:cstheme="minorHAnsi"/>
          <w:iCs/>
          <w:color w:val="000000"/>
          <w:lang w:eastAsia="zh-CN"/>
        </w:rPr>
      </w:pPr>
      <w:r w:rsidRPr="00D649BF">
        <w:rPr>
          <w:rFonts w:eastAsia="SimSun" w:cstheme="minorHAnsi"/>
          <w:iCs/>
          <w:color w:val="000000"/>
          <w:lang w:eastAsia="zh-CN"/>
        </w:rPr>
        <w:t xml:space="preserve">(a) svakom ozbiljnom štetnom događaju koji </w:t>
      </w:r>
      <w:r>
        <w:rPr>
          <w:rFonts w:eastAsia="SimSun" w:cstheme="minorHAnsi"/>
          <w:iCs/>
          <w:color w:val="000000"/>
          <w:lang w:eastAsia="zh-CN"/>
        </w:rPr>
        <w:t xml:space="preserve">se dogodio na području RH i </w:t>
      </w:r>
      <w:r w:rsidRPr="00D649BF">
        <w:rPr>
          <w:rFonts w:eastAsia="SimSun" w:cstheme="minorHAnsi"/>
          <w:iCs/>
          <w:color w:val="000000"/>
          <w:lang w:eastAsia="zh-CN"/>
        </w:rPr>
        <w:t xml:space="preserve">tiče </w:t>
      </w:r>
      <w:r>
        <w:rPr>
          <w:rFonts w:eastAsia="SimSun" w:cstheme="minorHAnsi"/>
          <w:iCs/>
          <w:color w:val="000000"/>
          <w:lang w:eastAsia="zh-CN"/>
        </w:rPr>
        <w:t xml:space="preserve">se </w:t>
      </w:r>
      <w:r w:rsidRPr="00D649BF">
        <w:rPr>
          <w:rFonts w:eastAsia="SimSun" w:cstheme="minorHAnsi"/>
          <w:iCs/>
          <w:color w:val="000000"/>
          <w:lang w:eastAsia="zh-CN"/>
        </w:rPr>
        <w:t xml:space="preserve">proizvoda stavljenih na raspolaganje na tržištu </w:t>
      </w:r>
      <w:r>
        <w:rPr>
          <w:rFonts w:eastAsia="SimSun" w:cstheme="minorHAnsi"/>
          <w:iCs/>
          <w:color w:val="000000"/>
          <w:lang w:eastAsia="zh-CN"/>
        </w:rPr>
        <w:t>RH</w:t>
      </w:r>
      <w:r w:rsidRPr="00D649BF">
        <w:rPr>
          <w:rFonts w:eastAsia="SimSun" w:cstheme="minorHAnsi"/>
          <w:iCs/>
          <w:color w:val="000000"/>
          <w:lang w:eastAsia="zh-CN"/>
        </w:rPr>
        <w:t>, osim očekivanih nuspojava koje su jasno dokumentirane u okviru informacija o proizvodu i kvantificirane u tehničkoj dokumentaciji te za koje se podnosi izvješće o razvojnim kretanjima;</w:t>
      </w:r>
    </w:p>
    <w:p w14:paraId="356078E4" w14:textId="77777777" w:rsidR="00EA51C4" w:rsidRDefault="00EA51C4" w:rsidP="00EA51C4">
      <w:pPr>
        <w:spacing w:after="240" w:line="276" w:lineRule="auto"/>
        <w:jc w:val="both"/>
        <w:rPr>
          <w:rFonts w:eastAsia="SimSun" w:cstheme="minorHAnsi"/>
          <w:iCs/>
          <w:color w:val="000000"/>
          <w:lang w:eastAsia="zh-CN"/>
        </w:rPr>
      </w:pPr>
      <w:r>
        <w:rPr>
          <w:rFonts w:eastAsia="SimSun" w:cstheme="minorHAnsi"/>
          <w:iCs/>
          <w:color w:val="000000"/>
          <w:lang w:eastAsia="zh-CN"/>
        </w:rPr>
        <w:t>(</w:t>
      </w:r>
      <w:r w:rsidRPr="00D649BF">
        <w:rPr>
          <w:rFonts w:eastAsia="SimSun" w:cstheme="minorHAnsi"/>
          <w:iCs/>
          <w:color w:val="000000"/>
          <w:lang w:eastAsia="zh-CN"/>
        </w:rPr>
        <w:t>b)</w:t>
      </w:r>
      <w:r>
        <w:rPr>
          <w:rFonts w:eastAsia="SimSun" w:cstheme="minorHAnsi"/>
          <w:iCs/>
          <w:color w:val="000000"/>
          <w:lang w:eastAsia="zh-CN"/>
        </w:rPr>
        <w:t xml:space="preserve"> </w:t>
      </w:r>
      <w:r w:rsidRPr="00D649BF">
        <w:rPr>
          <w:rFonts w:eastAsia="SimSun" w:cstheme="minorHAnsi"/>
          <w:iCs/>
          <w:color w:val="000000"/>
          <w:lang w:eastAsia="zh-CN"/>
        </w:rPr>
        <w:t xml:space="preserve">svakoj sigurnosnoj korektivnoj radnji u vezi s proizvodima stavljenima na raspolaganje na </w:t>
      </w:r>
      <w:r>
        <w:rPr>
          <w:rFonts w:eastAsia="SimSun" w:cstheme="minorHAnsi"/>
          <w:iCs/>
          <w:color w:val="000000"/>
          <w:lang w:eastAsia="zh-CN"/>
        </w:rPr>
        <w:t>području RH</w:t>
      </w:r>
      <w:r w:rsidRPr="00D649BF">
        <w:rPr>
          <w:rFonts w:eastAsia="SimSun" w:cstheme="minorHAnsi"/>
          <w:iCs/>
          <w:color w:val="000000"/>
          <w:lang w:eastAsia="zh-CN"/>
        </w:rPr>
        <w:t xml:space="preserve">, uključujući svaku sigurnosnu korektivnu radnju poduzetu u trećoj zemlji u odnosu na proizvod koji je također zakonito stavljen na raspolaganje na tržištu </w:t>
      </w:r>
      <w:r>
        <w:rPr>
          <w:rFonts w:eastAsia="SimSun" w:cstheme="minorHAnsi"/>
          <w:iCs/>
          <w:color w:val="000000"/>
          <w:lang w:eastAsia="zh-CN"/>
        </w:rPr>
        <w:t>RH</w:t>
      </w:r>
      <w:r w:rsidRPr="00D649BF">
        <w:rPr>
          <w:rFonts w:eastAsia="SimSun" w:cstheme="minorHAnsi"/>
          <w:iCs/>
          <w:color w:val="000000"/>
          <w:lang w:eastAsia="zh-CN"/>
        </w:rPr>
        <w:t xml:space="preserve"> ako razlog za sigurnosnu korektivnu radnju nije ograničen na proizvod koji je stavljen na raspolaganje u trećoj zemlji. </w:t>
      </w:r>
    </w:p>
    <w:p w14:paraId="510A92DA" w14:textId="77777777" w:rsidR="00EA51C4" w:rsidRDefault="00EA51C4" w:rsidP="00EA51C4">
      <w:pPr>
        <w:spacing w:after="240" w:line="276" w:lineRule="auto"/>
        <w:jc w:val="both"/>
        <w:rPr>
          <w:rFonts w:eastAsia="SimSun" w:cstheme="minorHAnsi"/>
          <w:iCs/>
          <w:color w:val="000000"/>
          <w:lang w:eastAsia="zh-CN"/>
        </w:rPr>
      </w:pPr>
      <w:r>
        <w:rPr>
          <w:rFonts w:eastAsia="SimSun" w:cstheme="minorHAnsi"/>
          <w:iCs/>
          <w:color w:val="000000"/>
          <w:lang w:eastAsia="zh-CN"/>
        </w:rPr>
        <w:t>HALMED</w:t>
      </w:r>
      <w:r w:rsidRPr="00BE401D">
        <w:rPr>
          <w:rFonts w:eastAsia="SimSun" w:cstheme="minorHAnsi"/>
          <w:iCs/>
          <w:color w:val="000000"/>
          <w:lang w:eastAsia="zh-CN"/>
        </w:rPr>
        <w:t xml:space="preserve"> prati istragu štetnog događaja koju provodi proizvođač, poduzima dodatne radnje koje mogu biti potrebne uz </w:t>
      </w:r>
      <w:r>
        <w:rPr>
          <w:rFonts w:eastAsia="SimSun" w:cstheme="minorHAnsi"/>
          <w:iCs/>
          <w:color w:val="000000"/>
          <w:lang w:eastAsia="zh-CN"/>
        </w:rPr>
        <w:t>radnje</w:t>
      </w:r>
      <w:r w:rsidRPr="00BE401D">
        <w:rPr>
          <w:rFonts w:eastAsia="SimSun" w:cstheme="minorHAnsi"/>
          <w:iCs/>
          <w:color w:val="000000"/>
          <w:lang w:eastAsia="zh-CN"/>
        </w:rPr>
        <w:t xml:space="preserve"> koje provodi proizvođač ovisno o ishodu istrage, dijeli svaku informaciju koja može </w:t>
      </w:r>
      <w:r>
        <w:rPr>
          <w:rFonts w:eastAsia="SimSun" w:cstheme="minorHAnsi"/>
          <w:iCs/>
          <w:color w:val="000000"/>
          <w:lang w:eastAsia="zh-CN"/>
        </w:rPr>
        <w:t>pridonijeti</w:t>
      </w:r>
      <w:r w:rsidRPr="00BE401D">
        <w:rPr>
          <w:rFonts w:eastAsia="SimSun" w:cstheme="minorHAnsi"/>
          <w:iCs/>
          <w:color w:val="000000"/>
          <w:lang w:eastAsia="zh-CN"/>
        </w:rPr>
        <w:t xml:space="preserve"> sprečavanju daljnjih štetnih događaja odnosno ograničiti njihove posljedice, potiče prijavljivanje o štetnim događajima od strane korisnika i drugih uključenih u distribuciju, isporuku, ili stavljanje medicinskog proizvoda u uporabu ili promet, ocjenjuje prijave i izviješća uz konzultacije s proizvođačem, ako je to izvedivo, savjetuje </w:t>
      </w:r>
      <w:r>
        <w:rPr>
          <w:rFonts w:eastAsia="SimSun" w:cstheme="minorHAnsi"/>
          <w:iCs/>
          <w:color w:val="000000"/>
          <w:lang w:eastAsia="zh-CN"/>
        </w:rPr>
        <w:t xml:space="preserve">i intervenira </w:t>
      </w:r>
      <w:r w:rsidRPr="00BE401D">
        <w:rPr>
          <w:rFonts w:eastAsia="SimSun" w:cstheme="minorHAnsi"/>
          <w:iCs/>
          <w:color w:val="000000"/>
          <w:lang w:eastAsia="zh-CN"/>
        </w:rPr>
        <w:t>po potrebi, vodi evidenciju o štetnim događajima i sigurnosnim korektivnim radnjama</w:t>
      </w:r>
      <w:r>
        <w:rPr>
          <w:rFonts w:eastAsia="SimSun" w:cstheme="minorHAnsi"/>
          <w:iCs/>
          <w:color w:val="000000"/>
          <w:lang w:eastAsia="zh-CN"/>
        </w:rPr>
        <w:t xml:space="preserve">. </w:t>
      </w:r>
    </w:p>
    <w:p w14:paraId="1DB08EBD" w14:textId="77777777" w:rsidR="00EA51C4" w:rsidRPr="0087369F" w:rsidRDefault="00EA51C4" w:rsidP="00EA51C4">
      <w:pPr>
        <w:spacing w:after="120" w:line="276" w:lineRule="auto"/>
        <w:jc w:val="both"/>
        <w:rPr>
          <w:rFonts w:eastAsia="Times New Roman" w:cstheme="minorHAnsi"/>
          <w:b/>
          <w:lang w:eastAsia="hr-HR"/>
        </w:rPr>
      </w:pPr>
      <w:r w:rsidRPr="00B64114">
        <w:rPr>
          <w:rFonts w:eastAsia="Times New Roman" w:cstheme="minorHAnsi"/>
          <w:b/>
          <w:lang w:eastAsia="hr-HR"/>
        </w:rPr>
        <w:t>Tablica 2</w:t>
      </w:r>
      <w:r>
        <w:rPr>
          <w:rFonts w:eastAsia="Times New Roman" w:cstheme="minorHAnsi"/>
          <w:b/>
          <w:lang w:eastAsia="hr-HR"/>
        </w:rPr>
        <w:t>9</w:t>
      </w:r>
      <w:r w:rsidRPr="00B64114">
        <w:rPr>
          <w:rFonts w:eastAsia="Times New Roman" w:cstheme="minorHAnsi"/>
          <w:b/>
          <w:lang w:eastAsia="hr-HR"/>
        </w:rPr>
        <w:t xml:space="preserve">. </w:t>
      </w:r>
      <w:r>
        <w:rPr>
          <w:rFonts w:eastAsia="Times New Roman" w:cstheme="minorHAnsi"/>
          <w:b/>
          <w:lang w:eastAsia="hr-HR"/>
        </w:rPr>
        <w:t>B</w:t>
      </w:r>
      <w:r w:rsidRPr="00B64114">
        <w:rPr>
          <w:rFonts w:eastAsia="Times New Roman" w:cstheme="minorHAnsi"/>
          <w:b/>
          <w:lang w:eastAsia="hr-HR"/>
        </w:rPr>
        <w:t xml:space="preserve">roj </w:t>
      </w:r>
      <w:r>
        <w:rPr>
          <w:rFonts w:eastAsia="Times New Roman" w:cstheme="minorHAnsi"/>
          <w:b/>
          <w:lang w:eastAsia="hr-HR"/>
        </w:rPr>
        <w:t>obrađenih</w:t>
      </w:r>
      <w:r w:rsidRPr="00B64114">
        <w:rPr>
          <w:rFonts w:eastAsia="Times New Roman" w:cstheme="minorHAnsi"/>
          <w:b/>
          <w:lang w:eastAsia="hr-HR"/>
        </w:rPr>
        <w:t xml:space="preserve"> izvješća u sustavu vigilancije medicinskih proizvoda po vrstama izvješća</w:t>
      </w:r>
      <w:r>
        <w:rPr>
          <w:rFonts w:eastAsia="Times New Roman" w:cstheme="minorHAnsi"/>
          <w:b/>
          <w:lang w:eastAsia="hr-HR"/>
        </w:rPr>
        <w:t xml:space="preserve"> </w:t>
      </w:r>
      <w:r w:rsidRPr="00B64114">
        <w:rPr>
          <w:rFonts w:eastAsia="Times New Roman" w:cstheme="minorHAnsi"/>
          <w:b/>
          <w:lang w:eastAsia="hr-HR"/>
        </w:rPr>
        <w:t>/ izvoru</w:t>
      </w:r>
      <w:r>
        <w:rPr>
          <w:rFonts w:eastAsia="Times New Roman" w:cstheme="minorHAnsi"/>
          <w:b/>
          <w:lang w:eastAsia="hr-HR"/>
        </w:rPr>
        <w:t xml:space="preserve"> </w:t>
      </w:r>
      <w:r w:rsidRPr="00B64114">
        <w:rPr>
          <w:rFonts w:eastAsia="Times New Roman" w:cstheme="minorHAnsi"/>
          <w:b/>
          <w:lang w:eastAsia="hr-HR"/>
        </w:rPr>
        <w:t>/ vrsti proizvoda</w:t>
      </w:r>
    </w:p>
    <w:p w14:paraId="19609E76" w14:textId="77777777" w:rsidR="00EA51C4" w:rsidRDefault="00EA51C4" w:rsidP="00EA51C4">
      <w:pPr>
        <w:spacing w:after="120"/>
        <w:rPr>
          <w:rFonts w:eastAsia="Times New Roman" w:cstheme="minorHAnsi"/>
          <w:u w:val="single"/>
          <w:lang w:eastAsia="hr-HR"/>
        </w:rPr>
      </w:pPr>
      <w:r w:rsidRPr="00BE401D">
        <w:rPr>
          <w:rFonts w:eastAsia="Times New Roman" w:cstheme="minorHAnsi"/>
          <w:u w:val="single"/>
          <w:lang w:eastAsia="hr-HR"/>
        </w:rPr>
        <w:t xml:space="preserve">Broj </w:t>
      </w:r>
      <w:r>
        <w:rPr>
          <w:rFonts w:eastAsia="Times New Roman" w:cstheme="minorHAnsi"/>
          <w:u w:val="single"/>
          <w:lang w:eastAsia="hr-HR"/>
        </w:rPr>
        <w:t>obrađenih</w:t>
      </w:r>
      <w:r w:rsidRPr="00BE401D">
        <w:rPr>
          <w:rFonts w:eastAsia="Times New Roman" w:cstheme="minorHAnsi"/>
          <w:u w:val="single"/>
          <w:lang w:eastAsia="hr-HR"/>
        </w:rPr>
        <w:t xml:space="preserve"> izvješća o štetnim događajima po vrstama izvješća:</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
        <w:gridCol w:w="1200"/>
        <w:gridCol w:w="1084"/>
        <w:gridCol w:w="1593"/>
        <w:gridCol w:w="1050"/>
        <w:gridCol w:w="1233"/>
        <w:gridCol w:w="1091"/>
        <w:gridCol w:w="875"/>
      </w:tblGrid>
      <w:tr w:rsidR="00EA51C4" w:rsidRPr="00DD3903" w14:paraId="72786C62" w14:textId="77777777" w:rsidTr="00BA499D">
        <w:trPr>
          <w:trHeight w:val="567"/>
        </w:trPr>
        <w:tc>
          <w:tcPr>
            <w:tcW w:w="1054" w:type="dxa"/>
            <w:tcBorders>
              <w:top w:val="single" w:sz="4" w:space="0" w:color="auto"/>
              <w:left w:val="single" w:sz="4" w:space="0" w:color="auto"/>
              <w:bottom w:val="single" w:sz="4" w:space="0" w:color="auto"/>
              <w:right w:val="single" w:sz="4" w:space="0" w:color="auto"/>
            </w:tcBorders>
            <w:shd w:val="clear" w:color="auto" w:fill="A3E7FF"/>
            <w:vAlign w:val="center"/>
          </w:tcPr>
          <w:p w14:paraId="2AABD861" w14:textId="77777777" w:rsidR="00EA51C4" w:rsidRPr="008D0FA0" w:rsidRDefault="00EA51C4" w:rsidP="00BA499D">
            <w:pPr>
              <w:jc w:val="center"/>
              <w:rPr>
                <w:rFonts w:eastAsia="Times New Roman" w:cs="Calibri"/>
                <w:b/>
                <w:sz w:val="18"/>
                <w:szCs w:val="18"/>
                <w:lang w:eastAsia="hr-HR"/>
              </w:rPr>
            </w:pPr>
          </w:p>
        </w:tc>
        <w:tc>
          <w:tcPr>
            <w:tcW w:w="1200" w:type="dxa"/>
            <w:tcBorders>
              <w:top w:val="single" w:sz="4" w:space="0" w:color="auto"/>
              <w:left w:val="single" w:sz="4" w:space="0" w:color="auto"/>
              <w:bottom w:val="single" w:sz="4" w:space="0" w:color="auto"/>
              <w:right w:val="single" w:sz="4" w:space="0" w:color="auto"/>
            </w:tcBorders>
            <w:shd w:val="clear" w:color="auto" w:fill="A3E7FF"/>
            <w:vAlign w:val="center"/>
            <w:hideMark/>
          </w:tcPr>
          <w:p w14:paraId="1D98CDF8" w14:textId="77777777" w:rsidR="00EA51C4" w:rsidRPr="008D0FA0" w:rsidRDefault="00EA51C4" w:rsidP="00BA499D">
            <w:pPr>
              <w:jc w:val="center"/>
              <w:rPr>
                <w:rFonts w:eastAsia="Times New Roman" w:cs="Calibri"/>
                <w:b/>
                <w:sz w:val="18"/>
                <w:szCs w:val="18"/>
                <w:lang w:eastAsia="hr-HR"/>
              </w:rPr>
            </w:pPr>
            <w:r w:rsidRPr="008D0FA0">
              <w:rPr>
                <w:rFonts w:eastAsia="Times New Roman" w:cs="Calibri"/>
                <w:b/>
                <w:sz w:val="18"/>
                <w:szCs w:val="18"/>
                <w:lang w:eastAsia="hr-HR"/>
              </w:rPr>
              <w:t>Inicijalno izvješće</w:t>
            </w:r>
          </w:p>
        </w:tc>
        <w:tc>
          <w:tcPr>
            <w:tcW w:w="1084" w:type="dxa"/>
            <w:tcBorders>
              <w:top w:val="single" w:sz="4" w:space="0" w:color="auto"/>
              <w:left w:val="single" w:sz="4" w:space="0" w:color="auto"/>
              <w:bottom w:val="single" w:sz="4" w:space="0" w:color="auto"/>
              <w:right w:val="single" w:sz="4" w:space="0" w:color="auto"/>
            </w:tcBorders>
            <w:shd w:val="clear" w:color="auto" w:fill="A3E7FF"/>
            <w:vAlign w:val="center"/>
            <w:hideMark/>
          </w:tcPr>
          <w:p w14:paraId="0A225693" w14:textId="77777777" w:rsidR="00EA51C4" w:rsidRPr="008D0FA0" w:rsidRDefault="00EA51C4" w:rsidP="00BA499D">
            <w:pPr>
              <w:jc w:val="center"/>
              <w:rPr>
                <w:rFonts w:eastAsia="Times New Roman" w:cs="Calibri"/>
                <w:b/>
                <w:sz w:val="18"/>
                <w:szCs w:val="18"/>
                <w:lang w:eastAsia="hr-HR"/>
              </w:rPr>
            </w:pPr>
            <w:r w:rsidRPr="008D0FA0">
              <w:rPr>
                <w:rFonts w:eastAsia="Times New Roman" w:cs="Calibri"/>
                <w:b/>
                <w:sz w:val="18"/>
                <w:szCs w:val="18"/>
                <w:lang w:eastAsia="hr-HR"/>
              </w:rPr>
              <w:t>Nastavno izvješće</w:t>
            </w:r>
          </w:p>
        </w:tc>
        <w:tc>
          <w:tcPr>
            <w:tcW w:w="1593" w:type="dxa"/>
            <w:tcBorders>
              <w:top w:val="single" w:sz="4" w:space="0" w:color="auto"/>
              <w:left w:val="single" w:sz="4" w:space="0" w:color="auto"/>
              <w:bottom w:val="single" w:sz="4" w:space="0" w:color="auto"/>
              <w:right w:val="single" w:sz="4" w:space="0" w:color="auto"/>
            </w:tcBorders>
            <w:shd w:val="clear" w:color="auto" w:fill="A3E7FF"/>
            <w:vAlign w:val="center"/>
            <w:hideMark/>
          </w:tcPr>
          <w:p w14:paraId="625FF0B6" w14:textId="77777777" w:rsidR="00EA51C4" w:rsidRPr="008D0FA0" w:rsidRDefault="00EA51C4" w:rsidP="00BA499D">
            <w:pPr>
              <w:jc w:val="center"/>
              <w:rPr>
                <w:rFonts w:eastAsia="Times New Roman" w:cs="Calibri"/>
                <w:b/>
                <w:sz w:val="18"/>
                <w:szCs w:val="18"/>
                <w:lang w:eastAsia="hr-HR"/>
              </w:rPr>
            </w:pPr>
            <w:r w:rsidRPr="008D0FA0">
              <w:rPr>
                <w:rFonts w:eastAsia="Times New Roman" w:cs="Calibri"/>
                <w:b/>
                <w:sz w:val="18"/>
                <w:szCs w:val="18"/>
                <w:lang w:eastAsia="hr-HR"/>
              </w:rPr>
              <w:t>Kombinirano inicijalno i završno izvješće</w:t>
            </w:r>
          </w:p>
        </w:tc>
        <w:tc>
          <w:tcPr>
            <w:tcW w:w="1050" w:type="dxa"/>
            <w:tcBorders>
              <w:top w:val="single" w:sz="4" w:space="0" w:color="auto"/>
              <w:left w:val="single" w:sz="4" w:space="0" w:color="auto"/>
              <w:bottom w:val="single" w:sz="4" w:space="0" w:color="auto"/>
              <w:right w:val="single" w:sz="4" w:space="0" w:color="auto"/>
            </w:tcBorders>
            <w:shd w:val="clear" w:color="auto" w:fill="A3E7FF"/>
            <w:vAlign w:val="center"/>
            <w:hideMark/>
          </w:tcPr>
          <w:p w14:paraId="15A24F82" w14:textId="77777777" w:rsidR="00EA51C4" w:rsidRPr="008D0FA0" w:rsidRDefault="00EA51C4" w:rsidP="00BA499D">
            <w:pPr>
              <w:jc w:val="center"/>
              <w:rPr>
                <w:rFonts w:eastAsia="Times New Roman" w:cs="Calibri"/>
                <w:b/>
                <w:sz w:val="18"/>
                <w:szCs w:val="18"/>
                <w:lang w:eastAsia="hr-HR"/>
              </w:rPr>
            </w:pPr>
            <w:r w:rsidRPr="008D0FA0">
              <w:rPr>
                <w:rFonts w:eastAsia="Times New Roman" w:cs="Calibri"/>
                <w:b/>
                <w:sz w:val="18"/>
                <w:szCs w:val="18"/>
                <w:lang w:eastAsia="hr-HR"/>
              </w:rPr>
              <w:t>Završno izvješće</w:t>
            </w:r>
          </w:p>
        </w:tc>
        <w:tc>
          <w:tcPr>
            <w:tcW w:w="1233" w:type="dxa"/>
            <w:tcBorders>
              <w:top w:val="single" w:sz="4" w:space="0" w:color="auto"/>
              <w:left w:val="single" w:sz="4" w:space="0" w:color="auto"/>
              <w:bottom w:val="single" w:sz="4" w:space="0" w:color="auto"/>
              <w:right w:val="single" w:sz="4" w:space="0" w:color="auto"/>
            </w:tcBorders>
            <w:shd w:val="clear" w:color="auto" w:fill="A3E7FF"/>
            <w:vAlign w:val="center"/>
            <w:hideMark/>
          </w:tcPr>
          <w:p w14:paraId="0ED0FC74" w14:textId="77777777" w:rsidR="00EA51C4" w:rsidRPr="008D0FA0" w:rsidRDefault="00EA51C4" w:rsidP="00BA499D">
            <w:pPr>
              <w:jc w:val="center"/>
              <w:rPr>
                <w:rFonts w:eastAsia="Times New Roman" w:cs="Calibri"/>
                <w:b/>
                <w:sz w:val="18"/>
                <w:szCs w:val="18"/>
                <w:lang w:eastAsia="hr-HR"/>
              </w:rPr>
            </w:pPr>
            <w:r>
              <w:rPr>
                <w:rFonts w:eastAsia="Times New Roman" w:cstheme="minorHAnsi"/>
                <w:b/>
                <w:bCs/>
                <w:sz w:val="18"/>
                <w:szCs w:val="18"/>
                <w:lang w:eastAsia="hr-HR"/>
              </w:rPr>
              <w:t>Plan za 2023</w:t>
            </w:r>
            <w:r w:rsidRPr="008D0FA0">
              <w:rPr>
                <w:rFonts w:eastAsia="Times New Roman" w:cstheme="minorHAnsi"/>
                <w:b/>
                <w:bCs/>
                <w:sz w:val="18"/>
                <w:szCs w:val="18"/>
                <w:lang w:eastAsia="hr-HR"/>
              </w:rPr>
              <w:t>. godinu</w:t>
            </w:r>
          </w:p>
        </w:tc>
        <w:tc>
          <w:tcPr>
            <w:tcW w:w="1091" w:type="dxa"/>
            <w:tcBorders>
              <w:top w:val="single" w:sz="4" w:space="0" w:color="auto"/>
              <w:left w:val="single" w:sz="4" w:space="0" w:color="auto"/>
              <w:bottom w:val="single" w:sz="4" w:space="0" w:color="auto"/>
              <w:right w:val="single" w:sz="4" w:space="0" w:color="auto"/>
            </w:tcBorders>
            <w:shd w:val="clear" w:color="auto" w:fill="A3E7FF"/>
            <w:vAlign w:val="center"/>
          </w:tcPr>
          <w:p w14:paraId="0271B9E6" w14:textId="77777777" w:rsidR="00EA51C4" w:rsidRPr="008D0FA0" w:rsidRDefault="00EA51C4" w:rsidP="00BA499D">
            <w:pPr>
              <w:jc w:val="center"/>
              <w:rPr>
                <w:rFonts w:eastAsia="Times New Roman" w:cstheme="minorHAnsi"/>
                <w:b/>
                <w:bCs/>
                <w:sz w:val="18"/>
                <w:szCs w:val="18"/>
                <w:lang w:eastAsia="hr-HR"/>
              </w:rPr>
            </w:pPr>
            <w:r w:rsidRPr="008D0FA0">
              <w:rPr>
                <w:rFonts w:eastAsia="Times New Roman" w:cstheme="minorHAnsi"/>
                <w:b/>
                <w:bCs/>
                <w:sz w:val="18"/>
                <w:szCs w:val="18"/>
                <w:lang w:eastAsia="hr-HR"/>
              </w:rPr>
              <w:t>Izvršenje</w:t>
            </w:r>
          </w:p>
          <w:p w14:paraId="5FF5522B" w14:textId="77777777" w:rsidR="00EA51C4" w:rsidRPr="008D0FA0" w:rsidRDefault="00EA51C4" w:rsidP="00BA499D">
            <w:pPr>
              <w:jc w:val="center"/>
              <w:rPr>
                <w:rFonts w:eastAsia="Times New Roman" w:cstheme="minorHAnsi"/>
                <w:b/>
                <w:bCs/>
                <w:sz w:val="18"/>
                <w:szCs w:val="18"/>
                <w:lang w:eastAsia="hr-HR"/>
              </w:rPr>
            </w:pPr>
            <w:r>
              <w:rPr>
                <w:rFonts w:eastAsia="Times New Roman" w:cstheme="minorHAnsi"/>
                <w:b/>
                <w:bCs/>
                <w:sz w:val="18"/>
                <w:szCs w:val="18"/>
                <w:lang w:eastAsia="hr-HR"/>
              </w:rPr>
              <w:t>01.01.-31.12.2023</w:t>
            </w:r>
            <w:r w:rsidRPr="008D0FA0">
              <w:rPr>
                <w:rFonts w:eastAsia="Times New Roman" w:cstheme="minorHAnsi"/>
                <w:b/>
                <w:bCs/>
                <w:sz w:val="18"/>
                <w:szCs w:val="18"/>
                <w:lang w:eastAsia="hr-HR"/>
              </w:rPr>
              <w:t>.</w:t>
            </w:r>
          </w:p>
        </w:tc>
        <w:tc>
          <w:tcPr>
            <w:tcW w:w="875" w:type="dxa"/>
            <w:tcBorders>
              <w:top w:val="single" w:sz="4" w:space="0" w:color="auto"/>
              <w:left w:val="single" w:sz="4" w:space="0" w:color="auto"/>
              <w:bottom w:val="single" w:sz="4" w:space="0" w:color="auto"/>
              <w:right w:val="single" w:sz="4" w:space="0" w:color="auto"/>
            </w:tcBorders>
            <w:shd w:val="clear" w:color="auto" w:fill="A3E7FF"/>
            <w:vAlign w:val="center"/>
          </w:tcPr>
          <w:p w14:paraId="615E1C81" w14:textId="77777777" w:rsidR="00EA51C4" w:rsidRPr="008D0FA0" w:rsidRDefault="00EA51C4" w:rsidP="00BA499D">
            <w:pPr>
              <w:jc w:val="center"/>
              <w:rPr>
                <w:rFonts w:eastAsia="Times New Roman" w:cs="Calibri"/>
                <w:b/>
                <w:sz w:val="18"/>
                <w:szCs w:val="18"/>
                <w:lang w:eastAsia="hr-HR"/>
              </w:rPr>
            </w:pPr>
            <w:r w:rsidRPr="008D0FA0">
              <w:rPr>
                <w:rFonts w:eastAsia="Times New Roman" w:cs="Calibri"/>
                <w:b/>
                <w:sz w:val="18"/>
                <w:szCs w:val="18"/>
                <w:lang w:eastAsia="hr-HR"/>
              </w:rPr>
              <w:t>% izvršenja</w:t>
            </w:r>
          </w:p>
        </w:tc>
      </w:tr>
      <w:tr w:rsidR="00EA51C4" w:rsidRPr="00E708B3" w14:paraId="2E39589C" w14:textId="77777777" w:rsidTr="00BA499D">
        <w:trPr>
          <w:trHeight w:val="284"/>
        </w:trPr>
        <w:tc>
          <w:tcPr>
            <w:tcW w:w="1054" w:type="dxa"/>
            <w:tcBorders>
              <w:top w:val="single" w:sz="4" w:space="0" w:color="auto"/>
              <w:left w:val="single" w:sz="4" w:space="0" w:color="auto"/>
              <w:bottom w:val="single" w:sz="4" w:space="0" w:color="auto"/>
              <w:right w:val="single" w:sz="4" w:space="0" w:color="auto"/>
            </w:tcBorders>
            <w:vAlign w:val="center"/>
            <w:hideMark/>
          </w:tcPr>
          <w:p w14:paraId="10E2DE8B" w14:textId="77777777" w:rsidR="00EA51C4" w:rsidRPr="00E708B3" w:rsidRDefault="00EA51C4" w:rsidP="00BA499D">
            <w:pPr>
              <w:rPr>
                <w:rFonts w:eastAsia="Times New Roman" w:cs="Calibri"/>
                <w:sz w:val="20"/>
                <w:szCs w:val="20"/>
                <w:lang w:eastAsia="hr-HR"/>
              </w:rPr>
            </w:pPr>
            <w:r w:rsidRPr="00E708B3">
              <w:rPr>
                <w:rFonts w:eastAsia="Times New Roman" w:cs="Calibri"/>
                <w:sz w:val="20"/>
                <w:szCs w:val="20"/>
                <w:lang w:eastAsia="hr-HR"/>
              </w:rPr>
              <w:t>Broj slučajeva</w:t>
            </w:r>
          </w:p>
        </w:tc>
        <w:tc>
          <w:tcPr>
            <w:tcW w:w="1200" w:type="dxa"/>
            <w:tcBorders>
              <w:top w:val="single" w:sz="4" w:space="0" w:color="auto"/>
              <w:left w:val="single" w:sz="4" w:space="0" w:color="auto"/>
              <w:bottom w:val="single" w:sz="4" w:space="0" w:color="auto"/>
              <w:right w:val="single" w:sz="4" w:space="0" w:color="auto"/>
            </w:tcBorders>
            <w:vAlign w:val="center"/>
          </w:tcPr>
          <w:p w14:paraId="6A80468C" w14:textId="77777777" w:rsidR="00EA51C4" w:rsidRPr="00E708B3" w:rsidRDefault="00EA51C4" w:rsidP="00BA499D">
            <w:pPr>
              <w:jc w:val="center"/>
              <w:rPr>
                <w:rFonts w:cs="Calibri"/>
                <w:sz w:val="20"/>
                <w:szCs w:val="20"/>
              </w:rPr>
            </w:pPr>
            <w:r>
              <w:rPr>
                <w:rFonts w:cs="Calibri"/>
                <w:sz w:val="20"/>
                <w:szCs w:val="20"/>
              </w:rPr>
              <w:t>301</w:t>
            </w:r>
          </w:p>
        </w:tc>
        <w:tc>
          <w:tcPr>
            <w:tcW w:w="1084" w:type="dxa"/>
            <w:tcBorders>
              <w:top w:val="single" w:sz="4" w:space="0" w:color="auto"/>
              <w:left w:val="single" w:sz="4" w:space="0" w:color="auto"/>
              <w:bottom w:val="single" w:sz="4" w:space="0" w:color="auto"/>
              <w:right w:val="single" w:sz="4" w:space="0" w:color="auto"/>
            </w:tcBorders>
            <w:vAlign w:val="center"/>
          </w:tcPr>
          <w:p w14:paraId="561F50B5" w14:textId="77777777" w:rsidR="00EA51C4" w:rsidRPr="00E708B3" w:rsidRDefault="00EA51C4" w:rsidP="00BA499D">
            <w:pPr>
              <w:jc w:val="center"/>
              <w:rPr>
                <w:rFonts w:cs="Calibri"/>
                <w:sz w:val="20"/>
                <w:szCs w:val="20"/>
              </w:rPr>
            </w:pPr>
            <w:r>
              <w:rPr>
                <w:rFonts w:cs="Calibri"/>
                <w:sz w:val="20"/>
                <w:szCs w:val="20"/>
              </w:rPr>
              <w:t>60</w:t>
            </w:r>
          </w:p>
        </w:tc>
        <w:tc>
          <w:tcPr>
            <w:tcW w:w="1593" w:type="dxa"/>
            <w:tcBorders>
              <w:top w:val="single" w:sz="4" w:space="0" w:color="auto"/>
              <w:left w:val="single" w:sz="4" w:space="0" w:color="auto"/>
              <w:bottom w:val="single" w:sz="4" w:space="0" w:color="auto"/>
              <w:right w:val="single" w:sz="4" w:space="0" w:color="auto"/>
            </w:tcBorders>
            <w:vAlign w:val="center"/>
          </w:tcPr>
          <w:p w14:paraId="0A682685" w14:textId="77777777" w:rsidR="00EA51C4" w:rsidRPr="00E708B3" w:rsidRDefault="00EA51C4" w:rsidP="00BA499D">
            <w:pPr>
              <w:jc w:val="center"/>
              <w:rPr>
                <w:rFonts w:cs="Calibri"/>
                <w:sz w:val="20"/>
                <w:szCs w:val="20"/>
              </w:rPr>
            </w:pPr>
            <w:r>
              <w:rPr>
                <w:rFonts w:cs="Calibri"/>
                <w:sz w:val="20"/>
                <w:szCs w:val="20"/>
              </w:rPr>
              <w:t>221</w:t>
            </w:r>
          </w:p>
        </w:tc>
        <w:tc>
          <w:tcPr>
            <w:tcW w:w="1050" w:type="dxa"/>
            <w:tcBorders>
              <w:top w:val="single" w:sz="4" w:space="0" w:color="auto"/>
              <w:left w:val="single" w:sz="4" w:space="0" w:color="auto"/>
              <w:bottom w:val="single" w:sz="4" w:space="0" w:color="auto"/>
              <w:right w:val="single" w:sz="4" w:space="0" w:color="auto"/>
            </w:tcBorders>
            <w:vAlign w:val="center"/>
          </w:tcPr>
          <w:p w14:paraId="589A6BF8" w14:textId="77777777" w:rsidR="00EA51C4" w:rsidRPr="00E708B3" w:rsidRDefault="00EA51C4" w:rsidP="00BA499D">
            <w:pPr>
              <w:jc w:val="center"/>
              <w:rPr>
                <w:rFonts w:cs="Calibri"/>
                <w:sz w:val="20"/>
                <w:szCs w:val="20"/>
              </w:rPr>
            </w:pPr>
            <w:r>
              <w:rPr>
                <w:rFonts w:cs="Calibri"/>
                <w:sz w:val="20"/>
                <w:szCs w:val="20"/>
              </w:rPr>
              <w:t>340</w:t>
            </w:r>
          </w:p>
        </w:tc>
        <w:tc>
          <w:tcPr>
            <w:tcW w:w="1233" w:type="dxa"/>
            <w:tcBorders>
              <w:top w:val="single" w:sz="4" w:space="0" w:color="auto"/>
              <w:left w:val="single" w:sz="4" w:space="0" w:color="auto"/>
              <w:bottom w:val="single" w:sz="4" w:space="0" w:color="auto"/>
              <w:right w:val="single" w:sz="4" w:space="0" w:color="auto"/>
            </w:tcBorders>
            <w:vAlign w:val="center"/>
          </w:tcPr>
          <w:p w14:paraId="372CF704" w14:textId="77777777" w:rsidR="00EA51C4" w:rsidRPr="00E708B3" w:rsidRDefault="00EA51C4" w:rsidP="00BA499D">
            <w:pPr>
              <w:jc w:val="center"/>
              <w:rPr>
                <w:rFonts w:cs="Calibri"/>
                <w:sz w:val="20"/>
                <w:szCs w:val="20"/>
              </w:rPr>
            </w:pPr>
            <w:r>
              <w:rPr>
                <w:rFonts w:cs="Calibri"/>
                <w:sz w:val="20"/>
                <w:szCs w:val="20"/>
              </w:rPr>
              <w:t>940</w:t>
            </w:r>
          </w:p>
        </w:tc>
        <w:tc>
          <w:tcPr>
            <w:tcW w:w="1091" w:type="dxa"/>
            <w:tcBorders>
              <w:top w:val="single" w:sz="4" w:space="0" w:color="auto"/>
              <w:left w:val="single" w:sz="4" w:space="0" w:color="auto"/>
              <w:bottom w:val="single" w:sz="4" w:space="0" w:color="auto"/>
              <w:right w:val="single" w:sz="4" w:space="0" w:color="auto"/>
            </w:tcBorders>
            <w:vAlign w:val="center"/>
          </w:tcPr>
          <w:p w14:paraId="530D19D6" w14:textId="77777777" w:rsidR="00EA51C4" w:rsidRPr="00E708B3" w:rsidRDefault="00EA51C4" w:rsidP="00BA499D">
            <w:pPr>
              <w:jc w:val="center"/>
              <w:rPr>
                <w:rFonts w:cs="Calibri"/>
                <w:sz w:val="20"/>
                <w:szCs w:val="20"/>
              </w:rPr>
            </w:pPr>
            <w:r>
              <w:rPr>
                <w:rFonts w:cs="Calibri"/>
                <w:sz w:val="20"/>
                <w:szCs w:val="20"/>
              </w:rPr>
              <w:t>922</w:t>
            </w:r>
          </w:p>
        </w:tc>
        <w:tc>
          <w:tcPr>
            <w:tcW w:w="875" w:type="dxa"/>
            <w:tcBorders>
              <w:top w:val="single" w:sz="4" w:space="0" w:color="auto"/>
              <w:left w:val="single" w:sz="4" w:space="0" w:color="auto"/>
              <w:bottom w:val="single" w:sz="4" w:space="0" w:color="auto"/>
              <w:right w:val="single" w:sz="4" w:space="0" w:color="auto"/>
            </w:tcBorders>
            <w:vAlign w:val="center"/>
          </w:tcPr>
          <w:p w14:paraId="38A5083A" w14:textId="77777777" w:rsidR="00EA51C4" w:rsidRPr="00E708B3" w:rsidRDefault="00EA51C4" w:rsidP="00BA499D">
            <w:pPr>
              <w:jc w:val="center"/>
              <w:rPr>
                <w:rFonts w:cs="Calibri"/>
                <w:sz w:val="20"/>
                <w:szCs w:val="20"/>
              </w:rPr>
            </w:pPr>
            <w:r>
              <w:rPr>
                <w:rFonts w:cs="Calibri"/>
                <w:sz w:val="20"/>
                <w:szCs w:val="20"/>
              </w:rPr>
              <w:t>98%</w:t>
            </w:r>
          </w:p>
        </w:tc>
      </w:tr>
    </w:tbl>
    <w:p w14:paraId="690933B5" w14:textId="77777777" w:rsidR="00EA51C4" w:rsidRPr="00DD3903" w:rsidRDefault="00EA51C4" w:rsidP="00EA51C4">
      <w:pPr>
        <w:spacing w:after="120"/>
        <w:rPr>
          <w:rFonts w:eastAsia="Times New Roman" w:cstheme="minorHAnsi"/>
          <w:lang w:eastAsia="hr-HR"/>
        </w:rPr>
      </w:pPr>
    </w:p>
    <w:p w14:paraId="21119B32" w14:textId="77777777" w:rsidR="00EA51C4" w:rsidRDefault="00EA51C4" w:rsidP="00EA51C4">
      <w:pPr>
        <w:spacing w:before="240" w:after="120"/>
        <w:rPr>
          <w:rFonts w:eastAsia="Times New Roman" w:cstheme="minorHAnsi"/>
          <w:u w:val="single"/>
          <w:lang w:eastAsia="hr-HR"/>
        </w:rPr>
      </w:pPr>
      <w:r w:rsidRPr="00BE401D">
        <w:rPr>
          <w:rFonts w:eastAsia="Times New Roman" w:cstheme="minorHAnsi"/>
          <w:u w:val="single"/>
          <w:lang w:eastAsia="hr-HR"/>
        </w:rPr>
        <w:t xml:space="preserve">Broj </w:t>
      </w:r>
      <w:r>
        <w:rPr>
          <w:rFonts w:eastAsia="Times New Roman" w:cstheme="minorHAnsi"/>
          <w:u w:val="single"/>
          <w:lang w:eastAsia="hr-HR"/>
        </w:rPr>
        <w:t>obrađenih</w:t>
      </w:r>
      <w:r w:rsidRPr="00BE401D">
        <w:rPr>
          <w:rFonts w:eastAsia="Times New Roman" w:cstheme="minorHAnsi"/>
          <w:u w:val="single"/>
          <w:lang w:eastAsia="hr-HR"/>
        </w:rPr>
        <w:t xml:space="preserve"> izvješća o štetnim događajima po izvoru:</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9"/>
        <w:gridCol w:w="1551"/>
        <w:gridCol w:w="1300"/>
        <w:gridCol w:w="1877"/>
        <w:gridCol w:w="1307"/>
        <w:gridCol w:w="1091"/>
        <w:gridCol w:w="875"/>
      </w:tblGrid>
      <w:tr w:rsidR="00EA51C4" w:rsidRPr="00DD3903" w14:paraId="45A53BDE" w14:textId="77777777" w:rsidTr="00BA499D">
        <w:trPr>
          <w:trHeight w:val="567"/>
        </w:trPr>
        <w:tc>
          <w:tcPr>
            <w:tcW w:w="1179" w:type="dxa"/>
            <w:tcBorders>
              <w:top w:val="single" w:sz="4" w:space="0" w:color="auto"/>
              <w:left w:val="single" w:sz="4" w:space="0" w:color="auto"/>
              <w:bottom w:val="single" w:sz="4" w:space="0" w:color="auto"/>
              <w:right w:val="single" w:sz="4" w:space="0" w:color="auto"/>
            </w:tcBorders>
            <w:shd w:val="clear" w:color="auto" w:fill="A3E7FF"/>
            <w:vAlign w:val="center"/>
          </w:tcPr>
          <w:p w14:paraId="3B7B8AFB" w14:textId="77777777" w:rsidR="00EA51C4" w:rsidRPr="008D0FA0" w:rsidRDefault="00EA51C4" w:rsidP="00BA499D">
            <w:pPr>
              <w:rPr>
                <w:rFonts w:eastAsia="Times New Roman" w:cs="Calibri"/>
                <w:b/>
                <w:sz w:val="18"/>
                <w:szCs w:val="18"/>
                <w:lang w:eastAsia="hr-HR"/>
              </w:rPr>
            </w:pPr>
          </w:p>
        </w:tc>
        <w:tc>
          <w:tcPr>
            <w:tcW w:w="1551" w:type="dxa"/>
            <w:tcBorders>
              <w:top w:val="single" w:sz="4" w:space="0" w:color="auto"/>
              <w:left w:val="single" w:sz="4" w:space="0" w:color="auto"/>
              <w:bottom w:val="single" w:sz="4" w:space="0" w:color="auto"/>
              <w:right w:val="single" w:sz="4" w:space="0" w:color="auto"/>
            </w:tcBorders>
            <w:shd w:val="clear" w:color="auto" w:fill="A3E7FF"/>
            <w:vAlign w:val="center"/>
            <w:hideMark/>
          </w:tcPr>
          <w:p w14:paraId="0D8F9368" w14:textId="77777777" w:rsidR="00EA51C4" w:rsidRPr="008D0FA0" w:rsidRDefault="00EA51C4" w:rsidP="00BA499D">
            <w:pPr>
              <w:jc w:val="center"/>
              <w:rPr>
                <w:rFonts w:eastAsia="Times New Roman" w:cs="Calibri"/>
                <w:b/>
                <w:sz w:val="18"/>
                <w:szCs w:val="18"/>
                <w:lang w:eastAsia="hr-HR"/>
              </w:rPr>
            </w:pPr>
            <w:r w:rsidRPr="008D0FA0">
              <w:rPr>
                <w:rFonts w:eastAsia="Times New Roman" w:cs="Calibri"/>
                <w:b/>
                <w:sz w:val="18"/>
                <w:szCs w:val="18"/>
                <w:lang w:eastAsia="hr-HR"/>
              </w:rPr>
              <w:t>Proizvođač ili ovlašteni zastupnik</w:t>
            </w:r>
          </w:p>
        </w:tc>
        <w:tc>
          <w:tcPr>
            <w:tcW w:w="1300" w:type="dxa"/>
            <w:tcBorders>
              <w:top w:val="single" w:sz="4" w:space="0" w:color="auto"/>
              <w:left w:val="single" w:sz="4" w:space="0" w:color="auto"/>
              <w:bottom w:val="single" w:sz="4" w:space="0" w:color="auto"/>
              <w:right w:val="single" w:sz="4" w:space="0" w:color="auto"/>
            </w:tcBorders>
            <w:shd w:val="clear" w:color="auto" w:fill="A3E7FF"/>
            <w:vAlign w:val="center"/>
            <w:hideMark/>
          </w:tcPr>
          <w:p w14:paraId="5816B68D" w14:textId="77777777" w:rsidR="00EA51C4" w:rsidRPr="008D0FA0" w:rsidRDefault="00EA51C4" w:rsidP="00BA499D">
            <w:pPr>
              <w:jc w:val="center"/>
              <w:rPr>
                <w:rFonts w:eastAsia="Times New Roman" w:cs="Calibri"/>
                <w:b/>
                <w:sz w:val="18"/>
                <w:szCs w:val="18"/>
                <w:lang w:eastAsia="hr-HR"/>
              </w:rPr>
            </w:pPr>
            <w:r w:rsidRPr="008D0FA0">
              <w:rPr>
                <w:rFonts w:eastAsia="Times New Roman" w:cs="Calibri"/>
                <w:b/>
                <w:sz w:val="18"/>
                <w:szCs w:val="18"/>
                <w:lang w:eastAsia="hr-HR"/>
              </w:rPr>
              <w:t>Korisnik</w:t>
            </w:r>
          </w:p>
        </w:tc>
        <w:tc>
          <w:tcPr>
            <w:tcW w:w="1877" w:type="dxa"/>
            <w:tcBorders>
              <w:top w:val="single" w:sz="4" w:space="0" w:color="auto"/>
              <w:left w:val="single" w:sz="4" w:space="0" w:color="auto"/>
              <w:bottom w:val="single" w:sz="4" w:space="0" w:color="auto"/>
              <w:right w:val="single" w:sz="4" w:space="0" w:color="auto"/>
            </w:tcBorders>
            <w:shd w:val="clear" w:color="auto" w:fill="A3E7FF"/>
            <w:vAlign w:val="center"/>
            <w:hideMark/>
          </w:tcPr>
          <w:p w14:paraId="7A661AC8" w14:textId="77777777" w:rsidR="00EA51C4" w:rsidRPr="008D0FA0" w:rsidRDefault="00EA51C4" w:rsidP="00BA499D">
            <w:pPr>
              <w:jc w:val="center"/>
              <w:rPr>
                <w:rFonts w:eastAsia="Times New Roman" w:cs="Calibri"/>
                <w:b/>
                <w:sz w:val="18"/>
                <w:szCs w:val="18"/>
                <w:lang w:eastAsia="hr-HR"/>
              </w:rPr>
            </w:pPr>
            <w:r w:rsidRPr="008D0FA0">
              <w:rPr>
                <w:rFonts w:eastAsia="Times New Roman" w:cs="Calibri"/>
                <w:b/>
                <w:sz w:val="18"/>
                <w:szCs w:val="18"/>
                <w:lang w:eastAsia="hr-HR"/>
              </w:rPr>
              <w:t>Veleprodaja</w:t>
            </w:r>
          </w:p>
        </w:tc>
        <w:tc>
          <w:tcPr>
            <w:tcW w:w="1307" w:type="dxa"/>
            <w:tcBorders>
              <w:top w:val="single" w:sz="4" w:space="0" w:color="auto"/>
              <w:left w:val="single" w:sz="4" w:space="0" w:color="auto"/>
              <w:bottom w:val="single" w:sz="4" w:space="0" w:color="auto"/>
              <w:right w:val="single" w:sz="4" w:space="0" w:color="auto"/>
            </w:tcBorders>
            <w:shd w:val="clear" w:color="auto" w:fill="A3E7FF"/>
            <w:vAlign w:val="center"/>
            <w:hideMark/>
          </w:tcPr>
          <w:p w14:paraId="3A1E6983" w14:textId="77777777" w:rsidR="00EA51C4" w:rsidRPr="008D0FA0" w:rsidRDefault="00EA51C4" w:rsidP="00BA499D">
            <w:pPr>
              <w:jc w:val="center"/>
              <w:rPr>
                <w:rFonts w:eastAsia="Times New Roman" w:cs="Calibri"/>
                <w:b/>
                <w:sz w:val="18"/>
                <w:szCs w:val="18"/>
                <w:lang w:eastAsia="hr-HR"/>
              </w:rPr>
            </w:pPr>
            <w:r w:rsidRPr="008D0FA0">
              <w:rPr>
                <w:rFonts w:eastAsia="Times New Roman" w:cstheme="minorHAnsi"/>
                <w:b/>
                <w:bCs/>
                <w:sz w:val="18"/>
                <w:szCs w:val="18"/>
                <w:lang w:eastAsia="hr-HR"/>
              </w:rPr>
              <w:t>Plan</w:t>
            </w:r>
            <w:r>
              <w:rPr>
                <w:rFonts w:eastAsia="Times New Roman" w:cstheme="minorHAnsi"/>
                <w:b/>
                <w:bCs/>
                <w:sz w:val="18"/>
                <w:szCs w:val="18"/>
                <w:lang w:eastAsia="hr-HR"/>
              </w:rPr>
              <w:t xml:space="preserve"> za 2023</w:t>
            </w:r>
            <w:r w:rsidRPr="008D0FA0">
              <w:rPr>
                <w:rFonts w:eastAsia="Times New Roman" w:cstheme="minorHAnsi"/>
                <w:b/>
                <w:bCs/>
                <w:sz w:val="18"/>
                <w:szCs w:val="18"/>
                <w:lang w:eastAsia="hr-HR"/>
              </w:rPr>
              <w:t>. godinu</w:t>
            </w:r>
          </w:p>
        </w:tc>
        <w:tc>
          <w:tcPr>
            <w:tcW w:w="1091" w:type="dxa"/>
            <w:tcBorders>
              <w:top w:val="single" w:sz="4" w:space="0" w:color="auto"/>
              <w:left w:val="single" w:sz="4" w:space="0" w:color="auto"/>
              <w:bottom w:val="single" w:sz="4" w:space="0" w:color="auto"/>
              <w:right w:val="single" w:sz="4" w:space="0" w:color="auto"/>
            </w:tcBorders>
            <w:shd w:val="clear" w:color="auto" w:fill="A3E7FF"/>
            <w:vAlign w:val="center"/>
          </w:tcPr>
          <w:p w14:paraId="3BC28DFF" w14:textId="77777777" w:rsidR="00EA51C4" w:rsidRPr="008D0FA0" w:rsidRDefault="00EA51C4" w:rsidP="00BA499D">
            <w:pPr>
              <w:jc w:val="center"/>
              <w:rPr>
                <w:rFonts w:eastAsia="Times New Roman" w:cstheme="minorHAnsi"/>
                <w:b/>
                <w:bCs/>
                <w:sz w:val="18"/>
                <w:szCs w:val="18"/>
                <w:lang w:eastAsia="hr-HR"/>
              </w:rPr>
            </w:pPr>
            <w:r w:rsidRPr="008D0FA0">
              <w:rPr>
                <w:rFonts w:eastAsia="Times New Roman" w:cstheme="minorHAnsi"/>
                <w:b/>
                <w:bCs/>
                <w:sz w:val="18"/>
                <w:szCs w:val="18"/>
                <w:lang w:eastAsia="hr-HR"/>
              </w:rPr>
              <w:t>Izvršenje</w:t>
            </w:r>
          </w:p>
          <w:p w14:paraId="31CE4D73" w14:textId="77777777" w:rsidR="00EA51C4" w:rsidRPr="008D0FA0" w:rsidRDefault="00EA51C4" w:rsidP="00BA499D">
            <w:pPr>
              <w:jc w:val="center"/>
              <w:rPr>
                <w:rFonts w:eastAsia="Times New Roman" w:cstheme="minorHAnsi"/>
                <w:b/>
                <w:bCs/>
                <w:sz w:val="18"/>
                <w:szCs w:val="18"/>
                <w:lang w:eastAsia="hr-HR"/>
              </w:rPr>
            </w:pPr>
            <w:r>
              <w:rPr>
                <w:rFonts w:eastAsia="Times New Roman" w:cstheme="minorHAnsi"/>
                <w:b/>
                <w:bCs/>
                <w:sz w:val="18"/>
                <w:szCs w:val="18"/>
                <w:lang w:eastAsia="hr-HR"/>
              </w:rPr>
              <w:t>01.01.-31.12.2023.</w:t>
            </w:r>
          </w:p>
        </w:tc>
        <w:tc>
          <w:tcPr>
            <w:tcW w:w="875" w:type="dxa"/>
            <w:tcBorders>
              <w:top w:val="single" w:sz="4" w:space="0" w:color="auto"/>
              <w:left w:val="single" w:sz="4" w:space="0" w:color="auto"/>
              <w:bottom w:val="single" w:sz="4" w:space="0" w:color="auto"/>
              <w:right w:val="single" w:sz="4" w:space="0" w:color="auto"/>
            </w:tcBorders>
            <w:shd w:val="clear" w:color="auto" w:fill="A3E7FF"/>
            <w:vAlign w:val="center"/>
          </w:tcPr>
          <w:p w14:paraId="527DF823" w14:textId="77777777" w:rsidR="00EA51C4" w:rsidRPr="008D0FA0" w:rsidRDefault="00EA51C4" w:rsidP="00BA499D">
            <w:pPr>
              <w:jc w:val="center"/>
              <w:rPr>
                <w:rFonts w:eastAsia="Times New Roman" w:cs="Calibri"/>
                <w:b/>
                <w:sz w:val="18"/>
                <w:szCs w:val="18"/>
                <w:lang w:eastAsia="hr-HR"/>
              </w:rPr>
            </w:pPr>
            <w:r w:rsidRPr="008D0FA0">
              <w:rPr>
                <w:rFonts w:eastAsia="Times New Roman" w:cs="Calibri"/>
                <w:b/>
                <w:sz w:val="18"/>
                <w:szCs w:val="18"/>
                <w:lang w:eastAsia="hr-HR"/>
              </w:rPr>
              <w:t>% izvršenja</w:t>
            </w:r>
          </w:p>
        </w:tc>
      </w:tr>
      <w:tr w:rsidR="00EA51C4" w:rsidRPr="00E708B3" w14:paraId="0E0FA934" w14:textId="77777777" w:rsidTr="00BA499D">
        <w:trPr>
          <w:trHeight w:val="284"/>
        </w:trPr>
        <w:tc>
          <w:tcPr>
            <w:tcW w:w="1179" w:type="dxa"/>
            <w:tcBorders>
              <w:top w:val="single" w:sz="4" w:space="0" w:color="auto"/>
              <w:left w:val="single" w:sz="4" w:space="0" w:color="auto"/>
              <w:bottom w:val="single" w:sz="4" w:space="0" w:color="auto"/>
              <w:right w:val="single" w:sz="4" w:space="0" w:color="auto"/>
            </w:tcBorders>
            <w:vAlign w:val="center"/>
            <w:hideMark/>
          </w:tcPr>
          <w:p w14:paraId="6EF695BA" w14:textId="77777777" w:rsidR="00EA51C4" w:rsidRPr="00E708B3" w:rsidRDefault="00EA51C4" w:rsidP="00BA499D">
            <w:pPr>
              <w:rPr>
                <w:rFonts w:eastAsia="Times New Roman" w:cs="Calibri"/>
                <w:sz w:val="20"/>
                <w:szCs w:val="20"/>
                <w:lang w:eastAsia="hr-HR"/>
              </w:rPr>
            </w:pPr>
            <w:r w:rsidRPr="00E708B3">
              <w:rPr>
                <w:rFonts w:eastAsia="Times New Roman" w:cs="Calibri"/>
                <w:sz w:val="20"/>
                <w:szCs w:val="20"/>
                <w:lang w:eastAsia="hr-HR"/>
              </w:rPr>
              <w:t>Broj slučajeva</w:t>
            </w:r>
          </w:p>
        </w:tc>
        <w:tc>
          <w:tcPr>
            <w:tcW w:w="1551" w:type="dxa"/>
            <w:tcBorders>
              <w:top w:val="single" w:sz="4" w:space="0" w:color="auto"/>
              <w:left w:val="single" w:sz="4" w:space="0" w:color="auto"/>
              <w:bottom w:val="single" w:sz="4" w:space="0" w:color="auto"/>
              <w:right w:val="single" w:sz="4" w:space="0" w:color="auto"/>
            </w:tcBorders>
            <w:vAlign w:val="center"/>
          </w:tcPr>
          <w:p w14:paraId="04DAF7DC" w14:textId="77777777" w:rsidR="00EA51C4" w:rsidRPr="00E708B3" w:rsidRDefault="00EA51C4" w:rsidP="00BA499D">
            <w:pPr>
              <w:jc w:val="center"/>
              <w:rPr>
                <w:rFonts w:cs="Calibri"/>
                <w:sz w:val="20"/>
                <w:szCs w:val="20"/>
              </w:rPr>
            </w:pPr>
            <w:r>
              <w:rPr>
                <w:rFonts w:cs="Calibri"/>
                <w:sz w:val="20"/>
                <w:szCs w:val="20"/>
              </w:rPr>
              <w:t>885</w:t>
            </w:r>
          </w:p>
        </w:tc>
        <w:tc>
          <w:tcPr>
            <w:tcW w:w="1300" w:type="dxa"/>
            <w:tcBorders>
              <w:top w:val="single" w:sz="4" w:space="0" w:color="auto"/>
              <w:left w:val="single" w:sz="4" w:space="0" w:color="auto"/>
              <w:bottom w:val="single" w:sz="4" w:space="0" w:color="auto"/>
              <w:right w:val="single" w:sz="4" w:space="0" w:color="auto"/>
            </w:tcBorders>
            <w:vAlign w:val="center"/>
          </w:tcPr>
          <w:p w14:paraId="5F636CFD" w14:textId="77777777" w:rsidR="00EA51C4" w:rsidRPr="00E708B3" w:rsidRDefault="00EA51C4" w:rsidP="00BA499D">
            <w:pPr>
              <w:jc w:val="center"/>
              <w:rPr>
                <w:rFonts w:cs="Calibri"/>
                <w:sz w:val="20"/>
                <w:szCs w:val="20"/>
              </w:rPr>
            </w:pPr>
            <w:r>
              <w:rPr>
                <w:rFonts w:cs="Calibri"/>
                <w:sz w:val="20"/>
                <w:szCs w:val="20"/>
              </w:rPr>
              <w:t>21</w:t>
            </w:r>
          </w:p>
        </w:tc>
        <w:tc>
          <w:tcPr>
            <w:tcW w:w="1877" w:type="dxa"/>
            <w:tcBorders>
              <w:top w:val="single" w:sz="4" w:space="0" w:color="auto"/>
              <w:left w:val="single" w:sz="4" w:space="0" w:color="auto"/>
              <w:bottom w:val="single" w:sz="4" w:space="0" w:color="auto"/>
              <w:right w:val="single" w:sz="4" w:space="0" w:color="auto"/>
            </w:tcBorders>
            <w:vAlign w:val="center"/>
          </w:tcPr>
          <w:p w14:paraId="04591D5A" w14:textId="77777777" w:rsidR="00EA51C4" w:rsidRPr="00E708B3" w:rsidRDefault="00EA51C4" w:rsidP="00BA499D">
            <w:pPr>
              <w:jc w:val="center"/>
              <w:rPr>
                <w:rFonts w:cs="Calibri"/>
                <w:sz w:val="20"/>
                <w:szCs w:val="20"/>
              </w:rPr>
            </w:pPr>
            <w:r>
              <w:rPr>
                <w:rFonts w:cs="Calibri"/>
                <w:sz w:val="20"/>
                <w:szCs w:val="20"/>
              </w:rPr>
              <w:t>16</w:t>
            </w:r>
          </w:p>
        </w:tc>
        <w:tc>
          <w:tcPr>
            <w:tcW w:w="1307" w:type="dxa"/>
            <w:tcBorders>
              <w:top w:val="single" w:sz="4" w:space="0" w:color="auto"/>
              <w:left w:val="single" w:sz="4" w:space="0" w:color="auto"/>
              <w:bottom w:val="single" w:sz="4" w:space="0" w:color="auto"/>
              <w:right w:val="single" w:sz="4" w:space="0" w:color="auto"/>
            </w:tcBorders>
            <w:vAlign w:val="center"/>
          </w:tcPr>
          <w:p w14:paraId="69C7A756" w14:textId="77777777" w:rsidR="00EA51C4" w:rsidRPr="00E708B3" w:rsidRDefault="00EA51C4" w:rsidP="00BA499D">
            <w:pPr>
              <w:jc w:val="center"/>
              <w:rPr>
                <w:rFonts w:cs="Calibri"/>
                <w:sz w:val="20"/>
                <w:szCs w:val="20"/>
              </w:rPr>
            </w:pPr>
            <w:r>
              <w:rPr>
                <w:rFonts w:cs="Calibri"/>
                <w:sz w:val="20"/>
                <w:szCs w:val="20"/>
              </w:rPr>
              <w:t>940</w:t>
            </w:r>
          </w:p>
        </w:tc>
        <w:tc>
          <w:tcPr>
            <w:tcW w:w="1091" w:type="dxa"/>
            <w:tcBorders>
              <w:top w:val="single" w:sz="4" w:space="0" w:color="auto"/>
              <w:left w:val="single" w:sz="4" w:space="0" w:color="auto"/>
              <w:bottom w:val="single" w:sz="4" w:space="0" w:color="auto"/>
              <w:right w:val="single" w:sz="4" w:space="0" w:color="auto"/>
            </w:tcBorders>
            <w:vAlign w:val="center"/>
          </w:tcPr>
          <w:p w14:paraId="2B6B7D70" w14:textId="77777777" w:rsidR="00EA51C4" w:rsidRPr="00E708B3" w:rsidRDefault="00EA51C4" w:rsidP="00BA499D">
            <w:pPr>
              <w:jc w:val="center"/>
              <w:rPr>
                <w:rFonts w:cs="Calibri"/>
                <w:sz w:val="20"/>
                <w:szCs w:val="20"/>
              </w:rPr>
            </w:pPr>
            <w:r>
              <w:rPr>
                <w:rFonts w:cs="Calibri"/>
                <w:sz w:val="20"/>
                <w:szCs w:val="20"/>
              </w:rPr>
              <w:t>922</w:t>
            </w:r>
          </w:p>
        </w:tc>
        <w:tc>
          <w:tcPr>
            <w:tcW w:w="875" w:type="dxa"/>
            <w:tcBorders>
              <w:top w:val="single" w:sz="4" w:space="0" w:color="auto"/>
              <w:left w:val="single" w:sz="4" w:space="0" w:color="auto"/>
              <w:bottom w:val="single" w:sz="4" w:space="0" w:color="auto"/>
              <w:right w:val="single" w:sz="4" w:space="0" w:color="auto"/>
            </w:tcBorders>
            <w:vAlign w:val="center"/>
          </w:tcPr>
          <w:p w14:paraId="55B7FA71" w14:textId="77777777" w:rsidR="00EA51C4" w:rsidRPr="00E708B3" w:rsidRDefault="00EA51C4" w:rsidP="00BA499D">
            <w:pPr>
              <w:jc w:val="center"/>
              <w:rPr>
                <w:rFonts w:cs="Calibri"/>
                <w:sz w:val="20"/>
                <w:szCs w:val="20"/>
              </w:rPr>
            </w:pPr>
            <w:r>
              <w:rPr>
                <w:rFonts w:cs="Calibri"/>
                <w:sz w:val="20"/>
                <w:szCs w:val="20"/>
              </w:rPr>
              <w:t>98%</w:t>
            </w:r>
          </w:p>
        </w:tc>
      </w:tr>
    </w:tbl>
    <w:p w14:paraId="09DAF5CD" w14:textId="77777777" w:rsidR="00EA51C4" w:rsidRDefault="00EA51C4" w:rsidP="00EA51C4">
      <w:pPr>
        <w:spacing w:after="120"/>
        <w:rPr>
          <w:rFonts w:eastAsia="Times New Roman" w:cstheme="minorHAnsi"/>
          <w:lang w:eastAsia="hr-HR"/>
        </w:rPr>
      </w:pPr>
    </w:p>
    <w:p w14:paraId="30147F02" w14:textId="77777777" w:rsidR="00EA51C4" w:rsidRDefault="00EA51C4" w:rsidP="00EA51C4">
      <w:pPr>
        <w:spacing w:before="240" w:after="120"/>
        <w:rPr>
          <w:rFonts w:eastAsia="Times New Roman" w:cstheme="minorHAnsi"/>
          <w:u w:val="single"/>
          <w:lang w:eastAsia="hr-HR"/>
        </w:rPr>
      </w:pPr>
      <w:r w:rsidRPr="00BE401D">
        <w:rPr>
          <w:rFonts w:eastAsia="Times New Roman" w:cstheme="minorHAnsi"/>
          <w:u w:val="single"/>
          <w:lang w:eastAsia="hr-HR"/>
        </w:rPr>
        <w:t xml:space="preserve">Broj </w:t>
      </w:r>
      <w:r>
        <w:rPr>
          <w:rFonts w:eastAsia="Times New Roman" w:cstheme="minorHAnsi"/>
          <w:u w:val="single"/>
          <w:lang w:eastAsia="hr-HR"/>
        </w:rPr>
        <w:t>obrađenih</w:t>
      </w:r>
      <w:r w:rsidRPr="00BE401D">
        <w:rPr>
          <w:rFonts w:eastAsia="Times New Roman" w:cstheme="minorHAnsi"/>
          <w:u w:val="single"/>
          <w:lang w:eastAsia="hr-HR"/>
        </w:rPr>
        <w:t xml:space="preserve"> izvješća o štetnim događajima po vrsti medicinskih proizvoda:</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9"/>
        <w:gridCol w:w="1507"/>
        <w:gridCol w:w="1477"/>
        <w:gridCol w:w="1764"/>
        <w:gridCol w:w="1235"/>
        <w:gridCol w:w="1091"/>
        <w:gridCol w:w="947"/>
      </w:tblGrid>
      <w:tr w:rsidR="00EA51C4" w:rsidRPr="00DD3903" w14:paraId="2B35DB30" w14:textId="77777777" w:rsidTr="00BA499D">
        <w:trPr>
          <w:trHeight w:val="567"/>
        </w:trPr>
        <w:tc>
          <w:tcPr>
            <w:tcW w:w="1159" w:type="dxa"/>
            <w:tcBorders>
              <w:top w:val="single" w:sz="4" w:space="0" w:color="auto"/>
              <w:left w:val="single" w:sz="4" w:space="0" w:color="auto"/>
              <w:bottom w:val="single" w:sz="4" w:space="0" w:color="auto"/>
              <w:right w:val="single" w:sz="4" w:space="0" w:color="auto"/>
            </w:tcBorders>
            <w:shd w:val="clear" w:color="auto" w:fill="A3E7FF"/>
            <w:vAlign w:val="center"/>
          </w:tcPr>
          <w:p w14:paraId="1D5938C9" w14:textId="77777777" w:rsidR="00EA51C4" w:rsidRPr="008D0FA0" w:rsidRDefault="00EA51C4" w:rsidP="00BA499D">
            <w:pPr>
              <w:rPr>
                <w:rFonts w:eastAsia="Times New Roman" w:cs="Calibri"/>
                <w:b/>
                <w:sz w:val="18"/>
                <w:szCs w:val="18"/>
                <w:lang w:eastAsia="hr-HR"/>
              </w:rPr>
            </w:pPr>
          </w:p>
        </w:tc>
        <w:tc>
          <w:tcPr>
            <w:tcW w:w="1507" w:type="dxa"/>
            <w:tcBorders>
              <w:top w:val="single" w:sz="4" w:space="0" w:color="auto"/>
              <w:left w:val="single" w:sz="4" w:space="0" w:color="auto"/>
              <w:bottom w:val="single" w:sz="4" w:space="0" w:color="auto"/>
              <w:right w:val="single" w:sz="4" w:space="0" w:color="auto"/>
            </w:tcBorders>
            <w:shd w:val="clear" w:color="auto" w:fill="A3E7FF"/>
            <w:vAlign w:val="center"/>
            <w:hideMark/>
          </w:tcPr>
          <w:p w14:paraId="02E42E52" w14:textId="77777777" w:rsidR="00EA51C4" w:rsidRPr="008D0FA0" w:rsidRDefault="00EA51C4" w:rsidP="00BA499D">
            <w:pPr>
              <w:jc w:val="center"/>
              <w:rPr>
                <w:rFonts w:eastAsia="Times New Roman" w:cs="Calibri"/>
                <w:b/>
                <w:sz w:val="18"/>
                <w:szCs w:val="18"/>
                <w:lang w:eastAsia="hr-HR"/>
              </w:rPr>
            </w:pPr>
            <w:r w:rsidRPr="008D0FA0">
              <w:rPr>
                <w:rFonts w:eastAsia="Times New Roman" w:cs="Calibri"/>
                <w:b/>
                <w:sz w:val="18"/>
                <w:szCs w:val="18"/>
                <w:lang w:eastAsia="hr-HR"/>
              </w:rPr>
              <w:t>Medicinski proizvod</w:t>
            </w:r>
          </w:p>
        </w:tc>
        <w:tc>
          <w:tcPr>
            <w:tcW w:w="1477" w:type="dxa"/>
            <w:tcBorders>
              <w:top w:val="single" w:sz="4" w:space="0" w:color="auto"/>
              <w:left w:val="single" w:sz="4" w:space="0" w:color="auto"/>
              <w:bottom w:val="single" w:sz="4" w:space="0" w:color="auto"/>
              <w:right w:val="single" w:sz="4" w:space="0" w:color="auto"/>
            </w:tcBorders>
            <w:shd w:val="clear" w:color="auto" w:fill="A3E7FF"/>
            <w:vAlign w:val="center"/>
            <w:hideMark/>
          </w:tcPr>
          <w:p w14:paraId="06D1B537" w14:textId="77777777" w:rsidR="00EA51C4" w:rsidRPr="008D0FA0" w:rsidRDefault="00EA51C4" w:rsidP="00BA499D">
            <w:pPr>
              <w:jc w:val="center"/>
              <w:rPr>
                <w:rFonts w:eastAsia="Times New Roman" w:cs="Calibri"/>
                <w:b/>
                <w:sz w:val="18"/>
                <w:szCs w:val="18"/>
                <w:lang w:eastAsia="hr-HR"/>
              </w:rPr>
            </w:pPr>
            <w:r w:rsidRPr="008D0FA0">
              <w:rPr>
                <w:rFonts w:eastAsia="Times New Roman" w:cs="Calibri"/>
                <w:b/>
                <w:sz w:val="18"/>
                <w:szCs w:val="18"/>
                <w:lang w:eastAsia="hr-HR"/>
              </w:rPr>
              <w:t>Aktivni medicinski proizvod</w:t>
            </w:r>
          </w:p>
        </w:tc>
        <w:tc>
          <w:tcPr>
            <w:tcW w:w="1764" w:type="dxa"/>
            <w:tcBorders>
              <w:top w:val="single" w:sz="4" w:space="0" w:color="auto"/>
              <w:left w:val="single" w:sz="4" w:space="0" w:color="auto"/>
              <w:bottom w:val="single" w:sz="4" w:space="0" w:color="auto"/>
              <w:right w:val="single" w:sz="4" w:space="0" w:color="auto"/>
            </w:tcBorders>
            <w:shd w:val="clear" w:color="auto" w:fill="A3E7FF"/>
            <w:vAlign w:val="center"/>
            <w:hideMark/>
          </w:tcPr>
          <w:p w14:paraId="3621C604" w14:textId="77777777" w:rsidR="00EA51C4" w:rsidRPr="008D0FA0" w:rsidRDefault="00EA51C4" w:rsidP="00BA499D">
            <w:pPr>
              <w:jc w:val="center"/>
              <w:rPr>
                <w:rFonts w:eastAsia="Times New Roman" w:cs="Calibri"/>
                <w:b/>
                <w:sz w:val="18"/>
                <w:szCs w:val="18"/>
                <w:lang w:eastAsia="hr-HR"/>
              </w:rPr>
            </w:pPr>
            <w:r w:rsidRPr="008D0FA0">
              <w:rPr>
                <w:rFonts w:eastAsia="Times New Roman" w:cs="Calibri"/>
                <w:b/>
                <w:sz w:val="18"/>
                <w:szCs w:val="18"/>
                <w:lang w:eastAsia="hr-HR"/>
              </w:rPr>
              <w:t>In-vitro dijagnostički medicinski proizvod</w:t>
            </w:r>
          </w:p>
        </w:tc>
        <w:tc>
          <w:tcPr>
            <w:tcW w:w="1235" w:type="dxa"/>
            <w:tcBorders>
              <w:top w:val="single" w:sz="4" w:space="0" w:color="auto"/>
              <w:left w:val="single" w:sz="4" w:space="0" w:color="auto"/>
              <w:bottom w:val="single" w:sz="4" w:space="0" w:color="auto"/>
              <w:right w:val="single" w:sz="4" w:space="0" w:color="auto"/>
            </w:tcBorders>
            <w:shd w:val="clear" w:color="auto" w:fill="A3E7FF"/>
            <w:vAlign w:val="center"/>
            <w:hideMark/>
          </w:tcPr>
          <w:p w14:paraId="48B6596A" w14:textId="77777777" w:rsidR="00EA51C4" w:rsidRPr="008D0FA0" w:rsidRDefault="00EA51C4" w:rsidP="00BA499D">
            <w:pPr>
              <w:jc w:val="center"/>
              <w:rPr>
                <w:rFonts w:eastAsia="Times New Roman" w:cs="Calibri"/>
                <w:b/>
                <w:sz w:val="18"/>
                <w:szCs w:val="18"/>
                <w:lang w:eastAsia="hr-HR"/>
              </w:rPr>
            </w:pPr>
            <w:r>
              <w:rPr>
                <w:rFonts w:eastAsia="Times New Roman" w:cstheme="minorHAnsi"/>
                <w:b/>
                <w:bCs/>
                <w:sz w:val="18"/>
                <w:szCs w:val="18"/>
                <w:lang w:eastAsia="hr-HR"/>
              </w:rPr>
              <w:t>Plan za 2023</w:t>
            </w:r>
            <w:r w:rsidRPr="008D0FA0">
              <w:rPr>
                <w:rFonts w:eastAsia="Times New Roman" w:cstheme="minorHAnsi"/>
                <w:b/>
                <w:bCs/>
                <w:sz w:val="18"/>
                <w:szCs w:val="18"/>
                <w:lang w:eastAsia="hr-HR"/>
              </w:rPr>
              <w:t>. godinu</w:t>
            </w:r>
          </w:p>
        </w:tc>
        <w:tc>
          <w:tcPr>
            <w:tcW w:w="1091" w:type="dxa"/>
            <w:tcBorders>
              <w:top w:val="single" w:sz="4" w:space="0" w:color="auto"/>
              <w:left w:val="single" w:sz="4" w:space="0" w:color="auto"/>
              <w:bottom w:val="single" w:sz="4" w:space="0" w:color="auto"/>
              <w:right w:val="single" w:sz="4" w:space="0" w:color="auto"/>
            </w:tcBorders>
            <w:shd w:val="clear" w:color="auto" w:fill="A3E7FF"/>
            <w:vAlign w:val="center"/>
          </w:tcPr>
          <w:p w14:paraId="16911D7D" w14:textId="77777777" w:rsidR="00EA51C4" w:rsidRPr="008D0FA0" w:rsidRDefault="00EA51C4" w:rsidP="00BA499D">
            <w:pPr>
              <w:jc w:val="center"/>
              <w:rPr>
                <w:rFonts w:eastAsia="Times New Roman" w:cstheme="minorHAnsi"/>
                <w:b/>
                <w:bCs/>
                <w:sz w:val="18"/>
                <w:szCs w:val="18"/>
                <w:lang w:eastAsia="hr-HR"/>
              </w:rPr>
            </w:pPr>
            <w:r w:rsidRPr="008D0FA0">
              <w:rPr>
                <w:rFonts w:eastAsia="Times New Roman" w:cstheme="minorHAnsi"/>
                <w:b/>
                <w:bCs/>
                <w:sz w:val="18"/>
                <w:szCs w:val="18"/>
                <w:lang w:eastAsia="hr-HR"/>
              </w:rPr>
              <w:t>Izvršenje</w:t>
            </w:r>
          </w:p>
          <w:p w14:paraId="5825000D" w14:textId="77777777" w:rsidR="00EA51C4" w:rsidRPr="008D0FA0" w:rsidRDefault="00EA51C4" w:rsidP="00BA499D">
            <w:pPr>
              <w:jc w:val="center"/>
              <w:rPr>
                <w:rFonts w:eastAsia="Times New Roman" w:cstheme="minorHAnsi"/>
                <w:b/>
                <w:bCs/>
                <w:sz w:val="18"/>
                <w:szCs w:val="18"/>
                <w:lang w:eastAsia="hr-HR"/>
              </w:rPr>
            </w:pPr>
            <w:r>
              <w:rPr>
                <w:rFonts w:eastAsia="Times New Roman" w:cstheme="minorHAnsi"/>
                <w:b/>
                <w:bCs/>
                <w:sz w:val="18"/>
                <w:szCs w:val="18"/>
                <w:lang w:eastAsia="hr-HR"/>
              </w:rPr>
              <w:t>01.01.-31.12.2023</w:t>
            </w:r>
            <w:r w:rsidRPr="008D0FA0">
              <w:rPr>
                <w:rFonts w:eastAsia="Times New Roman" w:cstheme="minorHAnsi"/>
                <w:b/>
                <w:bCs/>
                <w:sz w:val="18"/>
                <w:szCs w:val="18"/>
                <w:lang w:eastAsia="hr-HR"/>
              </w:rPr>
              <w:t>.</w:t>
            </w:r>
          </w:p>
        </w:tc>
        <w:tc>
          <w:tcPr>
            <w:tcW w:w="947" w:type="dxa"/>
            <w:tcBorders>
              <w:top w:val="single" w:sz="4" w:space="0" w:color="auto"/>
              <w:left w:val="single" w:sz="4" w:space="0" w:color="auto"/>
              <w:bottom w:val="single" w:sz="4" w:space="0" w:color="auto"/>
              <w:right w:val="single" w:sz="4" w:space="0" w:color="auto"/>
            </w:tcBorders>
            <w:shd w:val="clear" w:color="auto" w:fill="A3E7FF"/>
            <w:vAlign w:val="center"/>
          </w:tcPr>
          <w:p w14:paraId="1E7FE30B" w14:textId="77777777" w:rsidR="00EA51C4" w:rsidRPr="008D0FA0" w:rsidRDefault="00EA51C4" w:rsidP="00BA499D">
            <w:pPr>
              <w:jc w:val="center"/>
              <w:rPr>
                <w:rFonts w:eastAsia="Times New Roman" w:cs="Calibri"/>
                <w:b/>
                <w:sz w:val="18"/>
                <w:szCs w:val="18"/>
                <w:lang w:eastAsia="hr-HR"/>
              </w:rPr>
            </w:pPr>
            <w:r w:rsidRPr="008D0FA0">
              <w:rPr>
                <w:rFonts w:eastAsia="Times New Roman" w:cs="Calibri"/>
                <w:b/>
                <w:sz w:val="18"/>
                <w:szCs w:val="18"/>
                <w:lang w:eastAsia="hr-HR"/>
              </w:rPr>
              <w:t>% izvršenja</w:t>
            </w:r>
          </w:p>
        </w:tc>
      </w:tr>
      <w:tr w:rsidR="00EA51C4" w:rsidRPr="00E708B3" w14:paraId="465F2CFB" w14:textId="77777777" w:rsidTr="00BA499D">
        <w:trPr>
          <w:trHeight w:val="284"/>
        </w:trPr>
        <w:tc>
          <w:tcPr>
            <w:tcW w:w="1159" w:type="dxa"/>
            <w:tcBorders>
              <w:top w:val="single" w:sz="4" w:space="0" w:color="auto"/>
              <w:left w:val="single" w:sz="4" w:space="0" w:color="auto"/>
              <w:bottom w:val="single" w:sz="4" w:space="0" w:color="auto"/>
              <w:right w:val="single" w:sz="4" w:space="0" w:color="auto"/>
            </w:tcBorders>
            <w:vAlign w:val="center"/>
            <w:hideMark/>
          </w:tcPr>
          <w:p w14:paraId="4C269123" w14:textId="77777777" w:rsidR="00EA51C4" w:rsidRPr="0058142A" w:rsidRDefault="00EA51C4" w:rsidP="00BA499D">
            <w:pPr>
              <w:rPr>
                <w:rFonts w:eastAsia="Times New Roman" w:cs="Calibri"/>
                <w:sz w:val="20"/>
                <w:szCs w:val="20"/>
                <w:lang w:eastAsia="hr-HR"/>
              </w:rPr>
            </w:pPr>
            <w:r w:rsidRPr="0058142A">
              <w:rPr>
                <w:rFonts w:eastAsia="Times New Roman" w:cs="Calibri"/>
                <w:sz w:val="20"/>
                <w:szCs w:val="20"/>
                <w:lang w:eastAsia="hr-HR"/>
              </w:rPr>
              <w:t>Broj slučajeva</w:t>
            </w:r>
          </w:p>
        </w:tc>
        <w:tc>
          <w:tcPr>
            <w:tcW w:w="1507" w:type="dxa"/>
            <w:tcBorders>
              <w:top w:val="single" w:sz="4" w:space="0" w:color="auto"/>
              <w:left w:val="single" w:sz="4" w:space="0" w:color="auto"/>
              <w:bottom w:val="single" w:sz="4" w:space="0" w:color="auto"/>
              <w:right w:val="single" w:sz="4" w:space="0" w:color="auto"/>
            </w:tcBorders>
            <w:vAlign w:val="center"/>
          </w:tcPr>
          <w:p w14:paraId="7E9AB73D" w14:textId="77777777" w:rsidR="00EA51C4" w:rsidRPr="00D6476E" w:rsidRDefault="00EA51C4" w:rsidP="00BA499D">
            <w:pPr>
              <w:jc w:val="center"/>
              <w:rPr>
                <w:rFonts w:cs="Calibri"/>
                <w:sz w:val="20"/>
                <w:szCs w:val="20"/>
              </w:rPr>
            </w:pPr>
            <w:r>
              <w:rPr>
                <w:rFonts w:cs="Calibri"/>
                <w:sz w:val="20"/>
                <w:szCs w:val="20"/>
              </w:rPr>
              <w:t>742</w:t>
            </w:r>
          </w:p>
        </w:tc>
        <w:tc>
          <w:tcPr>
            <w:tcW w:w="1477" w:type="dxa"/>
            <w:tcBorders>
              <w:top w:val="single" w:sz="4" w:space="0" w:color="auto"/>
              <w:left w:val="single" w:sz="4" w:space="0" w:color="auto"/>
              <w:bottom w:val="single" w:sz="4" w:space="0" w:color="auto"/>
              <w:right w:val="single" w:sz="4" w:space="0" w:color="auto"/>
            </w:tcBorders>
            <w:vAlign w:val="center"/>
          </w:tcPr>
          <w:p w14:paraId="1074A2F6" w14:textId="77777777" w:rsidR="00EA51C4" w:rsidRPr="00D6476E" w:rsidRDefault="00EA51C4" w:rsidP="00BA499D">
            <w:pPr>
              <w:jc w:val="center"/>
              <w:rPr>
                <w:rFonts w:cs="Calibri"/>
                <w:sz w:val="20"/>
                <w:szCs w:val="20"/>
              </w:rPr>
            </w:pPr>
            <w:r>
              <w:rPr>
                <w:rFonts w:cs="Calibri"/>
                <w:sz w:val="20"/>
                <w:szCs w:val="20"/>
              </w:rPr>
              <w:t>42</w:t>
            </w:r>
          </w:p>
        </w:tc>
        <w:tc>
          <w:tcPr>
            <w:tcW w:w="1764" w:type="dxa"/>
            <w:tcBorders>
              <w:top w:val="single" w:sz="4" w:space="0" w:color="auto"/>
              <w:left w:val="single" w:sz="4" w:space="0" w:color="auto"/>
              <w:bottom w:val="single" w:sz="4" w:space="0" w:color="auto"/>
              <w:right w:val="single" w:sz="4" w:space="0" w:color="auto"/>
            </w:tcBorders>
            <w:vAlign w:val="center"/>
          </w:tcPr>
          <w:p w14:paraId="659C7E53" w14:textId="77777777" w:rsidR="00EA51C4" w:rsidRPr="00D6476E" w:rsidRDefault="00EA51C4" w:rsidP="00BA499D">
            <w:pPr>
              <w:jc w:val="center"/>
              <w:rPr>
                <w:rFonts w:cs="Calibri"/>
                <w:sz w:val="20"/>
                <w:szCs w:val="20"/>
              </w:rPr>
            </w:pPr>
            <w:r>
              <w:rPr>
                <w:rFonts w:cs="Calibri"/>
                <w:sz w:val="20"/>
                <w:szCs w:val="20"/>
              </w:rPr>
              <w:t>138</w:t>
            </w:r>
          </w:p>
        </w:tc>
        <w:tc>
          <w:tcPr>
            <w:tcW w:w="1235" w:type="dxa"/>
            <w:tcBorders>
              <w:top w:val="single" w:sz="4" w:space="0" w:color="auto"/>
              <w:left w:val="single" w:sz="4" w:space="0" w:color="auto"/>
              <w:bottom w:val="single" w:sz="4" w:space="0" w:color="auto"/>
              <w:right w:val="single" w:sz="4" w:space="0" w:color="auto"/>
            </w:tcBorders>
            <w:vAlign w:val="center"/>
          </w:tcPr>
          <w:p w14:paraId="3FA71084" w14:textId="77777777" w:rsidR="00EA51C4" w:rsidRPr="0058142A" w:rsidRDefault="00EA51C4" w:rsidP="00BA499D">
            <w:pPr>
              <w:jc w:val="center"/>
              <w:rPr>
                <w:rFonts w:cs="Calibri"/>
                <w:sz w:val="20"/>
                <w:szCs w:val="20"/>
              </w:rPr>
            </w:pPr>
            <w:r>
              <w:rPr>
                <w:rFonts w:cs="Calibri"/>
                <w:sz w:val="20"/>
                <w:szCs w:val="20"/>
              </w:rPr>
              <w:t>940</w:t>
            </w:r>
          </w:p>
        </w:tc>
        <w:tc>
          <w:tcPr>
            <w:tcW w:w="1091" w:type="dxa"/>
            <w:tcBorders>
              <w:top w:val="single" w:sz="4" w:space="0" w:color="auto"/>
              <w:left w:val="single" w:sz="4" w:space="0" w:color="auto"/>
              <w:bottom w:val="single" w:sz="4" w:space="0" w:color="auto"/>
              <w:right w:val="single" w:sz="4" w:space="0" w:color="auto"/>
            </w:tcBorders>
            <w:vAlign w:val="center"/>
          </w:tcPr>
          <w:p w14:paraId="0731740B" w14:textId="77777777" w:rsidR="00EA51C4" w:rsidRPr="0058142A" w:rsidRDefault="00EA51C4" w:rsidP="00BA499D">
            <w:pPr>
              <w:jc w:val="center"/>
              <w:rPr>
                <w:rFonts w:cs="Calibri"/>
                <w:sz w:val="20"/>
                <w:szCs w:val="20"/>
              </w:rPr>
            </w:pPr>
            <w:r>
              <w:rPr>
                <w:rFonts w:cs="Calibri"/>
                <w:sz w:val="20"/>
                <w:szCs w:val="20"/>
              </w:rPr>
              <w:t>922</w:t>
            </w:r>
          </w:p>
        </w:tc>
        <w:tc>
          <w:tcPr>
            <w:tcW w:w="947" w:type="dxa"/>
            <w:tcBorders>
              <w:top w:val="single" w:sz="4" w:space="0" w:color="auto"/>
              <w:left w:val="single" w:sz="4" w:space="0" w:color="auto"/>
              <w:bottom w:val="single" w:sz="4" w:space="0" w:color="auto"/>
              <w:right w:val="single" w:sz="4" w:space="0" w:color="auto"/>
            </w:tcBorders>
            <w:vAlign w:val="center"/>
          </w:tcPr>
          <w:p w14:paraId="0F3D868B" w14:textId="77777777" w:rsidR="00EA51C4" w:rsidRPr="0058142A" w:rsidRDefault="00EA51C4" w:rsidP="00BA499D">
            <w:pPr>
              <w:jc w:val="center"/>
              <w:rPr>
                <w:rFonts w:cs="Calibri"/>
                <w:sz w:val="20"/>
                <w:szCs w:val="20"/>
              </w:rPr>
            </w:pPr>
            <w:r>
              <w:rPr>
                <w:rFonts w:cs="Calibri"/>
                <w:sz w:val="20"/>
                <w:szCs w:val="20"/>
              </w:rPr>
              <w:t>98%</w:t>
            </w:r>
          </w:p>
        </w:tc>
      </w:tr>
    </w:tbl>
    <w:p w14:paraId="4C4D72A6" w14:textId="77777777" w:rsidR="00EA51C4" w:rsidRDefault="00EA51C4" w:rsidP="00EA51C4">
      <w:pPr>
        <w:spacing w:before="240" w:after="120"/>
        <w:rPr>
          <w:rFonts w:eastAsia="Times New Roman" w:cstheme="minorHAnsi"/>
          <w:u w:val="single"/>
          <w:lang w:eastAsia="hr-HR"/>
        </w:rPr>
      </w:pPr>
    </w:p>
    <w:p w14:paraId="52341F7F" w14:textId="77777777" w:rsidR="00EA51C4" w:rsidRDefault="00EA51C4" w:rsidP="00EA51C4">
      <w:pPr>
        <w:spacing w:before="240" w:after="120"/>
        <w:rPr>
          <w:rFonts w:eastAsia="Times New Roman" w:cstheme="minorHAnsi"/>
          <w:u w:val="single"/>
          <w:lang w:eastAsia="hr-HR"/>
        </w:rPr>
      </w:pPr>
    </w:p>
    <w:p w14:paraId="34A93922" w14:textId="77777777" w:rsidR="00EA51C4" w:rsidRDefault="00EA51C4" w:rsidP="00EA51C4">
      <w:pPr>
        <w:spacing w:before="240" w:after="120"/>
        <w:rPr>
          <w:rFonts w:eastAsia="Times New Roman" w:cstheme="minorHAnsi"/>
          <w:u w:val="single"/>
          <w:lang w:eastAsia="hr-HR"/>
        </w:rPr>
      </w:pPr>
      <w:r w:rsidRPr="00BE401D">
        <w:rPr>
          <w:rFonts w:eastAsia="Times New Roman" w:cstheme="minorHAnsi"/>
          <w:u w:val="single"/>
          <w:lang w:eastAsia="hr-HR"/>
        </w:rPr>
        <w:t xml:space="preserve">Broj </w:t>
      </w:r>
      <w:r>
        <w:rPr>
          <w:rFonts w:eastAsia="Times New Roman" w:cstheme="minorHAnsi"/>
          <w:u w:val="single"/>
          <w:lang w:eastAsia="hr-HR"/>
        </w:rPr>
        <w:t>obrađenih</w:t>
      </w:r>
      <w:r w:rsidRPr="00BE401D">
        <w:rPr>
          <w:rFonts w:eastAsia="Times New Roman" w:cstheme="minorHAnsi"/>
          <w:u w:val="single"/>
          <w:lang w:eastAsia="hr-HR"/>
        </w:rPr>
        <w:t xml:space="preserve"> izvješća o sigurnosno korektivnim radnjama po vrsti izvješća:</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8"/>
        <w:gridCol w:w="1519"/>
        <w:gridCol w:w="1408"/>
        <w:gridCol w:w="1762"/>
        <w:gridCol w:w="1327"/>
        <w:gridCol w:w="1091"/>
        <w:gridCol w:w="875"/>
      </w:tblGrid>
      <w:tr w:rsidR="00EA51C4" w:rsidRPr="00425F9D" w14:paraId="7CDDBA18" w14:textId="77777777" w:rsidTr="00BA499D">
        <w:trPr>
          <w:trHeight w:val="567"/>
        </w:trPr>
        <w:tc>
          <w:tcPr>
            <w:tcW w:w="1198" w:type="dxa"/>
            <w:tcBorders>
              <w:top w:val="single" w:sz="4" w:space="0" w:color="auto"/>
              <w:left w:val="single" w:sz="4" w:space="0" w:color="auto"/>
              <w:bottom w:val="single" w:sz="4" w:space="0" w:color="auto"/>
              <w:right w:val="single" w:sz="4" w:space="0" w:color="auto"/>
            </w:tcBorders>
            <w:shd w:val="clear" w:color="auto" w:fill="A3E7FF"/>
            <w:vAlign w:val="center"/>
          </w:tcPr>
          <w:p w14:paraId="5B0199B4" w14:textId="77777777" w:rsidR="00EA51C4" w:rsidRPr="008D0FA0" w:rsidRDefault="00EA51C4" w:rsidP="00BA499D">
            <w:pPr>
              <w:rPr>
                <w:rFonts w:eastAsia="Times New Roman" w:cs="Calibri"/>
                <w:b/>
                <w:sz w:val="18"/>
                <w:szCs w:val="18"/>
                <w:lang w:eastAsia="hr-HR"/>
              </w:rPr>
            </w:pPr>
          </w:p>
        </w:tc>
        <w:tc>
          <w:tcPr>
            <w:tcW w:w="1519" w:type="dxa"/>
            <w:tcBorders>
              <w:top w:val="single" w:sz="4" w:space="0" w:color="auto"/>
              <w:left w:val="single" w:sz="4" w:space="0" w:color="auto"/>
              <w:bottom w:val="single" w:sz="4" w:space="0" w:color="auto"/>
              <w:right w:val="single" w:sz="4" w:space="0" w:color="auto"/>
            </w:tcBorders>
            <w:shd w:val="clear" w:color="auto" w:fill="A3E7FF"/>
            <w:vAlign w:val="center"/>
            <w:hideMark/>
          </w:tcPr>
          <w:p w14:paraId="67726BC0" w14:textId="77777777" w:rsidR="00EA51C4" w:rsidRPr="008D0FA0" w:rsidRDefault="00EA51C4" w:rsidP="00BA499D">
            <w:pPr>
              <w:jc w:val="center"/>
              <w:rPr>
                <w:rFonts w:eastAsia="Times New Roman" w:cs="Calibri"/>
                <w:b/>
                <w:sz w:val="18"/>
                <w:szCs w:val="18"/>
                <w:lang w:eastAsia="hr-HR"/>
              </w:rPr>
            </w:pPr>
            <w:r w:rsidRPr="008D0FA0">
              <w:rPr>
                <w:rFonts w:eastAsia="Times New Roman" w:cs="Calibri"/>
                <w:b/>
                <w:sz w:val="18"/>
                <w:szCs w:val="18"/>
                <w:lang w:eastAsia="hr-HR"/>
              </w:rPr>
              <w:t>Inicijalno izvješće</w:t>
            </w:r>
          </w:p>
        </w:tc>
        <w:tc>
          <w:tcPr>
            <w:tcW w:w="1408" w:type="dxa"/>
            <w:tcBorders>
              <w:top w:val="single" w:sz="4" w:space="0" w:color="auto"/>
              <w:left w:val="single" w:sz="4" w:space="0" w:color="auto"/>
              <w:bottom w:val="single" w:sz="4" w:space="0" w:color="auto"/>
              <w:right w:val="single" w:sz="4" w:space="0" w:color="auto"/>
            </w:tcBorders>
            <w:shd w:val="clear" w:color="auto" w:fill="A3E7FF"/>
            <w:vAlign w:val="center"/>
            <w:hideMark/>
          </w:tcPr>
          <w:p w14:paraId="2B9C8B07" w14:textId="77777777" w:rsidR="00EA51C4" w:rsidRPr="008D0FA0" w:rsidRDefault="00EA51C4" w:rsidP="00BA499D">
            <w:pPr>
              <w:jc w:val="center"/>
              <w:rPr>
                <w:rFonts w:eastAsia="Times New Roman" w:cs="Calibri"/>
                <w:b/>
                <w:sz w:val="18"/>
                <w:szCs w:val="18"/>
                <w:lang w:eastAsia="hr-HR"/>
              </w:rPr>
            </w:pPr>
            <w:r w:rsidRPr="008D0FA0">
              <w:rPr>
                <w:rFonts w:eastAsia="Times New Roman" w:cs="Calibri"/>
                <w:b/>
                <w:sz w:val="18"/>
                <w:szCs w:val="18"/>
                <w:lang w:eastAsia="hr-HR"/>
              </w:rPr>
              <w:t>Nastavno izvješće</w:t>
            </w:r>
          </w:p>
        </w:tc>
        <w:tc>
          <w:tcPr>
            <w:tcW w:w="1762" w:type="dxa"/>
            <w:tcBorders>
              <w:top w:val="single" w:sz="4" w:space="0" w:color="auto"/>
              <w:left w:val="single" w:sz="4" w:space="0" w:color="auto"/>
              <w:bottom w:val="single" w:sz="4" w:space="0" w:color="auto"/>
              <w:right w:val="single" w:sz="4" w:space="0" w:color="auto"/>
            </w:tcBorders>
            <w:shd w:val="clear" w:color="auto" w:fill="A3E7FF"/>
            <w:vAlign w:val="center"/>
            <w:hideMark/>
          </w:tcPr>
          <w:p w14:paraId="2F8E630F" w14:textId="77777777" w:rsidR="00EA51C4" w:rsidRPr="008D0FA0" w:rsidRDefault="00EA51C4" w:rsidP="00BA499D">
            <w:pPr>
              <w:jc w:val="center"/>
              <w:rPr>
                <w:rFonts w:eastAsia="Times New Roman" w:cs="Calibri"/>
                <w:b/>
                <w:sz w:val="18"/>
                <w:szCs w:val="18"/>
                <w:lang w:eastAsia="hr-HR"/>
              </w:rPr>
            </w:pPr>
            <w:r w:rsidRPr="008D0FA0">
              <w:rPr>
                <w:rFonts w:eastAsia="Times New Roman" w:cs="Calibri"/>
                <w:b/>
                <w:sz w:val="18"/>
                <w:szCs w:val="18"/>
                <w:lang w:eastAsia="hr-HR"/>
              </w:rPr>
              <w:t>Završno izvješće</w:t>
            </w:r>
          </w:p>
        </w:tc>
        <w:tc>
          <w:tcPr>
            <w:tcW w:w="1327" w:type="dxa"/>
            <w:tcBorders>
              <w:top w:val="single" w:sz="4" w:space="0" w:color="auto"/>
              <w:left w:val="single" w:sz="4" w:space="0" w:color="auto"/>
              <w:bottom w:val="single" w:sz="4" w:space="0" w:color="auto"/>
              <w:right w:val="single" w:sz="4" w:space="0" w:color="auto"/>
            </w:tcBorders>
            <w:shd w:val="clear" w:color="auto" w:fill="A3E7FF"/>
            <w:vAlign w:val="center"/>
            <w:hideMark/>
          </w:tcPr>
          <w:p w14:paraId="047B1649" w14:textId="77777777" w:rsidR="00EA51C4" w:rsidRPr="008D0FA0" w:rsidRDefault="00EA51C4" w:rsidP="00BA499D">
            <w:pPr>
              <w:jc w:val="center"/>
              <w:rPr>
                <w:rFonts w:eastAsia="Times New Roman" w:cs="Calibri"/>
                <w:b/>
                <w:sz w:val="18"/>
                <w:szCs w:val="18"/>
                <w:lang w:eastAsia="hr-HR"/>
              </w:rPr>
            </w:pPr>
            <w:r>
              <w:rPr>
                <w:rFonts w:eastAsia="Times New Roman" w:cstheme="minorHAnsi"/>
                <w:b/>
                <w:bCs/>
                <w:sz w:val="18"/>
                <w:szCs w:val="18"/>
                <w:lang w:eastAsia="hr-HR"/>
              </w:rPr>
              <w:t>Plan za 2023</w:t>
            </w:r>
            <w:r w:rsidRPr="008D0FA0">
              <w:rPr>
                <w:rFonts w:eastAsia="Times New Roman" w:cstheme="minorHAnsi"/>
                <w:b/>
                <w:bCs/>
                <w:sz w:val="18"/>
                <w:szCs w:val="18"/>
                <w:lang w:eastAsia="hr-HR"/>
              </w:rPr>
              <w:t>. godinu</w:t>
            </w:r>
          </w:p>
        </w:tc>
        <w:tc>
          <w:tcPr>
            <w:tcW w:w="1091" w:type="dxa"/>
            <w:tcBorders>
              <w:top w:val="single" w:sz="4" w:space="0" w:color="auto"/>
              <w:left w:val="single" w:sz="4" w:space="0" w:color="auto"/>
              <w:bottom w:val="single" w:sz="4" w:space="0" w:color="auto"/>
              <w:right w:val="single" w:sz="4" w:space="0" w:color="auto"/>
            </w:tcBorders>
            <w:shd w:val="clear" w:color="auto" w:fill="A3E7FF"/>
            <w:vAlign w:val="center"/>
          </w:tcPr>
          <w:p w14:paraId="0112AE36" w14:textId="77777777" w:rsidR="00EA51C4" w:rsidRPr="008D0FA0" w:rsidRDefault="00EA51C4" w:rsidP="00BA499D">
            <w:pPr>
              <w:jc w:val="center"/>
              <w:rPr>
                <w:rFonts w:eastAsia="Times New Roman" w:cstheme="minorHAnsi"/>
                <w:b/>
                <w:bCs/>
                <w:sz w:val="18"/>
                <w:szCs w:val="18"/>
                <w:lang w:eastAsia="hr-HR"/>
              </w:rPr>
            </w:pPr>
            <w:r w:rsidRPr="008D0FA0">
              <w:rPr>
                <w:rFonts w:eastAsia="Times New Roman" w:cstheme="minorHAnsi"/>
                <w:b/>
                <w:bCs/>
                <w:sz w:val="18"/>
                <w:szCs w:val="18"/>
                <w:lang w:eastAsia="hr-HR"/>
              </w:rPr>
              <w:t>Izvršenje</w:t>
            </w:r>
          </w:p>
          <w:p w14:paraId="44B2103A" w14:textId="77777777" w:rsidR="00EA51C4" w:rsidRPr="008D0FA0" w:rsidRDefault="00EA51C4" w:rsidP="00BA499D">
            <w:pPr>
              <w:jc w:val="center"/>
              <w:rPr>
                <w:rFonts w:eastAsia="Times New Roman" w:cstheme="minorHAnsi"/>
                <w:b/>
                <w:bCs/>
                <w:sz w:val="18"/>
                <w:szCs w:val="18"/>
                <w:lang w:eastAsia="hr-HR"/>
              </w:rPr>
            </w:pPr>
            <w:r>
              <w:rPr>
                <w:rFonts w:eastAsia="Times New Roman" w:cstheme="minorHAnsi"/>
                <w:b/>
                <w:bCs/>
                <w:sz w:val="18"/>
                <w:szCs w:val="18"/>
                <w:lang w:eastAsia="hr-HR"/>
              </w:rPr>
              <w:t>01.01.-31.12.2023</w:t>
            </w:r>
            <w:r w:rsidRPr="008D0FA0">
              <w:rPr>
                <w:rFonts w:eastAsia="Times New Roman" w:cstheme="minorHAnsi"/>
                <w:b/>
                <w:bCs/>
                <w:sz w:val="18"/>
                <w:szCs w:val="18"/>
                <w:lang w:eastAsia="hr-HR"/>
              </w:rPr>
              <w:t>.</w:t>
            </w:r>
          </w:p>
        </w:tc>
        <w:tc>
          <w:tcPr>
            <w:tcW w:w="875" w:type="dxa"/>
            <w:tcBorders>
              <w:top w:val="single" w:sz="4" w:space="0" w:color="auto"/>
              <w:left w:val="single" w:sz="4" w:space="0" w:color="auto"/>
              <w:bottom w:val="single" w:sz="4" w:space="0" w:color="auto"/>
              <w:right w:val="single" w:sz="4" w:space="0" w:color="auto"/>
            </w:tcBorders>
            <w:shd w:val="clear" w:color="auto" w:fill="A3E7FF"/>
            <w:vAlign w:val="center"/>
          </w:tcPr>
          <w:p w14:paraId="7E256D44" w14:textId="77777777" w:rsidR="00EA51C4" w:rsidRPr="008D0FA0" w:rsidRDefault="00EA51C4" w:rsidP="00BA499D">
            <w:pPr>
              <w:jc w:val="center"/>
              <w:rPr>
                <w:rFonts w:eastAsia="Times New Roman" w:cs="Calibri"/>
                <w:b/>
                <w:sz w:val="18"/>
                <w:szCs w:val="18"/>
                <w:lang w:eastAsia="hr-HR"/>
              </w:rPr>
            </w:pPr>
            <w:r w:rsidRPr="008D0FA0">
              <w:rPr>
                <w:rFonts w:eastAsia="Times New Roman" w:cs="Calibri"/>
                <w:b/>
                <w:sz w:val="18"/>
                <w:szCs w:val="18"/>
                <w:lang w:eastAsia="hr-HR"/>
              </w:rPr>
              <w:t>% izvršenja</w:t>
            </w:r>
          </w:p>
        </w:tc>
      </w:tr>
      <w:tr w:rsidR="00EA51C4" w:rsidRPr="00425F9D" w14:paraId="480DD84B" w14:textId="77777777" w:rsidTr="00BA499D">
        <w:trPr>
          <w:trHeight w:val="284"/>
        </w:trPr>
        <w:tc>
          <w:tcPr>
            <w:tcW w:w="1198" w:type="dxa"/>
            <w:tcBorders>
              <w:top w:val="single" w:sz="4" w:space="0" w:color="auto"/>
              <w:left w:val="single" w:sz="4" w:space="0" w:color="auto"/>
              <w:bottom w:val="single" w:sz="4" w:space="0" w:color="auto"/>
              <w:right w:val="single" w:sz="4" w:space="0" w:color="auto"/>
            </w:tcBorders>
            <w:vAlign w:val="center"/>
            <w:hideMark/>
          </w:tcPr>
          <w:p w14:paraId="6139163D" w14:textId="77777777" w:rsidR="00EA51C4" w:rsidRPr="00897F17" w:rsidRDefault="00EA51C4" w:rsidP="00BA499D">
            <w:pPr>
              <w:rPr>
                <w:rFonts w:eastAsia="Times New Roman" w:cs="Calibri"/>
                <w:sz w:val="20"/>
                <w:szCs w:val="20"/>
                <w:lang w:eastAsia="hr-HR"/>
              </w:rPr>
            </w:pPr>
            <w:r w:rsidRPr="00897F17">
              <w:rPr>
                <w:rFonts w:eastAsia="Times New Roman" w:cs="Calibri"/>
                <w:sz w:val="20"/>
                <w:szCs w:val="20"/>
                <w:lang w:eastAsia="hr-HR"/>
              </w:rPr>
              <w:t>Broj slučajeva</w:t>
            </w:r>
          </w:p>
        </w:tc>
        <w:tc>
          <w:tcPr>
            <w:tcW w:w="1519" w:type="dxa"/>
            <w:tcBorders>
              <w:top w:val="single" w:sz="4" w:space="0" w:color="auto"/>
              <w:left w:val="single" w:sz="4" w:space="0" w:color="auto"/>
              <w:bottom w:val="single" w:sz="4" w:space="0" w:color="auto"/>
              <w:right w:val="single" w:sz="4" w:space="0" w:color="auto"/>
            </w:tcBorders>
            <w:vAlign w:val="center"/>
          </w:tcPr>
          <w:p w14:paraId="6617152C" w14:textId="77777777" w:rsidR="00EA51C4" w:rsidRPr="00425F9D" w:rsidRDefault="00EA51C4" w:rsidP="00BA499D">
            <w:pPr>
              <w:jc w:val="center"/>
              <w:rPr>
                <w:rFonts w:cs="Calibri"/>
                <w:sz w:val="20"/>
                <w:szCs w:val="20"/>
              </w:rPr>
            </w:pPr>
            <w:r>
              <w:rPr>
                <w:rFonts w:cs="Calibri"/>
                <w:sz w:val="20"/>
                <w:szCs w:val="20"/>
              </w:rPr>
              <w:t>287</w:t>
            </w:r>
          </w:p>
        </w:tc>
        <w:tc>
          <w:tcPr>
            <w:tcW w:w="1408" w:type="dxa"/>
            <w:tcBorders>
              <w:top w:val="single" w:sz="4" w:space="0" w:color="auto"/>
              <w:left w:val="single" w:sz="4" w:space="0" w:color="auto"/>
              <w:bottom w:val="single" w:sz="4" w:space="0" w:color="auto"/>
              <w:right w:val="single" w:sz="4" w:space="0" w:color="auto"/>
            </w:tcBorders>
            <w:vAlign w:val="center"/>
          </w:tcPr>
          <w:p w14:paraId="1E943239" w14:textId="77777777" w:rsidR="00EA51C4" w:rsidRPr="00425F9D" w:rsidRDefault="00EA51C4" w:rsidP="00BA499D">
            <w:pPr>
              <w:jc w:val="center"/>
              <w:rPr>
                <w:rFonts w:cs="Calibri"/>
                <w:sz w:val="20"/>
                <w:szCs w:val="20"/>
              </w:rPr>
            </w:pPr>
            <w:r>
              <w:rPr>
                <w:rFonts w:cs="Calibri"/>
                <w:sz w:val="20"/>
                <w:szCs w:val="20"/>
              </w:rPr>
              <w:t>315</w:t>
            </w:r>
          </w:p>
        </w:tc>
        <w:tc>
          <w:tcPr>
            <w:tcW w:w="1762" w:type="dxa"/>
            <w:tcBorders>
              <w:top w:val="single" w:sz="4" w:space="0" w:color="auto"/>
              <w:left w:val="single" w:sz="4" w:space="0" w:color="auto"/>
              <w:bottom w:val="single" w:sz="4" w:space="0" w:color="auto"/>
              <w:right w:val="single" w:sz="4" w:space="0" w:color="auto"/>
            </w:tcBorders>
            <w:vAlign w:val="center"/>
          </w:tcPr>
          <w:p w14:paraId="36576423" w14:textId="77777777" w:rsidR="00EA51C4" w:rsidRPr="00425F9D" w:rsidRDefault="00EA51C4" w:rsidP="00BA499D">
            <w:pPr>
              <w:jc w:val="center"/>
              <w:rPr>
                <w:rFonts w:cs="Calibri"/>
                <w:sz w:val="20"/>
                <w:szCs w:val="20"/>
              </w:rPr>
            </w:pPr>
            <w:r>
              <w:rPr>
                <w:rFonts w:cs="Calibri"/>
                <w:sz w:val="20"/>
                <w:szCs w:val="20"/>
              </w:rPr>
              <w:t>196</w:t>
            </w:r>
          </w:p>
        </w:tc>
        <w:tc>
          <w:tcPr>
            <w:tcW w:w="1327" w:type="dxa"/>
            <w:tcBorders>
              <w:top w:val="single" w:sz="4" w:space="0" w:color="auto"/>
              <w:left w:val="single" w:sz="4" w:space="0" w:color="auto"/>
              <w:bottom w:val="single" w:sz="4" w:space="0" w:color="auto"/>
              <w:right w:val="single" w:sz="4" w:space="0" w:color="auto"/>
            </w:tcBorders>
            <w:vAlign w:val="center"/>
          </w:tcPr>
          <w:p w14:paraId="51A96BBB" w14:textId="77777777" w:rsidR="00EA51C4" w:rsidRPr="00425F9D" w:rsidRDefault="00EA51C4" w:rsidP="00BA499D">
            <w:pPr>
              <w:jc w:val="center"/>
              <w:rPr>
                <w:rFonts w:cs="Calibri"/>
                <w:sz w:val="20"/>
                <w:szCs w:val="20"/>
              </w:rPr>
            </w:pPr>
            <w:r>
              <w:rPr>
                <w:rFonts w:cs="Calibri"/>
                <w:sz w:val="20"/>
                <w:szCs w:val="20"/>
              </w:rPr>
              <w:t>720</w:t>
            </w:r>
          </w:p>
        </w:tc>
        <w:tc>
          <w:tcPr>
            <w:tcW w:w="1091" w:type="dxa"/>
            <w:tcBorders>
              <w:top w:val="single" w:sz="4" w:space="0" w:color="auto"/>
              <w:left w:val="single" w:sz="4" w:space="0" w:color="auto"/>
              <w:bottom w:val="single" w:sz="4" w:space="0" w:color="auto"/>
              <w:right w:val="single" w:sz="4" w:space="0" w:color="auto"/>
            </w:tcBorders>
            <w:vAlign w:val="center"/>
          </w:tcPr>
          <w:p w14:paraId="6B96B6AE" w14:textId="77777777" w:rsidR="00EA51C4" w:rsidRPr="00425F9D" w:rsidRDefault="00EA51C4" w:rsidP="00BA499D">
            <w:pPr>
              <w:jc w:val="center"/>
              <w:rPr>
                <w:rFonts w:cs="Calibri"/>
                <w:sz w:val="20"/>
                <w:szCs w:val="20"/>
              </w:rPr>
            </w:pPr>
            <w:r>
              <w:rPr>
                <w:rFonts w:cs="Calibri"/>
                <w:sz w:val="20"/>
                <w:szCs w:val="20"/>
              </w:rPr>
              <w:t>798</w:t>
            </w:r>
          </w:p>
        </w:tc>
        <w:tc>
          <w:tcPr>
            <w:tcW w:w="875" w:type="dxa"/>
            <w:tcBorders>
              <w:top w:val="single" w:sz="4" w:space="0" w:color="auto"/>
              <w:left w:val="single" w:sz="4" w:space="0" w:color="auto"/>
              <w:bottom w:val="single" w:sz="4" w:space="0" w:color="auto"/>
              <w:right w:val="single" w:sz="4" w:space="0" w:color="auto"/>
            </w:tcBorders>
            <w:vAlign w:val="center"/>
          </w:tcPr>
          <w:p w14:paraId="0FEB1192" w14:textId="77777777" w:rsidR="00EA51C4" w:rsidRPr="00425F9D" w:rsidRDefault="00EA51C4" w:rsidP="00BA499D">
            <w:pPr>
              <w:jc w:val="center"/>
              <w:rPr>
                <w:rFonts w:cs="Calibri"/>
                <w:sz w:val="20"/>
                <w:szCs w:val="20"/>
              </w:rPr>
            </w:pPr>
            <w:r>
              <w:rPr>
                <w:rFonts w:cs="Calibri"/>
                <w:sz w:val="20"/>
                <w:szCs w:val="20"/>
              </w:rPr>
              <w:t>110%</w:t>
            </w:r>
          </w:p>
        </w:tc>
      </w:tr>
    </w:tbl>
    <w:p w14:paraId="562F8F4F" w14:textId="77777777" w:rsidR="00EA51C4" w:rsidRDefault="00EA51C4" w:rsidP="00EA51C4">
      <w:pPr>
        <w:spacing w:before="240" w:after="120"/>
        <w:rPr>
          <w:rFonts w:eastAsia="Times New Roman" w:cstheme="minorHAnsi"/>
          <w:u w:val="single"/>
          <w:lang w:eastAsia="hr-HR"/>
        </w:rPr>
      </w:pPr>
      <w:r w:rsidRPr="00BE401D">
        <w:rPr>
          <w:rFonts w:eastAsia="Times New Roman" w:cstheme="minorHAnsi"/>
          <w:u w:val="single"/>
          <w:lang w:eastAsia="hr-HR"/>
        </w:rPr>
        <w:t xml:space="preserve">Broj </w:t>
      </w:r>
      <w:r>
        <w:rPr>
          <w:rFonts w:eastAsia="Times New Roman" w:cstheme="minorHAnsi"/>
          <w:u w:val="single"/>
          <w:lang w:eastAsia="hr-HR"/>
        </w:rPr>
        <w:t>obrađenih</w:t>
      </w:r>
      <w:r w:rsidRPr="00BE401D">
        <w:rPr>
          <w:rFonts w:eastAsia="Times New Roman" w:cstheme="minorHAnsi"/>
          <w:u w:val="single"/>
          <w:lang w:eastAsia="hr-HR"/>
        </w:rPr>
        <w:t xml:space="preserve"> izvješća o sigurnosno korektivnim radnjama po vrsti proizvoda:</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9"/>
        <w:gridCol w:w="1372"/>
        <w:gridCol w:w="1683"/>
        <w:gridCol w:w="1706"/>
        <w:gridCol w:w="1294"/>
        <w:gridCol w:w="1091"/>
        <w:gridCol w:w="875"/>
      </w:tblGrid>
      <w:tr w:rsidR="00EA51C4" w:rsidRPr="00DD3903" w14:paraId="4851A7D8" w14:textId="77777777" w:rsidTr="00BA499D">
        <w:trPr>
          <w:trHeight w:val="567"/>
        </w:trPr>
        <w:tc>
          <w:tcPr>
            <w:tcW w:w="1159" w:type="dxa"/>
            <w:tcBorders>
              <w:top w:val="single" w:sz="4" w:space="0" w:color="auto"/>
              <w:left w:val="single" w:sz="4" w:space="0" w:color="auto"/>
              <w:bottom w:val="single" w:sz="4" w:space="0" w:color="auto"/>
              <w:right w:val="single" w:sz="4" w:space="0" w:color="auto"/>
            </w:tcBorders>
            <w:shd w:val="clear" w:color="auto" w:fill="A3E7FF"/>
            <w:vAlign w:val="center"/>
          </w:tcPr>
          <w:p w14:paraId="7999B046" w14:textId="77777777" w:rsidR="00EA51C4" w:rsidRPr="008D0FA0" w:rsidRDefault="00EA51C4" w:rsidP="00BA499D">
            <w:pPr>
              <w:rPr>
                <w:rFonts w:eastAsia="Times New Roman" w:cs="Calibri"/>
                <w:b/>
                <w:sz w:val="18"/>
                <w:szCs w:val="18"/>
                <w:lang w:eastAsia="hr-HR"/>
              </w:rPr>
            </w:pPr>
          </w:p>
        </w:tc>
        <w:tc>
          <w:tcPr>
            <w:tcW w:w="1372" w:type="dxa"/>
            <w:tcBorders>
              <w:top w:val="single" w:sz="4" w:space="0" w:color="auto"/>
              <w:left w:val="single" w:sz="4" w:space="0" w:color="auto"/>
              <w:bottom w:val="single" w:sz="4" w:space="0" w:color="auto"/>
              <w:right w:val="single" w:sz="4" w:space="0" w:color="auto"/>
            </w:tcBorders>
            <w:shd w:val="clear" w:color="auto" w:fill="A3E7FF"/>
            <w:vAlign w:val="center"/>
            <w:hideMark/>
          </w:tcPr>
          <w:p w14:paraId="180C60D2" w14:textId="77777777" w:rsidR="00EA51C4" w:rsidRPr="008D0FA0" w:rsidRDefault="00EA51C4" w:rsidP="00BA499D">
            <w:pPr>
              <w:jc w:val="center"/>
              <w:rPr>
                <w:rFonts w:eastAsia="Times New Roman" w:cs="Calibri"/>
                <w:b/>
                <w:sz w:val="18"/>
                <w:szCs w:val="18"/>
                <w:lang w:eastAsia="hr-HR"/>
              </w:rPr>
            </w:pPr>
            <w:r w:rsidRPr="008D0FA0">
              <w:rPr>
                <w:rFonts w:eastAsia="Times New Roman" w:cs="Calibri"/>
                <w:b/>
                <w:sz w:val="18"/>
                <w:szCs w:val="18"/>
                <w:lang w:eastAsia="hr-HR"/>
              </w:rPr>
              <w:t>Medicinski proizvodi</w:t>
            </w:r>
          </w:p>
        </w:tc>
        <w:tc>
          <w:tcPr>
            <w:tcW w:w="1683" w:type="dxa"/>
            <w:tcBorders>
              <w:top w:val="single" w:sz="4" w:space="0" w:color="auto"/>
              <w:left w:val="single" w:sz="4" w:space="0" w:color="auto"/>
              <w:bottom w:val="single" w:sz="4" w:space="0" w:color="auto"/>
              <w:right w:val="single" w:sz="4" w:space="0" w:color="auto"/>
            </w:tcBorders>
            <w:shd w:val="clear" w:color="auto" w:fill="A3E7FF"/>
            <w:vAlign w:val="center"/>
            <w:hideMark/>
          </w:tcPr>
          <w:p w14:paraId="2DEB27A4" w14:textId="77777777" w:rsidR="00EA51C4" w:rsidRPr="008D0FA0" w:rsidRDefault="00EA51C4" w:rsidP="00BA499D">
            <w:pPr>
              <w:jc w:val="center"/>
              <w:rPr>
                <w:rFonts w:eastAsia="Times New Roman" w:cs="Calibri"/>
                <w:b/>
                <w:sz w:val="18"/>
                <w:szCs w:val="18"/>
                <w:lang w:eastAsia="hr-HR"/>
              </w:rPr>
            </w:pPr>
            <w:r w:rsidRPr="008D0FA0">
              <w:rPr>
                <w:rFonts w:eastAsia="Times New Roman" w:cs="Calibri"/>
                <w:b/>
                <w:sz w:val="18"/>
                <w:szCs w:val="18"/>
                <w:lang w:eastAsia="hr-HR"/>
              </w:rPr>
              <w:t>Aktivni medicinski proizvodi za ugradnju</w:t>
            </w:r>
          </w:p>
        </w:tc>
        <w:tc>
          <w:tcPr>
            <w:tcW w:w="1706" w:type="dxa"/>
            <w:tcBorders>
              <w:top w:val="single" w:sz="4" w:space="0" w:color="auto"/>
              <w:left w:val="single" w:sz="4" w:space="0" w:color="auto"/>
              <w:bottom w:val="single" w:sz="4" w:space="0" w:color="auto"/>
              <w:right w:val="single" w:sz="4" w:space="0" w:color="auto"/>
            </w:tcBorders>
            <w:shd w:val="clear" w:color="auto" w:fill="A3E7FF"/>
            <w:vAlign w:val="center"/>
            <w:hideMark/>
          </w:tcPr>
          <w:p w14:paraId="315C7FC4" w14:textId="77777777" w:rsidR="00EA51C4" w:rsidRPr="008D0FA0" w:rsidRDefault="00EA51C4" w:rsidP="00BA499D">
            <w:pPr>
              <w:jc w:val="center"/>
              <w:rPr>
                <w:rFonts w:eastAsia="Times New Roman" w:cs="Calibri"/>
                <w:b/>
                <w:sz w:val="18"/>
                <w:szCs w:val="18"/>
                <w:lang w:eastAsia="hr-HR"/>
              </w:rPr>
            </w:pPr>
            <w:r w:rsidRPr="008D0FA0">
              <w:rPr>
                <w:rFonts w:eastAsia="Times New Roman" w:cs="Calibri"/>
                <w:b/>
                <w:sz w:val="18"/>
                <w:szCs w:val="18"/>
                <w:lang w:eastAsia="hr-HR"/>
              </w:rPr>
              <w:t>In-vitro dijagnostički medicinski proizvodi</w:t>
            </w:r>
          </w:p>
        </w:tc>
        <w:tc>
          <w:tcPr>
            <w:tcW w:w="1294" w:type="dxa"/>
            <w:tcBorders>
              <w:top w:val="single" w:sz="4" w:space="0" w:color="auto"/>
              <w:left w:val="single" w:sz="4" w:space="0" w:color="auto"/>
              <w:bottom w:val="single" w:sz="4" w:space="0" w:color="auto"/>
              <w:right w:val="single" w:sz="4" w:space="0" w:color="auto"/>
            </w:tcBorders>
            <w:shd w:val="clear" w:color="auto" w:fill="A3E7FF"/>
            <w:vAlign w:val="center"/>
            <w:hideMark/>
          </w:tcPr>
          <w:p w14:paraId="449E5D17" w14:textId="77777777" w:rsidR="00EA51C4" w:rsidRPr="008D0FA0" w:rsidRDefault="00EA51C4" w:rsidP="00BA499D">
            <w:pPr>
              <w:jc w:val="center"/>
              <w:rPr>
                <w:rFonts w:eastAsia="Times New Roman" w:cs="Calibri"/>
                <w:b/>
                <w:sz w:val="18"/>
                <w:szCs w:val="18"/>
                <w:lang w:eastAsia="hr-HR"/>
              </w:rPr>
            </w:pPr>
            <w:r>
              <w:rPr>
                <w:rFonts w:eastAsia="Times New Roman" w:cstheme="minorHAnsi"/>
                <w:b/>
                <w:bCs/>
                <w:sz w:val="18"/>
                <w:szCs w:val="18"/>
                <w:lang w:eastAsia="hr-HR"/>
              </w:rPr>
              <w:t>Plan za 2023</w:t>
            </w:r>
            <w:r w:rsidRPr="008D0FA0">
              <w:rPr>
                <w:rFonts w:eastAsia="Times New Roman" w:cstheme="minorHAnsi"/>
                <w:b/>
                <w:bCs/>
                <w:sz w:val="18"/>
                <w:szCs w:val="18"/>
                <w:lang w:eastAsia="hr-HR"/>
              </w:rPr>
              <w:t>. godinu</w:t>
            </w:r>
          </w:p>
        </w:tc>
        <w:tc>
          <w:tcPr>
            <w:tcW w:w="1091" w:type="dxa"/>
            <w:tcBorders>
              <w:top w:val="single" w:sz="4" w:space="0" w:color="auto"/>
              <w:left w:val="single" w:sz="4" w:space="0" w:color="auto"/>
              <w:bottom w:val="single" w:sz="4" w:space="0" w:color="auto"/>
              <w:right w:val="single" w:sz="4" w:space="0" w:color="auto"/>
            </w:tcBorders>
            <w:shd w:val="clear" w:color="auto" w:fill="A3E7FF"/>
            <w:vAlign w:val="center"/>
          </w:tcPr>
          <w:p w14:paraId="0A6621DC" w14:textId="77777777" w:rsidR="00EA51C4" w:rsidRPr="008D0FA0" w:rsidRDefault="00EA51C4" w:rsidP="00BA499D">
            <w:pPr>
              <w:jc w:val="center"/>
              <w:rPr>
                <w:rFonts w:eastAsia="Times New Roman" w:cstheme="minorHAnsi"/>
                <w:b/>
                <w:bCs/>
                <w:sz w:val="18"/>
                <w:szCs w:val="18"/>
                <w:lang w:eastAsia="hr-HR"/>
              </w:rPr>
            </w:pPr>
            <w:r w:rsidRPr="008D0FA0">
              <w:rPr>
                <w:rFonts w:eastAsia="Times New Roman" w:cstheme="minorHAnsi"/>
                <w:b/>
                <w:bCs/>
                <w:sz w:val="18"/>
                <w:szCs w:val="18"/>
                <w:lang w:eastAsia="hr-HR"/>
              </w:rPr>
              <w:t>Izvršenje</w:t>
            </w:r>
          </w:p>
          <w:p w14:paraId="0B2DBAFC" w14:textId="77777777" w:rsidR="00EA51C4" w:rsidRPr="008D0FA0" w:rsidRDefault="00EA51C4" w:rsidP="00BA499D">
            <w:pPr>
              <w:jc w:val="center"/>
              <w:rPr>
                <w:rFonts w:eastAsia="Times New Roman" w:cstheme="minorHAnsi"/>
                <w:b/>
                <w:bCs/>
                <w:sz w:val="18"/>
                <w:szCs w:val="18"/>
                <w:lang w:eastAsia="hr-HR"/>
              </w:rPr>
            </w:pPr>
            <w:r>
              <w:rPr>
                <w:rFonts w:eastAsia="Times New Roman" w:cstheme="minorHAnsi"/>
                <w:b/>
                <w:bCs/>
                <w:sz w:val="18"/>
                <w:szCs w:val="18"/>
                <w:lang w:eastAsia="hr-HR"/>
              </w:rPr>
              <w:t>01.01.-31.12.2023</w:t>
            </w:r>
            <w:r w:rsidRPr="008D0FA0">
              <w:rPr>
                <w:rFonts w:eastAsia="Times New Roman" w:cstheme="minorHAnsi"/>
                <w:b/>
                <w:bCs/>
                <w:sz w:val="18"/>
                <w:szCs w:val="18"/>
                <w:lang w:eastAsia="hr-HR"/>
              </w:rPr>
              <w:t>.</w:t>
            </w:r>
          </w:p>
        </w:tc>
        <w:tc>
          <w:tcPr>
            <w:tcW w:w="875" w:type="dxa"/>
            <w:tcBorders>
              <w:top w:val="single" w:sz="4" w:space="0" w:color="auto"/>
              <w:left w:val="single" w:sz="4" w:space="0" w:color="auto"/>
              <w:bottom w:val="single" w:sz="4" w:space="0" w:color="auto"/>
              <w:right w:val="single" w:sz="4" w:space="0" w:color="auto"/>
            </w:tcBorders>
            <w:shd w:val="clear" w:color="auto" w:fill="A3E7FF"/>
            <w:vAlign w:val="center"/>
          </w:tcPr>
          <w:p w14:paraId="746B02A7" w14:textId="77777777" w:rsidR="00EA51C4" w:rsidRPr="008D0FA0" w:rsidRDefault="00EA51C4" w:rsidP="00BA499D">
            <w:pPr>
              <w:jc w:val="center"/>
              <w:rPr>
                <w:rFonts w:eastAsia="Times New Roman" w:cs="Calibri"/>
                <w:b/>
                <w:sz w:val="18"/>
                <w:szCs w:val="18"/>
                <w:lang w:eastAsia="hr-HR"/>
              </w:rPr>
            </w:pPr>
            <w:r w:rsidRPr="008D0FA0">
              <w:rPr>
                <w:rFonts w:eastAsia="Times New Roman" w:cs="Calibri"/>
                <w:b/>
                <w:sz w:val="18"/>
                <w:szCs w:val="18"/>
                <w:lang w:eastAsia="hr-HR"/>
              </w:rPr>
              <w:t>% izvršenja</w:t>
            </w:r>
          </w:p>
        </w:tc>
      </w:tr>
      <w:tr w:rsidR="00EA51C4" w:rsidRPr="00DD3903" w14:paraId="7494151E" w14:textId="77777777" w:rsidTr="00BA499D">
        <w:trPr>
          <w:trHeight w:val="284"/>
        </w:trPr>
        <w:tc>
          <w:tcPr>
            <w:tcW w:w="1159" w:type="dxa"/>
            <w:tcBorders>
              <w:top w:val="single" w:sz="4" w:space="0" w:color="auto"/>
              <w:left w:val="single" w:sz="4" w:space="0" w:color="auto"/>
              <w:bottom w:val="single" w:sz="4" w:space="0" w:color="auto"/>
              <w:right w:val="single" w:sz="4" w:space="0" w:color="auto"/>
            </w:tcBorders>
            <w:vAlign w:val="center"/>
            <w:hideMark/>
          </w:tcPr>
          <w:p w14:paraId="7FA0E7F3" w14:textId="77777777" w:rsidR="00EA51C4" w:rsidRPr="004D550F" w:rsidRDefault="00EA51C4" w:rsidP="00BA499D">
            <w:pPr>
              <w:rPr>
                <w:rFonts w:eastAsia="Times New Roman" w:cs="Calibri"/>
                <w:sz w:val="18"/>
                <w:szCs w:val="18"/>
                <w:lang w:eastAsia="hr-HR"/>
              </w:rPr>
            </w:pPr>
            <w:r w:rsidRPr="004D550F">
              <w:rPr>
                <w:rFonts w:eastAsia="Times New Roman" w:cs="Calibri"/>
                <w:sz w:val="18"/>
                <w:szCs w:val="18"/>
                <w:lang w:eastAsia="hr-HR"/>
              </w:rPr>
              <w:t>Broj slučajeva</w:t>
            </w:r>
          </w:p>
        </w:tc>
        <w:tc>
          <w:tcPr>
            <w:tcW w:w="1372" w:type="dxa"/>
            <w:tcBorders>
              <w:top w:val="single" w:sz="4" w:space="0" w:color="auto"/>
              <w:left w:val="single" w:sz="4" w:space="0" w:color="auto"/>
              <w:bottom w:val="single" w:sz="4" w:space="0" w:color="auto"/>
              <w:right w:val="single" w:sz="4" w:space="0" w:color="auto"/>
            </w:tcBorders>
            <w:vAlign w:val="center"/>
          </w:tcPr>
          <w:p w14:paraId="5AEF575A" w14:textId="77777777" w:rsidR="00EA51C4" w:rsidRPr="00912DCF" w:rsidRDefault="00EA51C4" w:rsidP="00BA499D">
            <w:pPr>
              <w:jc w:val="center"/>
              <w:rPr>
                <w:rFonts w:eastAsia="Times New Roman" w:cs="Calibri"/>
                <w:sz w:val="20"/>
                <w:szCs w:val="18"/>
                <w:lang w:eastAsia="hr-HR"/>
              </w:rPr>
            </w:pPr>
            <w:r>
              <w:rPr>
                <w:rFonts w:eastAsia="Times New Roman" w:cs="Calibri"/>
                <w:sz w:val="20"/>
                <w:szCs w:val="18"/>
                <w:lang w:eastAsia="hr-HR"/>
              </w:rPr>
              <w:t>600</w:t>
            </w:r>
          </w:p>
        </w:tc>
        <w:tc>
          <w:tcPr>
            <w:tcW w:w="1683" w:type="dxa"/>
            <w:tcBorders>
              <w:top w:val="single" w:sz="4" w:space="0" w:color="auto"/>
              <w:left w:val="single" w:sz="4" w:space="0" w:color="auto"/>
              <w:bottom w:val="single" w:sz="4" w:space="0" w:color="auto"/>
              <w:right w:val="single" w:sz="4" w:space="0" w:color="auto"/>
            </w:tcBorders>
            <w:vAlign w:val="center"/>
          </w:tcPr>
          <w:p w14:paraId="2AF6FE20" w14:textId="77777777" w:rsidR="00EA51C4" w:rsidRPr="00912DCF" w:rsidRDefault="00EA51C4" w:rsidP="00BA499D">
            <w:pPr>
              <w:jc w:val="center"/>
              <w:rPr>
                <w:rFonts w:eastAsia="Times New Roman" w:cs="Calibri"/>
                <w:sz w:val="20"/>
                <w:szCs w:val="18"/>
                <w:lang w:eastAsia="hr-HR"/>
              </w:rPr>
            </w:pPr>
            <w:r>
              <w:rPr>
                <w:rFonts w:eastAsia="Times New Roman" w:cs="Calibri"/>
                <w:sz w:val="20"/>
                <w:szCs w:val="18"/>
                <w:lang w:eastAsia="hr-HR"/>
              </w:rPr>
              <w:t>53</w:t>
            </w:r>
          </w:p>
        </w:tc>
        <w:tc>
          <w:tcPr>
            <w:tcW w:w="1706" w:type="dxa"/>
            <w:tcBorders>
              <w:top w:val="single" w:sz="4" w:space="0" w:color="auto"/>
              <w:left w:val="single" w:sz="4" w:space="0" w:color="auto"/>
              <w:bottom w:val="single" w:sz="4" w:space="0" w:color="auto"/>
              <w:right w:val="single" w:sz="4" w:space="0" w:color="auto"/>
            </w:tcBorders>
            <w:vAlign w:val="center"/>
          </w:tcPr>
          <w:p w14:paraId="607FD0B7" w14:textId="77777777" w:rsidR="00EA51C4" w:rsidRPr="00912DCF" w:rsidRDefault="00EA51C4" w:rsidP="00BA499D">
            <w:pPr>
              <w:jc w:val="center"/>
              <w:rPr>
                <w:rFonts w:eastAsia="Times New Roman" w:cs="Calibri"/>
                <w:sz w:val="20"/>
                <w:szCs w:val="18"/>
                <w:lang w:eastAsia="hr-HR"/>
              </w:rPr>
            </w:pPr>
            <w:r>
              <w:rPr>
                <w:rFonts w:eastAsia="Times New Roman" w:cs="Calibri"/>
                <w:sz w:val="20"/>
                <w:szCs w:val="18"/>
                <w:lang w:eastAsia="hr-HR"/>
              </w:rPr>
              <w:t>145</w:t>
            </w:r>
          </w:p>
        </w:tc>
        <w:tc>
          <w:tcPr>
            <w:tcW w:w="1294" w:type="dxa"/>
            <w:tcBorders>
              <w:top w:val="single" w:sz="4" w:space="0" w:color="auto"/>
              <w:left w:val="single" w:sz="4" w:space="0" w:color="auto"/>
              <w:bottom w:val="single" w:sz="4" w:space="0" w:color="auto"/>
              <w:right w:val="single" w:sz="4" w:space="0" w:color="auto"/>
            </w:tcBorders>
            <w:vAlign w:val="center"/>
          </w:tcPr>
          <w:p w14:paraId="2276D413" w14:textId="77777777" w:rsidR="00EA51C4" w:rsidRPr="00D50B49" w:rsidRDefault="00EA51C4" w:rsidP="00BA499D">
            <w:pPr>
              <w:jc w:val="center"/>
              <w:rPr>
                <w:rFonts w:eastAsia="Times New Roman" w:cs="Calibri"/>
                <w:sz w:val="20"/>
                <w:szCs w:val="18"/>
                <w:lang w:eastAsia="hr-HR"/>
              </w:rPr>
            </w:pPr>
            <w:r>
              <w:rPr>
                <w:rFonts w:eastAsia="Times New Roman" w:cs="Calibri"/>
                <w:sz w:val="20"/>
                <w:szCs w:val="18"/>
                <w:lang w:eastAsia="hr-HR"/>
              </w:rPr>
              <w:t>720</w:t>
            </w:r>
          </w:p>
        </w:tc>
        <w:tc>
          <w:tcPr>
            <w:tcW w:w="1091" w:type="dxa"/>
            <w:tcBorders>
              <w:top w:val="single" w:sz="4" w:space="0" w:color="auto"/>
              <w:left w:val="single" w:sz="4" w:space="0" w:color="auto"/>
              <w:bottom w:val="single" w:sz="4" w:space="0" w:color="auto"/>
              <w:right w:val="single" w:sz="4" w:space="0" w:color="auto"/>
            </w:tcBorders>
            <w:vAlign w:val="center"/>
          </w:tcPr>
          <w:p w14:paraId="43B29D57" w14:textId="77777777" w:rsidR="00EA51C4" w:rsidRPr="00425F9D" w:rsidRDefault="00EA51C4" w:rsidP="00BA499D">
            <w:pPr>
              <w:jc w:val="center"/>
              <w:rPr>
                <w:rFonts w:cs="Calibri"/>
                <w:sz w:val="20"/>
                <w:szCs w:val="20"/>
              </w:rPr>
            </w:pPr>
            <w:r>
              <w:rPr>
                <w:rFonts w:cs="Calibri"/>
                <w:sz w:val="20"/>
                <w:szCs w:val="20"/>
              </w:rPr>
              <w:t>798</w:t>
            </w:r>
          </w:p>
        </w:tc>
        <w:tc>
          <w:tcPr>
            <w:tcW w:w="875" w:type="dxa"/>
            <w:tcBorders>
              <w:top w:val="single" w:sz="4" w:space="0" w:color="auto"/>
              <w:left w:val="single" w:sz="4" w:space="0" w:color="auto"/>
              <w:bottom w:val="single" w:sz="4" w:space="0" w:color="auto"/>
              <w:right w:val="single" w:sz="4" w:space="0" w:color="auto"/>
            </w:tcBorders>
            <w:vAlign w:val="center"/>
          </w:tcPr>
          <w:p w14:paraId="364AF48A" w14:textId="77777777" w:rsidR="00EA51C4" w:rsidRPr="00425F9D" w:rsidRDefault="00EA51C4" w:rsidP="00BA499D">
            <w:pPr>
              <w:jc w:val="center"/>
              <w:rPr>
                <w:rFonts w:cs="Calibri"/>
                <w:sz w:val="20"/>
                <w:szCs w:val="20"/>
              </w:rPr>
            </w:pPr>
            <w:r>
              <w:rPr>
                <w:rFonts w:cs="Calibri"/>
                <w:sz w:val="20"/>
                <w:szCs w:val="20"/>
              </w:rPr>
              <w:t>110%</w:t>
            </w:r>
          </w:p>
        </w:tc>
      </w:tr>
    </w:tbl>
    <w:p w14:paraId="6FFB0892" w14:textId="77777777" w:rsidR="00EA51C4" w:rsidRDefault="00EA51C4" w:rsidP="00EA51C4">
      <w:pPr>
        <w:spacing w:before="240" w:after="120"/>
        <w:rPr>
          <w:rFonts w:eastAsia="Times New Roman" w:cstheme="minorHAnsi"/>
          <w:u w:val="single"/>
          <w:lang w:eastAsia="hr-HR"/>
        </w:rPr>
      </w:pPr>
    </w:p>
    <w:p w14:paraId="0C84BFCE" w14:textId="77777777" w:rsidR="00EA51C4" w:rsidRDefault="00EA51C4" w:rsidP="00EA51C4">
      <w:pPr>
        <w:spacing w:before="240" w:after="120"/>
        <w:rPr>
          <w:rFonts w:eastAsia="Times New Roman" w:cstheme="minorHAnsi"/>
          <w:u w:val="single"/>
          <w:lang w:eastAsia="hr-HR"/>
        </w:rPr>
      </w:pPr>
      <w:r w:rsidRPr="00146C64">
        <w:rPr>
          <w:rFonts w:eastAsia="Times New Roman" w:cstheme="minorHAnsi"/>
          <w:u w:val="single"/>
          <w:lang w:eastAsia="hr-HR"/>
        </w:rPr>
        <w:t>Broj prijava sigurnosnih korektivnih radnji zaprimljenih putem baze EUDAMED iz drugih europskih zemalja, za koje je HALMED provjerio odnose li se na RH</w:t>
      </w:r>
      <w:r>
        <w:rPr>
          <w:rFonts w:eastAsia="Times New Roman" w:cstheme="minorHAnsi"/>
          <w:u w:val="single"/>
          <w:lang w:eastAsia="hr-HR"/>
        </w:rPr>
        <w:t>:</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1"/>
        <w:gridCol w:w="1391"/>
        <w:gridCol w:w="1575"/>
        <w:gridCol w:w="1813"/>
        <w:gridCol w:w="1284"/>
        <w:gridCol w:w="1091"/>
        <w:gridCol w:w="875"/>
      </w:tblGrid>
      <w:tr w:rsidR="00EA51C4" w:rsidRPr="00DD3903" w14:paraId="1FCEF6BB" w14:textId="77777777" w:rsidTr="00BA499D">
        <w:trPr>
          <w:trHeight w:val="624"/>
        </w:trPr>
        <w:tc>
          <w:tcPr>
            <w:tcW w:w="1151" w:type="dxa"/>
            <w:tcBorders>
              <w:top w:val="single" w:sz="4" w:space="0" w:color="auto"/>
              <w:left w:val="single" w:sz="4" w:space="0" w:color="auto"/>
              <w:bottom w:val="single" w:sz="4" w:space="0" w:color="auto"/>
              <w:right w:val="single" w:sz="4" w:space="0" w:color="auto"/>
            </w:tcBorders>
            <w:shd w:val="clear" w:color="auto" w:fill="A3E7FF"/>
            <w:vAlign w:val="center"/>
          </w:tcPr>
          <w:p w14:paraId="5BBEF190" w14:textId="77777777" w:rsidR="00EA51C4" w:rsidRPr="00E12150" w:rsidRDefault="00EA51C4" w:rsidP="00BA499D">
            <w:pPr>
              <w:ind w:firstLine="708"/>
              <w:rPr>
                <w:rFonts w:eastAsia="Times New Roman" w:cs="Calibri"/>
                <w:b/>
                <w:sz w:val="18"/>
                <w:szCs w:val="18"/>
              </w:rPr>
            </w:pPr>
          </w:p>
        </w:tc>
        <w:tc>
          <w:tcPr>
            <w:tcW w:w="1391" w:type="dxa"/>
            <w:tcBorders>
              <w:top w:val="single" w:sz="4" w:space="0" w:color="auto"/>
              <w:left w:val="single" w:sz="4" w:space="0" w:color="auto"/>
              <w:bottom w:val="single" w:sz="4" w:space="0" w:color="auto"/>
              <w:right w:val="single" w:sz="4" w:space="0" w:color="auto"/>
            </w:tcBorders>
            <w:shd w:val="clear" w:color="auto" w:fill="A3E7FF"/>
            <w:vAlign w:val="center"/>
            <w:hideMark/>
          </w:tcPr>
          <w:p w14:paraId="47461633" w14:textId="77777777" w:rsidR="00EA51C4" w:rsidRPr="00E12150" w:rsidRDefault="00EA51C4" w:rsidP="00BA499D">
            <w:pPr>
              <w:jc w:val="center"/>
              <w:rPr>
                <w:rFonts w:cs="Calibri"/>
                <w:b/>
                <w:sz w:val="18"/>
                <w:szCs w:val="18"/>
              </w:rPr>
            </w:pPr>
            <w:r w:rsidRPr="00E12150">
              <w:rPr>
                <w:rFonts w:cs="Calibri"/>
                <w:b/>
                <w:sz w:val="18"/>
                <w:szCs w:val="18"/>
              </w:rPr>
              <w:t>Nije primjenjivo na RH</w:t>
            </w:r>
          </w:p>
        </w:tc>
        <w:tc>
          <w:tcPr>
            <w:tcW w:w="1575" w:type="dxa"/>
            <w:tcBorders>
              <w:top w:val="single" w:sz="4" w:space="0" w:color="auto"/>
              <w:left w:val="single" w:sz="4" w:space="0" w:color="auto"/>
              <w:bottom w:val="single" w:sz="4" w:space="0" w:color="auto"/>
              <w:right w:val="single" w:sz="4" w:space="0" w:color="auto"/>
            </w:tcBorders>
            <w:shd w:val="clear" w:color="auto" w:fill="A3E7FF"/>
            <w:vAlign w:val="center"/>
            <w:hideMark/>
          </w:tcPr>
          <w:p w14:paraId="66CE8A27" w14:textId="77777777" w:rsidR="00EA51C4" w:rsidRPr="00E12150" w:rsidRDefault="00EA51C4" w:rsidP="00BA499D">
            <w:pPr>
              <w:jc w:val="center"/>
              <w:rPr>
                <w:rFonts w:cs="Calibri"/>
                <w:b/>
                <w:sz w:val="18"/>
                <w:szCs w:val="18"/>
              </w:rPr>
            </w:pPr>
            <w:r w:rsidRPr="00E12150">
              <w:rPr>
                <w:rFonts w:cs="Calibri"/>
                <w:b/>
                <w:sz w:val="18"/>
                <w:szCs w:val="18"/>
              </w:rPr>
              <w:t>Izvješće o korektivnoj radnji već zaprimljeno</w:t>
            </w:r>
          </w:p>
        </w:tc>
        <w:tc>
          <w:tcPr>
            <w:tcW w:w="1813" w:type="dxa"/>
            <w:tcBorders>
              <w:top w:val="single" w:sz="4" w:space="0" w:color="auto"/>
              <w:left w:val="single" w:sz="4" w:space="0" w:color="auto"/>
              <w:bottom w:val="single" w:sz="4" w:space="0" w:color="auto"/>
              <w:right w:val="single" w:sz="4" w:space="0" w:color="auto"/>
            </w:tcBorders>
            <w:shd w:val="clear" w:color="auto" w:fill="A3E7FF"/>
            <w:vAlign w:val="center"/>
            <w:hideMark/>
          </w:tcPr>
          <w:p w14:paraId="1C96DC07" w14:textId="77777777" w:rsidR="00EA51C4" w:rsidRPr="00E12150" w:rsidRDefault="00EA51C4" w:rsidP="00BA499D">
            <w:pPr>
              <w:jc w:val="center"/>
              <w:rPr>
                <w:rFonts w:cs="Calibri"/>
                <w:b/>
                <w:sz w:val="18"/>
                <w:szCs w:val="18"/>
              </w:rPr>
            </w:pPr>
            <w:r w:rsidRPr="00E12150">
              <w:rPr>
                <w:rFonts w:cs="Calibri"/>
                <w:b/>
                <w:sz w:val="18"/>
                <w:szCs w:val="18"/>
              </w:rPr>
              <w:t>Follow-up zahtjev prema proizvođaču ili ovlaštenom zastupniku</w:t>
            </w:r>
          </w:p>
        </w:tc>
        <w:tc>
          <w:tcPr>
            <w:tcW w:w="1284" w:type="dxa"/>
            <w:tcBorders>
              <w:top w:val="single" w:sz="4" w:space="0" w:color="auto"/>
              <w:left w:val="single" w:sz="4" w:space="0" w:color="auto"/>
              <w:bottom w:val="single" w:sz="4" w:space="0" w:color="auto"/>
              <w:right w:val="single" w:sz="4" w:space="0" w:color="auto"/>
            </w:tcBorders>
            <w:shd w:val="clear" w:color="auto" w:fill="A3E7FF"/>
            <w:vAlign w:val="center"/>
            <w:hideMark/>
          </w:tcPr>
          <w:p w14:paraId="6283B48F" w14:textId="77777777" w:rsidR="00EA51C4" w:rsidRPr="00E12150" w:rsidRDefault="00EA51C4" w:rsidP="00BA499D">
            <w:pPr>
              <w:ind w:hanging="18"/>
              <w:jc w:val="center"/>
              <w:rPr>
                <w:rFonts w:eastAsia="Times New Roman" w:cs="Calibri"/>
                <w:b/>
                <w:sz w:val="18"/>
                <w:szCs w:val="18"/>
              </w:rPr>
            </w:pPr>
            <w:r>
              <w:rPr>
                <w:rFonts w:eastAsia="Times New Roman" w:cstheme="minorHAnsi"/>
                <w:b/>
                <w:bCs/>
                <w:sz w:val="18"/>
                <w:szCs w:val="18"/>
                <w:lang w:eastAsia="hr-HR"/>
              </w:rPr>
              <w:t>Plan za 2023</w:t>
            </w:r>
            <w:r w:rsidRPr="00E12150">
              <w:rPr>
                <w:rFonts w:eastAsia="Times New Roman" w:cstheme="minorHAnsi"/>
                <w:b/>
                <w:bCs/>
                <w:sz w:val="18"/>
                <w:szCs w:val="18"/>
                <w:lang w:eastAsia="hr-HR"/>
              </w:rPr>
              <w:t>. godinu</w:t>
            </w:r>
          </w:p>
        </w:tc>
        <w:tc>
          <w:tcPr>
            <w:tcW w:w="1091" w:type="dxa"/>
            <w:tcBorders>
              <w:top w:val="single" w:sz="4" w:space="0" w:color="auto"/>
              <w:left w:val="single" w:sz="4" w:space="0" w:color="auto"/>
              <w:bottom w:val="single" w:sz="4" w:space="0" w:color="auto"/>
              <w:right w:val="single" w:sz="4" w:space="0" w:color="auto"/>
            </w:tcBorders>
            <w:shd w:val="clear" w:color="auto" w:fill="A3E7FF"/>
            <w:vAlign w:val="center"/>
          </w:tcPr>
          <w:p w14:paraId="71B2BEBE" w14:textId="77777777" w:rsidR="00EA51C4" w:rsidRPr="00E12150" w:rsidRDefault="00EA51C4" w:rsidP="00BA499D">
            <w:pPr>
              <w:jc w:val="center"/>
              <w:rPr>
                <w:rFonts w:eastAsia="Times New Roman" w:cstheme="minorHAnsi"/>
                <w:b/>
                <w:bCs/>
                <w:sz w:val="18"/>
                <w:szCs w:val="18"/>
                <w:lang w:eastAsia="hr-HR"/>
              </w:rPr>
            </w:pPr>
            <w:r w:rsidRPr="00E12150">
              <w:rPr>
                <w:rFonts w:eastAsia="Times New Roman" w:cstheme="minorHAnsi"/>
                <w:b/>
                <w:bCs/>
                <w:sz w:val="18"/>
                <w:szCs w:val="18"/>
                <w:lang w:eastAsia="hr-HR"/>
              </w:rPr>
              <w:t>Izvršenje</w:t>
            </w:r>
          </w:p>
          <w:p w14:paraId="714C7555" w14:textId="77777777" w:rsidR="00EA51C4" w:rsidRPr="00E12150" w:rsidRDefault="00EA51C4" w:rsidP="00BA499D">
            <w:pPr>
              <w:jc w:val="center"/>
              <w:rPr>
                <w:rFonts w:eastAsia="Times New Roman" w:cstheme="minorHAnsi"/>
                <w:b/>
                <w:bCs/>
                <w:sz w:val="18"/>
                <w:szCs w:val="18"/>
                <w:lang w:eastAsia="hr-HR"/>
              </w:rPr>
            </w:pPr>
            <w:r>
              <w:rPr>
                <w:rFonts w:eastAsia="Times New Roman" w:cstheme="minorHAnsi"/>
                <w:b/>
                <w:bCs/>
                <w:sz w:val="18"/>
                <w:szCs w:val="18"/>
                <w:lang w:eastAsia="hr-HR"/>
              </w:rPr>
              <w:t>01.01.-31.12.2023</w:t>
            </w:r>
            <w:r w:rsidRPr="00E12150">
              <w:rPr>
                <w:rFonts w:eastAsia="Times New Roman" w:cstheme="minorHAnsi"/>
                <w:b/>
                <w:bCs/>
                <w:sz w:val="18"/>
                <w:szCs w:val="18"/>
                <w:lang w:eastAsia="hr-HR"/>
              </w:rPr>
              <w:t>.</w:t>
            </w:r>
          </w:p>
          <w:p w14:paraId="1D3E36E4" w14:textId="77777777" w:rsidR="00EA51C4" w:rsidRPr="00E12150" w:rsidRDefault="00EA51C4" w:rsidP="00BA499D">
            <w:pPr>
              <w:jc w:val="center"/>
              <w:rPr>
                <w:rFonts w:eastAsia="Times New Roman" w:cstheme="minorHAnsi"/>
                <w:b/>
                <w:bCs/>
                <w:sz w:val="18"/>
                <w:szCs w:val="18"/>
                <w:lang w:eastAsia="hr-HR"/>
              </w:rPr>
            </w:pPr>
          </w:p>
        </w:tc>
        <w:tc>
          <w:tcPr>
            <w:tcW w:w="875" w:type="dxa"/>
            <w:tcBorders>
              <w:top w:val="single" w:sz="4" w:space="0" w:color="auto"/>
              <w:left w:val="single" w:sz="4" w:space="0" w:color="auto"/>
              <w:bottom w:val="single" w:sz="4" w:space="0" w:color="auto"/>
              <w:right w:val="single" w:sz="4" w:space="0" w:color="auto"/>
            </w:tcBorders>
            <w:shd w:val="clear" w:color="auto" w:fill="A3E7FF"/>
            <w:vAlign w:val="center"/>
          </w:tcPr>
          <w:p w14:paraId="76CC89CA" w14:textId="77777777" w:rsidR="00EA51C4" w:rsidRPr="00E12150" w:rsidRDefault="00EA51C4" w:rsidP="00BA499D">
            <w:pPr>
              <w:jc w:val="center"/>
              <w:rPr>
                <w:rFonts w:eastAsia="Times New Roman" w:cs="Calibri"/>
                <w:b/>
                <w:sz w:val="18"/>
                <w:szCs w:val="18"/>
                <w:lang w:eastAsia="hr-HR"/>
              </w:rPr>
            </w:pPr>
            <w:r w:rsidRPr="00E12150">
              <w:rPr>
                <w:rFonts w:eastAsia="Times New Roman" w:cs="Calibri"/>
                <w:b/>
                <w:sz w:val="18"/>
                <w:szCs w:val="18"/>
                <w:lang w:eastAsia="hr-HR"/>
              </w:rPr>
              <w:t>% izvršenja</w:t>
            </w:r>
          </w:p>
        </w:tc>
      </w:tr>
      <w:tr w:rsidR="00EA51C4" w:rsidRPr="00DD3903" w14:paraId="564A762E" w14:textId="77777777" w:rsidTr="00BA499D">
        <w:trPr>
          <w:trHeight w:val="284"/>
        </w:trPr>
        <w:tc>
          <w:tcPr>
            <w:tcW w:w="1151" w:type="dxa"/>
            <w:tcBorders>
              <w:top w:val="single" w:sz="4" w:space="0" w:color="auto"/>
              <w:left w:val="single" w:sz="4" w:space="0" w:color="auto"/>
              <w:bottom w:val="single" w:sz="4" w:space="0" w:color="auto"/>
              <w:right w:val="single" w:sz="4" w:space="0" w:color="auto"/>
            </w:tcBorders>
            <w:vAlign w:val="center"/>
            <w:hideMark/>
          </w:tcPr>
          <w:p w14:paraId="61DC3095" w14:textId="77777777" w:rsidR="00EA51C4" w:rsidRPr="00E12150" w:rsidRDefault="00EA51C4" w:rsidP="00BA499D">
            <w:pPr>
              <w:rPr>
                <w:rFonts w:eastAsia="Times New Roman" w:cs="Calibri"/>
                <w:sz w:val="18"/>
                <w:szCs w:val="18"/>
                <w:lang w:eastAsia="hr-HR"/>
              </w:rPr>
            </w:pPr>
            <w:r w:rsidRPr="00E12150">
              <w:rPr>
                <w:rFonts w:eastAsia="Times New Roman" w:cs="Calibri"/>
                <w:sz w:val="18"/>
                <w:szCs w:val="18"/>
                <w:lang w:eastAsia="hr-HR"/>
              </w:rPr>
              <w:t>Broj slučajeva</w:t>
            </w:r>
          </w:p>
        </w:tc>
        <w:tc>
          <w:tcPr>
            <w:tcW w:w="1391" w:type="dxa"/>
            <w:tcBorders>
              <w:top w:val="single" w:sz="4" w:space="0" w:color="auto"/>
              <w:left w:val="single" w:sz="4" w:space="0" w:color="auto"/>
              <w:bottom w:val="single" w:sz="4" w:space="0" w:color="auto"/>
              <w:right w:val="single" w:sz="4" w:space="0" w:color="auto"/>
            </w:tcBorders>
            <w:vAlign w:val="center"/>
          </w:tcPr>
          <w:p w14:paraId="5740BD5D" w14:textId="77777777" w:rsidR="00EA51C4" w:rsidRPr="00D50B49" w:rsidRDefault="00EA51C4" w:rsidP="00BA499D">
            <w:pPr>
              <w:jc w:val="center"/>
              <w:rPr>
                <w:rFonts w:eastAsia="Times New Roman" w:cs="Calibri"/>
                <w:sz w:val="20"/>
                <w:szCs w:val="18"/>
                <w:lang w:eastAsia="hr-HR"/>
              </w:rPr>
            </w:pPr>
            <w:r>
              <w:rPr>
                <w:rFonts w:eastAsia="Times New Roman" w:cs="Calibri"/>
                <w:sz w:val="20"/>
                <w:szCs w:val="18"/>
                <w:lang w:eastAsia="hr-HR"/>
              </w:rPr>
              <w:t>528</w:t>
            </w:r>
          </w:p>
        </w:tc>
        <w:tc>
          <w:tcPr>
            <w:tcW w:w="1575" w:type="dxa"/>
            <w:tcBorders>
              <w:top w:val="single" w:sz="4" w:space="0" w:color="auto"/>
              <w:left w:val="single" w:sz="4" w:space="0" w:color="auto"/>
              <w:bottom w:val="single" w:sz="4" w:space="0" w:color="auto"/>
              <w:right w:val="single" w:sz="4" w:space="0" w:color="auto"/>
            </w:tcBorders>
            <w:vAlign w:val="center"/>
          </w:tcPr>
          <w:p w14:paraId="69AD6E93" w14:textId="77777777" w:rsidR="00EA51C4" w:rsidRPr="00D50B49" w:rsidRDefault="00EA51C4" w:rsidP="00BA499D">
            <w:pPr>
              <w:jc w:val="center"/>
              <w:rPr>
                <w:rFonts w:eastAsia="Times New Roman" w:cs="Calibri"/>
                <w:sz w:val="20"/>
                <w:szCs w:val="18"/>
                <w:lang w:eastAsia="hr-HR"/>
              </w:rPr>
            </w:pPr>
            <w:r>
              <w:rPr>
                <w:rFonts w:eastAsia="Times New Roman" w:cs="Calibri"/>
                <w:sz w:val="20"/>
                <w:szCs w:val="18"/>
                <w:lang w:eastAsia="hr-HR"/>
              </w:rPr>
              <w:t>154</w:t>
            </w:r>
          </w:p>
        </w:tc>
        <w:tc>
          <w:tcPr>
            <w:tcW w:w="1813" w:type="dxa"/>
            <w:tcBorders>
              <w:top w:val="single" w:sz="4" w:space="0" w:color="auto"/>
              <w:left w:val="single" w:sz="4" w:space="0" w:color="auto"/>
              <w:bottom w:val="single" w:sz="4" w:space="0" w:color="auto"/>
              <w:right w:val="single" w:sz="4" w:space="0" w:color="auto"/>
            </w:tcBorders>
            <w:vAlign w:val="center"/>
          </w:tcPr>
          <w:p w14:paraId="3D77FCC8" w14:textId="77777777" w:rsidR="00EA51C4" w:rsidRPr="00D50B49" w:rsidRDefault="00EA51C4" w:rsidP="00BA499D">
            <w:pPr>
              <w:jc w:val="center"/>
              <w:rPr>
                <w:rFonts w:eastAsia="Times New Roman" w:cs="Calibri"/>
                <w:sz w:val="20"/>
                <w:szCs w:val="18"/>
                <w:lang w:eastAsia="hr-HR"/>
              </w:rPr>
            </w:pPr>
            <w:r>
              <w:rPr>
                <w:rFonts w:eastAsia="Times New Roman" w:cs="Calibri"/>
                <w:sz w:val="20"/>
                <w:szCs w:val="18"/>
                <w:lang w:eastAsia="hr-HR"/>
              </w:rPr>
              <w:t>26</w:t>
            </w:r>
          </w:p>
        </w:tc>
        <w:tc>
          <w:tcPr>
            <w:tcW w:w="1284" w:type="dxa"/>
            <w:tcBorders>
              <w:top w:val="single" w:sz="4" w:space="0" w:color="auto"/>
              <w:left w:val="single" w:sz="4" w:space="0" w:color="auto"/>
              <w:bottom w:val="single" w:sz="4" w:space="0" w:color="auto"/>
              <w:right w:val="single" w:sz="4" w:space="0" w:color="auto"/>
            </w:tcBorders>
            <w:vAlign w:val="center"/>
          </w:tcPr>
          <w:p w14:paraId="3F295667" w14:textId="77777777" w:rsidR="00EA51C4" w:rsidRPr="00D50B49" w:rsidRDefault="00EA51C4" w:rsidP="00BA499D">
            <w:pPr>
              <w:jc w:val="center"/>
              <w:rPr>
                <w:rFonts w:eastAsia="Times New Roman" w:cs="Calibri"/>
                <w:sz w:val="20"/>
                <w:szCs w:val="18"/>
                <w:lang w:eastAsia="hr-HR"/>
              </w:rPr>
            </w:pPr>
            <w:r>
              <w:rPr>
                <w:rFonts w:eastAsia="Times New Roman" w:cs="Calibri"/>
                <w:sz w:val="20"/>
                <w:szCs w:val="18"/>
                <w:lang w:eastAsia="hr-HR"/>
              </w:rPr>
              <w:t>1200</w:t>
            </w:r>
          </w:p>
        </w:tc>
        <w:tc>
          <w:tcPr>
            <w:tcW w:w="1091" w:type="dxa"/>
            <w:tcBorders>
              <w:top w:val="single" w:sz="4" w:space="0" w:color="auto"/>
              <w:left w:val="single" w:sz="4" w:space="0" w:color="auto"/>
              <w:bottom w:val="single" w:sz="4" w:space="0" w:color="auto"/>
              <w:right w:val="single" w:sz="4" w:space="0" w:color="auto"/>
            </w:tcBorders>
            <w:vAlign w:val="center"/>
          </w:tcPr>
          <w:p w14:paraId="2FE48DC7" w14:textId="77777777" w:rsidR="00EA51C4" w:rsidRPr="00D50B49" w:rsidRDefault="00EA51C4" w:rsidP="00BA499D">
            <w:pPr>
              <w:jc w:val="center"/>
              <w:rPr>
                <w:rFonts w:eastAsia="Times New Roman" w:cs="Calibri"/>
                <w:sz w:val="20"/>
                <w:szCs w:val="18"/>
                <w:lang w:eastAsia="hr-HR"/>
              </w:rPr>
            </w:pPr>
            <w:r>
              <w:rPr>
                <w:rFonts w:eastAsia="Times New Roman" w:cs="Calibri"/>
                <w:sz w:val="20"/>
                <w:szCs w:val="18"/>
                <w:lang w:eastAsia="hr-HR"/>
              </w:rPr>
              <w:t>708</w:t>
            </w:r>
          </w:p>
        </w:tc>
        <w:tc>
          <w:tcPr>
            <w:tcW w:w="875" w:type="dxa"/>
            <w:tcBorders>
              <w:top w:val="single" w:sz="4" w:space="0" w:color="auto"/>
              <w:left w:val="single" w:sz="4" w:space="0" w:color="auto"/>
              <w:bottom w:val="single" w:sz="4" w:space="0" w:color="auto"/>
              <w:right w:val="single" w:sz="4" w:space="0" w:color="auto"/>
            </w:tcBorders>
            <w:vAlign w:val="center"/>
          </w:tcPr>
          <w:p w14:paraId="6E1FD565" w14:textId="77777777" w:rsidR="00EA51C4" w:rsidRPr="00D50B49" w:rsidRDefault="00EA51C4" w:rsidP="00BA499D">
            <w:pPr>
              <w:jc w:val="center"/>
              <w:rPr>
                <w:rFonts w:eastAsia="Times New Roman" w:cs="Calibri"/>
                <w:sz w:val="20"/>
                <w:szCs w:val="18"/>
                <w:lang w:eastAsia="hr-HR"/>
              </w:rPr>
            </w:pPr>
            <w:r>
              <w:rPr>
                <w:rFonts w:eastAsia="Times New Roman" w:cs="Calibri"/>
                <w:sz w:val="20"/>
                <w:szCs w:val="18"/>
                <w:lang w:eastAsia="hr-HR"/>
              </w:rPr>
              <w:t>59%</w:t>
            </w:r>
          </w:p>
        </w:tc>
      </w:tr>
    </w:tbl>
    <w:p w14:paraId="01A4B189" w14:textId="77777777" w:rsidR="00EA51C4" w:rsidRPr="00DD3903" w:rsidRDefault="00EA51C4" w:rsidP="00EA51C4">
      <w:pPr>
        <w:spacing w:after="120"/>
        <w:rPr>
          <w:rFonts w:eastAsia="Times New Roman" w:cstheme="minorHAnsi"/>
          <w:lang w:eastAsia="hr-HR"/>
        </w:rPr>
      </w:pPr>
    </w:p>
    <w:p w14:paraId="263B7AAF" w14:textId="77777777" w:rsidR="00EA51C4" w:rsidRDefault="00EA51C4" w:rsidP="00EA51C4">
      <w:pPr>
        <w:pStyle w:val="Heading3"/>
      </w:pPr>
      <w:bookmarkStart w:id="271" w:name="_Toc26534693"/>
      <w:bookmarkStart w:id="272" w:name="_Toc165035523"/>
      <w:r w:rsidRPr="008D312D">
        <w:t>2.</w:t>
      </w:r>
      <w:r>
        <w:t>8</w:t>
      </w:r>
      <w:r w:rsidRPr="008D312D">
        <w:t>.</w:t>
      </w:r>
      <w:r>
        <w:t>6</w:t>
      </w:r>
      <w:r w:rsidRPr="008D312D">
        <w:t>. Izvješće o radu HALMED-a u povjerenstvima i radnim skupinama EK-a</w:t>
      </w:r>
      <w:bookmarkEnd w:id="271"/>
      <w:bookmarkEnd w:id="272"/>
    </w:p>
    <w:p w14:paraId="52DE61F8" w14:textId="77777777" w:rsidR="00EA51C4" w:rsidRPr="00F628C0" w:rsidRDefault="00EA51C4" w:rsidP="00EA51C4">
      <w:pPr>
        <w:spacing w:before="240" w:after="240" w:line="276" w:lineRule="auto"/>
        <w:jc w:val="both"/>
        <w:rPr>
          <w:rFonts w:eastAsia="Times New Roman" w:cstheme="minorHAnsi"/>
          <w:b/>
        </w:rPr>
      </w:pPr>
      <w:r w:rsidRPr="003836B0">
        <w:rPr>
          <w:rFonts w:eastAsia="Times New Roman" w:cstheme="minorHAnsi"/>
          <w:b/>
        </w:rPr>
        <w:t>Koordinacijsk</w:t>
      </w:r>
      <w:r>
        <w:rPr>
          <w:rFonts w:eastAsia="Times New Roman" w:cstheme="minorHAnsi"/>
          <w:b/>
        </w:rPr>
        <w:t>a</w:t>
      </w:r>
      <w:r w:rsidRPr="003836B0">
        <w:rPr>
          <w:rFonts w:eastAsia="Times New Roman" w:cstheme="minorHAnsi"/>
          <w:b/>
        </w:rPr>
        <w:t xml:space="preserve"> skupin</w:t>
      </w:r>
      <w:r>
        <w:rPr>
          <w:rFonts w:eastAsia="Times New Roman" w:cstheme="minorHAnsi"/>
          <w:b/>
        </w:rPr>
        <w:t>a</w:t>
      </w:r>
      <w:r w:rsidRPr="003836B0">
        <w:rPr>
          <w:rFonts w:eastAsia="Times New Roman" w:cstheme="minorHAnsi"/>
          <w:b/>
        </w:rPr>
        <w:t xml:space="preserve"> za medicinske proizvode </w:t>
      </w:r>
      <w:r>
        <w:rPr>
          <w:rFonts w:eastAsia="Times New Roman" w:cstheme="minorHAnsi"/>
          <w:b/>
        </w:rPr>
        <w:t>(</w:t>
      </w:r>
      <w:r w:rsidRPr="003836B0">
        <w:rPr>
          <w:rFonts w:eastAsia="Times New Roman" w:cstheme="minorHAnsi"/>
          <w:b/>
        </w:rPr>
        <w:t>MDCG</w:t>
      </w:r>
      <w:r>
        <w:rPr>
          <w:rFonts w:eastAsia="Times New Roman" w:cstheme="minorHAnsi"/>
          <w:b/>
        </w:rPr>
        <w:t>-MDR, MDCG-IVDR</w:t>
      </w:r>
      <w:r w:rsidRPr="00F628C0">
        <w:rPr>
          <w:rFonts w:eastAsia="Times New Roman" w:cstheme="minorHAnsi"/>
          <w:b/>
        </w:rPr>
        <w:t>)</w:t>
      </w:r>
    </w:p>
    <w:p w14:paraId="386136A2" w14:textId="77777777" w:rsidR="00EA51C4" w:rsidRDefault="00EA51C4" w:rsidP="00EA51C4">
      <w:pPr>
        <w:spacing w:line="276" w:lineRule="auto"/>
        <w:jc w:val="both"/>
        <w:rPr>
          <w:rFonts w:eastAsia="Times New Roman" w:cstheme="minorHAnsi"/>
        </w:rPr>
      </w:pPr>
      <w:r w:rsidRPr="005679E4">
        <w:rPr>
          <w:rFonts w:eastAsia="Times New Roman" w:cstheme="minorHAnsi"/>
        </w:rPr>
        <w:t xml:space="preserve">U </w:t>
      </w:r>
      <w:r w:rsidRPr="003836B0">
        <w:rPr>
          <w:rFonts w:eastAsia="Times New Roman" w:cstheme="minorHAnsi"/>
        </w:rPr>
        <w:t>Koordinacijsk</w:t>
      </w:r>
      <w:r>
        <w:rPr>
          <w:rFonts w:eastAsia="Times New Roman" w:cstheme="minorHAnsi"/>
        </w:rPr>
        <w:t>oj</w:t>
      </w:r>
      <w:r w:rsidRPr="003836B0">
        <w:rPr>
          <w:rFonts w:eastAsia="Times New Roman" w:cstheme="minorHAnsi"/>
        </w:rPr>
        <w:t xml:space="preserve"> skupin</w:t>
      </w:r>
      <w:r>
        <w:rPr>
          <w:rFonts w:eastAsia="Times New Roman" w:cstheme="minorHAnsi"/>
        </w:rPr>
        <w:t>i za medicinske proizvode,</w:t>
      </w:r>
      <w:r w:rsidRPr="005679E4">
        <w:rPr>
          <w:rFonts w:eastAsia="Times New Roman" w:cstheme="minorHAnsi"/>
        </w:rPr>
        <w:t xml:space="preserve"> </w:t>
      </w:r>
      <w:r w:rsidRPr="002A7542">
        <w:rPr>
          <w:rFonts w:eastAsia="Times New Roman" w:cstheme="minorHAnsi"/>
        </w:rPr>
        <w:t>Republiku Hrvatsku</w:t>
      </w:r>
      <w:r w:rsidRPr="005679E4">
        <w:rPr>
          <w:rFonts w:eastAsia="Times New Roman" w:cstheme="minorHAnsi"/>
        </w:rPr>
        <w:t xml:space="preserve"> predstavlja</w:t>
      </w:r>
      <w:r>
        <w:rPr>
          <w:rFonts w:eastAsia="Times New Roman" w:cstheme="minorHAnsi"/>
        </w:rPr>
        <w:t>ju</w:t>
      </w:r>
      <w:r w:rsidRPr="005679E4">
        <w:rPr>
          <w:rFonts w:eastAsia="Times New Roman" w:cstheme="minorHAnsi"/>
        </w:rPr>
        <w:t xml:space="preserve"> </w:t>
      </w:r>
      <w:r>
        <w:rPr>
          <w:rFonts w:eastAsia="Times New Roman" w:cstheme="minorHAnsi"/>
        </w:rPr>
        <w:t>dva</w:t>
      </w:r>
      <w:r w:rsidRPr="005679E4">
        <w:rPr>
          <w:rFonts w:eastAsia="Times New Roman" w:cstheme="minorHAnsi"/>
        </w:rPr>
        <w:t xml:space="preserve"> delegat</w:t>
      </w:r>
      <w:r>
        <w:rPr>
          <w:rFonts w:eastAsia="Times New Roman" w:cstheme="minorHAnsi"/>
        </w:rPr>
        <w:t>a</w:t>
      </w:r>
      <w:r w:rsidRPr="005679E4">
        <w:rPr>
          <w:rFonts w:eastAsia="Times New Roman" w:cstheme="minorHAnsi"/>
        </w:rPr>
        <w:t xml:space="preserve"> iz HALMED-a</w:t>
      </w:r>
      <w:r>
        <w:rPr>
          <w:rFonts w:eastAsia="Times New Roman" w:cstheme="minorHAnsi"/>
        </w:rPr>
        <w:t xml:space="preserve"> i to jedan za medicinske proizvode, a drugi za in-vitro dijagnostičke medicinske proizvode</w:t>
      </w:r>
      <w:r w:rsidRPr="005679E4">
        <w:rPr>
          <w:rFonts w:eastAsia="Times New Roman" w:cstheme="minorHAnsi"/>
        </w:rPr>
        <w:t>.</w:t>
      </w:r>
    </w:p>
    <w:p w14:paraId="0479A43F" w14:textId="77777777" w:rsidR="00EA51C4" w:rsidRDefault="00EA51C4" w:rsidP="00EA51C4">
      <w:pPr>
        <w:spacing w:line="276" w:lineRule="auto"/>
        <w:jc w:val="both"/>
      </w:pPr>
    </w:p>
    <w:p w14:paraId="499EABA0" w14:textId="77777777" w:rsidR="00EA51C4" w:rsidRDefault="00EA51C4" w:rsidP="00EA51C4">
      <w:pPr>
        <w:spacing w:line="276" w:lineRule="auto"/>
        <w:jc w:val="both"/>
      </w:pPr>
      <w:r>
        <w:t xml:space="preserve">Uredbom (EU) 2017/745 o medicinskim proizvodima uspostavljena je Koordinacijska skupina za medicinske proizvode. Republika Hrvatska je u </w:t>
      </w:r>
      <w:r w:rsidRPr="00C853AF">
        <w:t>MDCG</w:t>
      </w:r>
      <w:r>
        <w:t xml:space="preserve"> na</w:t>
      </w:r>
      <w:r w:rsidRPr="00C853AF">
        <w:t xml:space="preserve"> trogodišnju obnovljivu dužnost </w:t>
      </w:r>
      <w:r>
        <w:t>imenovala</w:t>
      </w:r>
      <w:r w:rsidRPr="00C853AF">
        <w:t xml:space="preserve"> člana i njegova zamjenika sa stručnim znanjem u području medicinskih proizvoda </w:t>
      </w:r>
      <w:r>
        <w:t xml:space="preserve">i </w:t>
      </w:r>
      <w:r w:rsidRPr="00C853AF">
        <w:t>in</w:t>
      </w:r>
      <w:r>
        <w:t>-</w:t>
      </w:r>
      <w:r w:rsidRPr="00C853AF">
        <w:t>vitro dijagnostičkih medicinskih proizvoda</w:t>
      </w:r>
      <w:r>
        <w:t xml:space="preserve"> iz HALMED-a. Uz redovne koordinacijske sastanke MDCG djeluje i putem podskupina koje se bave pojedinim užim područjem.</w:t>
      </w:r>
    </w:p>
    <w:p w14:paraId="672AEF71" w14:textId="77777777" w:rsidR="00EA51C4" w:rsidRDefault="00EA51C4" w:rsidP="00EA51C4">
      <w:pPr>
        <w:spacing w:line="276" w:lineRule="auto"/>
        <w:jc w:val="both"/>
      </w:pPr>
    </w:p>
    <w:p w14:paraId="7530A57A" w14:textId="77777777" w:rsidR="00EA51C4" w:rsidRDefault="00EA51C4" w:rsidP="00EA51C4">
      <w:pPr>
        <w:spacing w:line="276" w:lineRule="auto"/>
        <w:jc w:val="both"/>
      </w:pPr>
      <w:r>
        <w:t>MDCG obavlja sljedeće zadaće:</w:t>
      </w:r>
    </w:p>
    <w:p w14:paraId="66493AF2" w14:textId="77777777" w:rsidR="00EA51C4" w:rsidRDefault="00EA51C4" w:rsidP="00EA51C4">
      <w:pPr>
        <w:spacing w:line="276" w:lineRule="auto"/>
        <w:jc w:val="both"/>
      </w:pPr>
      <w:r>
        <w:t>(a) doprinosi ocjenjivanju tijela za ocjenjivanje sukladnosti koja su podnijela zahtjev i prijavljenih tijela;</w:t>
      </w:r>
    </w:p>
    <w:p w14:paraId="2267390C" w14:textId="77777777" w:rsidR="00EA51C4" w:rsidRDefault="00EA51C4" w:rsidP="00EA51C4">
      <w:pPr>
        <w:spacing w:line="276" w:lineRule="auto"/>
        <w:jc w:val="both"/>
      </w:pPr>
      <w:r>
        <w:t>(b) savjetuje EK, na njezin zahtjev, o pitanjima u vezi s koordinacijskom skupinom prijavljenih tijela;</w:t>
      </w:r>
    </w:p>
    <w:p w14:paraId="6D0440BF" w14:textId="77777777" w:rsidR="00EA51C4" w:rsidRDefault="00EA51C4" w:rsidP="00EA51C4">
      <w:pPr>
        <w:spacing w:line="276" w:lineRule="auto"/>
        <w:jc w:val="both"/>
      </w:pPr>
      <w:r>
        <w:t xml:space="preserve">(c) doprinosi razvoju smjernica kojima se nastoji osigurati učinkovita i usklađena primjena propisa, posebice u pogledu imenovanja i praćenja prijavljenih tijela, primjene općih zahtjeva sigurnosti i učinkovitosti te </w:t>
      </w:r>
      <w:r>
        <w:lastRenderedPageBreak/>
        <w:t>kliničkih procjena i ispitivanja koje provode proizvođači, ocjenjivanja koja provode prijavljena tijela i aktivnosti vigilancije;</w:t>
      </w:r>
    </w:p>
    <w:p w14:paraId="5734D2DA" w14:textId="77777777" w:rsidR="00EA51C4" w:rsidRDefault="00EA51C4" w:rsidP="00EA51C4">
      <w:pPr>
        <w:spacing w:line="276" w:lineRule="auto"/>
        <w:jc w:val="both"/>
      </w:pPr>
      <w:r>
        <w:t>(d) doprinosi stalnom praćenju tehničkog napretka i ocjenjivanju jesu li opći zahtjevi sigurnosti i učinkovitosti utvrđeni u Uredbi (EU) 2017/745 i u Uredbi (EU) 2017/746 primjereni za jamčenje sigurnosti i učinkovitosti proizvoda te time doprinosi utvrđivanju postoji li potreba za izmjenom zakonodavstva;</w:t>
      </w:r>
    </w:p>
    <w:p w14:paraId="2089CB97" w14:textId="77777777" w:rsidR="00EA51C4" w:rsidRDefault="00EA51C4" w:rsidP="00EA51C4">
      <w:pPr>
        <w:spacing w:line="276" w:lineRule="auto"/>
        <w:jc w:val="both"/>
      </w:pPr>
      <w:r>
        <w:t>(e) doprinosi izradi normi za proizvode, zajedničkih specifikacija i znanstvenih smjernica, uključujući smjernica za pojedinačni proizvod, o kliničkom ispitivanju određenih proizvoda, posebice proizvoda za ugradnju i proizvoda III. klase;</w:t>
      </w:r>
    </w:p>
    <w:p w14:paraId="615423E3" w14:textId="77777777" w:rsidR="00EA51C4" w:rsidRDefault="00EA51C4" w:rsidP="00EA51C4">
      <w:pPr>
        <w:spacing w:line="276" w:lineRule="auto"/>
        <w:jc w:val="both"/>
      </w:pPr>
      <w:r>
        <w:t>(f) pomaže nadležnim tijelima država članica u njihovim aktivnostima koordiniranja, posebno u područjima razvrstavanja i utvrđivanja regulatornog statusa proizvoda, kliničkih ispitivanja, vigilancije i nadzora tržišta, uključujući razvoj i održavanje okvira za europski program za nadzor tržišta s ciljem postizanja učinkovitosti i usklađivanja nadzora tržišta u Uniji;</w:t>
      </w:r>
    </w:p>
    <w:p w14:paraId="73F1B8F8" w14:textId="77777777" w:rsidR="00EA51C4" w:rsidRDefault="00EA51C4" w:rsidP="00EA51C4">
      <w:pPr>
        <w:spacing w:line="276" w:lineRule="auto"/>
        <w:jc w:val="both"/>
      </w:pPr>
      <w:r>
        <w:t>(g) daje savjete, na vlastitu inicijativu ili na zahtjev EK, prilikom ocjenjivanja bilo kojeg pitanja u vezi s provedbom ove Uredbe;</w:t>
      </w:r>
    </w:p>
    <w:p w14:paraId="1B51E574" w14:textId="77777777" w:rsidR="00EA51C4" w:rsidRDefault="00EA51C4" w:rsidP="00EA51C4">
      <w:pPr>
        <w:spacing w:line="276" w:lineRule="auto"/>
        <w:jc w:val="both"/>
      </w:pPr>
      <w:r>
        <w:t>(h) doprinosi usklađenoj administrativnoj praksi u pogledu proizvoda u državama članicama.</w:t>
      </w:r>
    </w:p>
    <w:p w14:paraId="2FDC4139" w14:textId="77777777" w:rsidR="00EA51C4" w:rsidRDefault="00EA51C4" w:rsidP="00EA51C4">
      <w:pPr>
        <w:spacing w:line="276" w:lineRule="auto"/>
        <w:jc w:val="both"/>
      </w:pPr>
    </w:p>
    <w:p w14:paraId="2FBEF662" w14:textId="77777777" w:rsidR="00EA51C4" w:rsidRDefault="00EA51C4" w:rsidP="00EA51C4">
      <w:pPr>
        <w:spacing w:line="276" w:lineRule="auto"/>
        <w:jc w:val="both"/>
      </w:pPr>
      <w:r w:rsidRPr="00702551">
        <w:t>U izvještajnom razdoblju HALMED-ov delegat je prisustvovao na tri sastanka MDCG-a.</w:t>
      </w:r>
      <w:r>
        <w:t xml:space="preserve"> </w:t>
      </w:r>
    </w:p>
    <w:p w14:paraId="4BFEDCCD" w14:textId="77777777" w:rsidR="00EA51C4" w:rsidRDefault="00EA51C4" w:rsidP="00EA51C4">
      <w:pPr>
        <w:spacing w:line="276" w:lineRule="auto"/>
        <w:jc w:val="both"/>
      </w:pPr>
      <w:r>
        <w:t>Na sastanku u veljači, dogovoren je predložak za komunikaciju nadležnih tijela u pogledu odobravanja medicinskih proizvoda kojima su istekle potvrde o sukladnosti, a iz pozicije nadzora tržišta. Također najavljena je izmjena prijelaznih odredbi za implementaciju novog zakonodavstva u cilju smanjivanja rizika od nestašica medicinskih proizvoda koje bi mogle nastupiti iz regulatornih razloga. Prihvaćen je plan rada podskupina MDCG-a. Izvješteno je o aktivnostima u vezi s referentnim laboratorijima, napretku zajedničkih nadzora i odobravanju prijavljenih tijela te o stručnim skupinama.</w:t>
      </w:r>
    </w:p>
    <w:p w14:paraId="0B697E17" w14:textId="77777777" w:rsidR="00EA51C4" w:rsidRDefault="00EA51C4" w:rsidP="00EA51C4">
      <w:pPr>
        <w:spacing w:line="276" w:lineRule="auto"/>
        <w:jc w:val="both"/>
      </w:pPr>
      <w:r>
        <w:t>Na sastanku u travnju, naglasak je stavljen na implementaciju Uredbe (EU) 2017/746 posebno u vezi studija učinkovitosti i referentnih laboratorija. Također, raspravljeno je i o međusobnom obavještavanju nadležnih tijela vezano uz poduzete mjere nadzora tržišta. Predstavljeni su programi za sprječavanje nestašica kritičnih medicinskih proivzoda za vrijeme javnozdravstvenih kriza – EMA i HERA.</w:t>
      </w:r>
    </w:p>
    <w:p w14:paraId="6916F51F" w14:textId="77777777" w:rsidR="00EA51C4" w:rsidRDefault="00EA51C4" w:rsidP="00EA51C4">
      <w:pPr>
        <w:spacing w:line="276" w:lineRule="auto"/>
        <w:jc w:val="both"/>
      </w:pPr>
      <w:r>
        <w:t>Na sastanku u lipnju, EK je izvijestila o napretku implementacije novih uredbi, o izrađenom prijedlogu prilagodbe UDI sustava za kontakne leće, o radu stručnih skupina, o reviziji farmaceutskog zakonodavstva te o statusu EU4Health projekta. Raspravljeno je o ocjenjivanju sukladnosti in vitro dijagnostičkih medicinskih proizvoda klase D te o odnostu Uredbe (EU) 2017/745 te Uredbe (EU) 2017/746 i uredbe o kliničkim ispitivanjima – CTR.</w:t>
      </w:r>
    </w:p>
    <w:p w14:paraId="30C68C04" w14:textId="77777777" w:rsidR="00EA51C4" w:rsidRPr="00C853AF" w:rsidRDefault="00EA51C4" w:rsidP="00EA51C4"/>
    <w:p w14:paraId="4BF6428E" w14:textId="77777777" w:rsidR="00EA51C4" w:rsidRDefault="00EA51C4" w:rsidP="00EA51C4">
      <w:pPr>
        <w:spacing w:after="240"/>
        <w:rPr>
          <w:b/>
        </w:rPr>
      </w:pPr>
      <w:r>
        <w:rPr>
          <w:b/>
        </w:rPr>
        <w:t>Podskupine MDCG-a:</w:t>
      </w:r>
    </w:p>
    <w:p w14:paraId="416417E7" w14:textId="77777777" w:rsidR="00EA51C4" w:rsidRPr="00F628C0" w:rsidRDefault="00EA51C4" w:rsidP="00EA51C4">
      <w:pPr>
        <w:spacing w:after="240"/>
        <w:rPr>
          <w:rFonts w:cstheme="minorHAnsi"/>
          <w:b/>
        </w:rPr>
      </w:pPr>
      <w:r w:rsidRPr="00FA542C">
        <w:rPr>
          <w:b/>
        </w:rPr>
        <w:t xml:space="preserve">A) </w:t>
      </w:r>
      <w:r>
        <w:rPr>
          <w:rFonts w:cstheme="minorHAnsi"/>
          <w:b/>
        </w:rPr>
        <w:t>Skupina za m</w:t>
      </w:r>
      <w:r w:rsidRPr="00F628C0">
        <w:rPr>
          <w:rFonts w:cstheme="minorHAnsi"/>
          <w:b/>
        </w:rPr>
        <w:t>eđunarodn</w:t>
      </w:r>
      <w:r>
        <w:rPr>
          <w:rFonts w:cstheme="minorHAnsi"/>
          <w:b/>
        </w:rPr>
        <w:t>u</w:t>
      </w:r>
      <w:r w:rsidRPr="00F628C0">
        <w:rPr>
          <w:rFonts w:cstheme="minorHAnsi"/>
          <w:b/>
        </w:rPr>
        <w:t xml:space="preserve"> </w:t>
      </w:r>
      <w:r>
        <w:rPr>
          <w:rFonts w:cstheme="minorHAnsi"/>
          <w:b/>
        </w:rPr>
        <w:t>suradnju</w:t>
      </w:r>
      <w:r w:rsidRPr="00F628C0">
        <w:rPr>
          <w:rFonts w:cstheme="minorHAnsi"/>
          <w:b/>
        </w:rPr>
        <w:t xml:space="preserve"> (I</w:t>
      </w:r>
      <w:r>
        <w:rPr>
          <w:rFonts w:cstheme="minorHAnsi"/>
          <w:b/>
        </w:rPr>
        <w:t>NT</w:t>
      </w:r>
      <w:r w:rsidRPr="00F628C0">
        <w:rPr>
          <w:rFonts w:cstheme="minorHAnsi"/>
          <w:b/>
        </w:rPr>
        <w:t>)</w:t>
      </w:r>
    </w:p>
    <w:p w14:paraId="37F5DC59" w14:textId="77777777" w:rsidR="00EA51C4" w:rsidRDefault="00EA51C4" w:rsidP="00EA51C4">
      <w:pPr>
        <w:spacing w:before="240" w:after="240" w:line="276" w:lineRule="auto"/>
        <w:jc w:val="both"/>
        <w:rPr>
          <w:rFonts w:eastAsia="Times New Roman" w:cstheme="minorHAnsi"/>
        </w:rPr>
      </w:pPr>
      <w:r w:rsidRPr="00F628C0">
        <w:rPr>
          <w:rFonts w:eastAsia="Times New Roman" w:cstheme="minorHAnsi"/>
        </w:rPr>
        <w:t xml:space="preserve">U </w:t>
      </w:r>
      <w:r>
        <w:rPr>
          <w:rFonts w:eastAsia="Times New Roman" w:cstheme="minorHAnsi"/>
        </w:rPr>
        <w:t xml:space="preserve">skupini </w:t>
      </w:r>
      <w:r w:rsidRPr="002A4F78">
        <w:rPr>
          <w:rFonts w:cstheme="minorHAnsi"/>
        </w:rPr>
        <w:t xml:space="preserve">za </w:t>
      </w:r>
      <w:r>
        <w:rPr>
          <w:rFonts w:cstheme="minorHAnsi"/>
        </w:rPr>
        <w:t>m</w:t>
      </w:r>
      <w:r w:rsidRPr="002A4F78">
        <w:rPr>
          <w:rFonts w:cstheme="minorHAnsi"/>
        </w:rPr>
        <w:t>eđunarodn</w:t>
      </w:r>
      <w:r>
        <w:rPr>
          <w:rFonts w:cstheme="minorHAnsi"/>
        </w:rPr>
        <w:t>u</w:t>
      </w:r>
      <w:r w:rsidRPr="002A4F78">
        <w:rPr>
          <w:rFonts w:cstheme="minorHAnsi"/>
        </w:rPr>
        <w:t xml:space="preserve"> </w:t>
      </w:r>
      <w:r>
        <w:rPr>
          <w:rFonts w:cstheme="minorHAnsi"/>
        </w:rPr>
        <w:t>suradnju,</w:t>
      </w:r>
      <w:r w:rsidRPr="00F628C0">
        <w:rPr>
          <w:rFonts w:eastAsia="Times New Roman" w:cstheme="minorHAnsi"/>
        </w:rPr>
        <w:t xml:space="preserve"> </w:t>
      </w:r>
      <w:r w:rsidRPr="002A7542">
        <w:rPr>
          <w:rFonts w:eastAsia="Times New Roman" w:cstheme="minorHAnsi"/>
        </w:rPr>
        <w:t>Republiku Hrvatsku</w:t>
      </w:r>
      <w:r w:rsidRPr="00F628C0">
        <w:rPr>
          <w:rFonts w:eastAsia="Times New Roman" w:cstheme="minorHAnsi"/>
        </w:rPr>
        <w:t xml:space="preserve"> predstavlja</w:t>
      </w:r>
      <w:r>
        <w:rPr>
          <w:rFonts w:eastAsia="Times New Roman" w:cstheme="minorHAnsi"/>
        </w:rPr>
        <w:t>ju</w:t>
      </w:r>
      <w:r w:rsidRPr="00F628C0">
        <w:rPr>
          <w:rFonts w:eastAsia="Times New Roman" w:cstheme="minorHAnsi"/>
        </w:rPr>
        <w:t xml:space="preserve"> </w:t>
      </w:r>
      <w:r>
        <w:rPr>
          <w:rFonts w:eastAsia="Times New Roman" w:cstheme="minorHAnsi"/>
        </w:rPr>
        <w:t>dva</w:t>
      </w:r>
      <w:r w:rsidRPr="00F628C0">
        <w:rPr>
          <w:rFonts w:eastAsia="Times New Roman" w:cstheme="minorHAnsi"/>
        </w:rPr>
        <w:t xml:space="preserve"> delegat</w:t>
      </w:r>
      <w:r>
        <w:rPr>
          <w:rFonts w:eastAsia="Times New Roman" w:cstheme="minorHAnsi"/>
        </w:rPr>
        <w:t>a</w:t>
      </w:r>
      <w:r w:rsidRPr="00F628C0">
        <w:rPr>
          <w:rFonts w:eastAsia="Times New Roman" w:cstheme="minorHAnsi"/>
        </w:rPr>
        <w:t xml:space="preserve"> iz HALMED-a. </w:t>
      </w:r>
      <w:r>
        <w:rPr>
          <w:rFonts w:eastAsia="Times New Roman" w:cstheme="minorHAnsi"/>
        </w:rPr>
        <w:t>Skupina donosi zajedničke stavove za potrebe sudjelovanja EU u</w:t>
      </w:r>
      <w:r w:rsidRPr="00F628C0">
        <w:rPr>
          <w:rFonts w:eastAsia="Times New Roman" w:cstheme="minorHAnsi"/>
        </w:rPr>
        <w:t xml:space="preserve"> </w:t>
      </w:r>
      <w:r w:rsidRPr="002A4F78">
        <w:rPr>
          <w:rFonts w:cstheme="minorHAnsi"/>
        </w:rPr>
        <w:t>Međunarodno</w:t>
      </w:r>
      <w:r>
        <w:rPr>
          <w:rFonts w:cstheme="minorHAnsi"/>
        </w:rPr>
        <w:t>m</w:t>
      </w:r>
      <w:r w:rsidRPr="002A4F78">
        <w:rPr>
          <w:rFonts w:cstheme="minorHAnsi"/>
        </w:rPr>
        <w:t xml:space="preserve"> regulatorno</w:t>
      </w:r>
      <w:r>
        <w:rPr>
          <w:rFonts w:cstheme="minorHAnsi"/>
        </w:rPr>
        <w:t>m</w:t>
      </w:r>
      <w:r w:rsidRPr="002A4F78">
        <w:rPr>
          <w:rFonts w:cstheme="minorHAnsi"/>
        </w:rPr>
        <w:t xml:space="preserve"> forum</w:t>
      </w:r>
      <w:r>
        <w:rPr>
          <w:rFonts w:cstheme="minorHAnsi"/>
        </w:rPr>
        <w:t>u za</w:t>
      </w:r>
      <w:r w:rsidRPr="002A4F78">
        <w:rPr>
          <w:rFonts w:cstheme="minorHAnsi"/>
        </w:rPr>
        <w:t xml:space="preserve"> medicinske proizvode (IMDRF)</w:t>
      </w:r>
      <w:r>
        <w:rPr>
          <w:rFonts w:eastAsia="Times New Roman" w:cstheme="minorHAnsi"/>
        </w:rPr>
        <w:t>.</w:t>
      </w:r>
    </w:p>
    <w:p w14:paraId="6E131D98" w14:textId="77777777" w:rsidR="00EA51C4" w:rsidRDefault="00EA51C4" w:rsidP="00EA51C4">
      <w:pPr>
        <w:spacing w:before="240" w:after="240" w:line="276" w:lineRule="auto"/>
        <w:jc w:val="both"/>
        <w:rPr>
          <w:rFonts w:eastAsia="Times New Roman" w:cstheme="minorHAnsi"/>
        </w:rPr>
      </w:pPr>
      <w:r w:rsidRPr="00702551">
        <w:rPr>
          <w:rFonts w:eastAsia="Times New Roman" w:cstheme="minorHAnsi"/>
        </w:rPr>
        <w:t>U izvještajnom razdoblju delegat iz HALMED-a je prisustvovao jednom sastanku.</w:t>
      </w:r>
      <w:r w:rsidRPr="00844E58">
        <w:rPr>
          <w:rFonts w:eastAsia="Times New Roman" w:cstheme="minorHAnsi"/>
        </w:rPr>
        <w:t xml:space="preserve"> </w:t>
      </w:r>
      <w:r>
        <w:rPr>
          <w:rFonts w:eastAsia="Times New Roman" w:cstheme="minorHAnsi"/>
        </w:rPr>
        <w:t xml:space="preserve">Na sastanku u ožujku nastavljen je rad na području nomenklature koja se rabi za opisivanje štetnih događaja, dobre regulatorne prakse, personaliziranih medicinskih proizvoda, kibernetičke sigurnosti, medicinskih proizvoda koji se temelje na softveru, sustava upravljanja kvalitetom te području dobre prakse u vezi sustava strojnog učenja. </w:t>
      </w:r>
    </w:p>
    <w:p w14:paraId="6E633332" w14:textId="77777777" w:rsidR="00EA51C4" w:rsidRDefault="00EA51C4" w:rsidP="00EA51C4">
      <w:pPr>
        <w:spacing w:after="240"/>
        <w:rPr>
          <w:b/>
        </w:rPr>
      </w:pPr>
      <w:r>
        <w:rPr>
          <w:b/>
        </w:rPr>
        <w:lastRenderedPageBreak/>
        <w:t xml:space="preserve">B) Radna skupina za in vitro dijagnostičke medicinske proizvode </w:t>
      </w:r>
      <w:r w:rsidRPr="009A5ED8">
        <w:rPr>
          <w:b/>
        </w:rPr>
        <w:t>(IVD)</w:t>
      </w:r>
    </w:p>
    <w:p w14:paraId="6EB0036A" w14:textId="77777777" w:rsidR="00EA51C4" w:rsidRDefault="00EA51C4" w:rsidP="00EA51C4">
      <w:pPr>
        <w:spacing w:before="240" w:after="240" w:line="276" w:lineRule="auto"/>
        <w:jc w:val="both"/>
        <w:rPr>
          <w:rFonts w:eastAsia="Times New Roman" w:cstheme="minorHAnsi"/>
        </w:rPr>
      </w:pPr>
      <w:r w:rsidRPr="005679E4">
        <w:rPr>
          <w:rFonts w:eastAsia="Times New Roman" w:cstheme="minorHAnsi"/>
        </w:rPr>
        <w:t>U IVD skupini</w:t>
      </w:r>
      <w:r>
        <w:rPr>
          <w:rFonts w:eastAsia="Times New Roman" w:cstheme="minorHAnsi"/>
        </w:rPr>
        <w:t xml:space="preserve"> </w:t>
      </w:r>
      <w:r w:rsidRPr="002A7542">
        <w:rPr>
          <w:rFonts w:eastAsia="Times New Roman" w:cstheme="minorHAnsi"/>
        </w:rPr>
        <w:t xml:space="preserve">Republiku Hrvatsku </w:t>
      </w:r>
      <w:r w:rsidRPr="005679E4">
        <w:rPr>
          <w:rFonts w:eastAsia="Times New Roman" w:cstheme="minorHAnsi"/>
        </w:rPr>
        <w:t>predstavlja jedan delegat iz HALMED-a.</w:t>
      </w:r>
      <w:r>
        <w:rPr>
          <w:rFonts w:eastAsia="Times New Roman" w:cstheme="minorHAnsi"/>
        </w:rPr>
        <w:t xml:space="preserve"> Skupina se bavi pitanjima koja su specifična za in vitro dijagnostičke medicinske proizvode. U izvještajnom razdoblju održan je jedan sastanak. Na sastanku u ožujku raspravljeno je o odnosu referentnih laboratorija uspostavljenih temeljem Uredbe (EU) 2017/746 – EURL prema mreži laboratorija DURABLE uspostavljenoj od strane HERA-a te referentnim laboratorijima uspostavljenim temeljem Uredbe (EU) 2022/2371. Najavljeno je ukidanje zajedničke liste antigenskih testova za dijagnostiku COVID-19. Države članice podijelile su iskustva vezano uz zahtjeve za odobrenje studija učinkovitosti in vitro dijagnostičkih medicinskih proizvoda. </w:t>
      </w:r>
    </w:p>
    <w:p w14:paraId="717FFC41" w14:textId="77777777" w:rsidR="00EA51C4" w:rsidRPr="009A7329" w:rsidRDefault="00EA51C4" w:rsidP="00EA51C4">
      <w:pPr>
        <w:spacing w:before="240" w:after="240" w:line="276" w:lineRule="auto"/>
        <w:jc w:val="both"/>
        <w:rPr>
          <w:rFonts w:eastAsia="Times New Roman" w:cstheme="minorHAnsi"/>
        </w:rPr>
      </w:pPr>
      <w:r>
        <w:rPr>
          <w:b/>
        </w:rPr>
        <w:t>C</w:t>
      </w:r>
      <w:r w:rsidRPr="00A024A8">
        <w:rPr>
          <w:b/>
        </w:rPr>
        <w:t xml:space="preserve">) </w:t>
      </w:r>
      <w:r>
        <w:rPr>
          <w:b/>
        </w:rPr>
        <w:t xml:space="preserve">Radna skupina za posttržišno praćenje medicinskih proizvoda i područje vigilancije </w:t>
      </w:r>
      <w:r w:rsidRPr="00A024A8">
        <w:rPr>
          <w:b/>
        </w:rPr>
        <w:t>(</w:t>
      </w:r>
      <w:r>
        <w:rPr>
          <w:b/>
        </w:rPr>
        <w:t>PMSV</w:t>
      </w:r>
      <w:r w:rsidRPr="00A024A8">
        <w:rPr>
          <w:b/>
        </w:rPr>
        <w:t>)</w:t>
      </w:r>
    </w:p>
    <w:p w14:paraId="55FD4877" w14:textId="77777777" w:rsidR="00EA51C4" w:rsidRDefault="00EA51C4" w:rsidP="00EA51C4">
      <w:pPr>
        <w:spacing w:after="240" w:line="276" w:lineRule="auto"/>
        <w:jc w:val="both"/>
        <w:rPr>
          <w:rFonts w:eastAsia="Times New Roman" w:cstheme="minorHAnsi"/>
        </w:rPr>
      </w:pPr>
      <w:r w:rsidRPr="005679E4">
        <w:rPr>
          <w:rFonts w:eastAsia="Times New Roman" w:cstheme="minorHAnsi"/>
        </w:rPr>
        <w:t xml:space="preserve">U </w:t>
      </w:r>
      <w:r w:rsidRPr="005679E4">
        <w:t>Radnoj skupini stručnjaka za medicinske proizvode u području vigilancije</w:t>
      </w:r>
      <w:r w:rsidRPr="005679E4">
        <w:rPr>
          <w:b/>
        </w:rPr>
        <w:t xml:space="preserve"> </w:t>
      </w:r>
      <w:r w:rsidRPr="005679E4">
        <w:rPr>
          <w:rFonts w:eastAsia="Times New Roman" w:cstheme="minorHAnsi"/>
        </w:rPr>
        <w:t>(</w:t>
      </w:r>
      <w:r>
        <w:rPr>
          <w:rFonts w:eastAsia="Times New Roman" w:cstheme="minorHAnsi"/>
        </w:rPr>
        <w:t>PMSV</w:t>
      </w:r>
      <w:r w:rsidRPr="005679E4">
        <w:rPr>
          <w:rFonts w:eastAsia="Times New Roman" w:cstheme="minorHAnsi"/>
        </w:rPr>
        <w:t xml:space="preserve">) </w:t>
      </w:r>
      <w:r w:rsidRPr="002A7542">
        <w:rPr>
          <w:rFonts w:eastAsia="Times New Roman" w:cstheme="minorHAnsi"/>
        </w:rPr>
        <w:t>Republiku Hrvatsku</w:t>
      </w:r>
      <w:r w:rsidRPr="005679E4">
        <w:rPr>
          <w:rFonts w:eastAsia="Times New Roman" w:cstheme="minorHAnsi"/>
        </w:rPr>
        <w:t xml:space="preserve"> predstavlja</w:t>
      </w:r>
      <w:r>
        <w:rPr>
          <w:rFonts w:eastAsia="Times New Roman" w:cstheme="minorHAnsi"/>
        </w:rPr>
        <w:t>ju</w:t>
      </w:r>
      <w:r w:rsidRPr="005679E4">
        <w:rPr>
          <w:rFonts w:eastAsia="Times New Roman" w:cstheme="minorHAnsi"/>
        </w:rPr>
        <w:t xml:space="preserve"> </w:t>
      </w:r>
      <w:r>
        <w:rPr>
          <w:rFonts w:eastAsia="Times New Roman" w:cstheme="minorHAnsi"/>
        </w:rPr>
        <w:t>dva</w:t>
      </w:r>
      <w:r w:rsidRPr="005679E4">
        <w:rPr>
          <w:rFonts w:eastAsia="Times New Roman" w:cstheme="minorHAnsi"/>
        </w:rPr>
        <w:t xml:space="preserve"> delegat</w:t>
      </w:r>
      <w:r>
        <w:rPr>
          <w:rFonts w:eastAsia="Times New Roman" w:cstheme="minorHAnsi"/>
        </w:rPr>
        <w:t>a</w:t>
      </w:r>
      <w:r w:rsidRPr="005679E4">
        <w:rPr>
          <w:rFonts w:eastAsia="Times New Roman" w:cstheme="minorHAnsi"/>
        </w:rPr>
        <w:t xml:space="preserve"> HALMED-a.</w:t>
      </w:r>
      <w:r>
        <w:rPr>
          <w:rFonts w:eastAsia="Times New Roman" w:cstheme="minorHAnsi"/>
        </w:rPr>
        <w:t xml:space="preserve"> </w:t>
      </w:r>
    </w:p>
    <w:p w14:paraId="70D1EAFF" w14:textId="77777777" w:rsidR="00EA51C4" w:rsidRDefault="00EA51C4" w:rsidP="00EA51C4">
      <w:pPr>
        <w:spacing w:after="240" w:line="276" w:lineRule="auto"/>
        <w:jc w:val="both"/>
      </w:pPr>
      <w:r>
        <w:t>N</w:t>
      </w:r>
      <w:r w:rsidRPr="00844E58">
        <w:t xml:space="preserve">a </w:t>
      </w:r>
      <w:r>
        <w:t xml:space="preserve">sastanku u ožujku raspravljeno je o potrebi prilagodbe smjernica o pojmovima iz područja vigilancije za in vitro dijagnostičke medicinske proizvode, smjernica za izradu periodičkog izvješća o neškodljivosti te izvješća o razvojnim kretanjima. EK je izvijestila o napretku razvoja modula za vigilanciju u sustavu Eudamed. </w:t>
      </w:r>
    </w:p>
    <w:p w14:paraId="40313CCF" w14:textId="77777777" w:rsidR="00EA51C4" w:rsidRDefault="00EA51C4" w:rsidP="00EA51C4">
      <w:pPr>
        <w:spacing w:after="240" w:line="276" w:lineRule="auto"/>
        <w:jc w:val="both"/>
      </w:pPr>
      <w:r>
        <w:t>Na sastanku u lipnju predstavljena je finalna verzija novog MIR obrasca te napredak vezan uz izmjenu formata FSCA. EK izvijestila je o statusu modula Eudamed-a koji je namijenjen vigilanciji te je raspravljeno o smjernicama, izvješću o razvojim kretanjima te specifičnim smjernicama za prijavljivanje štetnih događaja, o koordinaciji među nadležnim tijelima te o PSUR-u.</w:t>
      </w:r>
    </w:p>
    <w:p w14:paraId="3BF6BAEC" w14:textId="77777777" w:rsidR="00EA51C4" w:rsidRDefault="00EA51C4" w:rsidP="00EA51C4">
      <w:pPr>
        <w:spacing w:after="240" w:line="276" w:lineRule="auto"/>
        <w:jc w:val="both"/>
      </w:pPr>
      <w:r>
        <w:t>Na sastanku u studenom predstavljen je novi MIR obrazac i FSCA obrazac koji se očekuju u lipnju 2024. također je naglasak bio na suradnji s EMA-om i drugim organizacijama za tkivo i stanice vezano uz proizvode kojima su u ocjenu sukladnosti bila uključena takva tijela.</w:t>
      </w:r>
    </w:p>
    <w:p w14:paraId="036DD4E4" w14:textId="77777777" w:rsidR="00EA51C4" w:rsidRPr="00F628C0" w:rsidRDefault="00EA51C4" w:rsidP="00EA51C4">
      <w:pPr>
        <w:spacing w:before="240" w:after="240" w:line="276" w:lineRule="auto"/>
        <w:jc w:val="both"/>
        <w:rPr>
          <w:rFonts w:eastAsia="Times New Roman" w:cstheme="minorHAnsi"/>
          <w:b/>
        </w:rPr>
      </w:pPr>
      <w:r>
        <w:rPr>
          <w:rFonts w:eastAsia="Times New Roman" w:cstheme="minorHAnsi"/>
          <w:b/>
        </w:rPr>
        <w:t>D</w:t>
      </w:r>
      <w:r w:rsidRPr="00F628C0">
        <w:rPr>
          <w:rFonts w:eastAsia="Times New Roman" w:cstheme="minorHAnsi"/>
          <w:b/>
        </w:rPr>
        <w:t xml:space="preserve">) Radna skupina za </w:t>
      </w:r>
      <w:r>
        <w:rPr>
          <w:rFonts w:eastAsia="Times New Roman" w:cstheme="minorHAnsi"/>
          <w:b/>
        </w:rPr>
        <w:t>nove tehnologije</w:t>
      </w:r>
      <w:r w:rsidRPr="00F628C0">
        <w:rPr>
          <w:rFonts w:eastAsia="Times New Roman" w:cstheme="minorHAnsi"/>
          <w:b/>
        </w:rPr>
        <w:t xml:space="preserve"> (</w:t>
      </w:r>
      <w:r>
        <w:rPr>
          <w:rFonts w:eastAsia="Times New Roman" w:cstheme="minorHAnsi"/>
          <w:b/>
        </w:rPr>
        <w:t>New Technologies</w:t>
      </w:r>
      <w:r w:rsidRPr="00F628C0">
        <w:rPr>
          <w:rFonts w:eastAsia="Times New Roman" w:cstheme="minorHAnsi"/>
          <w:b/>
        </w:rPr>
        <w:t>)</w:t>
      </w:r>
    </w:p>
    <w:p w14:paraId="278CEA8C" w14:textId="77777777" w:rsidR="00EA51C4" w:rsidRDefault="00EA51C4" w:rsidP="00EA51C4">
      <w:pPr>
        <w:spacing w:before="240" w:after="240" w:line="276" w:lineRule="auto"/>
        <w:jc w:val="both"/>
        <w:rPr>
          <w:rFonts w:eastAsia="Times New Roman" w:cstheme="minorHAnsi"/>
        </w:rPr>
      </w:pPr>
      <w:r w:rsidRPr="005679E4">
        <w:rPr>
          <w:rFonts w:eastAsia="Times New Roman" w:cstheme="minorHAnsi"/>
        </w:rPr>
        <w:t xml:space="preserve">U </w:t>
      </w:r>
      <w:r w:rsidRPr="00F628C0">
        <w:rPr>
          <w:rFonts w:eastAsia="Times New Roman" w:cstheme="minorHAnsi"/>
        </w:rPr>
        <w:t>Radn</w:t>
      </w:r>
      <w:r>
        <w:rPr>
          <w:rFonts w:eastAsia="Times New Roman" w:cstheme="minorHAnsi"/>
        </w:rPr>
        <w:t>oj</w:t>
      </w:r>
      <w:r w:rsidRPr="00F628C0">
        <w:rPr>
          <w:rFonts w:eastAsia="Times New Roman" w:cstheme="minorHAnsi"/>
        </w:rPr>
        <w:t xml:space="preserve"> skupin</w:t>
      </w:r>
      <w:r>
        <w:rPr>
          <w:rFonts w:eastAsia="Times New Roman" w:cstheme="minorHAnsi"/>
        </w:rPr>
        <w:t>i</w:t>
      </w:r>
      <w:r w:rsidRPr="00F628C0">
        <w:rPr>
          <w:rFonts w:eastAsia="Times New Roman" w:cstheme="minorHAnsi"/>
        </w:rPr>
        <w:t xml:space="preserve"> za </w:t>
      </w:r>
      <w:r w:rsidRPr="009C5415">
        <w:rPr>
          <w:rFonts w:eastAsia="Times New Roman" w:cstheme="minorHAnsi"/>
        </w:rPr>
        <w:t>nove i nadolazeće tehnologije</w:t>
      </w:r>
      <w:r>
        <w:rPr>
          <w:rFonts w:eastAsia="Times New Roman" w:cstheme="minorHAnsi"/>
        </w:rPr>
        <w:t>,</w:t>
      </w:r>
      <w:r w:rsidRPr="005679E4">
        <w:rPr>
          <w:rFonts w:eastAsia="Times New Roman" w:cstheme="minorHAnsi"/>
        </w:rPr>
        <w:t xml:space="preserve"> </w:t>
      </w:r>
      <w:r w:rsidRPr="002A7542">
        <w:rPr>
          <w:rFonts w:eastAsia="Times New Roman" w:cstheme="minorHAnsi"/>
        </w:rPr>
        <w:t>Republiku Hrvatsku</w:t>
      </w:r>
      <w:r w:rsidRPr="005679E4">
        <w:rPr>
          <w:rFonts w:eastAsia="Times New Roman" w:cstheme="minorHAnsi"/>
        </w:rPr>
        <w:t xml:space="preserve"> predstavlja</w:t>
      </w:r>
      <w:r>
        <w:rPr>
          <w:rFonts w:eastAsia="Times New Roman" w:cstheme="minorHAnsi"/>
        </w:rPr>
        <w:t>ju</w:t>
      </w:r>
      <w:r w:rsidRPr="005679E4">
        <w:rPr>
          <w:rFonts w:eastAsia="Times New Roman" w:cstheme="minorHAnsi"/>
        </w:rPr>
        <w:t xml:space="preserve"> </w:t>
      </w:r>
      <w:r>
        <w:rPr>
          <w:rFonts w:eastAsia="Times New Roman" w:cstheme="minorHAnsi"/>
        </w:rPr>
        <w:t>dva</w:t>
      </w:r>
      <w:r w:rsidRPr="005679E4">
        <w:rPr>
          <w:rFonts w:eastAsia="Times New Roman" w:cstheme="minorHAnsi"/>
        </w:rPr>
        <w:t xml:space="preserve"> delegat</w:t>
      </w:r>
      <w:r>
        <w:rPr>
          <w:rFonts w:eastAsia="Times New Roman" w:cstheme="minorHAnsi"/>
        </w:rPr>
        <w:t>a</w:t>
      </w:r>
      <w:r w:rsidRPr="005679E4">
        <w:rPr>
          <w:rFonts w:eastAsia="Times New Roman" w:cstheme="minorHAnsi"/>
        </w:rPr>
        <w:t xml:space="preserve"> iz HALMED-a.</w:t>
      </w:r>
      <w:r>
        <w:rPr>
          <w:rFonts w:eastAsia="Times New Roman" w:cstheme="minorHAnsi"/>
        </w:rPr>
        <w:t xml:space="preserve"> Radna skupina se primarno bavi procjenom prikladnosti postojećeg regulatornog okvira u odnosu na medicinske proizvode koji se temelje na novim i nadolazećim tehnologijama poput aditivnih tehnologija u proizvodnji, umjetne inteligencije i slično. U izvještajnom razdoblju održan je jedan sastanak. Na sastanaku je raspravljeno o mogućim načinima sustavnog praćenja nadolazećih tehnologija kako bi se na vrijeme takve tehnologije procijenilo. Finaliziran je dokument koji bi trebao biti proslijeđen skupini za razvrstavanje proizvoda, a odnosi se na kombinirane sustave proizvoda koji sadrže hardverske komponente.</w:t>
      </w:r>
    </w:p>
    <w:p w14:paraId="640ECDC8" w14:textId="77777777" w:rsidR="00EA51C4" w:rsidRDefault="00EA51C4" w:rsidP="00EA51C4">
      <w:pPr>
        <w:spacing w:before="240" w:after="240" w:line="276" w:lineRule="auto"/>
        <w:jc w:val="both"/>
        <w:rPr>
          <w:rFonts w:eastAsia="Times New Roman" w:cstheme="minorHAnsi"/>
        </w:rPr>
      </w:pPr>
      <w:r>
        <w:rPr>
          <w:rFonts w:eastAsia="Times New Roman" w:cstheme="minorHAnsi"/>
        </w:rPr>
        <w:t>Na sastanku u prosincu raspravljalo se o e</w:t>
      </w:r>
      <w:r w:rsidRPr="00326B6A">
        <w:rPr>
          <w:rFonts w:eastAsia="Times New Roman" w:cstheme="minorHAnsi"/>
        </w:rPr>
        <w:t>lektroničk</w:t>
      </w:r>
      <w:r>
        <w:rPr>
          <w:rFonts w:eastAsia="Times New Roman" w:cstheme="minorHAnsi"/>
        </w:rPr>
        <w:t>im</w:t>
      </w:r>
      <w:r w:rsidRPr="00326B6A">
        <w:rPr>
          <w:rFonts w:eastAsia="Times New Roman" w:cstheme="minorHAnsi"/>
        </w:rPr>
        <w:t xml:space="preserve"> uput</w:t>
      </w:r>
      <w:r>
        <w:rPr>
          <w:rFonts w:eastAsia="Times New Roman" w:cstheme="minorHAnsi"/>
        </w:rPr>
        <w:t>ama</w:t>
      </w:r>
      <w:r w:rsidRPr="00326B6A">
        <w:rPr>
          <w:rFonts w:eastAsia="Times New Roman" w:cstheme="minorHAnsi"/>
        </w:rPr>
        <w:t xml:space="preserve"> za uporabu - prezentacija &amp; diskusija, uz EK uključeni MedTech, Spectaris &amp; Medical Mountains i Euromcontact - predložena izmjena Uredbe 2017/745 kojom bi se omogućilo stavljanje u promet medicinskih proizvoda koji su namjenjeni isključivo za profesionalnu uporabu, samo s i-IFU (elektronička uputa za uporabu).</w:t>
      </w:r>
    </w:p>
    <w:p w14:paraId="26F95217" w14:textId="77777777" w:rsidR="00EA51C4" w:rsidRPr="00F628C0" w:rsidRDefault="00EA51C4" w:rsidP="00EA51C4">
      <w:pPr>
        <w:spacing w:before="240" w:after="240" w:line="276" w:lineRule="auto"/>
        <w:jc w:val="both"/>
        <w:rPr>
          <w:rFonts w:eastAsia="Times New Roman" w:cstheme="minorHAnsi"/>
          <w:b/>
        </w:rPr>
      </w:pPr>
      <w:r>
        <w:rPr>
          <w:rFonts w:eastAsia="Times New Roman" w:cstheme="minorHAnsi"/>
          <w:b/>
        </w:rPr>
        <w:t>E</w:t>
      </w:r>
      <w:r w:rsidRPr="00F628C0">
        <w:rPr>
          <w:rFonts w:eastAsia="Times New Roman" w:cstheme="minorHAnsi"/>
          <w:b/>
        </w:rPr>
        <w:t xml:space="preserve">) </w:t>
      </w:r>
      <w:r>
        <w:rPr>
          <w:rFonts w:eastAsia="Times New Roman" w:cstheme="minorHAnsi"/>
          <w:b/>
        </w:rPr>
        <w:t>Radna skupina za granične proizvode i razvrstavanje medicinskih proizvoda</w:t>
      </w:r>
      <w:r w:rsidRPr="00F628C0">
        <w:rPr>
          <w:rFonts w:eastAsia="Times New Roman" w:cstheme="minorHAnsi"/>
          <w:b/>
        </w:rPr>
        <w:t xml:space="preserve"> (</w:t>
      </w:r>
      <w:r>
        <w:rPr>
          <w:rFonts w:eastAsia="Times New Roman" w:cstheme="minorHAnsi"/>
          <w:b/>
        </w:rPr>
        <w:t>Borderline &amp; Classification group</w:t>
      </w:r>
      <w:r w:rsidRPr="00F628C0">
        <w:rPr>
          <w:rFonts w:eastAsia="Times New Roman" w:cstheme="minorHAnsi"/>
          <w:b/>
        </w:rPr>
        <w:t>)</w:t>
      </w:r>
    </w:p>
    <w:p w14:paraId="45CF0D6E" w14:textId="77777777" w:rsidR="00EA51C4" w:rsidRDefault="00EA51C4" w:rsidP="00EA51C4">
      <w:pPr>
        <w:spacing w:line="276" w:lineRule="auto"/>
        <w:jc w:val="both"/>
        <w:rPr>
          <w:rFonts w:eastAsia="Times New Roman" w:cstheme="minorHAnsi"/>
        </w:rPr>
      </w:pPr>
      <w:r w:rsidRPr="005679E4">
        <w:rPr>
          <w:rFonts w:eastAsia="Times New Roman" w:cstheme="minorHAnsi"/>
        </w:rPr>
        <w:lastRenderedPageBreak/>
        <w:t xml:space="preserve">U </w:t>
      </w:r>
      <w:r w:rsidRPr="003836B0">
        <w:rPr>
          <w:rFonts w:eastAsia="Times New Roman" w:cstheme="minorHAnsi"/>
        </w:rPr>
        <w:t>Radn</w:t>
      </w:r>
      <w:r>
        <w:rPr>
          <w:rFonts w:eastAsia="Times New Roman" w:cstheme="minorHAnsi"/>
        </w:rPr>
        <w:t>oj</w:t>
      </w:r>
      <w:r w:rsidRPr="003836B0">
        <w:rPr>
          <w:rFonts w:eastAsia="Times New Roman" w:cstheme="minorHAnsi"/>
        </w:rPr>
        <w:t xml:space="preserve"> skupin</w:t>
      </w:r>
      <w:r>
        <w:rPr>
          <w:rFonts w:eastAsia="Times New Roman" w:cstheme="minorHAnsi"/>
        </w:rPr>
        <w:t>i</w:t>
      </w:r>
      <w:r w:rsidRPr="003836B0">
        <w:rPr>
          <w:rFonts w:eastAsia="Times New Roman" w:cstheme="minorHAnsi"/>
        </w:rPr>
        <w:t xml:space="preserve"> za granične proizvode i razvrstavanje medicinskih proizvoda</w:t>
      </w:r>
      <w:r>
        <w:rPr>
          <w:rFonts w:eastAsia="Times New Roman" w:cstheme="minorHAnsi"/>
        </w:rPr>
        <w:t>,</w:t>
      </w:r>
      <w:r w:rsidRPr="005679E4">
        <w:rPr>
          <w:rFonts w:eastAsia="Times New Roman" w:cstheme="minorHAnsi"/>
        </w:rPr>
        <w:t xml:space="preserve"> </w:t>
      </w:r>
      <w:r w:rsidRPr="002A7542">
        <w:rPr>
          <w:rFonts w:eastAsia="Times New Roman" w:cstheme="minorHAnsi"/>
        </w:rPr>
        <w:t>Republiku Hrvatsku</w:t>
      </w:r>
      <w:r w:rsidRPr="005679E4">
        <w:rPr>
          <w:rFonts w:eastAsia="Times New Roman" w:cstheme="minorHAnsi"/>
        </w:rPr>
        <w:t xml:space="preserve"> predstavlja</w:t>
      </w:r>
      <w:r>
        <w:rPr>
          <w:rFonts w:eastAsia="Times New Roman" w:cstheme="minorHAnsi"/>
        </w:rPr>
        <w:t>ju</w:t>
      </w:r>
      <w:r w:rsidRPr="005679E4">
        <w:rPr>
          <w:rFonts w:eastAsia="Times New Roman" w:cstheme="minorHAnsi"/>
        </w:rPr>
        <w:t xml:space="preserve"> </w:t>
      </w:r>
      <w:r>
        <w:rPr>
          <w:rFonts w:eastAsia="Times New Roman" w:cstheme="minorHAnsi"/>
        </w:rPr>
        <w:t>dva</w:t>
      </w:r>
      <w:r w:rsidRPr="005679E4">
        <w:rPr>
          <w:rFonts w:eastAsia="Times New Roman" w:cstheme="minorHAnsi"/>
        </w:rPr>
        <w:t xml:space="preserve"> delegat</w:t>
      </w:r>
      <w:r>
        <w:rPr>
          <w:rFonts w:eastAsia="Times New Roman" w:cstheme="minorHAnsi"/>
        </w:rPr>
        <w:t>a</w:t>
      </w:r>
      <w:r w:rsidRPr="005679E4">
        <w:rPr>
          <w:rFonts w:eastAsia="Times New Roman" w:cstheme="minorHAnsi"/>
        </w:rPr>
        <w:t xml:space="preserve"> iz HALMED-a.</w:t>
      </w:r>
      <w:r>
        <w:rPr>
          <w:rFonts w:eastAsia="Times New Roman" w:cstheme="minorHAnsi"/>
        </w:rPr>
        <w:t xml:space="preserve"> Radna skupina se bavi donošenjem ujednačenih kriterija za razvrstavanje proizvoda u skupinu medicinskih proizvoda, a posebno onih, koji po svojim specifičnim svojstvima i mehanizmima kojima ostvaruju namjenu, graniče s drugim skupinama proizvoda npr. lijekovima, kozmetikom, biocidnim pripravcima, osobnom zaštitnom opremom i slično. </w:t>
      </w:r>
    </w:p>
    <w:p w14:paraId="3342FCF8" w14:textId="77777777" w:rsidR="00EA51C4" w:rsidRDefault="00EA51C4" w:rsidP="00EA51C4">
      <w:pPr>
        <w:spacing w:line="276" w:lineRule="auto"/>
        <w:jc w:val="both"/>
        <w:rPr>
          <w:rFonts w:eastAsia="Times New Roman" w:cstheme="minorHAnsi"/>
          <w:b/>
        </w:rPr>
      </w:pPr>
    </w:p>
    <w:p w14:paraId="2BEF7EED" w14:textId="77777777" w:rsidR="00EA51C4" w:rsidRPr="00680F23" w:rsidRDefault="00EA51C4" w:rsidP="00EA51C4">
      <w:pPr>
        <w:spacing w:line="276" w:lineRule="auto"/>
        <w:jc w:val="both"/>
        <w:rPr>
          <w:b/>
        </w:rPr>
      </w:pPr>
      <w:r>
        <w:rPr>
          <w:rFonts w:eastAsia="Times New Roman" w:cstheme="minorHAnsi"/>
          <w:b/>
        </w:rPr>
        <w:t>F</w:t>
      </w:r>
      <w:r w:rsidRPr="00680F23">
        <w:rPr>
          <w:rFonts w:eastAsia="Times New Roman" w:cstheme="minorHAnsi"/>
          <w:b/>
        </w:rPr>
        <w:t xml:space="preserve">) Radna skupina </w:t>
      </w:r>
      <w:r>
        <w:rPr>
          <w:rFonts w:eastAsia="Times New Roman" w:cstheme="minorHAnsi"/>
          <w:b/>
        </w:rPr>
        <w:t>za</w:t>
      </w:r>
      <w:r w:rsidRPr="00680F23">
        <w:rPr>
          <w:rFonts w:eastAsia="Times New Roman" w:cstheme="minorHAnsi"/>
          <w:b/>
        </w:rPr>
        <w:t xml:space="preserve"> jedinstven</w:t>
      </w:r>
      <w:r>
        <w:rPr>
          <w:rFonts w:eastAsia="Times New Roman" w:cstheme="minorHAnsi"/>
          <w:b/>
        </w:rPr>
        <w:t>e</w:t>
      </w:r>
      <w:r w:rsidRPr="00680F23">
        <w:rPr>
          <w:rFonts w:eastAsia="Times New Roman" w:cstheme="minorHAnsi"/>
          <w:b/>
        </w:rPr>
        <w:t xml:space="preserve"> oznak</w:t>
      </w:r>
      <w:r>
        <w:rPr>
          <w:rFonts w:eastAsia="Times New Roman" w:cstheme="minorHAnsi"/>
          <w:b/>
        </w:rPr>
        <w:t>e</w:t>
      </w:r>
      <w:r w:rsidRPr="00680F23">
        <w:rPr>
          <w:rFonts w:eastAsia="Times New Roman" w:cstheme="minorHAnsi"/>
          <w:b/>
        </w:rPr>
        <w:t xml:space="preserve"> medicinskih proizvoda </w:t>
      </w:r>
      <w:r>
        <w:rPr>
          <w:rFonts w:eastAsia="Times New Roman" w:cstheme="minorHAnsi"/>
          <w:b/>
        </w:rPr>
        <w:t>(</w:t>
      </w:r>
      <w:r w:rsidRPr="00680F23">
        <w:rPr>
          <w:rFonts w:eastAsia="Times New Roman" w:cstheme="minorHAnsi"/>
          <w:b/>
        </w:rPr>
        <w:t>UDI</w:t>
      </w:r>
      <w:r>
        <w:rPr>
          <w:rFonts w:eastAsia="Times New Roman" w:cstheme="minorHAnsi"/>
          <w:b/>
        </w:rPr>
        <w:t>)</w:t>
      </w:r>
    </w:p>
    <w:p w14:paraId="1DE512DB" w14:textId="77777777" w:rsidR="00EA51C4" w:rsidRDefault="00EA51C4" w:rsidP="00EA51C4">
      <w:pPr>
        <w:spacing w:before="240" w:after="240" w:line="276" w:lineRule="auto"/>
        <w:jc w:val="both"/>
        <w:rPr>
          <w:rFonts w:eastAsia="Times New Roman" w:cstheme="minorHAnsi"/>
        </w:rPr>
      </w:pPr>
      <w:r w:rsidRPr="005679E4">
        <w:rPr>
          <w:rFonts w:eastAsia="Times New Roman" w:cstheme="minorHAnsi"/>
        </w:rPr>
        <w:t xml:space="preserve">U </w:t>
      </w:r>
      <w:r w:rsidRPr="00F628C0">
        <w:rPr>
          <w:rFonts w:eastAsia="Times New Roman" w:cstheme="minorHAnsi"/>
        </w:rPr>
        <w:t>Radn</w:t>
      </w:r>
      <w:r>
        <w:rPr>
          <w:rFonts w:eastAsia="Times New Roman" w:cstheme="minorHAnsi"/>
        </w:rPr>
        <w:t>oj</w:t>
      </w:r>
      <w:r w:rsidRPr="00F628C0">
        <w:rPr>
          <w:rFonts w:eastAsia="Times New Roman" w:cstheme="minorHAnsi"/>
        </w:rPr>
        <w:t xml:space="preserve"> skupin</w:t>
      </w:r>
      <w:r>
        <w:rPr>
          <w:rFonts w:eastAsia="Times New Roman" w:cstheme="minorHAnsi"/>
        </w:rPr>
        <w:t>i</w:t>
      </w:r>
      <w:r w:rsidRPr="00F628C0">
        <w:rPr>
          <w:rFonts w:eastAsia="Times New Roman" w:cstheme="minorHAnsi"/>
        </w:rPr>
        <w:t xml:space="preserve"> za </w:t>
      </w:r>
      <w:r w:rsidRPr="00680F23">
        <w:rPr>
          <w:rFonts w:eastAsia="Times New Roman" w:cstheme="minorHAnsi"/>
        </w:rPr>
        <w:t>jedinstvene oznake medicinskih proizvoda</w:t>
      </w:r>
      <w:r>
        <w:rPr>
          <w:rFonts w:eastAsia="Times New Roman" w:cstheme="minorHAnsi"/>
        </w:rPr>
        <w:t>,</w:t>
      </w:r>
      <w:r w:rsidRPr="005679E4">
        <w:rPr>
          <w:rFonts w:eastAsia="Times New Roman" w:cstheme="minorHAnsi"/>
        </w:rPr>
        <w:t xml:space="preserve"> </w:t>
      </w:r>
      <w:r w:rsidRPr="002A7542">
        <w:rPr>
          <w:rFonts w:eastAsia="Times New Roman" w:cstheme="minorHAnsi"/>
        </w:rPr>
        <w:t>Republiku Hrvatsku</w:t>
      </w:r>
      <w:r w:rsidRPr="005679E4">
        <w:rPr>
          <w:rFonts w:eastAsia="Times New Roman" w:cstheme="minorHAnsi"/>
        </w:rPr>
        <w:t xml:space="preserve"> predstavlja</w:t>
      </w:r>
      <w:r>
        <w:rPr>
          <w:rFonts w:eastAsia="Times New Roman" w:cstheme="minorHAnsi"/>
        </w:rPr>
        <w:t>ju</w:t>
      </w:r>
      <w:r w:rsidRPr="005679E4">
        <w:rPr>
          <w:rFonts w:eastAsia="Times New Roman" w:cstheme="minorHAnsi"/>
        </w:rPr>
        <w:t xml:space="preserve"> </w:t>
      </w:r>
      <w:r>
        <w:rPr>
          <w:rFonts w:eastAsia="Times New Roman" w:cstheme="minorHAnsi"/>
        </w:rPr>
        <w:t>dva</w:t>
      </w:r>
      <w:r w:rsidRPr="005679E4">
        <w:rPr>
          <w:rFonts w:eastAsia="Times New Roman" w:cstheme="minorHAnsi"/>
        </w:rPr>
        <w:t xml:space="preserve"> delegat</w:t>
      </w:r>
      <w:r>
        <w:rPr>
          <w:rFonts w:eastAsia="Times New Roman" w:cstheme="minorHAnsi"/>
        </w:rPr>
        <w:t>a</w:t>
      </w:r>
      <w:r w:rsidRPr="005679E4">
        <w:rPr>
          <w:rFonts w:eastAsia="Times New Roman" w:cstheme="minorHAnsi"/>
        </w:rPr>
        <w:t xml:space="preserve"> iz HALMED-a.</w:t>
      </w:r>
      <w:r>
        <w:rPr>
          <w:rFonts w:eastAsia="Times New Roman" w:cstheme="minorHAnsi"/>
        </w:rPr>
        <w:t xml:space="preserve"> Radna skupina se bavi ujednačenom implementacijom sustava jedinstvenih oznaka medicinskih proizvode (UDI). </w:t>
      </w:r>
    </w:p>
    <w:p w14:paraId="78111D58" w14:textId="77777777" w:rsidR="00EA51C4" w:rsidRDefault="00EA51C4" w:rsidP="00EA51C4">
      <w:pPr>
        <w:spacing w:before="240" w:after="240" w:line="276" w:lineRule="auto"/>
        <w:jc w:val="both"/>
        <w:rPr>
          <w:rFonts w:eastAsia="Times New Roman" w:cstheme="minorHAnsi"/>
        </w:rPr>
      </w:pPr>
      <w:r>
        <w:rPr>
          <w:rFonts w:eastAsia="Times New Roman" w:cstheme="minorHAnsi"/>
        </w:rPr>
        <w:t>Na sastanku u rujnu na kojem je glavna tema bila uvođenje tzv. Master-UDI oznake temeljem kojih će se grupirati kontaktne leće, naočalne leće i okvire te za naočale za čitanje obzirom na iznimno velik broj pojedinačnih proizvoda iz navedneih skupina, a kako bi se izbjeglo zagušenje elektroničkog sustava za registraciju proizvoda – Eudamed. EK predstavila je prijedlog provedbenog propisa kojim će se urediti implementacija Master-UDI oznaka</w:t>
      </w:r>
      <w:r w:rsidRPr="004952FD">
        <w:rPr>
          <w:rFonts w:eastAsia="Times New Roman" w:cstheme="minorHAnsi"/>
        </w:rPr>
        <w:t>.</w:t>
      </w:r>
    </w:p>
    <w:p w14:paraId="439FA53E" w14:textId="77777777" w:rsidR="00EA51C4" w:rsidRDefault="00EA51C4" w:rsidP="00EA51C4">
      <w:pPr>
        <w:spacing w:before="240" w:after="240" w:line="276" w:lineRule="auto"/>
        <w:jc w:val="both"/>
        <w:rPr>
          <w:rFonts w:eastAsia="Times New Roman" w:cstheme="minorHAnsi"/>
        </w:rPr>
      </w:pPr>
      <w:r>
        <w:rPr>
          <w:rFonts w:eastAsia="Times New Roman" w:cstheme="minorHAnsi"/>
        </w:rPr>
        <w:t>U studenom g</w:t>
      </w:r>
      <w:r w:rsidRPr="00326B6A">
        <w:rPr>
          <w:rFonts w:eastAsia="Times New Roman" w:cstheme="minorHAnsi"/>
        </w:rPr>
        <w:t xml:space="preserve">lavna tema sastanka je </w:t>
      </w:r>
      <w:r>
        <w:rPr>
          <w:rFonts w:eastAsia="Times New Roman" w:cstheme="minorHAnsi"/>
        </w:rPr>
        <w:t xml:space="preserve">bilo </w:t>
      </w:r>
      <w:r w:rsidRPr="00326B6A">
        <w:rPr>
          <w:rFonts w:eastAsia="Times New Roman" w:cstheme="minorHAnsi"/>
        </w:rPr>
        <w:t>predlaganje amandmana Anexu VI, Uredbe (EU) 2017/745 vezano uz dodjelu UDI broja za visoko individualizirane medicinske proizvode. Dodatno je u pripremi izrada smjernica: „Guidance on the Implementation of the Master UDI-DI solution for contact lenses“ kojim bi se riješio problem velikog broja dodjele i upisa medicinskih proizvoda - kontaktnih leća za oči u EUDAMED - modul za medicinske proizvode.</w:t>
      </w:r>
    </w:p>
    <w:p w14:paraId="5E930121" w14:textId="77777777" w:rsidR="00EA51C4" w:rsidRPr="00680F23" w:rsidRDefault="00EA51C4" w:rsidP="00EA51C4">
      <w:pPr>
        <w:spacing w:line="276" w:lineRule="auto"/>
        <w:jc w:val="both"/>
        <w:rPr>
          <w:b/>
        </w:rPr>
      </w:pPr>
      <w:r>
        <w:rPr>
          <w:rFonts w:eastAsia="Times New Roman" w:cstheme="minorHAnsi"/>
          <w:b/>
        </w:rPr>
        <w:t>G</w:t>
      </w:r>
      <w:r w:rsidRPr="00680F23">
        <w:rPr>
          <w:rFonts w:eastAsia="Times New Roman" w:cstheme="minorHAnsi"/>
          <w:b/>
        </w:rPr>
        <w:t xml:space="preserve">) Radna skupina </w:t>
      </w:r>
      <w:r>
        <w:rPr>
          <w:rFonts w:eastAsia="Times New Roman" w:cstheme="minorHAnsi"/>
          <w:b/>
        </w:rPr>
        <w:t>za</w:t>
      </w:r>
      <w:r w:rsidRPr="00680F23">
        <w:rPr>
          <w:rFonts w:eastAsia="Times New Roman" w:cstheme="minorHAnsi"/>
          <w:b/>
        </w:rPr>
        <w:t xml:space="preserve"> </w:t>
      </w:r>
      <w:r>
        <w:rPr>
          <w:rFonts w:eastAsia="Times New Roman" w:cstheme="minorHAnsi"/>
          <w:b/>
        </w:rPr>
        <w:t>nomenklaturu</w:t>
      </w:r>
      <w:r w:rsidRPr="00680F23">
        <w:rPr>
          <w:rFonts w:eastAsia="Times New Roman" w:cstheme="minorHAnsi"/>
          <w:b/>
        </w:rPr>
        <w:t xml:space="preserve"> medicinskih proizvoda </w:t>
      </w:r>
      <w:r>
        <w:rPr>
          <w:rFonts w:eastAsia="Times New Roman" w:cstheme="minorHAnsi"/>
          <w:b/>
        </w:rPr>
        <w:t>(Nomenclature)</w:t>
      </w:r>
    </w:p>
    <w:p w14:paraId="489F4560" w14:textId="77777777" w:rsidR="00EA51C4" w:rsidRPr="00CA3E57" w:rsidRDefault="00EA51C4" w:rsidP="00EA51C4">
      <w:pPr>
        <w:spacing w:before="240" w:after="240" w:line="276" w:lineRule="auto"/>
        <w:jc w:val="both"/>
        <w:rPr>
          <w:rFonts w:eastAsia="Times New Roman" w:cstheme="minorHAnsi"/>
        </w:rPr>
      </w:pPr>
      <w:r w:rsidRPr="005679E4">
        <w:rPr>
          <w:rFonts w:eastAsia="Times New Roman" w:cstheme="minorHAnsi"/>
        </w:rPr>
        <w:t xml:space="preserve">U </w:t>
      </w:r>
      <w:r w:rsidRPr="00F628C0">
        <w:rPr>
          <w:rFonts w:eastAsia="Times New Roman" w:cstheme="minorHAnsi"/>
        </w:rPr>
        <w:t>Radn</w:t>
      </w:r>
      <w:r>
        <w:rPr>
          <w:rFonts w:eastAsia="Times New Roman" w:cstheme="minorHAnsi"/>
        </w:rPr>
        <w:t>oj</w:t>
      </w:r>
      <w:r w:rsidRPr="00F628C0">
        <w:rPr>
          <w:rFonts w:eastAsia="Times New Roman" w:cstheme="minorHAnsi"/>
        </w:rPr>
        <w:t xml:space="preserve"> skupin</w:t>
      </w:r>
      <w:r>
        <w:rPr>
          <w:rFonts w:eastAsia="Times New Roman" w:cstheme="minorHAnsi"/>
        </w:rPr>
        <w:t>i</w:t>
      </w:r>
      <w:r w:rsidRPr="00F628C0">
        <w:rPr>
          <w:rFonts w:eastAsia="Times New Roman" w:cstheme="minorHAnsi"/>
        </w:rPr>
        <w:t xml:space="preserve"> za </w:t>
      </w:r>
      <w:r>
        <w:rPr>
          <w:rFonts w:eastAsia="Times New Roman" w:cstheme="minorHAnsi"/>
        </w:rPr>
        <w:t>nomenklaturu</w:t>
      </w:r>
      <w:r w:rsidRPr="00680F23">
        <w:rPr>
          <w:rFonts w:eastAsia="Times New Roman" w:cstheme="minorHAnsi"/>
        </w:rPr>
        <w:t xml:space="preserve"> medicinskih proizvoda</w:t>
      </w:r>
      <w:r>
        <w:rPr>
          <w:rFonts w:eastAsia="Times New Roman" w:cstheme="minorHAnsi"/>
        </w:rPr>
        <w:t>,</w:t>
      </w:r>
      <w:r w:rsidRPr="005679E4">
        <w:rPr>
          <w:rFonts w:eastAsia="Times New Roman" w:cstheme="minorHAnsi"/>
        </w:rPr>
        <w:t xml:space="preserve"> </w:t>
      </w:r>
      <w:r w:rsidRPr="002A7542">
        <w:rPr>
          <w:rFonts w:eastAsia="Times New Roman" w:cstheme="minorHAnsi"/>
        </w:rPr>
        <w:t>Republiku Hrvatsku</w:t>
      </w:r>
      <w:r w:rsidRPr="005679E4">
        <w:rPr>
          <w:rFonts w:eastAsia="Times New Roman" w:cstheme="minorHAnsi"/>
        </w:rPr>
        <w:t xml:space="preserve"> predstavlja</w:t>
      </w:r>
      <w:r>
        <w:rPr>
          <w:rFonts w:eastAsia="Times New Roman" w:cstheme="minorHAnsi"/>
        </w:rPr>
        <w:t>ju</w:t>
      </w:r>
      <w:r w:rsidRPr="005679E4">
        <w:rPr>
          <w:rFonts w:eastAsia="Times New Roman" w:cstheme="minorHAnsi"/>
        </w:rPr>
        <w:t xml:space="preserve"> </w:t>
      </w:r>
      <w:r>
        <w:rPr>
          <w:rFonts w:eastAsia="Times New Roman" w:cstheme="minorHAnsi"/>
        </w:rPr>
        <w:t>dva</w:t>
      </w:r>
      <w:r w:rsidRPr="005679E4">
        <w:rPr>
          <w:rFonts w:eastAsia="Times New Roman" w:cstheme="minorHAnsi"/>
        </w:rPr>
        <w:t xml:space="preserve"> delegat</w:t>
      </w:r>
      <w:r>
        <w:rPr>
          <w:rFonts w:eastAsia="Times New Roman" w:cstheme="minorHAnsi"/>
        </w:rPr>
        <w:t>a</w:t>
      </w:r>
      <w:r w:rsidRPr="005679E4">
        <w:rPr>
          <w:rFonts w:eastAsia="Times New Roman" w:cstheme="minorHAnsi"/>
        </w:rPr>
        <w:t xml:space="preserve"> iz HALMED-a.</w:t>
      </w:r>
      <w:r>
        <w:rPr>
          <w:rFonts w:eastAsia="Times New Roman" w:cstheme="minorHAnsi"/>
        </w:rPr>
        <w:t xml:space="preserve"> Radna skupina usmjerena je na mehanizme održavanja i ažuriranja nomenklature medicinskih proizvoda EMDN. U izvještajnom razdoblju nije bilo održanih sastanaka, skupina radi na način dostavljanja mailom dodatnih informacija prema potrebi.</w:t>
      </w:r>
    </w:p>
    <w:p w14:paraId="21354D6B" w14:textId="77777777" w:rsidR="00EA51C4" w:rsidRPr="00680F23" w:rsidRDefault="00EA51C4" w:rsidP="00EA51C4">
      <w:pPr>
        <w:spacing w:line="276" w:lineRule="auto"/>
        <w:jc w:val="both"/>
        <w:rPr>
          <w:b/>
        </w:rPr>
      </w:pPr>
      <w:r>
        <w:rPr>
          <w:rFonts w:eastAsia="Times New Roman" w:cstheme="minorHAnsi"/>
          <w:b/>
        </w:rPr>
        <w:t>H</w:t>
      </w:r>
      <w:r w:rsidRPr="00680F23">
        <w:rPr>
          <w:rFonts w:eastAsia="Times New Roman" w:cstheme="minorHAnsi"/>
          <w:b/>
        </w:rPr>
        <w:t xml:space="preserve">) Radna skupina </w:t>
      </w:r>
      <w:r>
        <w:rPr>
          <w:rFonts w:eastAsia="Times New Roman" w:cstheme="minorHAnsi"/>
          <w:b/>
        </w:rPr>
        <w:t>za</w:t>
      </w:r>
      <w:r w:rsidRPr="00680F23">
        <w:rPr>
          <w:rFonts w:eastAsia="Times New Roman" w:cstheme="minorHAnsi"/>
          <w:b/>
        </w:rPr>
        <w:t xml:space="preserve"> </w:t>
      </w:r>
      <w:r>
        <w:rPr>
          <w:rFonts w:eastAsia="Times New Roman" w:cstheme="minorHAnsi"/>
          <w:b/>
        </w:rPr>
        <w:t>standarde</w:t>
      </w:r>
      <w:r w:rsidRPr="00680F23">
        <w:rPr>
          <w:rFonts w:eastAsia="Times New Roman" w:cstheme="minorHAnsi"/>
          <w:b/>
        </w:rPr>
        <w:t xml:space="preserve"> </w:t>
      </w:r>
      <w:r>
        <w:rPr>
          <w:rFonts w:eastAsia="Times New Roman" w:cstheme="minorHAnsi"/>
          <w:b/>
        </w:rPr>
        <w:t>(Standards)</w:t>
      </w:r>
    </w:p>
    <w:p w14:paraId="14E7B7AC" w14:textId="77777777" w:rsidR="00EA51C4" w:rsidRDefault="00EA51C4" w:rsidP="00EA51C4">
      <w:pPr>
        <w:spacing w:before="240" w:after="240" w:line="276" w:lineRule="auto"/>
        <w:jc w:val="both"/>
        <w:rPr>
          <w:rFonts w:eastAsia="Times New Roman" w:cstheme="minorHAnsi"/>
        </w:rPr>
      </w:pPr>
      <w:r w:rsidRPr="005679E4">
        <w:rPr>
          <w:rFonts w:eastAsia="Times New Roman" w:cstheme="minorHAnsi"/>
        </w:rPr>
        <w:t xml:space="preserve">U </w:t>
      </w:r>
      <w:r w:rsidRPr="00F628C0">
        <w:rPr>
          <w:rFonts w:eastAsia="Times New Roman" w:cstheme="minorHAnsi"/>
        </w:rPr>
        <w:t>Radn</w:t>
      </w:r>
      <w:r>
        <w:rPr>
          <w:rFonts w:eastAsia="Times New Roman" w:cstheme="minorHAnsi"/>
        </w:rPr>
        <w:t>oj</w:t>
      </w:r>
      <w:r w:rsidRPr="00F628C0">
        <w:rPr>
          <w:rFonts w:eastAsia="Times New Roman" w:cstheme="minorHAnsi"/>
        </w:rPr>
        <w:t xml:space="preserve"> skupin</w:t>
      </w:r>
      <w:r>
        <w:rPr>
          <w:rFonts w:eastAsia="Times New Roman" w:cstheme="minorHAnsi"/>
        </w:rPr>
        <w:t>i</w:t>
      </w:r>
      <w:r w:rsidRPr="00F628C0">
        <w:rPr>
          <w:rFonts w:eastAsia="Times New Roman" w:cstheme="minorHAnsi"/>
        </w:rPr>
        <w:t xml:space="preserve"> za </w:t>
      </w:r>
      <w:r>
        <w:rPr>
          <w:rFonts w:eastAsia="Times New Roman" w:cstheme="minorHAnsi"/>
        </w:rPr>
        <w:t>standarde u području</w:t>
      </w:r>
      <w:r w:rsidRPr="00680F23">
        <w:rPr>
          <w:rFonts w:eastAsia="Times New Roman" w:cstheme="minorHAnsi"/>
        </w:rPr>
        <w:t xml:space="preserve"> medicinskih proizvoda</w:t>
      </w:r>
      <w:r>
        <w:rPr>
          <w:rFonts w:eastAsia="Times New Roman" w:cstheme="minorHAnsi"/>
        </w:rPr>
        <w:t>,</w:t>
      </w:r>
      <w:r w:rsidRPr="005679E4">
        <w:rPr>
          <w:rFonts w:eastAsia="Times New Roman" w:cstheme="minorHAnsi"/>
        </w:rPr>
        <w:t xml:space="preserve"> </w:t>
      </w:r>
      <w:r w:rsidRPr="002A7542">
        <w:rPr>
          <w:rFonts w:eastAsia="Times New Roman" w:cstheme="minorHAnsi"/>
        </w:rPr>
        <w:t>Republiku Hrvatsku</w:t>
      </w:r>
      <w:r w:rsidRPr="005679E4">
        <w:rPr>
          <w:rFonts w:eastAsia="Times New Roman" w:cstheme="minorHAnsi"/>
        </w:rPr>
        <w:t xml:space="preserve"> predstavlja</w:t>
      </w:r>
      <w:r>
        <w:rPr>
          <w:rFonts w:eastAsia="Times New Roman" w:cstheme="minorHAnsi"/>
        </w:rPr>
        <w:t>ju</w:t>
      </w:r>
      <w:r w:rsidRPr="005679E4">
        <w:rPr>
          <w:rFonts w:eastAsia="Times New Roman" w:cstheme="minorHAnsi"/>
        </w:rPr>
        <w:t xml:space="preserve"> </w:t>
      </w:r>
      <w:r>
        <w:rPr>
          <w:rFonts w:eastAsia="Times New Roman" w:cstheme="minorHAnsi"/>
        </w:rPr>
        <w:t>dva</w:t>
      </w:r>
      <w:r w:rsidRPr="005679E4">
        <w:rPr>
          <w:rFonts w:eastAsia="Times New Roman" w:cstheme="minorHAnsi"/>
        </w:rPr>
        <w:t xml:space="preserve"> delegat</w:t>
      </w:r>
      <w:r>
        <w:rPr>
          <w:rFonts w:eastAsia="Times New Roman" w:cstheme="minorHAnsi"/>
        </w:rPr>
        <w:t>a</w:t>
      </w:r>
      <w:r w:rsidRPr="005679E4">
        <w:rPr>
          <w:rFonts w:eastAsia="Times New Roman" w:cstheme="minorHAnsi"/>
        </w:rPr>
        <w:t xml:space="preserve"> iz HALMED-a.</w:t>
      </w:r>
      <w:r>
        <w:rPr>
          <w:rFonts w:eastAsia="Times New Roman" w:cstheme="minorHAnsi"/>
        </w:rPr>
        <w:t xml:space="preserve"> Radna skupina prati područje standardizacije medicinskih proizvoda te po potrebi ažurira zahtjeve prema standardizacijskim tijelima u području u kojima je potrebna dodatna standardizacija kako bi se mogao koristiti mehanizam pretpostavke sukladnosti medicinskih proizvoda. Skupina također razvija smjernice o standardizaciji i postupku donošenja standarda za područje medicinskih proizvoda.</w:t>
      </w:r>
      <w:r w:rsidRPr="00E70574">
        <w:rPr>
          <w:rFonts w:eastAsia="Times New Roman" w:cstheme="minorHAnsi"/>
        </w:rPr>
        <w:t xml:space="preserve"> </w:t>
      </w:r>
    </w:p>
    <w:p w14:paraId="187E04FF" w14:textId="77777777" w:rsidR="00EA51C4" w:rsidRDefault="00EA51C4" w:rsidP="00EA51C4">
      <w:pPr>
        <w:spacing w:before="240" w:after="240" w:line="276" w:lineRule="auto"/>
        <w:jc w:val="both"/>
        <w:rPr>
          <w:rFonts w:eastAsia="Times New Roman" w:cstheme="minorHAnsi"/>
          <w:b/>
        </w:rPr>
      </w:pPr>
      <w:r w:rsidRPr="00702551">
        <w:rPr>
          <w:rFonts w:eastAsia="Times New Roman" w:cstheme="minorHAnsi"/>
        </w:rPr>
        <w:t>U izvještajnom razdoblju održana su dva sastanka.</w:t>
      </w:r>
      <w:r>
        <w:rPr>
          <w:rFonts w:eastAsia="Times New Roman" w:cstheme="minorHAnsi"/>
        </w:rPr>
        <w:t xml:space="preserve"> EK je izvijestila o napretku revizije/razvoja usklađenih normi u suradnji s CEN-CENELEC koje će. Radi se o normama na kojima se temelji princip pretpostavke sukladnosti. Također, operativne skupine uspostavljene unutar radne skupine izvijestile su o napretku u procesu izrade smjernica te uobičajenog formata za izradu normi u području medicinskih proizvoda. Na sastanku u lipnju EK je izvijestila o statusu i načinu pripreme referenci na harmonizirane norme za objavu u službenom glasniku, o dopuni mandata prema CEN-u i CENELEC-u te o aktivnostima na međunarodnoj razini.</w:t>
      </w:r>
    </w:p>
    <w:p w14:paraId="3592775D" w14:textId="77777777" w:rsidR="00EA51C4" w:rsidRPr="00AD5103" w:rsidRDefault="00EA51C4" w:rsidP="00EA51C4">
      <w:pPr>
        <w:spacing w:line="276" w:lineRule="auto"/>
        <w:jc w:val="both"/>
        <w:rPr>
          <w:b/>
        </w:rPr>
      </w:pPr>
      <w:r w:rsidRPr="00AD5103">
        <w:rPr>
          <w:rFonts w:eastAsia="Times New Roman" w:cstheme="minorHAnsi"/>
          <w:b/>
        </w:rPr>
        <w:lastRenderedPageBreak/>
        <w:t>I) Radna skupina za proizvode iz Priloga XVI Uredbe (EU) 2017/745 (Annex XVI)</w:t>
      </w:r>
    </w:p>
    <w:p w14:paraId="4EFA04A0" w14:textId="77777777" w:rsidR="00EA51C4" w:rsidRDefault="00EA51C4" w:rsidP="00EA51C4">
      <w:pPr>
        <w:spacing w:before="240" w:after="240" w:line="276" w:lineRule="auto"/>
        <w:jc w:val="both"/>
        <w:rPr>
          <w:rFonts w:eastAsia="Times New Roman" w:cstheme="minorHAnsi"/>
        </w:rPr>
      </w:pPr>
      <w:r w:rsidRPr="00AD5103">
        <w:rPr>
          <w:rFonts w:eastAsia="Times New Roman" w:cstheme="minorHAnsi"/>
        </w:rPr>
        <w:t xml:space="preserve">U Radnoj skupini za proizvode iz Priloga XVI Uredbe (EU) 2017/745, Republiku Hrvatsku predstavlja jedan delegat iz HALMED-a. </w:t>
      </w:r>
    </w:p>
    <w:p w14:paraId="68903FCB" w14:textId="77777777" w:rsidR="00EA51C4" w:rsidRDefault="00EA51C4" w:rsidP="00EA51C4">
      <w:pPr>
        <w:spacing w:before="240" w:after="240" w:line="276" w:lineRule="auto"/>
        <w:jc w:val="both"/>
        <w:rPr>
          <w:rFonts w:eastAsia="Times New Roman" w:cstheme="minorHAnsi"/>
          <w:b/>
        </w:rPr>
      </w:pPr>
      <w:r w:rsidRPr="00702551">
        <w:rPr>
          <w:rFonts w:eastAsia="Times New Roman" w:cstheme="minorHAnsi"/>
        </w:rPr>
        <w:t>U izvještajnom razdoblju održan je jedan sastanak.</w:t>
      </w:r>
      <w:r>
        <w:rPr>
          <w:rFonts w:eastAsia="Times New Roman" w:cstheme="minorHAnsi"/>
        </w:rPr>
        <w:t xml:space="preserve"> Na sastanku je raspravljeno o prijedlogu izmjene zajedničkih specifikacija u odnosu na produljenje prijelaznih rokova, a radi promjene prijelaznih rokova implementacije Uredbe (EU) 2017/745 i Uredbe (EU) 2017/746 iz ožujka.</w:t>
      </w:r>
    </w:p>
    <w:p w14:paraId="00EC4E81" w14:textId="77777777" w:rsidR="00EA51C4" w:rsidRPr="00680F23" w:rsidRDefault="00EA51C4" w:rsidP="00EA51C4">
      <w:pPr>
        <w:spacing w:line="276" w:lineRule="auto"/>
        <w:jc w:val="both"/>
        <w:rPr>
          <w:b/>
        </w:rPr>
      </w:pPr>
      <w:r>
        <w:rPr>
          <w:rFonts w:eastAsia="Times New Roman" w:cstheme="minorHAnsi"/>
          <w:b/>
        </w:rPr>
        <w:t>J</w:t>
      </w:r>
      <w:r w:rsidRPr="00680F23">
        <w:rPr>
          <w:rFonts w:eastAsia="Times New Roman" w:cstheme="minorHAnsi"/>
          <w:b/>
        </w:rPr>
        <w:t xml:space="preserve">) Radna skupina </w:t>
      </w:r>
      <w:r>
        <w:rPr>
          <w:rFonts w:eastAsia="Times New Roman" w:cstheme="minorHAnsi"/>
          <w:b/>
        </w:rPr>
        <w:t>za</w:t>
      </w:r>
      <w:r w:rsidRPr="00680F23">
        <w:rPr>
          <w:rFonts w:eastAsia="Times New Roman" w:cstheme="minorHAnsi"/>
          <w:b/>
        </w:rPr>
        <w:t xml:space="preserve"> </w:t>
      </w:r>
      <w:r>
        <w:rPr>
          <w:rFonts w:eastAsia="Times New Roman" w:cstheme="minorHAnsi"/>
          <w:b/>
        </w:rPr>
        <w:t>Eudamed</w:t>
      </w:r>
      <w:r w:rsidRPr="00680F23">
        <w:rPr>
          <w:rFonts w:eastAsia="Times New Roman" w:cstheme="minorHAnsi"/>
          <w:b/>
        </w:rPr>
        <w:t xml:space="preserve"> </w:t>
      </w:r>
      <w:r>
        <w:rPr>
          <w:rFonts w:eastAsia="Times New Roman" w:cstheme="minorHAnsi"/>
          <w:b/>
        </w:rPr>
        <w:t>(Eudamed)</w:t>
      </w:r>
    </w:p>
    <w:p w14:paraId="048C52BB" w14:textId="77777777" w:rsidR="00EA51C4" w:rsidRDefault="00EA51C4" w:rsidP="00EA51C4">
      <w:pPr>
        <w:spacing w:before="240" w:after="240" w:line="276" w:lineRule="auto"/>
        <w:jc w:val="both"/>
        <w:rPr>
          <w:rFonts w:eastAsia="Times New Roman" w:cstheme="minorHAnsi"/>
        </w:rPr>
      </w:pPr>
      <w:r w:rsidRPr="005679E4">
        <w:rPr>
          <w:rFonts w:eastAsia="Times New Roman" w:cstheme="minorHAnsi"/>
        </w:rPr>
        <w:t xml:space="preserve">U </w:t>
      </w:r>
      <w:r w:rsidRPr="00F628C0">
        <w:rPr>
          <w:rFonts w:eastAsia="Times New Roman" w:cstheme="minorHAnsi"/>
        </w:rPr>
        <w:t>Radn</w:t>
      </w:r>
      <w:r>
        <w:rPr>
          <w:rFonts w:eastAsia="Times New Roman" w:cstheme="minorHAnsi"/>
        </w:rPr>
        <w:t>oj</w:t>
      </w:r>
      <w:r w:rsidRPr="00F628C0">
        <w:rPr>
          <w:rFonts w:eastAsia="Times New Roman" w:cstheme="minorHAnsi"/>
        </w:rPr>
        <w:t xml:space="preserve"> skupin</w:t>
      </w:r>
      <w:r>
        <w:rPr>
          <w:rFonts w:eastAsia="Times New Roman" w:cstheme="minorHAnsi"/>
        </w:rPr>
        <w:t>i</w:t>
      </w:r>
      <w:r w:rsidRPr="00F628C0">
        <w:rPr>
          <w:rFonts w:eastAsia="Times New Roman" w:cstheme="minorHAnsi"/>
        </w:rPr>
        <w:t xml:space="preserve"> za </w:t>
      </w:r>
      <w:r>
        <w:rPr>
          <w:rFonts w:eastAsia="Times New Roman" w:cstheme="minorHAnsi"/>
        </w:rPr>
        <w:t>Eudamed – središnji elektronički sustav za medicinske proizvoda,</w:t>
      </w:r>
      <w:r w:rsidRPr="005679E4">
        <w:rPr>
          <w:rFonts w:eastAsia="Times New Roman" w:cstheme="minorHAnsi"/>
        </w:rPr>
        <w:t xml:space="preserve"> </w:t>
      </w:r>
      <w:r w:rsidRPr="002A7542">
        <w:rPr>
          <w:rFonts w:eastAsia="Times New Roman" w:cstheme="minorHAnsi"/>
        </w:rPr>
        <w:t>Republiku Hrvatsku</w:t>
      </w:r>
      <w:r w:rsidRPr="005679E4">
        <w:rPr>
          <w:rFonts w:eastAsia="Times New Roman" w:cstheme="minorHAnsi"/>
        </w:rPr>
        <w:t xml:space="preserve"> predstavlja </w:t>
      </w:r>
      <w:r>
        <w:rPr>
          <w:rFonts w:eastAsia="Times New Roman" w:cstheme="minorHAnsi"/>
        </w:rPr>
        <w:t>jedan</w:t>
      </w:r>
      <w:r w:rsidRPr="005679E4">
        <w:rPr>
          <w:rFonts w:eastAsia="Times New Roman" w:cstheme="minorHAnsi"/>
        </w:rPr>
        <w:t xml:space="preserve"> delegat iz HALMED-a.</w:t>
      </w:r>
      <w:r>
        <w:rPr>
          <w:rFonts w:eastAsia="Times New Roman" w:cstheme="minorHAnsi"/>
        </w:rPr>
        <w:t xml:space="preserve"> Radna skupina prati i podržava razvoj Eudamed te po potrebi ažurira zahtjeve koje bi sustav trebao ispunjavati u svrhu podrške provedbi propisa. </w:t>
      </w:r>
    </w:p>
    <w:p w14:paraId="164E7554" w14:textId="77777777" w:rsidR="00EA51C4" w:rsidRDefault="00EA51C4" w:rsidP="00EA51C4">
      <w:pPr>
        <w:spacing w:before="240" w:after="240" w:line="276" w:lineRule="auto"/>
        <w:jc w:val="both"/>
        <w:rPr>
          <w:rFonts w:eastAsia="Times New Roman" w:cstheme="minorHAnsi"/>
        </w:rPr>
      </w:pPr>
      <w:r w:rsidRPr="00702551">
        <w:rPr>
          <w:rFonts w:eastAsia="Times New Roman" w:cstheme="minorHAnsi"/>
        </w:rPr>
        <w:t>U izvještajnom razdoblju, delegat iz HALMED-a sudjelovao je na tri održana sastanka.</w:t>
      </w:r>
      <w:r>
        <w:rPr>
          <w:rFonts w:eastAsia="Times New Roman" w:cstheme="minorHAnsi"/>
        </w:rPr>
        <w:t xml:space="preserve">  Na sastancima EK redovito izviještava o napretku u razvoju sustava Eudamed te o statusu testnih verzija novih modula. </w:t>
      </w:r>
    </w:p>
    <w:p w14:paraId="5AF7C8A0" w14:textId="77777777" w:rsidR="00EA51C4" w:rsidRDefault="00EA51C4" w:rsidP="00EA51C4">
      <w:pPr>
        <w:spacing w:after="240"/>
        <w:rPr>
          <w:b/>
        </w:rPr>
      </w:pPr>
      <w:r w:rsidRPr="000C4F75">
        <w:rPr>
          <w:rFonts w:eastAsia="Times New Roman" w:cstheme="minorHAnsi"/>
          <w:b/>
        </w:rPr>
        <w:t>Mreža nacionalnih agencija za medicinske proizvode</w:t>
      </w:r>
      <w:r w:rsidRPr="00A74A81">
        <w:rPr>
          <w:rFonts w:eastAsia="Times New Roman" w:cstheme="minorHAnsi"/>
        </w:rPr>
        <w:t xml:space="preserve"> </w:t>
      </w:r>
      <w:r w:rsidRPr="000C4F75">
        <w:rPr>
          <w:b/>
        </w:rPr>
        <w:t>(CAMD)</w:t>
      </w:r>
    </w:p>
    <w:p w14:paraId="6ED88A07" w14:textId="77777777" w:rsidR="00EA51C4" w:rsidRDefault="00EA51C4" w:rsidP="00EA51C4">
      <w:pPr>
        <w:spacing w:before="240" w:after="240" w:line="276" w:lineRule="auto"/>
        <w:jc w:val="both"/>
        <w:rPr>
          <w:rFonts w:eastAsia="Times New Roman" w:cstheme="minorHAnsi"/>
        </w:rPr>
      </w:pPr>
      <w:r w:rsidRPr="006B0C1D">
        <w:rPr>
          <w:rFonts w:eastAsia="Times New Roman" w:cstheme="minorHAnsi"/>
        </w:rPr>
        <w:t xml:space="preserve">U </w:t>
      </w:r>
      <w:r w:rsidRPr="00A74A81">
        <w:rPr>
          <w:rFonts w:eastAsia="Times New Roman" w:cstheme="minorHAnsi"/>
        </w:rPr>
        <w:t>Mrež</w:t>
      </w:r>
      <w:r>
        <w:rPr>
          <w:rFonts w:eastAsia="Times New Roman" w:cstheme="minorHAnsi"/>
        </w:rPr>
        <w:t>i</w:t>
      </w:r>
      <w:r w:rsidRPr="00A74A81">
        <w:rPr>
          <w:rFonts w:eastAsia="Times New Roman" w:cstheme="minorHAnsi"/>
        </w:rPr>
        <w:t xml:space="preserve"> nacionalnih agencija za medicinske proizvode </w:t>
      </w:r>
      <w:r w:rsidRPr="006B0C1D">
        <w:rPr>
          <w:rFonts w:eastAsia="Times New Roman" w:cstheme="minorHAnsi"/>
        </w:rPr>
        <w:t>(CAMD) R</w:t>
      </w:r>
      <w:r>
        <w:rPr>
          <w:rFonts w:eastAsia="Times New Roman" w:cstheme="minorHAnsi"/>
        </w:rPr>
        <w:t xml:space="preserve">epubliku </w:t>
      </w:r>
      <w:r w:rsidRPr="006B0C1D">
        <w:rPr>
          <w:rFonts w:eastAsia="Times New Roman" w:cstheme="minorHAnsi"/>
        </w:rPr>
        <w:t>H</w:t>
      </w:r>
      <w:r>
        <w:rPr>
          <w:rFonts w:eastAsia="Times New Roman" w:cstheme="minorHAnsi"/>
        </w:rPr>
        <w:t>rvatsku</w:t>
      </w:r>
      <w:r w:rsidRPr="006B0C1D">
        <w:rPr>
          <w:rFonts w:eastAsia="Times New Roman" w:cstheme="minorHAnsi"/>
        </w:rPr>
        <w:t xml:space="preserve"> predstavlja</w:t>
      </w:r>
      <w:r>
        <w:rPr>
          <w:rFonts w:eastAsia="Times New Roman" w:cstheme="minorHAnsi"/>
        </w:rPr>
        <w:t>ju</w:t>
      </w:r>
      <w:r w:rsidRPr="006B0C1D">
        <w:rPr>
          <w:rFonts w:eastAsia="Times New Roman" w:cstheme="minorHAnsi"/>
        </w:rPr>
        <w:t xml:space="preserve"> </w:t>
      </w:r>
      <w:r>
        <w:rPr>
          <w:rFonts w:eastAsia="Times New Roman" w:cstheme="minorHAnsi"/>
        </w:rPr>
        <w:t>dva</w:t>
      </w:r>
      <w:r w:rsidRPr="006B0C1D">
        <w:rPr>
          <w:rFonts w:eastAsia="Times New Roman" w:cstheme="minorHAnsi"/>
        </w:rPr>
        <w:t xml:space="preserve"> delegat</w:t>
      </w:r>
      <w:r>
        <w:rPr>
          <w:rFonts w:eastAsia="Times New Roman" w:cstheme="minorHAnsi"/>
        </w:rPr>
        <w:t>a</w:t>
      </w:r>
      <w:r w:rsidRPr="006B0C1D">
        <w:rPr>
          <w:rFonts w:eastAsia="Times New Roman" w:cstheme="minorHAnsi"/>
        </w:rPr>
        <w:t xml:space="preserve"> HALMED-a.</w:t>
      </w:r>
      <w:r>
        <w:rPr>
          <w:rFonts w:eastAsia="Times New Roman" w:cstheme="minorHAnsi"/>
        </w:rPr>
        <w:t xml:space="preserve"> Mreža nadležnih tijela je proaktivna mreža uspostavljena suradnjom nadležnih tijela unutar EU s ciljem podrške konzistentnom razvoju i primjeni regulatornog sustava vezano uz medicinske proizvode. Sastanci predstavnika mreže održavaju se jednom u semestru vezano uz predsjedništvo Vijećem EU. Početkom godine održan je sastanak u Švedskoj s naglaskom na definiranje odnosa, uloge i zadaća CAMD-a u odnosu na MDCG. U listopadu održan je sastanak u Španjolskoj.</w:t>
      </w:r>
    </w:p>
    <w:p w14:paraId="04343425" w14:textId="77777777" w:rsidR="00EA51C4" w:rsidRPr="00F628C0" w:rsidRDefault="00EA51C4" w:rsidP="00EA51C4">
      <w:pPr>
        <w:spacing w:before="240" w:after="240" w:line="276" w:lineRule="auto"/>
        <w:jc w:val="both"/>
        <w:rPr>
          <w:rFonts w:eastAsia="Times New Roman" w:cstheme="minorHAnsi"/>
          <w:b/>
        </w:rPr>
      </w:pPr>
      <w:r>
        <w:rPr>
          <w:rFonts w:eastAsia="Times New Roman" w:cstheme="minorHAnsi"/>
          <w:b/>
        </w:rPr>
        <w:t>Odbor za medicinske tehnologije</w:t>
      </w:r>
      <w:r w:rsidRPr="00F628C0">
        <w:rPr>
          <w:rFonts w:eastAsia="Times New Roman" w:cstheme="minorHAnsi"/>
          <w:b/>
        </w:rPr>
        <w:t xml:space="preserve"> (</w:t>
      </w:r>
      <w:r>
        <w:rPr>
          <w:rFonts w:eastAsia="Times New Roman" w:cstheme="minorHAnsi"/>
          <w:b/>
        </w:rPr>
        <w:t>Medical Devices Commitee – MDC</w:t>
      </w:r>
      <w:r w:rsidRPr="00F628C0">
        <w:rPr>
          <w:rFonts w:eastAsia="Times New Roman" w:cstheme="minorHAnsi"/>
          <w:b/>
        </w:rPr>
        <w:t>)</w:t>
      </w:r>
    </w:p>
    <w:p w14:paraId="61C11DD2" w14:textId="77777777" w:rsidR="00EA51C4" w:rsidRPr="00231F3F" w:rsidRDefault="00EA51C4" w:rsidP="00EA51C4">
      <w:pPr>
        <w:spacing w:before="240" w:after="240" w:line="276" w:lineRule="auto"/>
        <w:jc w:val="both"/>
        <w:rPr>
          <w:rFonts w:cstheme="minorHAnsi"/>
        </w:rPr>
      </w:pPr>
      <w:r w:rsidRPr="005679E4">
        <w:rPr>
          <w:rFonts w:eastAsia="Times New Roman" w:cstheme="minorHAnsi"/>
        </w:rPr>
        <w:t xml:space="preserve">U </w:t>
      </w:r>
      <w:r>
        <w:rPr>
          <w:rFonts w:eastAsia="Times New Roman" w:cstheme="minorHAnsi"/>
        </w:rPr>
        <w:t>Odboru za medicinske proizvode,</w:t>
      </w:r>
      <w:r w:rsidRPr="005679E4">
        <w:rPr>
          <w:rFonts w:eastAsia="Times New Roman" w:cstheme="minorHAnsi"/>
        </w:rPr>
        <w:t xml:space="preserve"> </w:t>
      </w:r>
      <w:r w:rsidRPr="002A7542">
        <w:rPr>
          <w:rFonts w:eastAsia="Times New Roman" w:cstheme="minorHAnsi"/>
        </w:rPr>
        <w:t>Republiku Hrvatsku</w:t>
      </w:r>
      <w:r w:rsidRPr="005679E4">
        <w:rPr>
          <w:rFonts w:eastAsia="Times New Roman" w:cstheme="minorHAnsi"/>
        </w:rPr>
        <w:t xml:space="preserve"> predstavlja jedan delegat iz HALMED-a.</w:t>
      </w:r>
      <w:r>
        <w:rPr>
          <w:rFonts w:eastAsia="Times New Roman" w:cstheme="minorHAnsi"/>
        </w:rPr>
        <w:t xml:space="preserve"> Odbor provodi postupak ispitivanja pri donošenju provedbenih propisa koji proizlaze iz Uredbe (EU) 2017/745 i Uredbe (EU) 2017/746</w:t>
      </w:r>
      <w:r w:rsidRPr="00702551">
        <w:rPr>
          <w:rFonts w:eastAsia="Times New Roman" w:cstheme="minorHAnsi"/>
        </w:rPr>
        <w:t>.</w:t>
      </w:r>
      <w:r w:rsidRPr="00702551">
        <w:rPr>
          <w:rFonts w:cstheme="minorHAnsi"/>
          <w:b/>
        </w:rPr>
        <w:t xml:space="preserve"> </w:t>
      </w:r>
      <w:bookmarkStart w:id="273" w:name="_Toc26534694"/>
      <w:r w:rsidRPr="00702551">
        <w:rPr>
          <w:rFonts w:cstheme="minorHAnsi"/>
        </w:rPr>
        <w:t>U izvještajnom razdoblju nije bilo održanih sastanaka.</w:t>
      </w:r>
    </w:p>
    <w:p w14:paraId="48A1EBD6" w14:textId="77777777" w:rsidR="00EA51C4" w:rsidRPr="00143271" w:rsidRDefault="00EA51C4" w:rsidP="00EA51C4">
      <w:pPr>
        <w:spacing w:before="240" w:after="240"/>
        <w:jc w:val="both"/>
        <w:rPr>
          <w:rStyle w:val="Heading3Char"/>
        </w:rPr>
      </w:pPr>
      <w:bookmarkStart w:id="274" w:name="_Toc165035524"/>
      <w:r w:rsidRPr="00143271">
        <w:rPr>
          <w:rStyle w:val="Heading3Char"/>
        </w:rPr>
        <w:t>2.</w:t>
      </w:r>
      <w:r>
        <w:rPr>
          <w:rStyle w:val="Heading3Char"/>
        </w:rPr>
        <w:t>8</w:t>
      </w:r>
      <w:r w:rsidRPr="00143271">
        <w:rPr>
          <w:rStyle w:val="Heading3Char"/>
        </w:rPr>
        <w:t>.</w:t>
      </w:r>
      <w:r>
        <w:rPr>
          <w:rStyle w:val="Heading3Char"/>
        </w:rPr>
        <w:t>7</w:t>
      </w:r>
      <w:r w:rsidRPr="00143271">
        <w:rPr>
          <w:rStyle w:val="Heading3Char"/>
        </w:rPr>
        <w:t>. Izvršenje prihodovnih poslova</w:t>
      </w:r>
      <w:bookmarkEnd w:id="273"/>
      <w:bookmarkEnd w:id="274"/>
    </w:p>
    <w:p w14:paraId="06E155D3" w14:textId="77777777" w:rsidR="00EA51C4" w:rsidRPr="00B64114" w:rsidRDefault="00EA51C4" w:rsidP="00EA51C4">
      <w:pPr>
        <w:tabs>
          <w:tab w:val="center" w:pos="858"/>
          <w:tab w:val="center" w:pos="4320"/>
          <w:tab w:val="right" w:pos="8306"/>
          <w:tab w:val="right" w:pos="8640"/>
        </w:tabs>
        <w:spacing w:after="120"/>
        <w:jc w:val="both"/>
        <w:rPr>
          <w:rFonts w:eastAsia="Times New Roman" w:cstheme="minorHAnsi"/>
          <w:b/>
          <w:bCs/>
          <w:lang w:eastAsia="hr-HR"/>
        </w:rPr>
      </w:pPr>
      <w:r w:rsidRPr="00B64114">
        <w:rPr>
          <w:rFonts w:eastAsia="Times New Roman" w:cstheme="minorHAnsi"/>
          <w:b/>
          <w:bCs/>
          <w:lang w:eastAsia="hr-HR"/>
        </w:rPr>
        <w:t xml:space="preserve">Tablica </w:t>
      </w:r>
      <w:r>
        <w:rPr>
          <w:rFonts w:eastAsia="Times New Roman" w:cstheme="minorHAnsi"/>
          <w:b/>
          <w:bCs/>
          <w:lang w:eastAsia="hr-HR"/>
        </w:rPr>
        <w:t>30</w:t>
      </w:r>
      <w:r w:rsidRPr="00B64114">
        <w:rPr>
          <w:rFonts w:eastAsia="Times New Roman" w:cstheme="minorHAnsi"/>
          <w:b/>
          <w:bCs/>
          <w:lang w:eastAsia="hr-HR"/>
        </w:rPr>
        <w:t xml:space="preserve">. </w:t>
      </w:r>
      <w:r>
        <w:rPr>
          <w:rFonts w:eastAsia="Times New Roman" w:cstheme="minorHAnsi"/>
          <w:b/>
          <w:bCs/>
          <w:lang w:eastAsia="hr-HR"/>
        </w:rPr>
        <w:t>I</w:t>
      </w:r>
      <w:r w:rsidRPr="00B64114">
        <w:rPr>
          <w:rFonts w:eastAsia="Times New Roman" w:cstheme="minorHAnsi"/>
          <w:b/>
          <w:bCs/>
          <w:lang w:eastAsia="hr-HR"/>
        </w:rPr>
        <w:t>zvršenj</w:t>
      </w:r>
      <w:r>
        <w:rPr>
          <w:rFonts w:eastAsia="Times New Roman" w:cstheme="minorHAnsi"/>
          <w:b/>
          <w:bCs/>
          <w:lang w:eastAsia="hr-HR"/>
        </w:rPr>
        <w:t>e</w:t>
      </w:r>
      <w:r w:rsidRPr="00B64114">
        <w:rPr>
          <w:rFonts w:eastAsia="Times New Roman" w:cstheme="minorHAnsi"/>
          <w:b/>
          <w:bCs/>
          <w:lang w:eastAsia="hr-HR"/>
        </w:rPr>
        <w:t xml:space="preserve"> prihodovnih usluga medicinskih proizvoda</w:t>
      </w:r>
    </w:p>
    <w:tbl>
      <w:tblPr>
        <w:tblW w:w="10559" w:type="dxa"/>
        <w:tblInd w:w="103" w:type="dxa"/>
        <w:tblLook w:val="04A0" w:firstRow="1" w:lastRow="0" w:firstColumn="1" w:lastColumn="0" w:noHBand="0" w:noVBand="1"/>
      </w:tblPr>
      <w:tblGrid>
        <w:gridCol w:w="613"/>
        <w:gridCol w:w="4574"/>
        <w:gridCol w:w="1276"/>
        <w:gridCol w:w="1504"/>
        <w:gridCol w:w="1276"/>
        <w:gridCol w:w="1316"/>
      </w:tblGrid>
      <w:tr w:rsidR="00EA51C4" w:rsidRPr="000A4328" w14:paraId="7DFDF7F6" w14:textId="77777777" w:rsidTr="00BA499D">
        <w:trPr>
          <w:gridAfter w:val="1"/>
          <w:wAfter w:w="1316" w:type="dxa"/>
          <w:trHeight w:val="142"/>
          <w:tblHeader/>
        </w:trPr>
        <w:tc>
          <w:tcPr>
            <w:tcW w:w="613" w:type="dxa"/>
            <w:vMerge w:val="restart"/>
            <w:tcBorders>
              <w:top w:val="single" w:sz="4" w:space="0" w:color="auto"/>
              <w:left w:val="single" w:sz="4" w:space="0" w:color="auto"/>
              <w:bottom w:val="single" w:sz="4" w:space="0" w:color="auto"/>
              <w:right w:val="single" w:sz="4" w:space="0" w:color="auto"/>
            </w:tcBorders>
            <w:shd w:val="clear" w:color="000000" w:fill="A3E7FF"/>
            <w:vAlign w:val="center"/>
            <w:hideMark/>
          </w:tcPr>
          <w:p w14:paraId="0DA63468" w14:textId="77777777" w:rsidR="00EA51C4" w:rsidRPr="00E12150" w:rsidRDefault="00EA51C4" w:rsidP="00BA499D">
            <w:pPr>
              <w:jc w:val="center"/>
              <w:rPr>
                <w:rFonts w:ascii="Calibri" w:eastAsia="Times New Roman" w:hAnsi="Calibri" w:cs="Calibri"/>
                <w:b/>
                <w:bCs/>
                <w:color w:val="000000"/>
                <w:sz w:val="18"/>
                <w:szCs w:val="18"/>
                <w:lang w:eastAsia="hr-HR"/>
              </w:rPr>
            </w:pPr>
            <w:r w:rsidRPr="00E12150">
              <w:rPr>
                <w:rFonts w:ascii="Calibri" w:eastAsia="Times New Roman" w:hAnsi="Calibri" w:cs="Calibri"/>
                <w:b/>
                <w:bCs/>
                <w:color w:val="000000"/>
                <w:sz w:val="18"/>
                <w:szCs w:val="18"/>
                <w:lang w:eastAsia="hr-HR"/>
              </w:rPr>
              <w:t>R.br.</w:t>
            </w:r>
          </w:p>
        </w:tc>
        <w:tc>
          <w:tcPr>
            <w:tcW w:w="4574" w:type="dxa"/>
            <w:vMerge w:val="restart"/>
            <w:tcBorders>
              <w:top w:val="single" w:sz="4" w:space="0" w:color="auto"/>
              <w:left w:val="single" w:sz="4" w:space="0" w:color="auto"/>
              <w:bottom w:val="single" w:sz="4" w:space="0" w:color="auto"/>
              <w:right w:val="single" w:sz="4" w:space="0" w:color="auto"/>
            </w:tcBorders>
            <w:shd w:val="clear" w:color="000000" w:fill="A3E7FF"/>
            <w:vAlign w:val="center"/>
            <w:hideMark/>
          </w:tcPr>
          <w:p w14:paraId="3C352876" w14:textId="77777777" w:rsidR="00EA51C4" w:rsidRPr="00E12150" w:rsidRDefault="00EA51C4" w:rsidP="00BA499D">
            <w:pPr>
              <w:rPr>
                <w:rFonts w:ascii="Calibri" w:eastAsia="Times New Roman" w:hAnsi="Calibri" w:cs="Calibri"/>
                <w:b/>
                <w:bCs/>
                <w:color w:val="000000"/>
                <w:sz w:val="18"/>
                <w:szCs w:val="18"/>
                <w:lang w:eastAsia="hr-HR"/>
              </w:rPr>
            </w:pPr>
            <w:r w:rsidRPr="00E12150">
              <w:rPr>
                <w:rFonts w:ascii="Calibri" w:eastAsia="Times New Roman" w:hAnsi="Calibri" w:cs="Calibri"/>
                <w:b/>
                <w:bCs/>
                <w:color w:val="000000"/>
                <w:sz w:val="18"/>
                <w:szCs w:val="18"/>
                <w:lang w:eastAsia="hr-HR"/>
              </w:rPr>
              <w:t>Naziv usluge</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A3E7FF"/>
            <w:vAlign w:val="center"/>
            <w:hideMark/>
          </w:tcPr>
          <w:p w14:paraId="5E5E16EC" w14:textId="77777777" w:rsidR="00EA51C4" w:rsidRPr="00E12150" w:rsidRDefault="00EA51C4" w:rsidP="00BA499D">
            <w:pPr>
              <w:jc w:val="center"/>
              <w:rPr>
                <w:rFonts w:ascii="Calibri" w:eastAsia="Times New Roman" w:hAnsi="Calibri" w:cs="Calibri"/>
                <w:b/>
                <w:bCs/>
                <w:color w:val="000000"/>
                <w:sz w:val="18"/>
                <w:szCs w:val="18"/>
                <w:lang w:eastAsia="hr-HR"/>
              </w:rPr>
            </w:pPr>
            <w:r>
              <w:rPr>
                <w:rFonts w:ascii="Calibri" w:eastAsia="Times New Roman" w:hAnsi="Calibri" w:cs="Calibri"/>
                <w:b/>
                <w:bCs/>
                <w:color w:val="000000"/>
                <w:sz w:val="18"/>
                <w:szCs w:val="18"/>
                <w:lang w:eastAsia="hr-HR"/>
              </w:rPr>
              <w:t>Plan za 2023</w:t>
            </w:r>
            <w:r w:rsidRPr="00E12150">
              <w:rPr>
                <w:rFonts w:ascii="Calibri" w:eastAsia="Times New Roman" w:hAnsi="Calibri" w:cs="Calibri"/>
                <w:b/>
                <w:bCs/>
                <w:color w:val="000000"/>
                <w:sz w:val="18"/>
                <w:szCs w:val="18"/>
                <w:lang w:eastAsia="hr-HR"/>
              </w:rPr>
              <w:t xml:space="preserve">. </w:t>
            </w:r>
          </w:p>
        </w:tc>
        <w:tc>
          <w:tcPr>
            <w:tcW w:w="1504" w:type="dxa"/>
            <w:tcBorders>
              <w:top w:val="single" w:sz="4" w:space="0" w:color="auto"/>
              <w:left w:val="nil"/>
              <w:bottom w:val="nil"/>
              <w:right w:val="single" w:sz="4" w:space="0" w:color="auto"/>
            </w:tcBorders>
            <w:shd w:val="clear" w:color="000000" w:fill="A3E7FF"/>
            <w:vAlign w:val="center"/>
            <w:hideMark/>
          </w:tcPr>
          <w:p w14:paraId="5AA256B1" w14:textId="77777777" w:rsidR="00EA51C4" w:rsidRPr="00E12150" w:rsidRDefault="00EA51C4" w:rsidP="00BA499D">
            <w:pPr>
              <w:jc w:val="center"/>
              <w:rPr>
                <w:rFonts w:ascii="Calibri" w:eastAsia="Times New Roman" w:hAnsi="Calibri" w:cs="Calibri"/>
                <w:b/>
                <w:bCs/>
                <w:color w:val="000000"/>
                <w:sz w:val="18"/>
                <w:szCs w:val="18"/>
                <w:lang w:eastAsia="hr-HR"/>
              </w:rPr>
            </w:pPr>
            <w:r w:rsidRPr="00E12150">
              <w:rPr>
                <w:rFonts w:ascii="Calibri" w:eastAsia="Times New Roman" w:hAnsi="Calibri" w:cs="Calibri"/>
                <w:b/>
                <w:bCs/>
                <w:color w:val="000000"/>
                <w:sz w:val="18"/>
                <w:szCs w:val="18"/>
                <w:lang w:eastAsia="hr-HR"/>
              </w:rPr>
              <w:t xml:space="preserve">Izvršenje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A3E7FF"/>
            <w:vAlign w:val="center"/>
            <w:hideMark/>
          </w:tcPr>
          <w:p w14:paraId="20E4A0EA" w14:textId="77777777" w:rsidR="00EA51C4" w:rsidRPr="00E12150" w:rsidRDefault="00EA51C4" w:rsidP="00BA499D">
            <w:pPr>
              <w:jc w:val="center"/>
              <w:rPr>
                <w:rFonts w:ascii="Calibri" w:eastAsia="Times New Roman" w:hAnsi="Calibri" w:cs="Calibri"/>
                <w:b/>
                <w:bCs/>
                <w:color w:val="000000"/>
                <w:sz w:val="18"/>
                <w:szCs w:val="18"/>
                <w:lang w:eastAsia="hr-HR"/>
              </w:rPr>
            </w:pPr>
            <w:r w:rsidRPr="00E12150">
              <w:rPr>
                <w:rFonts w:ascii="Calibri" w:eastAsia="Times New Roman" w:hAnsi="Calibri" w:cs="Calibri"/>
                <w:b/>
                <w:bCs/>
                <w:color w:val="000000"/>
                <w:sz w:val="18"/>
                <w:szCs w:val="18"/>
                <w:lang w:eastAsia="hr-HR"/>
              </w:rPr>
              <w:t>% izvršenja</w:t>
            </w:r>
          </w:p>
        </w:tc>
      </w:tr>
      <w:tr w:rsidR="00EA51C4" w:rsidRPr="000A4328" w14:paraId="5603EF40" w14:textId="77777777" w:rsidTr="00BA499D">
        <w:trPr>
          <w:gridAfter w:val="1"/>
          <w:wAfter w:w="1316" w:type="dxa"/>
          <w:trHeight w:val="530"/>
          <w:tblHeader/>
        </w:trPr>
        <w:tc>
          <w:tcPr>
            <w:tcW w:w="613" w:type="dxa"/>
            <w:vMerge/>
            <w:tcBorders>
              <w:top w:val="single" w:sz="4" w:space="0" w:color="auto"/>
              <w:left w:val="single" w:sz="4" w:space="0" w:color="auto"/>
              <w:bottom w:val="single" w:sz="4" w:space="0" w:color="auto"/>
              <w:right w:val="single" w:sz="4" w:space="0" w:color="auto"/>
            </w:tcBorders>
            <w:vAlign w:val="center"/>
            <w:hideMark/>
          </w:tcPr>
          <w:p w14:paraId="131E9919" w14:textId="77777777" w:rsidR="00EA51C4" w:rsidRPr="000A4328" w:rsidRDefault="00EA51C4" w:rsidP="00BA499D">
            <w:pPr>
              <w:rPr>
                <w:rFonts w:ascii="Calibri" w:eastAsia="Times New Roman" w:hAnsi="Calibri" w:cs="Calibri"/>
                <w:b/>
                <w:bCs/>
                <w:color w:val="000000"/>
                <w:sz w:val="20"/>
                <w:szCs w:val="20"/>
                <w:lang w:eastAsia="hr-HR"/>
              </w:rPr>
            </w:pPr>
          </w:p>
        </w:tc>
        <w:tc>
          <w:tcPr>
            <w:tcW w:w="4574" w:type="dxa"/>
            <w:vMerge/>
            <w:tcBorders>
              <w:top w:val="single" w:sz="4" w:space="0" w:color="auto"/>
              <w:left w:val="single" w:sz="4" w:space="0" w:color="auto"/>
              <w:bottom w:val="single" w:sz="4" w:space="0" w:color="auto"/>
              <w:right w:val="single" w:sz="4" w:space="0" w:color="auto"/>
            </w:tcBorders>
            <w:vAlign w:val="center"/>
            <w:hideMark/>
          </w:tcPr>
          <w:p w14:paraId="17E409F5" w14:textId="77777777" w:rsidR="00EA51C4" w:rsidRPr="000A4328" w:rsidRDefault="00EA51C4" w:rsidP="00BA499D">
            <w:pPr>
              <w:rPr>
                <w:rFonts w:ascii="Calibri" w:eastAsia="Times New Roman" w:hAnsi="Calibri" w:cs="Calibri"/>
                <w:b/>
                <w:bCs/>
                <w:color w:val="000000"/>
                <w:sz w:val="20"/>
                <w:szCs w:val="20"/>
                <w:lang w:eastAsia="hr-HR"/>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25EC67C" w14:textId="77777777" w:rsidR="00EA51C4" w:rsidRPr="000A4328" w:rsidRDefault="00EA51C4" w:rsidP="00BA499D">
            <w:pPr>
              <w:rPr>
                <w:rFonts w:ascii="Calibri" w:eastAsia="Times New Roman" w:hAnsi="Calibri" w:cs="Calibri"/>
                <w:b/>
                <w:bCs/>
                <w:color w:val="000000"/>
                <w:sz w:val="20"/>
                <w:szCs w:val="20"/>
                <w:lang w:eastAsia="hr-HR"/>
              </w:rPr>
            </w:pPr>
          </w:p>
        </w:tc>
        <w:tc>
          <w:tcPr>
            <w:tcW w:w="1504" w:type="dxa"/>
            <w:tcBorders>
              <w:top w:val="nil"/>
              <w:left w:val="nil"/>
              <w:bottom w:val="single" w:sz="4" w:space="0" w:color="auto"/>
              <w:right w:val="single" w:sz="4" w:space="0" w:color="auto"/>
            </w:tcBorders>
            <w:shd w:val="clear" w:color="000000" w:fill="A3E7FF"/>
            <w:vAlign w:val="center"/>
            <w:hideMark/>
          </w:tcPr>
          <w:p w14:paraId="28F14BA7" w14:textId="77777777" w:rsidR="00EA51C4" w:rsidRPr="00E12150" w:rsidRDefault="00EA51C4" w:rsidP="00BA499D">
            <w:pPr>
              <w:jc w:val="center"/>
              <w:rPr>
                <w:rFonts w:ascii="Calibri" w:eastAsia="Times New Roman" w:hAnsi="Calibri" w:cs="Calibri"/>
                <w:b/>
                <w:bCs/>
                <w:color w:val="000000"/>
                <w:sz w:val="18"/>
                <w:szCs w:val="18"/>
                <w:lang w:eastAsia="hr-HR"/>
              </w:rPr>
            </w:pPr>
            <w:r>
              <w:rPr>
                <w:rFonts w:ascii="Calibri" w:eastAsia="Times New Roman" w:hAnsi="Calibri" w:cs="Calibri"/>
                <w:b/>
                <w:bCs/>
                <w:color w:val="000000"/>
                <w:sz w:val="18"/>
                <w:szCs w:val="18"/>
                <w:lang w:eastAsia="hr-HR"/>
              </w:rPr>
              <w:t>01.01.-31.12.2023.</w:t>
            </w:r>
            <w:r w:rsidRPr="00E12150">
              <w:rPr>
                <w:rFonts w:ascii="Calibri" w:eastAsia="Times New Roman" w:hAnsi="Calibri" w:cs="Calibri"/>
                <w:b/>
                <w:bCs/>
                <w:color w:val="000000"/>
                <w:sz w:val="18"/>
                <w:szCs w:val="18"/>
                <w:lang w:eastAsia="hr-HR"/>
              </w:rPr>
              <w:t xml:space="preserve">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BF01FE2" w14:textId="77777777" w:rsidR="00EA51C4" w:rsidRPr="000A4328" w:rsidRDefault="00EA51C4" w:rsidP="00BA499D">
            <w:pPr>
              <w:rPr>
                <w:rFonts w:ascii="Calibri" w:eastAsia="Times New Roman" w:hAnsi="Calibri" w:cs="Calibri"/>
                <w:b/>
                <w:bCs/>
                <w:color w:val="000000"/>
                <w:sz w:val="20"/>
                <w:szCs w:val="20"/>
                <w:lang w:eastAsia="hr-HR"/>
              </w:rPr>
            </w:pPr>
          </w:p>
        </w:tc>
      </w:tr>
      <w:tr w:rsidR="00EA51C4" w:rsidRPr="000A4328" w14:paraId="3BF691E4" w14:textId="77777777" w:rsidTr="00BA499D">
        <w:trPr>
          <w:gridAfter w:val="1"/>
          <w:wAfter w:w="1316" w:type="dxa"/>
          <w:trHeight w:val="142"/>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6FFE5565" w14:textId="77777777" w:rsidR="00EA51C4" w:rsidRPr="005D354A" w:rsidRDefault="00EA51C4" w:rsidP="00BA499D">
            <w:pPr>
              <w:jc w:val="center"/>
              <w:rPr>
                <w:rFonts w:eastAsia="Times New Roman" w:cstheme="minorHAnsi"/>
                <w:color w:val="1A1A1A"/>
                <w:sz w:val="18"/>
                <w:szCs w:val="18"/>
                <w:lang w:eastAsia="hr-HR"/>
              </w:rPr>
            </w:pPr>
            <w:r w:rsidRPr="005D354A">
              <w:rPr>
                <w:rFonts w:eastAsia="Times New Roman" w:cstheme="minorHAnsi"/>
                <w:color w:val="1A1A1A"/>
                <w:sz w:val="18"/>
                <w:szCs w:val="18"/>
                <w:lang w:eastAsia="hr-HR"/>
              </w:rPr>
              <w:t>1.</w:t>
            </w:r>
          </w:p>
        </w:tc>
        <w:tc>
          <w:tcPr>
            <w:tcW w:w="4574" w:type="dxa"/>
            <w:tcBorders>
              <w:top w:val="nil"/>
              <w:left w:val="nil"/>
              <w:bottom w:val="single" w:sz="4" w:space="0" w:color="auto"/>
              <w:right w:val="single" w:sz="4" w:space="0" w:color="auto"/>
            </w:tcBorders>
            <w:shd w:val="clear" w:color="auto" w:fill="auto"/>
            <w:vAlign w:val="center"/>
            <w:hideMark/>
          </w:tcPr>
          <w:p w14:paraId="0B1EFA28" w14:textId="77777777" w:rsidR="00EA51C4" w:rsidRPr="005D354A" w:rsidRDefault="00EA51C4" w:rsidP="00BA499D">
            <w:pPr>
              <w:rPr>
                <w:rFonts w:eastAsia="Times New Roman" w:cstheme="minorHAnsi"/>
                <w:color w:val="1A1A1A"/>
                <w:sz w:val="18"/>
                <w:szCs w:val="18"/>
                <w:lang w:eastAsia="hr-HR"/>
              </w:rPr>
            </w:pPr>
            <w:r w:rsidRPr="005D354A">
              <w:rPr>
                <w:rFonts w:eastAsia="Times New Roman" w:cstheme="minorHAnsi"/>
                <w:color w:val="1A1A1A"/>
                <w:sz w:val="18"/>
                <w:szCs w:val="18"/>
                <w:lang w:eastAsia="hr-HR"/>
              </w:rPr>
              <w:t>Upis/uskraćivanje upisa u očevidnik proizvođača ili zastupnika proizvođača</w:t>
            </w:r>
          </w:p>
        </w:tc>
        <w:tc>
          <w:tcPr>
            <w:tcW w:w="1276" w:type="dxa"/>
            <w:tcBorders>
              <w:top w:val="nil"/>
              <w:left w:val="nil"/>
              <w:bottom w:val="single" w:sz="4" w:space="0" w:color="auto"/>
              <w:right w:val="single" w:sz="4" w:space="0" w:color="auto"/>
            </w:tcBorders>
            <w:shd w:val="clear" w:color="auto" w:fill="auto"/>
            <w:noWrap/>
            <w:vAlign w:val="center"/>
          </w:tcPr>
          <w:p w14:paraId="3E6F8AC0" w14:textId="77777777" w:rsidR="00EA51C4" w:rsidRPr="003D768E" w:rsidRDefault="00EA51C4" w:rsidP="00BA499D">
            <w:pPr>
              <w:jc w:val="center"/>
              <w:rPr>
                <w:bCs/>
                <w:sz w:val="18"/>
                <w:szCs w:val="18"/>
              </w:rPr>
            </w:pPr>
            <w:r w:rsidRPr="00420CB9">
              <w:rPr>
                <w:bCs/>
                <w:sz w:val="20"/>
                <w:szCs w:val="20"/>
              </w:rPr>
              <w:t>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2AC6C2" w14:textId="77777777" w:rsidR="00EA51C4" w:rsidRPr="00C4376B" w:rsidRDefault="00EA51C4" w:rsidP="00BA499D">
            <w:pPr>
              <w:jc w:val="center"/>
              <w:rPr>
                <w:bCs/>
                <w:sz w:val="18"/>
                <w:szCs w:val="18"/>
              </w:rPr>
            </w:pPr>
            <w:r w:rsidRPr="00C10B62">
              <w:rPr>
                <w:bCs/>
                <w:sz w:val="20"/>
                <w:szCs w:val="20"/>
              </w:rPr>
              <w:t>1</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C17E69A" w14:textId="77777777" w:rsidR="00EA51C4" w:rsidRPr="003D768E" w:rsidRDefault="00EA51C4" w:rsidP="00BA499D">
            <w:pPr>
              <w:jc w:val="center"/>
              <w:rPr>
                <w:sz w:val="18"/>
                <w:szCs w:val="18"/>
              </w:rPr>
            </w:pPr>
            <w:r>
              <w:rPr>
                <w:sz w:val="20"/>
                <w:szCs w:val="20"/>
              </w:rPr>
              <w:t>-</w:t>
            </w:r>
          </w:p>
        </w:tc>
      </w:tr>
      <w:tr w:rsidR="00EA51C4" w:rsidRPr="000A4328" w14:paraId="333402A9" w14:textId="77777777" w:rsidTr="00BA499D">
        <w:trPr>
          <w:gridAfter w:val="1"/>
          <w:wAfter w:w="1316" w:type="dxa"/>
          <w:trHeight w:val="142"/>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7D4799B0" w14:textId="77777777" w:rsidR="00EA51C4" w:rsidRPr="005D354A" w:rsidRDefault="00EA51C4" w:rsidP="00BA499D">
            <w:pPr>
              <w:jc w:val="center"/>
              <w:rPr>
                <w:rFonts w:eastAsia="Times New Roman" w:cstheme="minorHAnsi"/>
                <w:color w:val="1A1A1A"/>
                <w:sz w:val="18"/>
                <w:szCs w:val="18"/>
                <w:lang w:eastAsia="hr-HR"/>
              </w:rPr>
            </w:pPr>
            <w:r w:rsidRPr="005D354A">
              <w:rPr>
                <w:rFonts w:eastAsia="Times New Roman" w:cstheme="minorHAnsi"/>
                <w:color w:val="1A1A1A"/>
                <w:sz w:val="18"/>
                <w:szCs w:val="18"/>
                <w:lang w:eastAsia="hr-HR"/>
              </w:rPr>
              <w:t>2.</w:t>
            </w:r>
          </w:p>
        </w:tc>
        <w:tc>
          <w:tcPr>
            <w:tcW w:w="4574" w:type="dxa"/>
            <w:tcBorders>
              <w:top w:val="nil"/>
              <w:left w:val="nil"/>
              <w:bottom w:val="single" w:sz="4" w:space="0" w:color="auto"/>
              <w:right w:val="single" w:sz="4" w:space="0" w:color="auto"/>
            </w:tcBorders>
            <w:shd w:val="clear" w:color="auto" w:fill="auto"/>
            <w:vAlign w:val="center"/>
            <w:hideMark/>
          </w:tcPr>
          <w:p w14:paraId="3EDFE82D" w14:textId="77777777" w:rsidR="00EA51C4" w:rsidRPr="005D354A" w:rsidRDefault="00EA51C4" w:rsidP="00BA499D">
            <w:pPr>
              <w:rPr>
                <w:rFonts w:eastAsia="Times New Roman" w:cstheme="minorHAnsi"/>
                <w:color w:val="1A1A1A"/>
                <w:sz w:val="18"/>
                <w:szCs w:val="18"/>
                <w:lang w:eastAsia="hr-HR"/>
              </w:rPr>
            </w:pPr>
            <w:r w:rsidRPr="005D354A">
              <w:rPr>
                <w:rFonts w:eastAsia="Times New Roman" w:cstheme="minorHAnsi"/>
                <w:color w:val="1A1A1A"/>
                <w:sz w:val="18"/>
                <w:szCs w:val="18"/>
                <w:lang w:eastAsia="hr-HR"/>
              </w:rPr>
              <w:t>Izmjena/uskraćivanje izmjene upisa u očevidnik proizvođača ili ovlaštenih zastupnika proizvođača</w:t>
            </w:r>
          </w:p>
        </w:tc>
        <w:tc>
          <w:tcPr>
            <w:tcW w:w="1276" w:type="dxa"/>
            <w:tcBorders>
              <w:top w:val="nil"/>
              <w:left w:val="nil"/>
              <w:bottom w:val="single" w:sz="4" w:space="0" w:color="auto"/>
              <w:right w:val="single" w:sz="4" w:space="0" w:color="auto"/>
            </w:tcBorders>
            <w:shd w:val="clear" w:color="auto" w:fill="auto"/>
            <w:noWrap/>
            <w:vAlign w:val="center"/>
          </w:tcPr>
          <w:p w14:paraId="2EDAEE46" w14:textId="77777777" w:rsidR="00EA51C4" w:rsidRPr="003D768E" w:rsidRDefault="00EA51C4" w:rsidP="00BA499D">
            <w:pPr>
              <w:jc w:val="center"/>
              <w:rPr>
                <w:bCs/>
                <w:sz w:val="18"/>
                <w:szCs w:val="18"/>
              </w:rPr>
            </w:pPr>
            <w:r w:rsidRPr="00420CB9">
              <w:rPr>
                <w:bCs/>
                <w:sz w:val="20"/>
                <w:szCs w:val="20"/>
              </w:rPr>
              <w:t>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F3CACC" w14:textId="77777777" w:rsidR="00EA51C4" w:rsidRPr="00C4376B" w:rsidRDefault="00EA51C4" w:rsidP="00BA499D">
            <w:pPr>
              <w:jc w:val="center"/>
              <w:rPr>
                <w:bCs/>
                <w:sz w:val="18"/>
                <w:szCs w:val="18"/>
              </w:rPr>
            </w:pPr>
            <w:r w:rsidRPr="00C10B62">
              <w:rPr>
                <w:bCs/>
                <w:sz w:val="20"/>
                <w:szCs w:val="20"/>
              </w:rPr>
              <w:t>3</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6B7C601" w14:textId="77777777" w:rsidR="00EA51C4" w:rsidRPr="003D768E" w:rsidRDefault="00EA51C4" w:rsidP="00BA499D">
            <w:pPr>
              <w:jc w:val="center"/>
              <w:rPr>
                <w:sz w:val="18"/>
                <w:szCs w:val="18"/>
              </w:rPr>
            </w:pPr>
            <w:r>
              <w:rPr>
                <w:sz w:val="20"/>
                <w:szCs w:val="20"/>
              </w:rPr>
              <w:t>-</w:t>
            </w:r>
          </w:p>
        </w:tc>
      </w:tr>
      <w:tr w:rsidR="00EA51C4" w:rsidRPr="000A4328" w14:paraId="562D15E5" w14:textId="77777777" w:rsidTr="00BA499D">
        <w:trPr>
          <w:gridAfter w:val="1"/>
          <w:wAfter w:w="1316" w:type="dxa"/>
          <w:trHeight w:val="142"/>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6D56CF41" w14:textId="77777777" w:rsidR="00EA51C4" w:rsidRPr="005D354A" w:rsidRDefault="00EA51C4" w:rsidP="00BA499D">
            <w:pPr>
              <w:jc w:val="center"/>
              <w:rPr>
                <w:rFonts w:eastAsia="Times New Roman" w:cstheme="minorHAnsi"/>
                <w:color w:val="1A1A1A"/>
                <w:sz w:val="18"/>
                <w:szCs w:val="18"/>
                <w:lang w:eastAsia="hr-HR"/>
              </w:rPr>
            </w:pPr>
            <w:r>
              <w:rPr>
                <w:rFonts w:eastAsia="Times New Roman" w:cstheme="minorHAnsi"/>
                <w:color w:val="1A1A1A"/>
                <w:sz w:val="18"/>
                <w:szCs w:val="18"/>
                <w:lang w:eastAsia="hr-HR"/>
              </w:rPr>
              <w:t>3</w:t>
            </w:r>
            <w:r w:rsidRPr="005D354A">
              <w:rPr>
                <w:rFonts w:eastAsia="Times New Roman" w:cstheme="minorHAnsi"/>
                <w:color w:val="1A1A1A"/>
                <w:sz w:val="18"/>
                <w:szCs w:val="18"/>
                <w:lang w:eastAsia="hr-HR"/>
              </w:rPr>
              <w:t>.</w:t>
            </w:r>
          </w:p>
        </w:tc>
        <w:tc>
          <w:tcPr>
            <w:tcW w:w="4574" w:type="dxa"/>
            <w:tcBorders>
              <w:top w:val="nil"/>
              <w:left w:val="nil"/>
              <w:bottom w:val="single" w:sz="4" w:space="0" w:color="auto"/>
              <w:right w:val="single" w:sz="4" w:space="0" w:color="auto"/>
            </w:tcBorders>
            <w:shd w:val="clear" w:color="auto" w:fill="auto"/>
            <w:vAlign w:val="center"/>
            <w:hideMark/>
          </w:tcPr>
          <w:p w14:paraId="3659E3DB" w14:textId="77777777" w:rsidR="00EA51C4" w:rsidRPr="005D354A" w:rsidRDefault="00EA51C4" w:rsidP="00BA499D">
            <w:pPr>
              <w:rPr>
                <w:rFonts w:eastAsia="Times New Roman" w:cstheme="minorHAnsi"/>
                <w:color w:val="1A1A1A"/>
                <w:sz w:val="18"/>
                <w:szCs w:val="18"/>
                <w:lang w:eastAsia="hr-HR"/>
              </w:rPr>
            </w:pPr>
            <w:r w:rsidRPr="005D354A">
              <w:rPr>
                <w:rFonts w:eastAsia="Times New Roman" w:cstheme="minorHAnsi"/>
                <w:color w:val="1A1A1A"/>
                <w:sz w:val="18"/>
                <w:szCs w:val="18"/>
                <w:lang w:eastAsia="hr-HR"/>
              </w:rPr>
              <w:t>Upis/uskraćivanje upisa u očevidnik medicinskih proizvoda (1 do 5 proizvoda)</w:t>
            </w:r>
          </w:p>
        </w:tc>
        <w:tc>
          <w:tcPr>
            <w:tcW w:w="1276" w:type="dxa"/>
            <w:tcBorders>
              <w:top w:val="nil"/>
              <w:left w:val="nil"/>
              <w:bottom w:val="single" w:sz="4" w:space="0" w:color="auto"/>
              <w:right w:val="single" w:sz="4" w:space="0" w:color="auto"/>
            </w:tcBorders>
            <w:shd w:val="clear" w:color="auto" w:fill="auto"/>
            <w:noWrap/>
            <w:vAlign w:val="center"/>
          </w:tcPr>
          <w:p w14:paraId="31870A1F" w14:textId="77777777" w:rsidR="00EA51C4" w:rsidRPr="003D768E" w:rsidRDefault="00EA51C4" w:rsidP="00BA499D">
            <w:pPr>
              <w:jc w:val="center"/>
              <w:rPr>
                <w:bCs/>
                <w:sz w:val="18"/>
                <w:szCs w:val="18"/>
              </w:rPr>
            </w:pPr>
            <w:r w:rsidRPr="00420CB9">
              <w:rPr>
                <w:bCs/>
                <w:sz w:val="20"/>
                <w:szCs w:val="20"/>
              </w:rPr>
              <w:t>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9C1EA1" w14:textId="77777777" w:rsidR="00EA51C4" w:rsidRPr="00C4376B" w:rsidRDefault="00EA51C4" w:rsidP="00BA499D">
            <w:pPr>
              <w:jc w:val="center"/>
              <w:rPr>
                <w:bCs/>
                <w:sz w:val="18"/>
                <w:szCs w:val="18"/>
              </w:rPr>
            </w:pPr>
            <w:r w:rsidRPr="00C10B62">
              <w:rPr>
                <w:bCs/>
                <w:sz w:val="20"/>
                <w:szCs w:val="20"/>
              </w:rPr>
              <w:t>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44FD863" w14:textId="77777777" w:rsidR="00EA51C4" w:rsidRPr="003D768E" w:rsidRDefault="00EA51C4" w:rsidP="00BA499D">
            <w:pPr>
              <w:jc w:val="center"/>
              <w:rPr>
                <w:sz w:val="18"/>
                <w:szCs w:val="18"/>
              </w:rPr>
            </w:pPr>
            <w:r>
              <w:rPr>
                <w:sz w:val="20"/>
                <w:szCs w:val="20"/>
              </w:rPr>
              <w:t>-</w:t>
            </w:r>
          </w:p>
        </w:tc>
      </w:tr>
      <w:tr w:rsidR="00EA51C4" w:rsidRPr="000A4328" w14:paraId="3439E673" w14:textId="77777777" w:rsidTr="00BA499D">
        <w:trPr>
          <w:gridAfter w:val="1"/>
          <w:wAfter w:w="1316" w:type="dxa"/>
          <w:trHeight w:val="142"/>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1AADDA6B" w14:textId="77777777" w:rsidR="00EA51C4" w:rsidRPr="005D354A" w:rsidRDefault="00EA51C4" w:rsidP="00BA499D">
            <w:pPr>
              <w:jc w:val="center"/>
              <w:rPr>
                <w:rFonts w:eastAsia="Times New Roman" w:cstheme="minorHAnsi"/>
                <w:color w:val="1A1A1A"/>
                <w:sz w:val="18"/>
                <w:szCs w:val="18"/>
                <w:lang w:eastAsia="hr-HR"/>
              </w:rPr>
            </w:pPr>
            <w:r>
              <w:rPr>
                <w:rFonts w:eastAsia="Times New Roman" w:cstheme="minorHAnsi"/>
                <w:color w:val="1A1A1A"/>
                <w:sz w:val="18"/>
                <w:szCs w:val="18"/>
                <w:lang w:eastAsia="hr-HR"/>
              </w:rPr>
              <w:t>4</w:t>
            </w:r>
            <w:r w:rsidRPr="005D354A">
              <w:rPr>
                <w:rFonts w:eastAsia="Times New Roman" w:cstheme="minorHAnsi"/>
                <w:color w:val="1A1A1A"/>
                <w:sz w:val="18"/>
                <w:szCs w:val="18"/>
                <w:lang w:eastAsia="hr-HR"/>
              </w:rPr>
              <w:t>.</w:t>
            </w:r>
          </w:p>
        </w:tc>
        <w:tc>
          <w:tcPr>
            <w:tcW w:w="4574" w:type="dxa"/>
            <w:tcBorders>
              <w:top w:val="nil"/>
              <w:left w:val="nil"/>
              <w:bottom w:val="single" w:sz="4" w:space="0" w:color="auto"/>
              <w:right w:val="single" w:sz="4" w:space="0" w:color="auto"/>
            </w:tcBorders>
            <w:shd w:val="clear" w:color="auto" w:fill="auto"/>
            <w:vAlign w:val="center"/>
            <w:hideMark/>
          </w:tcPr>
          <w:p w14:paraId="1AA107C0" w14:textId="77777777" w:rsidR="00EA51C4" w:rsidRPr="005D354A" w:rsidRDefault="00EA51C4" w:rsidP="00BA499D">
            <w:pPr>
              <w:rPr>
                <w:rFonts w:eastAsia="Times New Roman" w:cstheme="minorHAnsi"/>
                <w:color w:val="1A1A1A"/>
                <w:sz w:val="18"/>
                <w:szCs w:val="18"/>
                <w:lang w:eastAsia="hr-HR"/>
              </w:rPr>
            </w:pPr>
            <w:r w:rsidRPr="005D354A">
              <w:rPr>
                <w:rFonts w:eastAsia="Times New Roman" w:cstheme="minorHAnsi"/>
                <w:color w:val="1A1A1A"/>
                <w:sz w:val="18"/>
                <w:szCs w:val="18"/>
                <w:lang w:eastAsia="hr-HR"/>
              </w:rPr>
              <w:t>Upis/uskraćivanje upisa u očevidnik medicinskih proizvoda (6 do 30</w:t>
            </w:r>
            <w:r>
              <w:rPr>
                <w:rFonts w:eastAsia="Times New Roman" w:cstheme="minorHAnsi"/>
                <w:color w:val="1A1A1A"/>
                <w:sz w:val="18"/>
                <w:szCs w:val="18"/>
                <w:lang w:eastAsia="hr-HR"/>
              </w:rPr>
              <w:t xml:space="preserve"> </w:t>
            </w:r>
            <w:r w:rsidRPr="005D354A">
              <w:rPr>
                <w:rFonts w:eastAsia="Times New Roman" w:cstheme="minorHAnsi"/>
                <w:color w:val="1A1A1A"/>
                <w:sz w:val="18"/>
                <w:szCs w:val="18"/>
                <w:lang w:eastAsia="hr-HR"/>
              </w:rPr>
              <w:t>proizvoda)</w:t>
            </w:r>
          </w:p>
        </w:tc>
        <w:tc>
          <w:tcPr>
            <w:tcW w:w="1276" w:type="dxa"/>
            <w:tcBorders>
              <w:top w:val="nil"/>
              <w:left w:val="nil"/>
              <w:bottom w:val="single" w:sz="4" w:space="0" w:color="auto"/>
              <w:right w:val="single" w:sz="4" w:space="0" w:color="auto"/>
            </w:tcBorders>
            <w:shd w:val="clear" w:color="auto" w:fill="auto"/>
            <w:noWrap/>
            <w:vAlign w:val="center"/>
          </w:tcPr>
          <w:p w14:paraId="2EB3122A" w14:textId="77777777" w:rsidR="00EA51C4" w:rsidRPr="003D768E" w:rsidRDefault="00EA51C4" w:rsidP="00BA499D">
            <w:pPr>
              <w:jc w:val="center"/>
              <w:rPr>
                <w:bCs/>
                <w:sz w:val="18"/>
                <w:szCs w:val="18"/>
              </w:rPr>
            </w:pPr>
            <w:r w:rsidRPr="00420CB9">
              <w:rPr>
                <w:bCs/>
                <w:sz w:val="20"/>
                <w:szCs w:val="20"/>
              </w:rPr>
              <w:t>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CC9EB0" w14:textId="77777777" w:rsidR="00EA51C4" w:rsidRPr="00C4376B" w:rsidRDefault="00EA51C4" w:rsidP="00BA499D">
            <w:pPr>
              <w:jc w:val="center"/>
              <w:rPr>
                <w:bCs/>
                <w:sz w:val="18"/>
                <w:szCs w:val="18"/>
              </w:rPr>
            </w:pPr>
            <w:r w:rsidRPr="00C10B62">
              <w:rPr>
                <w:bCs/>
                <w:sz w:val="20"/>
                <w:szCs w:val="20"/>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2F0A014" w14:textId="77777777" w:rsidR="00EA51C4" w:rsidRPr="003D768E" w:rsidRDefault="00EA51C4" w:rsidP="00BA499D">
            <w:pPr>
              <w:jc w:val="center"/>
              <w:rPr>
                <w:sz w:val="18"/>
                <w:szCs w:val="18"/>
              </w:rPr>
            </w:pPr>
            <w:r>
              <w:rPr>
                <w:sz w:val="20"/>
                <w:szCs w:val="20"/>
              </w:rPr>
              <w:t>-</w:t>
            </w:r>
          </w:p>
        </w:tc>
      </w:tr>
      <w:tr w:rsidR="00EA51C4" w:rsidRPr="000A4328" w14:paraId="17BA656D" w14:textId="77777777" w:rsidTr="00BA499D">
        <w:trPr>
          <w:gridAfter w:val="1"/>
          <w:wAfter w:w="1316" w:type="dxa"/>
          <w:trHeight w:val="142"/>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2C4A92AF" w14:textId="77777777" w:rsidR="00EA51C4" w:rsidRPr="005D354A" w:rsidRDefault="00EA51C4" w:rsidP="00BA499D">
            <w:pPr>
              <w:jc w:val="center"/>
              <w:rPr>
                <w:rFonts w:eastAsia="Times New Roman" w:cstheme="minorHAnsi"/>
                <w:color w:val="1A1A1A"/>
                <w:sz w:val="18"/>
                <w:szCs w:val="18"/>
                <w:lang w:eastAsia="hr-HR"/>
              </w:rPr>
            </w:pPr>
            <w:r>
              <w:rPr>
                <w:rFonts w:eastAsia="Times New Roman" w:cstheme="minorHAnsi"/>
                <w:color w:val="1A1A1A"/>
                <w:sz w:val="18"/>
                <w:szCs w:val="18"/>
                <w:lang w:eastAsia="hr-HR"/>
              </w:rPr>
              <w:t>5</w:t>
            </w:r>
            <w:r w:rsidRPr="005D354A">
              <w:rPr>
                <w:rFonts w:eastAsia="Times New Roman" w:cstheme="minorHAnsi"/>
                <w:color w:val="1A1A1A"/>
                <w:sz w:val="18"/>
                <w:szCs w:val="18"/>
                <w:lang w:eastAsia="hr-HR"/>
              </w:rPr>
              <w:t>.</w:t>
            </w:r>
          </w:p>
        </w:tc>
        <w:tc>
          <w:tcPr>
            <w:tcW w:w="4574" w:type="dxa"/>
            <w:tcBorders>
              <w:top w:val="nil"/>
              <w:left w:val="nil"/>
              <w:bottom w:val="single" w:sz="4" w:space="0" w:color="auto"/>
              <w:right w:val="single" w:sz="4" w:space="0" w:color="auto"/>
            </w:tcBorders>
            <w:shd w:val="clear" w:color="auto" w:fill="auto"/>
            <w:vAlign w:val="center"/>
            <w:hideMark/>
          </w:tcPr>
          <w:p w14:paraId="43EA134C" w14:textId="77777777" w:rsidR="00EA51C4" w:rsidRPr="005D354A" w:rsidRDefault="00EA51C4" w:rsidP="00BA499D">
            <w:pPr>
              <w:rPr>
                <w:rFonts w:eastAsia="Times New Roman" w:cstheme="minorHAnsi"/>
                <w:color w:val="1A1A1A"/>
                <w:sz w:val="18"/>
                <w:szCs w:val="18"/>
                <w:lang w:eastAsia="hr-HR"/>
              </w:rPr>
            </w:pPr>
            <w:r w:rsidRPr="005D354A">
              <w:rPr>
                <w:rFonts w:eastAsia="Times New Roman" w:cstheme="minorHAnsi"/>
                <w:color w:val="1A1A1A"/>
                <w:sz w:val="18"/>
                <w:szCs w:val="18"/>
                <w:lang w:eastAsia="hr-HR"/>
              </w:rPr>
              <w:t>Upis/uskraćivanje upisa u očevidnik medicinskih proizvoda za više od 30 medicinskih proizvoda</w:t>
            </w:r>
          </w:p>
        </w:tc>
        <w:tc>
          <w:tcPr>
            <w:tcW w:w="1276" w:type="dxa"/>
            <w:tcBorders>
              <w:top w:val="nil"/>
              <w:left w:val="nil"/>
              <w:bottom w:val="single" w:sz="4" w:space="0" w:color="auto"/>
              <w:right w:val="single" w:sz="4" w:space="0" w:color="auto"/>
            </w:tcBorders>
            <w:shd w:val="clear" w:color="auto" w:fill="auto"/>
            <w:noWrap/>
            <w:vAlign w:val="center"/>
          </w:tcPr>
          <w:p w14:paraId="05F32EA4" w14:textId="77777777" w:rsidR="00EA51C4" w:rsidRPr="003D768E" w:rsidRDefault="00EA51C4" w:rsidP="00BA499D">
            <w:pPr>
              <w:jc w:val="center"/>
              <w:rPr>
                <w:bCs/>
                <w:sz w:val="18"/>
                <w:szCs w:val="18"/>
              </w:rPr>
            </w:pPr>
            <w:r w:rsidRPr="00420CB9">
              <w:rPr>
                <w:bCs/>
                <w:sz w:val="20"/>
                <w:szCs w:val="20"/>
              </w:rPr>
              <w:t>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510FDC" w14:textId="77777777" w:rsidR="00EA51C4" w:rsidRPr="00C4376B" w:rsidRDefault="00EA51C4" w:rsidP="00BA499D">
            <w:pPr>
              <w:jc w:val="center"/>
              <w:rPr>
                <w:bCs/>
                <w:sz w:val="18"/>
                <w:szCs w:val="18"/>
              </w:rPr>
            </w:pPr>
            <w:r w:rsidRPr="00C10B62">
              <w:rPr>
                <w:bCs/>
                <w:sz w:val="20"/>
                <w:szCs w:val="20"/>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9DA534D" w14:textId="77777777" w:rsidR="00EA51C4" w:rsidRPr="003D768E" w:rsidRDefault="00EA51C4" w:rsidP="00BA499D">
            <w:pPr>
              <w:jc w:val="center"/>
              <w:rPr>
                <w:sz w:val="18"/>
                <w:szCs w:val="18"/>
              </w:rPr>
            </w:pPr>
            <w:r>
              <w:rPr>
                <w:sz w:val="20"/>
                <w:szCs w:val="20"/>
              </w:rPr>
              <w:t>-</w:t>
            </w:r>
          </w:p>
        </w:tc>
      </w:tr>
      <w:tr w:rsidR="00EA51C4" w:rsidRPr="000A4328" w14:paraId="0271097D" w14:textId="77777777" w:rsidTr="00BA499D">
        <w:trPr>
          <w:gridAfter w:val="1"/>
          <w:wAfter w:w="1316" w:type="dxa"/>
          <w:trHeight w:val="142"/>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64D1BFC4" w14:textId="77777777" w:rsidR="00EA51C4" w:rsidRPr="005D354A" w:rsidRDefault="00EA51C4" w:rsidP="00BA499D">
            <w:pPr>
              <w:jc w:val="center"/>
              <w:rPr>
                <w:rFonts w:eastAsia="Times New Roman" w:cstheme="minorHAnsi"/>
                <w:color w:val="1A1A1A"/>
                <w:sz w:val="18"/>
                <w:szCs w:val="18"/>
                <w:lang w:eastAsia="hr-HR"/>
              </w:rPr>
            </w:pPr>
            <w:r>
              <w:rPr>
                <w:rFonts w:eastAsia="Times New Roman" w:cstheme="minorHAnsi"/>
                <w:color w:val="1A1A1A"/>
                <w:sz w:val="18"/>
                <w:szCs w:val="18"/>
                <w:lang w:eastAsia="hr-HR"/>
              </w:rPr>
              <w:lastRenderedPageBreak/>
              <w:t>6</w:t>
            </w:r>
            <w:r w:rsidRPr="005D354A">
              <w:rPr>
                <w:rFonts w:eastAsia="Times New Roman" w:cstheme="minorHAnsi"/>
                <w:color w:val="1A1A1A"/>
                <w:sz w:val="18"/>
                <w:szCs w:val="18"/>
                <w:lang w:eastAsia="hr-HR"/>
              </w:rPr>
              <w:t>.</w:t>
            </w:r>
          </w:p>
        </w:tc>
        <w:tc>
          <w:tcPr>
            <w:tcW w:w="4574" w:type="dxa"/>
            <w:tcBorders>
              <w:top w:val="nil"/>
              <w:left w:val="nil"/>
              <w:bottom w:val="single" w:sz="4" w:space="0" w:color="auto"/>
              <w:right w:val="single" w:sz="4" w:space="0" w:color="auto"/>
            </w:tcBorders>
            <w:shd w:val="clear" w:color="auto" w:fill="auto"/>
            <w:vAlign w:val="center"/>
            <w:hideMark/>
          </w:tcPr>
          <w:p w14:paraId="5DB6B2BE" w14:textId="77777777" w:rsidR="00EA51C4" w:rsidRPr="005D354A" w:rsidRDefault="00EA51C4" w:rsidP="00BA499D">
            <w:pPr>
              <w:rPr>
                <w:rFonts w:eastAsia="Times New Roman" w:cstheme="minorHAnsi"/>
                <w:color w:val="1A1A1A"/>
                <w:sz w:val="18"/>
                <w:szCs w:val="18"/>
                <w:lang w:eastAsia="hr-HR"/>
              </w:rPr>
            </w:pPr>
            <w:r w:rsidRPr="005D354A">
              <w:rPr>
                <w:rFonts w:eastAsia="Times New Roman" w:cstheme="minorHAnsi"/>
                <w:color w:val="1A1A1A"/>
                <w:sz w:val="18"/>
                <w:szCs w:val="18"/>
                <w:lang w:eastAsia="hr-HR"/>
              </w:rPr>
              <w:t>Izmjena upisa u očevidnik medicinskih proizvoda</w:t>
            </w:r>
          </w:p>
        </w:tc>
        <w:tc>
          <w:tcPr>
            <w:tcW w:w="1276" w:type="dxa"/>
            <w:tcBorders>
              <w:top w:val="nil"/>
              <w:left w:val="nil"/>
              <w:bottom w:val="single" w:sz="4" w:space="0" w:color="auto"/>
              <w:right w:val="single" w:sz="4" w:space="0" w:color="auto"/>
            </w:tcBorders>
            <w:shd w:val="clear" w:color="auto" w:fill="auto"/>
            <w:noWrap/>
            <w:vAlign w:val="center"/>
          </w:tcPr>
          <w:p w14:paraId="44F41C7B" w14:textId="77777777" w:rsidR="00EA51C4" w:rsidRPr="003D768E" w:rsidRDefault="00EA51C4" w:rsidP="00BA499D">
            <w:pPr>
              <w:jc w:val="center"/>
              <w:rPr>
                <w:bCs/>
                <w:sz w:val="18"/>
                <w:szCs w:val="18"/>
              </w:rPr>
            </w:pPr>
            <w:r w:rsidRPr="00420CB9">
              <w:rPr>
                <w:bCs/>
                <w:sz w:val="20"/>
                <w:szCs w:val="20"/>
              </w:rPr>
              <w:t>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F58561" w14:textId="77777777" w:rsidR="00EA51C4" w:rsidRPr="00C4376B" w:rsidRDefault="00EA51C4" w:rsidP="00BA499D">
            <w:pPr>
              <w:jc w:val="center"/>
              <w:rPr>
                <w:bCs/>
                <w:sz w:val="18"/>
                <w:szCs w:val="18"/>
              </w:rPr>
            </w:pPr>
            <w:r w:rsidRPr="00C10B62">
              <w:rPr>
                <w:bCs/>
                <w:sz w:val="20"/>
                <w:szCs w:val="20"/>
              </w:rPr>
              <w:t>1</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D0ACD40" w14:textId="77777777" w:rsidR="00EA51C4" w:rsidRPr="003D768E" w:rsidRDefault="00EA51C4" w:rsidP="00BA499D">
            <w:pPr>
              <w:jc w:val="center"/>
              <w:rPr>
                <w:sz w:val="18"/>
                <w:szCs w:val="18"/>
              </w:rPr>
            </w:pPr>
            <w:r>
              <w:rPr>
                <w:sz w:val="20"/>
                <w:szCs w:val="20"/>
              </w:rPr>
              <w:t>-</w:t>
            </w:r>
          </w:p>
        </w:tc>
      </w:tr>
      <w:tr w:rsidR="00EA51C4" w:rsidRPr="000A4328" w14:paraId="007A4376" w14:textId="77777777" w:rsidTr="00BA499D">
        <w:trPr>
          <w:gridAfter w:val="1"/>
          <w:wAfter w:w="1316" w:type="dxa"/>
          <w:trHeight w:val="142"/>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4585AFD7" w14:textId="77777777" w:rsidR="00EA51C4" w:rsidRPr="005D354A" w:rsidRDefault="00EA51C4" w:rsidP="00BA499D">
            <w:pPr>
              <w:jc w:val="center"/>
              <w:rPr>
                <w:rFonts w:eastAsia="Times New Roman" w:cstheme="minorHAnsi"/>
                <w:color w:val="1A1A1A"/>
                <w:sz w:val="18"/>
                <w:szCs w:val="18"/>
                <w:lang w:eastAsia="hr-HR"/>
              </w:rPr>
            </w:pPr>
            <w:r>
              <w:rPr>
                <w:rFonts w:eastAsia="Times New Roman" w:cstheme="minorHAnsi"/>
                <w:color w:val="1A1A1A"/>
                <w:sz w:val="18"/>
                <w:szCs w:val="18"/>
                <w:lang w:eastAsia="hr-HR"/>
              </w:rPr>
              <w:t>7</w:t>
            </w:r>
            <w:r w:rsidRPr="005D354A">
              <w:rPr>
                <w:rFonts w:eastAsia="Times New Roman" w:cstheme="minorHAnsi"/>
                <w:color w:val="1A1A1A"/>
                <w:sz w:val="18"/>
                <w:szCs w:val="18"/>
                <w:lang w:eastAsia="hr-HR"/>
              </w:rPr>
              <w:t>.</w:t>
            </w:r>
          </w:p>
        </w:tc>
        <w:tc>
          <w:tcPr>
            <w:tcW w:w="4574" w:type="dxa"/>
            <w:tcBorders>
              <w:top w:val="nil"/>
              <w:left w:val="nil"/>
              <w:bottom w:val="single" w:sz="4" w:space="0" w:color="auto"/>
              <w:right w:val="single" w:sz="4" w:space="0" w:color="auto"/>
            </w:tcBorders>
            <w:shd w:val="clear" w:color="auto" w:fill="auto"/>
            <w:vAlign w:val="center"/>
            <w:hideMark/>
          </w:tcPr>
          <w:p w14:paraId="34B7A420" w14:textId="77777777" w:rsidR="00EA51C4" w:rsidRPr="005D354A" w:rsidRDefault="00EA51C4" w:rsidP="00BA499D">
            <w:pPr>
              <w:rPr>
                <w:rFonts w:eastAsia="Times New Roman" w:cstheme="minorHAnsi"/>
                <w:color w:val="1A1A1A"/>
                <w:sz w:val="18"/>
                <w:szCs w:val="18"/>
                <w:lang w:eastAsia="hr-HR"/>
              </w:rPr>
            </w:pPr>
            <w:r w:rsidRPr="005D354A">
              <w:rPr>
                <w:rFonts w:eastAsia="Times New Roman" w:cstheme="minorHAnsi"/>
                <w:color w:val="1A1A1A"/>
                <w:sz w:val="18"/>
                <w:szCs w:val="18"/>
                <w:lang w:eastAsia="hr-HR"/>
              </w:rPr>
              <w:t>Izmjena upisa u očevidnik medicinskih proizvoda bez izmjene rješenja o upisu</w:t>
            </w:r>
          </w:p>
        </w:tc>
        <w:tc>
          <w:tcPr>
            <w:tcW w:w="1276" w:type="dxa"/>
            <w:tcBorders>
              <w:top w:val="nil"/>
              <w:left w:val="nil"/>
              <w:bottom w:val="single" w:sz="4" w:space="0" w:color="auto"/>
              <w:right w:val="single" w:sz="4" w:space="0" w:color="auto"/>
            </w:tcBorders>
            <w:shd w:val="clear" w:color="auto" w:fill="auto"/>
            <w:noWrap/>
            <w:vAlign w:val="center"/>
          </w:tcPr>
          <w:p w14:paraId="04202204" w14:textId="77777777" w:rsidR="00EA51C4" w:rsidRPr="003D768E" w:rsidRDefault="00EA51C4" w:rsidP="00BA499D">
            <w:pPr>
              <w:jc w:val="center"/>
              <w:rPr>
                <w:bCs/>
                <w:sz w:val="18"/>
                <w:szCs w:val="18"/>
              </w:rPr>
            </w:pPr>
            <w:r w:rsidRPr="00420CB9">
              <w:rPr>
                <w:bCs/>
                <w:sz w:val="20"/>
                <w:szCs w:val="20"/>
              </w:rPr>
              <w:t>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C5A461" w14:textId="77777777" w:rsidR="00EA51C4" w:rsidRPr="00C4376B" w:rsidRDefault="00EA51C4" w:rsidP="00BA499D">
            <w:pPr>
              <w:jc w:val="center"/>
              <w:rPr>
                <w:bCs/>
                <w:sz w:val="18"/>
                <w:szCs w:val="18"/>
              </w:rPr>
            </w:pPr>
            <w:r w:rsidRPr="00C10B62">
              <w:rPr>
                <w:bCs/>
                <w:sz w:val="20"/>
                <w:szCs w:val="20"/>
              </w:rPr>
              <w:t>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C400E88" w14:textId="77777777" w:rsidR="00EA51C4" w:rsidRPr="003D768E" w:rsidRDefault="00EA51C4" w:rsidP="00BA499D">
            <w:pPr>
              <w:jc w:val="center"/>
              <w:rPr>
                <w:sz w:val="18"/>
                <w:szCs w:val="18"/>
              </w:rPr>
            </w:pPr>
            <w:r>
              <w:rPr>
                <w:sz w:val="20"/>
                <w:szCs w:val="20"/>
              </w:rPr>
              <w:t>-</w:t>
            </w:r>
          </w:p>
        </w:tc>
      </w:tr>
      <w:tr w:rsidR="00EA51C4" w:rsidRPr="000A4328" w14:paraId="0BD35A27" w14:textId="77777777" w:rsidTr="00BA499D">
        <w:trPr>
          <w:gridAfter w:val="1"/>
          <w:wAfter w:w="1316" w:type="dxa"/>
          <w:trHeight w:val="142"/>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6D7AC75A" w14:textId="77777777" w:rsidR="00EA51C4" w:rsidRPr="005D354A" w:rsidRDefault="00EA51C4" w:rsidP="00BA499D">
            <w:pPr>
              <w:jc w:val="center"/>
              <w:rPr>
                <w:rFonts w:eastAsia="Times New Roman" w:cstheme="minorHAnsi"/>
                <w:color w:val="1A1A1A"/>
                <w:sz w:val="18"/>
                <w:szCs w:val="18"/>
                <w:lang w:eastAsia="hr-HR"/>
              </w:rPr>
            </w:pPr>
            <w:r>
              <w:rPr>
                <w:rFonts w:eastAsia="Times New Roman" w:cstheme="minorHAnsi"/>
                <w:color w:val="1A1A1A"/>
                <w:sz w:val="18"/>
                <w:szCs w:val="18"/>
                <w:lang w:eastAsia="hr-HR"/>
              </w:rPr>
              <w:t>8</w:t>
            </w:r>
            <w:r w:rsidRPr="005D354A">
              <w:rPr>
                <w:rFonts w:eastAsia="Times New Roman" w:cstheme="minorHAnsi"/>
                <w:color w:val="1A1A1A"/>
                <w:sz w:val="18"/>
                <w:szCs w:val="18"/>
                <w:lang w:eastAsia="hr-HR"/>
              </w:rPr>
              <w:t>.</w:t>
            </w:r>
          </w:p>
        </w:tc>
        <w:tc>
          <w:tcPr>
            <w:tcW w:w="4574" w:type="dxa"/>
            <w:tcBorders>
              <w:top w:val="nil"/>
              <w:left w:val="nil"/>
              <w:bottom w:val="single" w:sz="4" w:space="0" w:color="auto"/>
              <w:right w:val="single" w:sz="4" w:space="0" w:color="auto"/>
            </w:tcBorders>
            <w:shd w:val="clear" w:color="auto" w:fill="auto"/>
            <w:vAlign w:val="center"/>
            <w:hideMark/>
          </w:tcPr>
          <w:p w14:paraId="1A3EBE76" w14:textId="77777777" w:rsidR="00EA51C4" w:rsidRPr="005D354A" w:rsidRDefault="00EA51C4" w:rsidP="00BA499D">
            <w:pPr>
              <w:rPr>
                <w:rFonts w:eastAsia="Times New Roman" w:cstheme="minorHAnsi"/>
                <w:color w:val="1A1A1A"/>
                <w:sz w:val="18"/>
                <w:szCs w:val="18"/>
                <w:lang w:eastAsia="hr-HR"/>
              </w:rPr>
            </w:pPr>
            <w:r w:rsidRPr="005D354A">
              <w:rPr>
                <w:rFonts w:eastAsia="Times New Roman" w:cstheme="minorHAnsi"/>
                <w:color w:val="1A1A1A"/>
                <w:sz w:val="18"/>
                <w:szCs w:val="18"/>
                <w:lang w:eastAsia="hr-HR"/>
              </w:rPr>
              <w:t>Potvrda o upisu medicinskog proizvoda u očevidnik medicinskih proizvoda</w:t>
            </w:r>
          </w:p>
        </w:tc>
        <w:tc>
          <w:tcPr>
            <w:tcW w:w="1276" w:type="dxa"/>
            <w:tcBorders>
              <w:top w:val="nil"/>
              <w:left w:val="nil"/>
              <w:bottom w:val="single" w:sz="4" w:space="0" w:color="auto"/>
              <w:right w:val="single" w:sz="4" w:space="0" w:color="auto"/>
            </w:tcBorders>
            <w:shd w:val="clear" w:color="auto" w:fill="auto"/>
            <w:noWrap/>
            <w:vAlign w:val="center"/>
          </w:tcPr>
          <w:p w14:paraId="741D7022" w14:textId="77777777" w:rsidR="00EA51C4" w:rsidRPr="003D768E" w:rsidRDefault="00EA51C4" w:rsidP="00BA499D">
            <w:pPr>
              <w:jc w:val="center"/>
              <w:rPr>
                <w:bCs/>
                <w:sz w:val="18"/>
                <w:szCs w:val="18"/>
              </w:rPr>
            </w:pPr>
            <w:r w:rsidRPr="00420CB9">
              <w:rPr>
                <w:bCs/>
                <w:sz w:val="20"/>
                <w:szCs w:val="20"/>
              </w:rPr>
              <w:t>20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63BC31" w14:textId="77777777" w:rsidR="00EA51C4" w:rsidRPr="00C4376B" w:rsidRDefault="00EA51C4" w:rsidP="00BA499D">
            <w:pPr>
              <w:jc w:val="center"/>
              <w:rPr>
                <w:bCs/>
                <w:sz w:val="18"/>
                <w:szCs w:val="18"/>
              </w:rPr>
            </w:pPr>
            <w:r w:rsidRPr="00C10B62">
              <w:rPr>
                <w:bCs/>
                <w:sz w:val="20"/>
                <w:szCs w:val="20"/>
              </w:rPr>
              <w:t>11</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53776C0" w14:textId="77777777" w:rsidR="00EA51C4" w:rsidRPr="003D768E" w:rsidRDefault="00EA51C4" w:rsidP="00BA499D">
            <w:pPr>
              <w:jc w:val="center"/>
              <w:rPr>
                <w:sz w:val="18"/>
                <w:szCs w:val="18"/>
              </w:rPr>
            </w:pPr>
            <w:r>
              <w:rPr>
                <w:sz w:val="20"/>
                <w:szCs w:val="20"/>
              </w:rPr>
              <w:t>55%</w:t>
            </w:r>
          </w:p>
        </w:tc>
      </w:tr>
      <w:tr w:rsidR="00EA51C4" w:rsidRPr="000A4328" w14:paraId="53A0F2EF" w14:textId="77777777" w:rsidTr="00BA499D">
        <w:trPr>
          <w:gridAfter w:val="1"/>
          <w:wAfter w:w="1316" w:type="dxa"/>
          <w:trHeight w:val="142"/>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463638B3" w14:textId="77777777" w:rsidR="00EA51C4" w:rsidRPr="005D354A" w:rsidRDefault="00EA51C4" w:rsidP="00BA499D">
            <w:pPr>
              <w:jc w:val="center"/>
              <w:rPr>
                <w:rFonts w:eastAsia="Times New Roman" w:cstheme="minorHAnsi"/>
                <w:color w:val="1A1A1A"/>
                <w:sz w:val="18"/>
                <w:szCs w:val="18"/>
                <w:lang w:eastAsia="hr-HR"/>
              </w:rPr>
            </w:pPr>
            <w:r>
              <w:rPr>
                <w:rFonts w:eastAsia="Times New Roman" w:cstheme="minorHAnsi"/>
                <w:color w:val="1A1A1A"/>
                <w:sz w:val="18"/>
                <w:szCs w:val="18"/>
                <w:lang w:eastAsia="hr-HR"/>
              </w:rPr>
              <w:t>9</w:t>
            </w:r>
            <w:r w:rsidRPr="005D354A">
              <w:rPr>
                <w:rFonts w:eastAsia="Times New Roman" w:cstheme="minorHAnsi"/>
                <w:color w:val="1A1A1A"/>
                <w:sz w:val="18"/>
                <w:szCs w:val="18"/>
                <w:lang w:eastAsia="hr-HR"/>
              </w:rPr>
              <w:t>.</w:t>
            </w:r>
          </w:p>
        </w:tc>
        <w:tc>
          <w:tcPr>
            <w:tcW w:w="4574" w:type="dxa"/>
            <w:tcBorders>
              <w:top w:val="nil"/>
              <w:left w:val="nil"/>
              <w:bottom w:val="single" w:sz="4" w:space="0" w:color="auto"/>
              <w:right w:val="single" w:sz="4" w:space="0" w:color="auto"/>
            </w:tcBorders>
            <w:shd w:val="clear" w:color="auto" w:fill="auto"/>
            <w:vAlign w:val="center"/>
            <w:hideMark/>
          </w:tcPr>
          <w:p w14:paraId="2929FD27" w14:textId="77777777" w:rsidR="00EA51C4" w:rsidRPr="005D354A" w:rsidRDefault="00EA51C4" w:rsidP="00BA499D">
            <w:pPr>
              <w:rPr>
                <w:rFonts w:eastAsia="Times New Roman" w:cstheme="minorHAnsi"/>
                <w:color w:val="1A1A1A"/>
                <w:sz w:val="18"/>
                <w:szCs w:val="18"/>
                <w:lang w:eastAsia="hr-HR"/>
              </w:rPr>
            </w:pPr>
            <w:r w:rsidRPr="005D354A">
              <w:rPr>
                <w:rFonts w:eastAsia="Times New Roman" w:cstheme="minorHAnsi"/>
                <w:color w:val="1A1A1A"/>
                <w:sz w:val="18"/>
                <w:szCs w:val="18"/>
                <w:lang w:eastAsia="hr-HR"/>
              </w:rPr>
              <w:t>Razvrstavanje medicinskog proizvoda s obzirom na klasu rizika</w:t>
            </w:r>
          </w:p>
        </w:tc>
        <w:tc>
          <w:tcPr>
            <w:tcW w:w="1276" w:type="dxa"/>
            <w:tcBorders>
              <w:top w:val="nil"/>
              <w:left w:val="nil"/>
              <w:bottom w:val="single" w:sz="4" w:space="0" w:color="auto"/>
              <w:right w:val="single" w:sz="4" w:space="0" w:color="auto"/>
            </w:tcBorders>
            <w:shd w:val="clear" w:color="auto" w:fill="auto"/>
            <w:noWrap/>
            <w:vAlign w:val="center"/>
          </w:tcPr>
          <w:p w14:paraId="4AE177A4" w14:textId="77777777" w:rsidR="00EA51C4" w:rsidRPr="003D768E" w:rsidRDefault="00EA51C4" w:rsidP="00BA499D">
            <w:pPr>
              <w:jc w:val="center"/>
              <w:rPr>
                <w:bCs/>
                <w:sz w:val="18"/>
                <w:szCs w:val="18"/>
              </w:rPr>
            </w:pPr>
            <w:r w:rsidRPr="00420CB9">
              <w:rPr>
                <w:bCs/>
                <w:sz w:val="20"/>
                <w:szCs w:val="20"/>
              </w:rPr>
              <w:t>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B7AA71" w14:textId="77777777" w:rsidR="00EA51C4" w:rsidRPr="00C4376B" w:rsidRDefault="00EA51C4" w:rsidP="00BA499D">
            <w:pPr>
              <w:jc w:val="center"/>
              <w:rPr>
                <w:bCs/>
                <w:sz w:val="18"/>
                <w:szCs w:val="18"/>
              </w:rPr>
            </w:pPr>
            <w:r w:rsidRPr="00C10B62">
              <w:rPr>
                <w:bCs/>
                <w:sz w:val="20"/>
                <w:szCs w:val="20"/>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F127F0E" w14:textId="77777777" w:rsidR="00EA51C4" w:rsidRPr="003D768E" w:rsidRDefault="00EA51C4" w:rsidP="00BA499D">
            <w:pPr>
              <w:jc w:val="center"/>
              <w:rPr>
                <w:sz w:val="18"/>
                <w:szCs w:val="18"/>
              </w:rPr>
            </w:pPr>
            <w:r>
              <w:rPr>
                <w:sz w:val="20"/>
                <w:szCs w:val="20"/>
              </w:rPr>
              <w:t>-</w:t>
            </w:r>
          </w:p>
        </w:tc>
      </w:tr>
      <w:tr w:rsidR="00EA51C4" w:rsidRPr="000A4328" w14:paraId="71A53442" w14:textId="77777777" w:rsidTr="00BA499D">
        <w:trPr>
          <w:gridAfter w:val="1"/>
          <w:wAfter w:w="1316" w:type="dxa"/>
          <w:trHeight w:val="142"/>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6094932A" w14:textId="77777777" w:rsidR="00EA51C4" w:rsidRPr="005D354A" w:rsidRDefault="00EA51C4" w:rsidP="00BA499D">
            <w:pPr>
              <w:jc w:val="center"/>
              <w:rPr>
                <w:rFonts w:eastAsia="Times New Roman" w:cstheme="minorHAnsi"/>
                <w:color w:val="1A1A1A"/>
                <w:sz w:val="18"/>
                <w:szCs w:val="18"/>
                <w:lang w:eastAsia="hr-HR"/>
              </w:rPr>
            </w:pPr>
            <w:r>
              <w:rPr>
                <w:rFonts w:eastAsia="Times New Roman" w:cstheme="minorHAnsi"/>
                <w:color w:val="1A1A1A"/>
                <w:sz w:val="18"/>
                <w:szCs w:val="18"/>
                <w:lang w:eastAsia="hr-HR"/>
              </w:rPr>
              <w:t>10</w:t>
            </w:r>
            <w:r w:rsidRPr="005D354A">
              <w:rPr>
                <w:rFonts w:eastAsia="Times New Roman" w:cstheme="minorHAnsi"/>
                <w:color w:val="1A1A1A"/>
                <w:sz w:val="18"/>
                <w:szCs w:val="18"/>
                <w:lang w:eastAsia="hr-HR"/>
              </w:rPr>
              <w:t>.</w:t>
            </w:r>
          </w:p>
        </w:tc>
        <w:tc>
          <w:tcPr>
            <w:tcW w:w="4574" w:type="dxa"/>
            <w:tcBorders>
              <w:top w:val="nil"/>
              <w:left w:val="nil"/>
              <w:bottom w:val="single" w:sz="4" w:space="0" w:color="auto"/>
              <w:right w:val="single" w:sz="4" w:space="0" w:color="auto"/>
            </w:tcBorders>
            <w:shd w:val="clear" w:color="auto" w:fill="auto"/>
            <w:vAlign w:val="center"/>
            <w:hideMark/>
          </w:tcPr>
          <w:p w14:paraId="3EDE9204" w14:textId="77777777" w:rsidR="00EA51C4" w:rsidRPr="005D354A" w:rsidRDefault="00EA51C4" w:rsidP="00BA499D">
            <w:pPr>
              <w:rPr>
                <w:rFonts w:eastAsia="Times New Roman" w:cstheme="minorHAnsi"/>
                <w:color w:val="1A1A1A"/>
                <w:sz w:val="18"/>
                <w:szCs w:val="18"/>
                <w:lang w:eastAsia="hr-HR"/>
              </w:rPr>
            </w:pPr>
            <w:r w:rsidRPr="005D354A">
              <w:rPr>
                <w:rFonts w:eastAsia="Times New Roman" w:cstheme="minorHAnsi"/>
                <w:color w:val="1A1A1A"/>
                <w:sz w:val="18"/>
                <w:szCs w:val="18"/>
                <w:lang w:eastAsia="hr-HR"/>
              </w:rPr>
              <w:t>Razvrstavanje proizvoda u skupinu medicinskih proizvoda na upit proizvođača</w:t>
            </w:r>
          </w:p>
        </w:tc>
        <w:tc>
          <w:tcPr>
            <w:tcW w:w="1276" w:type="dxa"/>
            <w:tcBorders>
              <w:top w:val="nil"/>
              <w:left w:val="nil"/>
              <w:bottom w:val="single" w:sz="4" w:space="0" w:color="auto"/>
              <w:right w:val="single" w:sz="4" w:space="0" w:color="auto"/>
            </w:tcBorders>
            <w:shd w:val="clear" w:color="auto" w:fill="auto"/>
            <w:noWrap/>
            <w:vAlign w:val="center"/>
          </w:tcPr>
          <w:p w14:paraId="7B948289" w14:textId="77777777" w:rsidR="00EA51C4" w:rsidRPr="003D768E" w:rsidRDefault="00EA51C4" w:rsidP="00BA499D">
            <w:pPr>
              <w:jc w:val="center"/>
              <w:rPr>
                <w:bCs/>
                <w:sz w:val="18"/>
                <w:szCs w:val="18"/>
              </w:rPr>
            </w:pPr>
            <w:r w:rsidRPr="00420CB9">
              <w:rPr>
                <w:bCs/>
                <w:sz w:val="20"/>
                <w:szCs w:val="20"/>
              </w:rPr>
              <w:t>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60AEDE" w14:textId="77777777" w:rsidR="00EA51C4" w:rsidRPr="00C4376B" w:rsidRDefault="00EA51C4" w:rsidP="00BA499D">
            <w:pPr>
              <w:jc w:val="center"/>
              <w:rPr>
                <w:bCs/>
                <w:sz w:val="18"/>
                <w:szCs w:val="18"/>
              </w:rPr>
            </w:pPr>
            <w:r w:rsidRPr="00C10B62">
              <w:rPr>
                <w:bCs/>
                <w:sz w:val="20"/>
                <w:szCs w:val="20"/>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721401C" w14:textId="77777777" w:rsidR="00EA51C4" w:rsidRPr="003D768E" w:rsidRDefault="00EA51C4" w:rsidP="00BA499D">
            <w:pPr>
              <w:jc w:val="center"/>
              <w:rPr>
                <w:sz w:val="18"/>
                <w:szCs w:val="18"/>
              </w:rPr>
            </w:pPr>
            <w:r>
              <w:rPr>
                <w:sz w:val="20"/>
                <w:szCs w:val="20"/>
              </w:rPr>
              <w:t>-</w:t>
            </w:r>
          </w:p>
        </w:tc>
      </w:tr>
      <w:tr w:rsidR="00EA51C4" w:rsidRPr="000A4328" w14:paraId="51C752F7" w14:textId="77777777" w:rsidTr="00BA499D">
        <w:trPr>
          <w:gridAfter w:val="1"/>
          <w:wAfter w:w="1316" w:type="dxa"/>
          <w:trHeight w:val="142"/>
        </w:trPr>
        <w:tc>
          <w:tcPr>
            <w:tcW w:w="9243" w:type="dxa"/>
            <w:gridSpan w:val="5"/>
            <w:tcBorders>
              <w:top w:val="nil"/>
              <w:left w:val="single" w:sz="4" w:space="0" w:color="auto"/>
              <w:bottom w:val="single" w:sz="4" w:space="0" w:color="auto"/>
              <w:right w:val="single" w:sz="4" w:space="0" w:color="auto"/>
            </w:tcBorders>
            <w:shd w:val="clear" w:color="auto" w:fill="auto"/>
            <w:vAlign w:val="center"/>
          </w:tcPr>
          <w:p w14:paraId="69D2A9C1" w14:textId="77777777" w:rsidR="00EA51C4" w:rsidRPr="00C4376B" w:rsidRDefault="00EA51C4" w:rsidP="00BA499D">
            <w:pPr>
              <w:rPr>
                <w:bCs/>
                <w:sz w:val="18"/>
                <w:szCs w:val="18"/>
              </w:rPr>
            </w:pPr>
            <w:r w:rsidRPr="00C4376B">
              <w:rPr>
                <w:bCs/>
                <w:sz w:val="18"/>
                <w:szCs w:val="18"/>
              </w:rPr>
              <w:t>Upis/uskraćivanje upisa u očevidnik veleprodaje</w:t>
            </w:r>
          </w:p>
        </w:tc>
      </w:tr>
      <w:tr w:rsidR="00EA51C4" w:rsidRPr="000A4328" w14:paraId="55C62056" w14:textId="77777777" w:rsidTr="00BA499D">
        <w:trPr>
          <w:gridAfter w:val="1"/>
          <w:wAfter w:w="1316" w:type="dxa"/>
          <w:trHeight w:val="142"/>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66C69F40" w14:textId="77777777" w:rsidR="00EA51C4" w:rsidRPr="005D354A" w:rsidRDefault="00EA51C4" w:rsidP="00BA499D">
            <w:pPr>
              <w:jc w:val="center"/>
              <w:rPr>
                <w:rFonts w:eastAsia="Times New Roman" w:cstheme="minorHAnsi"/>
                <w:sz w:val="18"/>
                <w:szCs w:val="18"/>
                <w:lang w:eastAsia="hr-HR"/>
              </w:rPr>
            </w:pPr>
            <w:r>
              <w:rPr>
                <w:rFonts w:eastAsia="Times New Roman" w:cstheme="minorHAnsi"/>
                <w:sz w:val="18"/>
                <w:szCs w:val="18"/>
                <w:lang w:eastAsia="hr-HR"/>
              </w:rPr>
              <w:t>11</w:t>
            </w:r>
            <w:r w:rsidRPr="005D354A">
              <w:rPr>
                <w:rFonts w:eastAsia="Times New Roman" w:cstheme="minorHAnsi"/>
                <w:sz w:val="18"/>
                <w:szCs w:val="18"/>
                <w:lang w:eastAsia="hr-HR"/>
              </w:rPr>
              <w:t>.</w:t>
            </w:r>
          </w:p>
        </w:tc>
        <w:tc>
          <w:tcPr>
            <w:tcW w:w="4574" w:type="dxa"/>
            <w:tcBorders>
              <w:top w:val="nil"/>
              <w:left w:val="nil"/>
              <w:bottom w:val="single" w:sz="4" w:space="0" w:color="auto"/>
              <w:right w:val="single" w:sz="4" w:space="0" w:color="auto"/>
            </w:tcBorders>
            <w:shd w:val="clear" w:color="auto" w:fill="auto"/>
            <w:vAlign w:val="center"/>
            <w:hideMark/>
          </w:tcPr>
          <w:p w14:paraId="6CD84C10" w14:textId="77777777" w:rsidR="00EA51C4" w:rsidRPr="005D354A" w:rsidRDefault="00EA51C4" w:rsidP="00BA499D">
            <w:pPr>
              <w:rPr>
                <w:rFonts w:eastAsia="Times New Roman" w:cstheme="minorHAnsi"/>
                <w:sz w:val="18"/>
                <w:szCs w:val="18"/>
                <w:lang w:eastAsia="hr-HR"/>
              </w:rPr>
            </w:pPr>
            <w:r>
              <w:rPr>
                <w:rFonts w:eastAsia="Times New Roman" w:cstheme="minorHAnsi"/>
                <w:sz w:val="18"/>
                <w:szCs w:val="18"/>
                <w:lang w:eastAsia="hr-HR"/>
              </w:rPr>
              <w:t xml:space="preserve">   </w:t>
            </w:r>
            <w:r w:rsidRPr="005D354A">
              <w:rPr>
                <w:rFonts w:eastAsia="Times New Roman" w:cstheme="minorHAnsi"/>
                <w:sz w:val="18"/>
                <w:szCs w:val="18"/>
                <w:lang w:eastAsia="hr-HR"/>
              </w:rPr>
              <w:t>- ako se obavlja očevid</w:t>
            </w:r>
          </w:p>
        </w:tc>
        <w:tc>
          <w:tcPr>
            <w:tcW w:w="1276" w:type="dxa"/>
            <w:tcBorders>
              <w:top w:val="nil"/>
              <w:left w:val="nil"/>
              <w:bottom w:val="single" w:sz="4" w:space="0" w:color="auto"/>
              <w:right w:val="single" w:sz="4" w:space="0" w:color="auto"/>
            </w:tcBorders>
            <w:shd w:val="clear" w:color="auto" w:fill="auto"/>
            <w:noWrap/>
            <w:vAlign w:val="center"/>
          </w:tcPr>
          <w:p w14:paraId="40EAFEA5" w14:textId="77777777" w:rsidR="00EA51C4" w:rsidRPr="003D768E" w:rsidRDefault="00EA51C4" w:rsidP="00BA499D">
            <w:pPr>
              <w:jc w:val="center"/>
              <w:rPr>
                <w:bCs/>
                <w:sz w:val="18"/>
                <w:szCs w:val="18"/>
              </w:rPr>
            </w:pPr>
            <w:r w:rsidRPr="00420CB9">
              <w:rPr>
                <w:bCs/>
                <w:sz w:val="20"/>
                <w:szCs w:val="20"/>
              </w:rPr>
              <w:t>19</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37CB19" w14:textId="77777777" w:rsidR="00EA51C4" w:rsidRPr="00C4376B" w:rsidRDefault="00EA51C4" w:rsidP="00BA499D">
            <w:pPr>
              <w:jc w:val="center"/>
              <w:rPr>
                <w:bCs/>
                <w:sz w:val="18"/>
                <w:szCs w:val="18"/>
              </w:rPr>
            </w:pPr>
            <w:r w:rsidRPr="00C10B62">
              <w:rPr>
                <w:bCs/>
                <w:sz w:val="20"/>
                <w:szCs w:val="20"/>
              </w:rPr>
              <w:t>15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17738AE" w14:textId="77777777" w:rsidR="00EA51C4" w:rsidRPr="003D768E" w:rsidRDefault="00EA51C4" w:rsidP="00BA499D">
            <w:pPr>
              <w:jc w:val="center"/>
              <w:rPr>
                <w:sz w:val="18"/>
                <w:szCs w:val="18"/>
              </w:rPr>
            </w:pPr>
            <w:r>
              <w:rPr>
                <w:sz w:val="20"/>
                <w:szCs w:val="20"/>
              </w:rPr>
              <w:t>79%</w:t>
            </w:r>
          </w:p>
        </w:tc>
      </w:tr>
      <w:tr w:rsidR="00EA51C4" w:rsidRPr="000A4328" w14:paraId="4074424A" w14:textId="77777777" w:rsidTr="00BA499D">
        <w:trPr>
          <w:gridAfter w:val="1"/>
          <w:wAfter w:w="1316" w:type="dxa"/>
          <w:trHeight w:val="142"/>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2CD354C4" w14:textId="77777777" w:rsidR="00EA51C4" w:rsidRPr="005D354A" w:rsidRDefault="00EA51C4" w:rsidP="00BA499D">
            <w:pPr>
              <w:jc w:val="center"/>
              <w:rPr>
                <w:rFonts w:eastAsia="Times New Roman" w:cstheme="minorHAnsi"/>
                <w:sz w:val="18"/>
                <w:szCs w:val="18"/>
                <w:lang w:eastAsia="hr-HR"/>
              </w:rPr>
            </w:pPr>
            <w:r w:rsidRPr="005D354A">
              <w:rPr>
                <w:rFonts w:eastAsia="Times New Roman" w:cstheme="minorHAnsi"/>
                <w:sz w:val="18"/>
                <w:szCs w:val="18"/>
                <w:lang w:eastAsia="hr-HR"/>
              </w:rPr>
              <w:t>1</w:t>
            </w:r>
            <w:r>
              <w:rPr>
                <w:rFonts w:eastAsia="Times New Roman" w:cstheme="minorHAnsi"/>
                <w:sz w:val="18"/>
                <w:szCs w:val="18"/>
                <w:lang w:eastAsia="hr-HR"/>
              </w:rPr>
              <w:t>2</w:t>
            </w:r>
            <w:r w:rsidRPr="005D354A">
              <w:rPr>
                <w:rFonts w:eastAsia="Times New Roman" w:cstheme="minorHAnsi"/>
                <w:sz w:val="18"/>
                <w:szCs w:val="18"/>
                <w:lang w:eastAsia="hr-HR"/>
              </w:rPr>
              <w:t>.</w:t>
            </w:r>
          </w:p>
        </w:tc>
        <w:tc>
          <w:tcPr>
            <w:tcW w:w="4574" w:type="dxa"/>
            <w:tcBorders>
              <w:top w:val="nil"/>
              <w:left w:val="nil"/>
              <w:bottom w:val="single" w:sz="4" w:space="0" w:color="auto"/>
              <w:right w:val="single" w:sz="4" w:space="0" w:color="auto"/>
            </w:tcBorders>
            <w:shd w:val="clear" w:color="auto" w:fill="auto"/>
            <w:vAlign w:val="center"/>
            <w:hideMark/>
          </w:tcPr>
          <w:p w14:paraId="4267BA1F" w14:textId="77777777" w:rsidR="00EA51C4" w:rsidRPr="005D354A" w:rsidRDefault="00EA51C4" w:rsidP="00BA499D">
            <w:pPr>
              <w:rPr>
                <w:rFonts w:eastAsia="Times New Roman" w:cstheme="minorHAnsi"/>
                <w:sz w:val="18"/>
                <w:szCs w:val="18"/>
                <w:lang w:eastAsia="hr-HR"/>
              </w:rPr>
            </w:pPr>
            <w:r>
              <w:rPr>
                <w:rFonts w:eastAsia="Times New Roman" w:cstheme="minorHAnsi"/>
                <w:sz w:val="18"/>
                <w:szCs w:val="18"/>
                <w:lang w:eastAsia="hr-HR"/>
              </w:rPr>
              <w:t xml:space="preserve">   </w:t>
            </w:r>
            <w:r w:rsidRPr="005D354A">
              <w:rPr>
                <w:rFonts w:eastAsia="Times New Roman" w:cstheme="minorHAnsi"/>
                <w:sz w:val="18"/>
                <w:szCs w:val="18"/>
                <w:lang w:eastAsia="hr-HR"/>
              </w:rPr>
              <w:t>- administrativno rješavanje predmeta</w:t>
            </w:r>
          </w:p>
        </w:tc>
        <w:tc>
          <w:tcPr>
            <w:tcW w:w="1276" w:type="dxa"/>
            <w:tcBorders>
              <w:top w:val="nil"/>
              <w:left w:val="nil"/>
              <w:bottom w:val="single" w:sz="4" w:space="0" w:color="auto"/>
              <w:right w:val="single" w:sz="4" w:space="0" w:color="auto"/>
            </w:tcBorders>
            <w:shd w:val="clear" w:color="auto" w:fill="auto"/>
            <w:noWrap/>
            <w:vAlign w:val="center"/>
          </w:tcPr>
          <w:p w14:paraId="205C05B7" w14:textId="77777777" w:rsidR="00EA51C4" w:rsidRPr="003D768E" w:rsidRDefault="00EA51C4" w:rsidP="00BA499D">
            <w:pPr>
              <w:jc w:val="center"/>
              <w:rPr>
                <w:bCs/>
                <w:sz w:val="18"/>
                <w:szCs w:val="18"/>
              </w:rPr>
            </w:pPr>
            <w:r w:rsidRPr="00420CB9">
              <w:rPr>
                <w:bCs/>
                <w:sz w:val="20"/>
                <w:szCs w:val="20"/>
              </w:rPr>
              <w:t>41</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53F7C7" w14:textId="77777777" w:rsidR="00EA51C4" w:rsidRPr="00C4376B" w:rsidRDefault="00EA51C4" w:rsidP="00BA499D">
            <w:pPr>
              <w:jc w:val="center"/>
              <w:rPr>
                <w:bCs/>
                <w:sz w:val="18"/>
                <w:szCs w:val="18"/>
              </w:rPr>
            </w:pPr>
            <w:r w:rsidRPr="00C10B62">
              <w:rPr>
                <w:bCs/>
                <w:sz w:val="20"/>
                <w:szCs w:val="20"/>
              </w:rPr>
              <w:t>25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1554CE9" w14:textId="77777777" w:rsidR="00EA51C4" w:rsidRPr="003D768E" w:rsidRDefault="00EA51C4" w:rsidP="00BA499D">
            <w:pPr>
              <w:jc w:val="center"/>
              <w:rPr>
                <w:sz w:val="18"/>
                <w:szCs w:val="18"/>
              </w:rPr>
            </w:pPr>
            <w:r>
              <w:rPr>
                <w:sz w:val="20"/>
                <w:szCs w:val="20"/>
              </w:rPr>
              <w:t>61%</w:t>
            </w:r>
          </w:p>
        </w:tc>
      </w:tr>
      <w:tr w:rsidR="00EA51C4" w:rsidRPr="000A4328" w14:paraId="2C1B33C3" w14:textId="77777777" w:rsidTr="00BA499D">
        <w:trPr>
          <w:gridAfter w:val="1"/>
          <w:wAfter w:w="1316" w:type="dxa"/>
          <w:trHeight w:val="142"/>
        </w:trPr>
        <w:tc>
          <w:tcPr>
            <w:tcW w:w="9243" w:type="dxa"/>
            <w:gridSpan w:val="5"/>
            <w:tcBorders>
              <w:top w:val="nil"/>
              <w:left w:val="single" w:sz="4" w:space="0" w:color="auto"/>
              <w:bottom w:val="single" w:sz="4" w:space="0" w:color="auto"/>
              <w:right w:val="single" w:sz="4" w:space="0" w:color="auto"/>
            </w:tcBorders>
            <w:shd w:val="clear" w:color="auto" w:fill="auto"/>
            <w:vAlign w:val="center"/>
          </w:tcPr>
          <w:p w14:paraId="471FDAD7" w14:textId="77777777" w:rsidR="00EA51C4" w:rsidRPr="00A44696" w:rsidRDefault="00EA51C4" w:rsidP="00BA499D">
            <w:pPr>
              <w:jc w:val="center"/>
              <w:rPr>
                <w:bCs/>
                <w:sz w:val="18"/>
                <w:szCs w:val="18"/>
              </w:rPr>
            </w:pPr>
            <w:r w:rsidRPr="00A44696">
              <w:rPr>
                <w:bCs/>
                <w:sz w:val="18"/>
                <w:szCs w:val="18"/>
              </w:rPr>
              <w:t>Izmjena/uskraćivanje izmjene dozvole za promet na veliko medicinskim proizvodima</w:t>
            </w:r>
          </w:p>
        </w:tc>
      </w:tr>
      <w:tr w:rsidR="00EA51C4" w:rsidRPr="000A4328" w14:paraId="6CE92983" w14:textId="77777777" w:rsidTr="00BA499D">
        <w:trPr>
          <w:gridAfter w:val="1"/>
          <w:wAfter w:w="1316" w:type="dxa"/>
          <w:trHeight w:val="142"/>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2A9D8886" w14:textId="77777777" w:rsidR="00EA51C4" w:rsidRPr="005D354A" w:rsidRDefault="00EA51C4" w:rsidP="00BA499D">
            <w:pPr>
              <w:jc w:val="center"/>
              <w:rPr>
                <w:rFonts w:eastAsia="Times New Roman" w:cstheme="minorHAnsi"/>
                <w:color w:val="1A1A1A"/>
                <w:sz w:val="18"/>
                <w:szCs w:val="18"/>
                <w:lang w:eastAsia="hr-HR"/>
              </w:rPr>
            </w:pPr>
            <w:r>
              <w:rPr>
                <w:rFonts w:eastAsia="Times New Roman" w:cstheme="minorHAnsi"/>
                <w:color w:val="1A1A1A"/>
                <w:sz w:val="18"/>
                <w:szCs w:val="18"/>
                <w:lang w:eastAsia="hr-HR"/>
              </w:rPr>
              <w:t>13</w:t>
            </w:r>
            <w:r w:rsidRPr="005D354A">
              <w:rPr>
                <w:rFonts w:eastAsia="Times New Roman" w:cstheme="minorHAnsi"/>
                <w:color w:val="1A1A1A"/>
                <w:sz w:val="18"/>
                <w:szCs w:val="18"/>
                <w:lang w:eastAsia="hr-HR"/>
              </w:rPr>
              <w:t>.</w:t>
            </w:r>
          </w:p>
        </w:tc>
        <w:tc>
          <w:tcPr>
            <w:tcW w:w="4574" w:type="dxa"/>
            <w:tcBorders>
              <w:top w:val="nil"/>
              <w:left w:val="nil"/>
              <w:bottom w:val="single" w:sz="4" w:space="0" w:color="auto"/>
              <w:right w:val="single" w:sz="4" w:space="0" w:color="auto"/>
            </w:tcBorders>
            <w:shd w:val="clear" w:color="auto" w:fill="auto"/>
            <w:vAlign w:val="center"/>
            <w:hideMark/>
          </w:tcPr>
          <w:p w14:paraId="788B377F" w14:textId="77777777" w:rsidR="00EA51C4" w:rsidRPr="005D354A" w:rsidRDefault="00EA51C4" w:rsidP="00BA499D">
            <w:pPr>
              <w:rPr>
                <w:rFonts w:eastAsia="Times New Roman" w:cstheme="minorHAnsi"/>
                <w:color w:val="1A1A1A"/>
                <w:sz w:val="18"/>
                <w:szCs w:val="18"/>
                <w:lang w:eastAsia="hr-HR"/>
              </w:rPr>
            </w:pPr>
            <w:r>
              <w:rPr>
                <w:rFonts w:eastAsia="Times New Roman" w:cstheme="minorHAnsi"/>
                <w:color w:val="1A1A1A"/>
                <w:sz w:val="18"/>
                <w:szCs w:val="18"/>
                <w:lang w:eastAsia="hr-HR"/>
              </w:rPr>
              <w:t xml:space="preserve">   </w:t>
            </w:r>
            <w:r w:rsidRPr="005D354A">
              <w:rPr>
                <w:rFonts w:eastAsia="Times New Roman" w:cstheme="minorHAnsi"/>
                <w:color w:val="1A1A1A"/>
                <w:sz w:val="18"/>
                <w:szCs w:val="18"/>
                <w:lang w:eastAsia="hr-HR"/>
              </w:rPr>
              <w:t>- administrativno rješavanje predmeta</w:t>
            </w:r>
          </w:p>
        </w:tc>
        <w:tc>
          <w:tcPr>
            <w:tcW w:w="1276" w:type="dxa"/>
            <w:tcBorders>
              <w:top w:val="nil"/>
              <w:left w:val="nil"/>
              <w:bottom w:val="single" w:sz="4" w:space="0" w:color="auto"/>
              <w:right w:val="single" w:sz="4" w:space="0" w:color="auto"/>
            </w:tcBorders>
            <w:shd w:val="clear" w:color="auto" w:fill="auto"/>
            <w:noWrap/>
            <w:vAlign w:val="center"/>
          </w:tcPr>
          <w:p w14:paraId="0FDCF388" w14:textId="77777777" w:rsidR="00EA51C4" w:rsidRPr="003D768E" w:rsidRDefault="00EA51C4" w:rsidP="00BA499D">
            <w:pPr>
              <w:jc w:val="center"/>
              <w:rPr>
                <w:bCs/>
                <w:sz w:val="18"/>
                <w:szCs w:val="18"/>
              </w:rPr>
            </w:pPr>
            <w:r w:rsidRPr="00420CB9">
              <w:rPr>
                <w:bCs/>
                <w:sz w:val="20"/>
                <w:szCs w:val="20"/>
              </w:rPr>
              <w:t>47</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776D91" w14:textId="77777777" w:rsidR="00EA51C4" w:rsidRPr="00C4376B" w:rsidRDefault="00EA51C4" w:rsidP="00BA499D">
            <w:pPr>
              <w:jc w:val="center"/>
              <w:rPr>
                <w:bCs/>
                <w:sz w:val="18"/>
                <w:szCs w:val="18"/>
              </w:rPr>
            </w:pPr>
            <w:r w:rsidRPr="00C10B62">
              <w:rPr>
                <w:bCs/>
                <w:sz w:val="20"/>
                <w:szCs w:val="20"/>
              </w:rPr>
              <w:t>58</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2B32041" w14:textId="77777777" w:rsidR="00EA51C4" w:rsidRPr="00C4376B" w:rsidRDefault="00EA51C4" w:rsidP="00BA499D">
            <w:pPr>
              <w:jc w:val="center"/>
              <w:rPr>
                <w:sz w:val="18"/>
                <w:szCs w:val="18"/>
              </w:rPr>
            </w:pPr>
            <w:r w:rsidRPr="00C4376B">
              <w:rPr>
                <w:sz w:val="20"/>
                <w:szCs w:val="20"/>
              </w:rPr>
              <w:t>123%</w:t>
            </w:r>
          </w:p>
        </w:tc>
      </w:tr>
      <w:tr w:rsidR="00EA51C4" w:rsidRPr="000A4328" w14:paraId="1DD815D9" w14:textId="77777777" w:rsidTr="00BA499D">
        <w:trPr>
          <w:gridAfter w:val="1"/>
          <w:wAfter w:w="1316" w:type="dxa"/>
          <w:trHeight w:val="142"/>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47EA86DE" w14:textId="77777777" w:rsidR="00EA51C4" w:rsidRPr="005D354A" w:rsidRDefault="00EA51C4" w:rsidP="00BA499D">
            <w:pPr>
              <w:jc w:val="center"/>
              <w:rPr>
                <w:rFonts w:eastAsia="Times New Roman" w:cstheme="minorHAnsi"/>
                <w:color w:val="1A1A1A"/>
                <w:sz w:val="18"/>
                <w:szCs w:val="18"/>
                <w:lang w:eastAsia="hr-HR"/>
              </w:rPr>
            </w:pPr>
            <w:r>
              <w:rPr>
                <w:rFonts w:eastAsia="Times New Roman" w:cstheme="minorHAnsi"/>
                <w:color w:val="1A1A1A"/>
                <w:sz w:val="18"/>
                <w:szCs w:val="18"/>
                <w:lang w:eastAsia="hr-HR"/>
              </w:rPr>
              <w:t>14</w:t>
            </w:r>
            <w:r w:rsidRPr="005D354A">
              <w:rPr>
                <w:rFonts w:eastAsia="Times New Roman" w:cstheme="minorHAnsi"/>
                <w:color w:val="1A1A1A"/>
                <w:sz w:val="18"/>
                <w:szCs w:val="18"/>
                <w:lang w:eastAsia="hr-HR"/>
              </w:rPr>
              <w:t>.</w:t>
            </w:r>
          </w:p>
        </w:tc>
        <w:tc>
          <w:tcPr>
            <w:tcW w:w="4574" w:type="dxa"/>
            <w:tcBorders>
              <w:top w:val="nil"/>
              <w:left w:val="nil"/>
              <w:bottom w:val="single" w:sz="4" w:space="0" w:color="auto"/>
              <w:right w:val="single" w:sz="4" w:space="0" w:color="auto"/>
            </w:tcBorders>
            <w:shd w:val="clear" w:color="auto" w:fill="auto"/>
            <w:vAlign w:val="center"/>
            <w:hideMark/>
          </w:tcPr>
          <w:p w14:paraId="0B44CB4B" w14:textId="77777777" w:rsidR="00EA51C4" w:rsidRPr="005D354A" w:rsidRDefault="00EA51C4" w:rsidP="00BA499D">
            <w:pPr>
              <w:rPr>
                <w:rFonts w:eastAsia="Times New Roman" w:cstheme="minorHAnsi"/>
                <w:color w:val="1A1A1A"/>
                <w:sz w:val="18"/>
                <w:szCs w:val="18"/>
                <w:lang w:eastAsia="hr-HR"/>
              </w:rPr>
            </w:pPr>
            <w:r>
              <w:rPr>
                <w:rFonts w:eastAsia="Times New Roman" w:cstheme="minorHAnsi"/>
                <w:color w:val="1A1A1A"/>
                <w:sz w:val="18"/>
                <w:szCs w:val="18"/>
                <w:lang w:eastAsia="hr-HR"/>
              </w:rPr>
              <w:t xml:space="preserve">   </w:t>
            </w:r>
            <w:r w:rsidRPr="005D354A">
              <w:rPr>
                <w:rFonts w:eastAsia="Times New Roman" w:cstheme="minorHAnsi"/>
                <w:color w:val="1A1A1A"/>
                <w:sz w:val="18"/>
                <w:szCs w:val="18"/>
                <w:lang w:eastAsia="hr-HR"/>
              </w:rPr>
              <w:t>- ako se obavlja očevid</w:t>
            </w:r>
          </w:p>
        </w:tc>
        <w:tc>
          <w:tcPr>
            <w:tcW w:w="1276" w:type="dxa"/>
            <w:tcBorders>
              <w:top w:val="nil"/>
              <w:left w:val="nil"/>
              <w:bottom w:val="single" w:sz="4" w:space="0" w:color="auto"/>
              <w:right w:val="single" w:sz="4" w:space="0" w:color="auto"/>
            </w:tcBorders>
            <w:shd w:val="clear" w:color="auto" w:fill="auto"/>
            <w:noWrap/>
            <w:vAlign w:val="center"/>
          </w:tcPr>
          <w:p w14:paraId="6937AB26" w14:textId="77777777" w:rsidR="00EA51C4" w:rsidRPr="003D768E" w:rsidRDefault="00EA51C4" w:rsidP="00BA499D">
            <w:pPr>
              <w:jc w:val="center"/>
              <w:rPr>
                <w:bCs/>
                <w:sz w:val="18"/>
                <w:szCs w:val="18"/>
              </w:rPr>
            </w:pPr>
            <w:r w:rsidRPr="00420CB9">
              <w:rPr>
                <w:bCs/>
                <w:sz w:val="20"/>
                <w:szCs w:val="20"/>
              </w:rPr>
              <w:t>12</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ADC5C5" w14:textId="77777777" w:rsidR="00EA51C4" w:rsidRPr="00C4376B" w:rsidRDefault="00EA51C4" w:rsidP="00BA499D">
            <w:pPr>
              <w:jc w:val="center"/>
              <w:rPr>
                <w:bCs/>
                <w:sz w:val="18"/>
                <w:szCs w:val="18"/>
              </w:rPr>
            </w:pPr>
            <w:r w:rsidRPr="00C10B62">
              <w:rPr>
                <w:bCs/>
                <w:sz w:val="20"/>
                <w:szCs w:val="20"/>
              </w:rPr>
              <w:t>14</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088DECD" w14:textId="77777777" w:rsidR="00EA51C4" w:rsidRPr="00C4376B" w:rsidRDefault="00EA51C4" w:rsidP="00BA499D">
            <w:pPr>
              <w:jc w:val="center"/>
              <w:rPr>
                <w:sz w:val="18"/>
                <w:szCs w:val="18"/>
              </w:rPr>
            </w:pPr>
            <w:r w:rsidRPr="00C4376B">
              <w:rPr>
                <w:sz w:val="20"/>
                <w:szCs w:val="20"/>
              </w:rPr>
              <w:t>117%</w:t>
            </w:r>
          </w:p>
        </w:tc>
      </w:tr>
      <w:tr w:rsidR="00EA51C4" w:rsidRPr="00DE7D7C" w14:paraId="5E462F34" w14:textId="77777777" w:rsidTr="00BA499D">
        <w:trPr>
          <w:gridAfter w:val="1"/>
          <w:wAfter w:w="1316" w:type="dxa"/>
          <w:trHeight w:val="142"/>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05CAE23B" w14:textId="77777777" w:rsidR="00EA51C4" w:rsidRPr="005D354A" w:rsidRDefault="00EA51C4" w:rsidP="00BA499D">
            <w:pPr>
              <w:jc w:val="center"/>
              <w:rPr>
                <w:rFonts w:eastAsia="Times New Roman" w:cstheme="minorHAnsi"/>
                <w:color w:val="1A1A1A"/>
                <w:sz w:val="18"/>
                <w:szCs w:val="18"/>
                <w:lang w:eastAsia="hr-HR"/>
              </w:rPr>
            </w:pPr>
            <w:r>
              <w:rPr>
                <w:rFonts w:eastAsia="Times New Roman" w:cstheme="minorHAnsi"/>
                <w:color w:val="1A1A1A"/>
                <w:sz w:val="18"/>
                <w:szCs w:val="18"/>
                <w:lang w:eastAsia="hr-HR"/>
              </w:rPr>
              <w:t>15</w:t>
            </w:r>
            <w:r w:rsidRPr="005D354A">
              <w:rPr>
                <w:rFonts w:eastAsia="Times New Roman" w:cstheme="minorHAnsi"/>
                <w:color w:val="1A1A1A"/>
                <w:sz w:val="18"/>
                <w:szCs w:val="18"/>
                <w:lang w:eastAsia="hr-HR"/>
              </w:rPr>
              <w:t>.</w:t>
            </w:r>
          </w:p>
        </w:tc>
        <w:tc>
          <w:tcPr>
            <w:tcW w:w="4574" w:type="dxa"/>
            <w:tcBorders>
              <w:top w:val="nil"/>
              <w:left w:val="nil"/>
              <w:bottom w:val="single" w:sz="4" w:space="0" w:color="auto"/>
              <w:right w:val="single" w:sz="4" w:space="0" w:color="auto"/>
            </w:tcBorders>
            <w:shd w:val="clear" w:color="auto" w:fill="auto"/>
            <w:vAlign w:val="center"/>
            <w:hideMark/>
          </w:tcPr>
          <w:p w14:paraId="5355997B" w14:textId="77777777" w:rsidR="00EA51C4" w:rsidRPr="005D354A" w:rsidRDefault="00EA51C4" w:rsidP="00BA499D">
            <w:pPr>
              <w:rPr>
                <w:rFonts w:eastAsia="Times New Roman" w:cstheme="minorHAnsi"/>
                <w:color w:val="1A1A1A"/>
                <w:sz w:val="18"/>
                <w:szCs w:val="18"/>
                <w:lang w:eastAsia="hr-HR"/>
              </w:rPr>
            </w:pPr>
            <w:r w:rsidRPr="005D354A">
              <w:rPr>
                <w:rFonts w:eastAsia="Times New Roman" w:cstheme="minorHAnsi"/>
                <w:color w:val="1A1A1A"/>
                <w:sz w:val="18"/>
                <w:szCs w:val="18"/>
                <w:lang w:eastAsia="hr-HR"/>
              </w:rPr>
              <w:t>Davanje/uskraćivanje dozvole specijaliziranim prodavaonicama za obavljanje prometa na malo medicinskim proizvodima</w:t>
            </w:r>
          </w:p>
        </w:tc>
        <w:tc>
          <w:tcPr>
            <w:tcW w:w="1276" w:type="dxa"/>
            <w:tcBorders>
              <w:top w:val="nil"/>
              <w:left w:val="nil"/>
              <w:bottom w:val="single" w:sz="4" w:space="0" w:color="auto"/>
              <w:right w:val="single" w:sz="4" w:space="0" w:color="auto"/>
            </w:tcBorders>
            <w:shd w:val="clear" w:color="auto" w:fill="auto"/>
            <w:noWrap/>
            <w:vAlign w:val="center"/>
          </w:tcPr>
          <w:p w14:paraId="15EDF40B" w14:textId="77777777" w:rsidR="00EA51C4" w:rsidRPr="003D768E" w:rsidRDefault="00EA51C4" w:rsidP="00BA499D">
            <w:pPr>
              <w:jc w:val="center"/>
              <w:rPr>
                <w:bCs/>
                <w:sz w:val="18"/>
                <w:szCs w:val="18"/>
              </w:rPr>
            </w:pPr>
            <w:r w:rsidRPr="00420CB9">
              <w:rPr>
                <w:bCs/>
                <w:sz w:val="20"/>
                <w:szCs w:val="20"/>
              </w:rPr>
              <w:t>46</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B7F873" w14:textId="77777777" w:rsidR="00EA51C4" w:rsidRPr="00C4376B" w:rsidRDefault="00EA51C4" w:rsidP="00BA499D">
            <w:pPr>
              <w:jc w:val="center"/>
              <w:rPr>
                <w:bCs/>
                <w:sz w:val="18"/>
                <w:szCs w:val="18"/>
              </w:rPr>
            </w:pPr>
            <w:r w:rsidRPr="00C10B62">
              <w:rPr>
                <w:bCs/>
                <w:sz w:val="20"/>
                <w:szCs w:val="20"/>
              </w:rPr>
              <w:t>41</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0C3454C" w14:textId="77777777" w:rsidR="00EA51C4" w:rsidRPr="00C4376B" w:rsidRDefault="00EA51C4" w:rsidP="00BA499D">
            <w:pPr>
              <w:jc w:val="center"/>
              <w:rPr>
                <w:sz w:val="18"/>
                <w:szCs w:val="18"/>
              </w:rPr>
            </w:pPr>
            <w:r w:rsidRPr="00C4376B">
              <w:rPr>
                <w:sz w:val="20"/>
                <w:szCs w:val="20"/>
              </w:rPr>
              <w:t>89%</w:t>
            </w:r>
          </w:p>
        </w:tc>
      </w:tr>
      <w:tr w:rsidR="00EA51C4" w:rsidRPr="00DE7D7C" w14:paraId="690D9B39" w14:textId="77777777" w:rsidTr="00BA499D">
        <w:trPr>
          <w:gridAfter w:val="1"/>
          <w:wAfter w:w="1316" w:type="dxa"/>
          <w:trHeight w:val="142"/>
        </w:trPr>
        <w:tc>
          <w:tcPr>
            <w:tcW w:w="9243" w:type="dxa"/>
            <w:gridSpan w:val="5"/>
            <w:tcBorders>
              <w:top w:val="nil"/>
              <w:left w:val="single" w:sz="4" w:space="0" w:color="auto"/>
              <w:bottom w:val="single" w:sz="4" w:space="0" w:color="auto"/>
              <w:right w:val="single" w:sz="4" w:space="0" w:color="auto"/>
            </w:tcBorders>
            <w:shd w:val="clear" w:color="auto" w:fill="auto"/>
            <w:vAlign w:val="center"/>
            <w:hideMark/>
          </w:tcPr>
          <w:p w14:paraId="458DB961" w14:textId="77777777" w:rsidR="00EA51C4" w:rsidRPr="00A44696" w:rsidRDefault="00EA51C4" w:rsidP="00BA499D">
            <w:pPr>
              <w:rPr>
                <w:bCs/>
                <w:sz w:val="18"/>
                <w:szCs w:val="18"/>
              </w:rPr>
            </w:pPr>
            <w:r w:rsidRPr="00A44696">
              <w:rPr>
                <w:rFonts w:eastAsia="Times New Roman" w:cstheme="minorHAnsi"/>
                <w:color w:val="1A1A1A"/>
                <w:sz w:val="18"/>
                <w:szCs w:val="18"/>
                <w:lang w:eastAsia="hr-HR"/>
              </w:rPr>
              <w:t>Izmjena dozvole specijaliziranim prodavaonicama za obavljanje prometa na malo medicinskim proizvodima</w:t>
            </w:r>
          </w:p>
        </w:tc>
      </w:tr>
      <w:tr w:rsidR="00EA51C4" w:rsidRPr="00DE7D7C" w14:paraId="1D82A8B0" w14:textId="77777777" w:rsidTr="00BA499D">
        <w:trPr>
          <w:gridAfter w:val="1"/>
          <w:wAfter w:w="1316" w:type="dxa"/>
          <w:trHeight w:val="142"/>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4A08C381" w14:textId="77777777" w:rsidR="00EA51C4" w:rsidRPr="005D354A" w:rsidRDefault="00EA51C4" w:rsidP="00BA499D">
            <w:pPr>
              <w:jc w:val="center"/>
              <w:rPr>
                <w:rFonts w:eastAsia="Times New Roman" w:cstheme="minorHAnsi"/>
                <w:color w:val="1A1A1A"/>
                <w:sz w:val="18"/>
                <w:szCs w:val="18"/>
                <w:lang w:eastAsia="hr-HR"/>
              </w:rPr>
            </w:pPr>
            <w:r>
              <w:rPr>
                <w:rFonts w:eastAsia="Times New Roman" w:cstheme="minorHAnsi"/>
                <w:color w:val="1A1A1A"/>
                <w:sz w:val="18"/>
                <w:szCs w:val="18"/>
                <w:lang w:eastAsia="hr-HR"/>
              </w:rPr>
              <w:t>16</w:t>
            </w:r>
            <w:r w:rsidRPr="005D354A">
              <w:rPr>
                <w:rFonts w:eastAsia="Times New Roman" w:cstheme="minorHAnsi"/>
                <w:color w:val="1A1A1A"/>
                <w:sz w:val="18"/>
                <w:szCs w:val="18"/>
                <w:lang w:eastAsia="hr-HR"/>
              </w:rPr>
              <w:t>.</w:t>
            </w:r>
          </w:p>
        </w:tc>
        <w:tc>
          <w:tcPr>
            <w:tcW w:w="4574" w:type="dxa"/>
            <w:tcBorders>
              <w:top w:val="nil"/>
              <w:left w:val="nil"/>
              <w:bottom w:val="single" w:sz="4" w:space="0" w:color="auto"/>
              <w:right w:val="single" w:sz="4" w:space="0" w:color="auto"/>
            </w:tcBorders>
            <w:shd w:val="clear" w:color="auto" w:fill="auto"/>
            <w:vAlign w:val="center"/>
            <w:hideMark/>
          </w:tcPr>
          <w:p w14:paraId="4D4117FC" w14:textId="77777777" w:rsidR="00EA51C4" w:rsidRPr="005D354A" w:rsidRDefault="00EA51C4" w:rsidP="00BA499D">
            <w:pPr>
              <w:rPr>
                <w:rFonts w:eastAsia="Times New Roman" w:cstheme="minorHAnsi"/>
                <w:color w:val="1A1A1A"/>
                <w:sz w:val="18"/>
                <w:szCs w:val="18"/>
                <w:lang w:eastAsia="hr-HR"/>
              </w:rPr>
            </w:pPr>
            <w:r>
              <w:rPr>
                <w:rFonts w:eastAsia="Times New Roman" w:cstheme="minorHAnsi"/>
                <w:color w:val="1A1A1A"/>
                <w:sz w:val="18"/>
                <w:szCs w:val="18"/>
                <w:lang w:eastAsia="hr-HR"/>
              </w:rPr>
              <w:t xml:space="preserve">   </w:t>
            </w:r>
            <w:r w:rsidRPr="005D354A">
              <w:rPr>
                <w:rFonts w:eastAsia="Times New Roman" w:cstheme="minorHAnsi"/>
                <w:color w:val="1A1A1A"/>
                <w:sz w:val="18"/>
                <w:szCs w:val="18"/>
                <w:lang w:eastAsia="hr-HR"/>
              </w:rPr>
              <w:t>- administrativno rješavanje</w:t>
            </w:r>
          </w:p>
        </w:tc>
        <w:tc>
          <w:tcPr>
            <w:tcW w:w="1276" w:type="dxa"/>
            <w:tcBorders>
              <w:top w:val="nil"/>
              <w:left w:val="nil"/>
              <w:bottom w:val="single" w:sz="4" w:space="0" w:color="auto"/>
              <w:right w:val="single" w:sz="4" w:space="0" w:color="auto"/>
            </w:tcBorders>
            <w:shd w:val="clear" w:color="auto" w:fill="auto"/>
            <w:noWrap/>
            <w:vAlign w:val="center"/>
          </w:tcPr>
          <w:p w14:paraId="5541FC82" w14:textId="77777777" w:rsidR="00EA51C4" w:rsidRPr="003D768E" w:rsidRDefault="00EA51C4" w:rsidP="00BA499D">
            <w:pPr>
              <w:jc w:val="center"/>
              <w:rPr>
                <w:bCs/>
                <w:sz w:val="18"/>
                <w:szCs w:val="18"/>
              </w:rPr>
            </w:pPr>
            <w:r w:rsidRPr="00420CB9">
              <w:rPr>
                <w:bCs/>
                <w:sz w:val="20"/>
                <w:szCs w:val="20"/>
              </w:rPr>
              <w:t>40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80D886" w14:textId="77777777" w:rsidR="00EA51C4" w:rsidRPr="00C4376B" w:rsidRDefault="00EA51C4" w:rsidP="00BA499D">
            <w:pPr>
              <w:jc w:val="center"/>
              <w:rPr>
                <w:bCs/>
                <w:sz w:val="18"/>
                <w:szCs w:val="18"/>
              </w:rPr>
            </w:pPr>
            <w:r w:rsidRPr="00C10B62">
              <w:rPr>
                <w:bCs/>
                <w:sz w:val="20"/>
                <w:szCs w:val="20"/>
              </w:rPr>
              <w:t>13</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CFF6997" w14:textId="77777777" w:rsidR="00EA51C4" w:rsidRPr="00C4376B" w:rsidRDefault="00EA51C4" w:rsidP="00BA499D">
            <w:pPr>
              <w:jc w:val="center"/>
              <w:rPr>
                <w:sz w:val="18"/>
                <w:szCs w:val="18"/>
              </w:rPr>
            </w:pPr>
            <w:r w:rsidRPr="00C4376B">
              <w:rPr>
                <w:sz w:val="20"/>
                <w:szCs w:val="20"/>
              </w:rPr>
              <w:t>33%</w:t>
            </w:r>
          </w:p>
        </w:tc>
      </w:tr>
      <w:tr w:rsidR="00EA51C4" w:rsidRPr="00DE7D7C" w14:paraId="78EF9611" w14:textId="77777777" w:rsidTr="00BA499D">
        <w:trPr>
          <w:gridAfter w:val="1"/>
          <w:wAfter w:w="1316" w:type="dxa"/>
          <w:trHeight w:val="142"/>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388E31E4" w14:textId="77777777" w:rsidR="00EA51C4" w:rsidRPr="005D354A" w:rsidRDefault="00EA51C4" w:rsidP="00BA499D">
            <w:pPr>
              <w:jc w:val="center"/>
              <w:rPr>
                <w:rFonts w:eastAsia="Times New Roman" w:cstheme="minorHAnsi"/>
                <w:color w:val="1A1A1A"/>
                <w:sz w:val="18"/>
                <w:szCs w:val="18"/>
                <w:lang w:eastAsia="hr-HR"/>
              </w:rPr>
            </w:pPr>
            <w:r>
              <w:rPr>
                <w:rFonts w:eastAsia="Times New Roman" w:cstheme="minorHAnsi"/>
                <w:color w:val="1A1A1A"/>
                <w:sz w:val="18"/>
                <w:szCs w:val="18"/>
                <w:lang w:eastAsia="hr-HR"/>
              </w:rPr>
              <w:t>17</w:t>
            </w:r>
            <w:r w:rsidRPr="005D354A">
              <w:rPr>
                <w:rFonts w:eastAsia="Times New Roman" w:cstheme="minorHAnsi"/>
                <w:color w:val="1A1A1A"/>
                <w:sz w:val="18"/>
                <w:szCs w:val="18"/>
                <w:lang w:eastAsia="hr-HR"/>
              </w:rPr>
              <w:t>.</w:t>
            </w:r>
          </w:p>
        </w:tc>
        <w:tc>
          <w:tcPr>
            <w:tcW w:w="4574" w:type="dxa"/>
            <w:tcBorders>
              <w:top w:val="nil"/>
              <w:left w:val="nil"/>
              <w:bottom w:val="single" w:sz="4" w:space="0" w:color="auto"/>
              <w:right w:val="single" w:sz="4" w:space="0" w:color="auto"/>
            </w:tcBorders>
            <w:shd w:val="clear" w:color="auto" w:fill="auto"/>
            <w:vAlign w:val="center"/>
            <w:hideMark/>
          </w:tcPr>
          <w:p w14:paraId="421CDC62" w14:textId="77777777" w:rsidR="00EA51C4" w:rsidRPr="005D354A" w:rsidRDefault="00EA51C4" w:rsidP="00BA499D">
            <w:pPr>
              <w:rPr>
                <w:rFonts w:eastAsia="Times New Roman" w:cstheme="minorHAnsi"/>
                <w:color w:val="1A1A1A"/>
                <w:sz w:val="18"/>
                <w:szCs w:val="18"/>
                <w:lang w:eastAsia="hr-HR"/>
              </w:rPr>
            </w:pPr>
            <w:r>
              <w:rPr>
                <w:rFonts w:eastAsia="Times New Roman" w:cstheme="minorHAnsi"/>
                <w:color w:val="1A1A1A"/>
                <w:sz w:val="18"/>
                <w:szCs w:val="18"/>
                <w:lang w:eastAsia="hr-HR"/>
              </w:rPr>
              <w:t xml:space="preserve">   </w:t>
            </w:r>
            <w:r w:rsidRPr="005D354A">
              <w:rPr>
                <w:rFonts w:eastAsia="Times New Roman" w:cstheme="minorHAnsi"/>
                <w:color w:val="1A1A1A"/>
                <w:sz w:val="18"/>
                <w:szCs w:val="18"/>
                <w:lang w:eastAsia="hr-HR"/>
              </w:rPr>
              <w:t>- ako se obavlja očevid</w:t>
            </w:r>
          </w:p>
        </w:tc>
        <w:tc>
          <w:tcPr>
            <w:tcW w:w="1276" w:type="dxa"/>
            <w:tcBorders>
              <w:top w:val="nil"/>
              <w:left w:val="nil"/>
              <w:bottom w:val="single" w:sz="4" w:space="0" w:color="auto"/>
              <w:right w:val="single" w:sz="4" w:space="0" w:color="auto"/>
            </w:tcBorders>
            <w:shd w:val="clear" w:color="auto" w:fill="auto"/>
            <w:noWrap/>
            <w:vAlign w:val="center"/>
          </w:tcPr>
          <w:p w14:paraId="683F6C4C" w14:textId="77777777" w:rsidR="00EA51C4" w:rsidRPr="003D768E" w:rsidRDefault="00EA51C4" w:rsidP="00BA499D">
            <w:pPr>
              <w:jc w:val="center"/>
              <w:rPr>
                <w:bCs/>
                <w:sz w:val="18"/>
                <w:szCs w:val="18"/>
              </w:rPr>
            </w:pPr>
            <w:r w:rsidRPr="00420CB9">
              <w:rPr>
                <w:bCs/>
                <w:sz w:val="20"/>
                <w:szCs w:val="20"/>
              </w:rPr>
              <w:t>15</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2A9180" w14:textId="77777777" w:rsidR="00EA51C4" w:rsidRPr="00C4376B" w:rsidRDefault="00EA51C4" w:rsidP="00BA499D">
            <w:pPr>
              <w:jc w:val="center"/>
              <w:rPr>
                <w:bCs/>
                <w:sz w:val="18"/>
                <w:szCs w:val="18"/>
              </w:rPr>
            </w:pPr>
            <w:r w:rsidRPr="00C10B62">
              <w:rPr>
                <w:bCs/>
                <w:sz w:val="20"/>
                <w:szCs w:val="20"/>
              </w:rPr>
              <w:t>17</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01CB8EF" w14:textId="77777777" w:rsidR="00EA51C4" w:rsidRPr="00C4376B" w:rsidRDefault="00EA51C4" w:rsidP="00BA499D">
            <w:pPr>
              <w:jc w:val="center"/>
              <w:rPr>
                <w:sz w:val="18"/>
                <w:szCs w:val="18"/>
              </w:rPr>
            </w:pPr>
            <w:r w:rsidRPr="00C4376B">
              <w:rPr>
                <w:sz w:val="20"/>
                <w:szCs w:val="20"/>
              </w:rPr>
              <w:t>113%</w:t>
            </w:r>
          </w:p>
        </w:tc>
      </w:tr>
      <w:tr w:rsidR="00EA51C4" w:rsidRPr="00DE7D7C" w14:paraId="7C522A5E" w14:textId="77777777" w:rsidTr="00BA499D">
        <w:trPr>
          <w:gridAfter w:val="1"/>
          <w:wAfter w:w="1316" w:type="dxa"/>
          <w:trHeight w:val="142"/>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1A5D03F0" w14:textId="77777777" w:rsidR="00EA51C4" w:rsidRPr="005D354A" w:rsidRDefault="00EA51C4" w:rsidP="00BA499D">
            <w:pPr>
              <w:jc w:val="center"/>
              <w:rPr>
                <w:rFonts w:eastAsia="Times New Roman" w:cstheme="minorHAnsi"/>
                <w:color w:val="1A1A1A"/>
                <w:sz w:val="18"/>
                <w:szCs w:val="18"/>
                <w:lang w:eastAsia="hr-HR"/>
              </w:rPr>
            </w:pPr>
            <w:r>
              <w:rPr>
                <w:rFonts w:eastAsia="Times New Roman" w:cstheme="minorHAnsi"/>
                <w:color w:val="1A1A1A"/>
                <w:sz w:val="18"/>
                <w:szCs w:val="18"/>
                <w:lang w:eastAsia="hr-HR"/>
              </w:rPr>
              <w:t>18</w:t>
            </w:r>
            <w:r w:rsidRPr="005D354A">
              <w:rPr>
                <w:rFonts w:eastAsia="Times New Roman" w:cstheme="minorHAnsi"/>
                <w:color w:val="1A1A1A"/>
                <w:sz w:val="18"/>
                <w:szCs w:val="18"/>
                <w:lang w:eastAsia="hr-HR"/>
              </w:rPr>
              <w:t>.</w:t>
            </w:r>
          </w:p>
        </w:tc>
        <w:tc>
          <w:tcPr>
            <w:tcW w:w="4574" w:type="dxa"/>
            <w:tcBorders>
              <w:top w:val="nil"/>
              <w:left w:val="nil"/>
              <w:bottom w:val="single" w:sz="4" w:space="0" w:color="auto"/>
              <w:right w:val="single" w:sz="4" w:space="0" w:color="auto"/>
            </w:tcBorders>
            <w:shd w:val="clear" w:color="auto" w:fill="auto"/>
            <w:vAlign w:val="center"/>
            <w:hideMark/>
          </w:tcPr>
          <w:p w14:paraId="7D6CC81B" w14:textId="77777777" w:rsidR="00EA51C4" w:rsidRPr="005D354A" w:rsidRDefault="00EA51C4" w:rsidP="00BA499D">
            <w:pPr>
              <w:rPr>
                <w:rFonts w:eastAsia="Times New Roman" w:cstheme="minorHAnsi"/>
                <w:color w:val="1A1A1A"/>
                <w:sz w:val="18"/>
                <w:szCs w:val="18"/>
                <w:lang w:eastAsia="hr-HR"/>
              </w:rPr>
            </w:pPr>
            <w:r w:rsidRPr="005D354A">
              <w:rPr>
                <w:rFonts w:eastAsia="Times New Roman" w:cstheme="minorHAnsi"/>
                <w:color w:val="1A1A1A"/>
                <w:sz w:val="18"/>
                <w:szCs w:val="18"/>
                <w:lang w:eastAsia="hr-HR"/>
              </w:rPr>
              <w:t>Upis/uskraćivanje upisa u očevidnik proizvođača medicinskih proizvoda -za medicinske proizvode izrađene po narudžbi za određenoga korisnika</w:t>
            </w:r>
          </w:p>
        </w:tc>
        <w:tc>
          <w:tcPr>
            <w:tcW w:w="1276" w:type="dxa"/>
            <w:tcBorders>
              <w:top w:val="nil"/>
              <w:left w:val="nil"/>
              <w:bottom w:val="single" w:sz="4" w:space="0" w:color="auto"/>
              <w:right w:val="single" w:sz="4" w:space="0" w:color="auto"/>
            </w:tcBorders>
            <w:shd w:val="clear" w:color="auto" w:fill="auto"/>
            <w:noWrap/>
            <w:vAlign w:val="center"/>
          </w:tcPr>
          <w:p w14:paraId="51459D4F" w14:textId="77777777" w:rsidR="00EA51C4" w:rsidRPr="003D768E" w:rsidRDefault="00EA51C4" w:rsidP="00BA499D">
            <w:pPr>
              <w:jc w:val="center"/>
              <w:rPr>
                <w:bCs/>
                <w:sz w:val="18"/>
                <w:szCs w:val="18"/>
              </w:rPr>
            </w:pPr>
            <w:r w:rsidRPr="00420CB9">
              <w:rPr>
                <w:bCs/>
                <w:sz w:val="20"/>
                <w:szCs w:val="20"/>
              </w:rPr>
              <w:t>30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B0AFF2" w14:textId="77777777" w:rsidR="00EA51C4" w:rsidRPr="00C4376B" w:rsidRDefault="00EA51C4" w:rsidP="00BA499D">
            <w:pPr>
              <w:jc w:val="center"/>
              <w:rPr>
                <w:bCs/>
                <w:sz w:val="18"/>
                <w:szCs w:val="18"/>
              </w:rPr>
            </w:pPr>
            <w:r w:rsidRPr="00C10B62">
              <w:rPr>
                <w:bCs/>
                <w:sz w:val="20"/>
                <w:szCs w:val="20"/>
              </w:rPr>
              <w:t>29</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35AC55B" w14:textId="77777777" w:rsidR="00EA51C4" w:rsidRPr="00C4376B" w:rsidRDefault="00EA51C4" w:rsidP="00BA499D">
            <w:pPr>
              <w:jc w:val="center"/>
              <w:rPr>
                <w:sz w:val="18"/>
                <w:szCs w:val="18"/>
              </w:rPr>
            </w:pPr>
            <w:r w:rsidRPr="00C4376B">
              <w:rPr>
                <w:sz w:val="20"/>
                <w:szCs w:val="20"/>
              </w:rPr>
              <w:t>97%</w:t>
            </w:r>
          </w:p>
        </w:tc>
      </w:tr>
      <w:tr w:rsidR="00EA51C4" w:rsidRPr="00DE7D7C" w14:paraId="00C5A8A0" w14:textId="77777777" w:rsidTr="00BA499D">
        <w:trPr>
          <w:gridAfter w:val="1"/>
          <w:wAfter w:w="1316" w:type="dxa"/>
          <w:trHeight w:val="142"/>
        </w:trPr>
        <w:tc>
          <w:tcPr>
            <w:tcW w:w="613" w:type="dxa"/>
            <w:tcBorders>
              <w:top w:val="nil"/>
              <w:left w:val="single" w:sz="4" w:space="0" w:color="auto"/>
              <w:bottom w:val="single" w:sz="4" w:space="0" w:color="auto"/>
              <w:right w:val="single" w:sz="4" w:space="0" w:color="auto"/>
            </w:tcBorders>
            <w:shd w:val="clear" w:color="auto" w:fill="auto"/>
            <w:vAlign w:val="center"/>
            <w:hideMark/>
          </w:tcPr>
          <w:p w14:paraId="77305128" w14:textId="77777777" w:rsidR="00EA51C4" w:rsidRPr="005D354A" w:rsidRDefault="00EA51C4" w:rsidP="00BA499D">
            <w:pPr>
              <w:jc w:val="center"/>
              <w:rPr>
                <w:rFonts w:eastAsia="Times New Roman" w:cstheme="minorHAnsi"/>
                <w:color w:val="1A1A1A"/>
                <w:sz w:val="18"/>
                <w:szCs w:val="18"/>
                <w:lang w:eastAsia="hr-HR"/>
              </w:rPr>
            </w:pPr>
            <w:r>
              <w:rPr>
                <w:rFonts w:eastAsia="Times New Roman" w:cstheme="minorHAnsi"/>
                <w:color w:val="1A1A1A"/>
                <w:sz w:val="18"/>
                <w:szCs w:val="18"/>
                <w:lang w:eastAsia="hr-HR"/>
              </w:rPr>
              <w:t>19</w:t>
            </w:r>
            <w:r w:rsidRPr="005D354A">
              <w:rPr>
                <w:rFonts w:eastAsia="Times New Roman" w:cstheme="minorHAnsi"/>
                <w:color w:val="1A1A1A"/>
                <w:sz w:val="18"/>
                <w:szCs w:val="18"/>
                <w:lang w:eastAsia="hr-HR"/>
              </w:rPr>
              <w:t>.</w:t>
            </w:r>
          </w:p>
        </w:tc>
        <w:tc>
          <w:tcPr>
            <w:tcW w:w="4574" w:type="dxa"/>
            <w:tcBorders>
              <w:top w:val="nil"/>
              <w:left w:val="nil"/>
              <w:bottom w:val="single" w:sz="4" w:space="0" w:color="auto"/>
              <w:right w:val="single" w:sz="4" w:space="0" w:color="auto"/>
            </w:tcBorders>
            <w:shd w:val="clear" w:color="auto" w:fill="auto"/>
            <w:vAlign w:val="center"/>
            <w:hideMark/>
          </w:tcPr>
          <w:p w14:paraId="13A652DC" w14:textId="77777777" w:rsidR="00EA51C4" w:rsidRPr="005D354A" w:rsidRDefault="00EA51C4" w:rsidP="00BA499D">
            <w:pPr>
              <w:rPr>
                <w:rFonts w:eastAsia="Times New Roman" w:cstheme="minorHAnsi"/>
                <w:color w:val="1A1A1A"/>
                <w:sz w:val="18"/>
                <w:szCs w:val="18"/>
                <w:lang w:eastAsia="hr-HR"/>
              </w:rPr>
            </w:pPr>
            <w:r w:rsidRPr="005D354A">
              <w:rPr>
                <w:rFonts w:eastAsia="Times New Roman" w:cstheme="minorHAnsi"/>
                <w:color w:val="1A1A1A"/>
                <w:sz w:val="18"/>
                <w:szCs w:val="18"/>
                <w:lang w:eastAsia="hr-HR"/>
              </w:rPr>
              <w:t>Izmjena/uskraćivanje izmjene upisa u očevidnik proizvođača medicinskih proizvoda - za medicinske proizvode izrađene po narudžbi za određenoga korisnika</w:t>
            </w:r>
          </w:p>
        </w:tc>
        <w:tc>
          <w:tcPr>
            <w:tcW w:w="1276" w:type="dxa"/>
            <w:tcBorders>
              <w:top w:val="nil"/>
              <w:left w:val="nil"/>
              <w:bottom w:val="single" w:sz="4" w:space="0" w:color="auto"/>
              <w:right w:val="single" w:sz="4" w:space="0" w:color="auto"/>
            </w:tcBorders>
            <w:shd w:val="clear" w:color="auto" w:fill="auto"/>
            <w:noWrap/>
            <w:vAlign w:val="center"/>
          </w:tcPr>
          <w:p w14:paraId="6EC587FA" w14:textId="77777777" w:rsidR="00EA51C4" w:rsidRPr="003D768E" w:rsidRDefault="00EA51C4" w:rsidP="00BA499D">
            <w:pPr>
              <w:jc w:val="center"/>
              <w:rPr>
                <w:bCs/>
                <w:sz w:val="18"/>
                <w:szCs w:val="18"/>
              </w:rPr>
            </w:pPr>
            <w:r w:rsidRPr="00420CB9">
              <w:rPr>
                <w:bCs/>
                <w:sz w:val="20"/>
                <w:szCs w:val="20"/>
              </w:rPr>
              <w:t>19</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FE7BA8" w14:textId="77777777" w:rsidR="00EA51C4" w:rsidRPr="00C4376B" w:rsidRDefault="00EA51C4" w:rsidP="00BA499D">
            <w:pPr>
              <w:jc w:val="center"/>
              <w:rPr>
                <w:bCs/>
                <w:sz w:val="18"/>
                <w:szCs w:val="18"/>
              </w:rPr>
            </w:pPr>
            <w:r w:rsidRPr="00C10B62">
              <w:rPr>
                <w:bCs/>
                <w:sz w:val="20"/>
                <w:szCs w:val="20"/>
              </w:rPr>
              <w:t>34</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FDA9CFE" w14:textId="77777777" w:rsidR="00EA51C4" w:rsidRPr="00C4376B" w:rsidRDefault="00EA51C4" w:rsidP="00BA499D">
            <w:pPr>
              <w:jc w:val="center"/>
              <w:rPr>
                <w:sz w:val="18"/>
                <w:szCs w:val="18"/>
              </w:rPr>
            </w:pPr>
            <w:r w:rsidRPr="00C4376B">
              <w:rPr>
                <w:sz w:val="20"/>
                <w:szCs w:val="20"/>
              </w:rPr>
              <w:t>179%</w:t>
            </w:r>
          </w:p>
        </w:tc>
      </w:tr>
      <w:tr w:rsidR="00EA51C4" w:rsidRPr="000A4328" w14:paraId="2C951C11" w14:textId="77777777" w:rsidTr="00BA499D">
        <w:trPr>
          <w:trHeight w:val="142"/>
        </w:trPr>
        <w:tc>
          <w:tcPr>
            <w:tcW w:w="518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9E2A86A" w14:textId="77777777" w:rsidR="00EA51C4" w:rsidRPr="00A424A9" w:rsidRDefault="00EA51C4" w:rsidP="00BA499D">
            <w:pPr>
              <w:rPr>
                <w:rFonts w:eastAsia="Times New Roman" w:cs="Times New Roman"/>
                <w:b/>
                <w:bCs/>
                <w:color w:val="1A1A1A"/>
                <w:sz w:val="20"/>
                <w:szCs w:val="20"/>
                <w:lang w:eastAsia="hr-HR"/>
              </w:rPr>
            </w:pPr>
            <w:r>
              <w:rPr>
                <w:rFonts w:eastAsia="Times New Roman" w:cs="Times New Roman"/>
                <w:b/>
                <w:bCs/>
                <w:color w:val="1A1A1A"/>
                <w:sz w:val="20"/>
                <w:szCs w:val="20"/>
                <w:lang w:eastAsia="hr-HR"/>
              </w:rPr>
              <w:t>U</w:t>
            </w:r>
            <w:r w:rsidRPr="00A424A9">
              <w:rPr>
                <w:rFonts w:eastAsia="Times New Roman" w:cs="Times New Roman"/>
                <w:b/>
                <w:bCs/>
                <w:color w:val="1A1A1A"/>
                <w:sz w:val="20"/>
                <w:szCs w:val="20"/>
                <w:lang w:eastAsia="hr-HR"/>
              </w:rPr>
              <w:t>KUPNO:</w:t>
            </w:r>
          </w:p>
        </w:tc>
        <w:tc>
          <w:tcPr>
            <w:tcW w:w="1276" w:type="dxa"/>
            <w:tcBorders>
              <w:top w:val="nil"/>
              <w:left w:val="nil"/>
              <w:bottom w:val="single" w:sz="4" w:space="0" w:color="auto"/>
              <w:right w:val="single" w:sz="4" w:space="0" w:color="auto"/>
            </w:tcBorders>
            <w:shd w:val="clear" w:color="auto" w:fill="BFBFBF"/>
            <w:noWrap/>
            <w:vAlign w:val="center"/>
          </w:tcPr>
          <w:p w14:paraId="4763BD61" w14:textId="77777777" w:rsidR="00EA51C4" w:rsidRPr="003D768E" w:rsidRDefault="00EA51C4" w:rsidP="00BA499D">
            <w:pPr>
              <w:jc w:val="center"/>
              <w:rPr>
                <w:b/>
                <w:bCs/>
                <w:sz w:val="20"/>
                <w:szCs w:val="20"/>
              </w:rPr>
            </w:pPr>
            <w:r w:rsidRPr="003D768E">
              <w:rPr>
                <w:b/>
                <w:bCs/>
                <w:sz w:val="20"/>
                <w:szCs w:val="20"/>
              </w:rPr>
              <w:t>289</w:t>
            </w:r>
          </w:p>
        </w:tc>
        <w:tc>
          <w:tcPr>
            <w:tcW w:w="1504" w:type="dxa"/>
            <w:tcBorders>
              <w:top w:val="single" w:sz="4" w:space="0" w:color="auto"/>
              <w:left w:val="nil"/>
              <w:bottom w:val="single" w:sz="4" w:space="0" w:color="auto"/>
              <w:right w:val="single" w:sz="4" w:space="0" w:color="auto"/>
            </w:tcBorders>
            <w:shd w:val="clear" w:color="auto" w:fill="BFBFBF"/>
            <w:noWrap/>
            <w:vAlign w:val="center"/>
          </w:tcPr>
          <w:p w14:paraId="5865137E" w14:textId="77777777" w:rsidR="00EA51C4" w:rsidRPr="00C4376B" w:rsidRDefault="00EA51C4" w:rsidP="00BA499D">
            <w:pPr>
              <w:jc w:val="center"/>
              <w:rPr>
                <w:b/>
                <w:bCs/>
                <w:sz w:val="20"/>
                <w:szCs w:val="20"/>
              </w:rPr>
            </w:pPr>
            <w:r w:rsidRPr="00C4376B">
              <w:rPr>
                <w:b/>
                <w:bCs/>
                <w:sz w:val="20"/>
                <w:szCs w:val="20"/>
              </w:rPr>
              <w:t>269</w:t>
            </w:r>
          </w:p>
        </w:tc>
        <w:tc>
          <w:tcPr>
            <w:tcW w:w="1276" w:type="dxa"/>
            <w:tcBorders>
              <w:top w:val="single" w:sz="4" w:space="0" w:color="auto"/>
              <w:left w:val="nil"/>
              <w:bottom w:val="single" w:sz="4" w:space="0" w:color="auto"/>
              <w:right w:val="single" w:sz="4" w:space="0" w:color="auto"/>
            </w:tcBorders>
            <w:shd w:val="clear" w:color="auto" w:fill="BFBFBF"/>
            <w:noWrap/>
            <w:vAlign w:val="center"/>
          </w:tcPr>
          <w:p w14:paraId="38A9C023" w14:textId="77777777" w:rsidR="00EA51C4" w:rsidRPr="00C4376B" w:rsidRDefault="00EA51C4" w:rsidP="00BA499D">
            <w:pPr>
              <w:jc w:val="center"/>
              <w:rPr>
                <w:b/>
                <w:bCs/>
                <w:sz w:val="20"/>
                <w:szCs w:val="20"/>
              </w:rPr>
            </w:pPr>
            <w:r w:rsidRPr="00C10B62">
              <w:rPr>
                <w:b/>
                <w:sz w:val="20"/>
                <w:szCs w:val="20"/>
              </w:rPr>
              <w:t>93%</w:t>
            </w:r>
          </w:p>
        </w:tc>
        <w:tc>
          <w:tcPr>
            <w:tcW w:w="1316" w:type="dxa"/>
            <w:tcBorders>
              <w:top w:val="nil"/>
              <w:left w:val="nil"/>
              <w:bottom w:val="nil"/>
              <w:right w:val="nil"/>
            </w:tcBorders>
            <w:shd w:val="clear" w:color="auto" w:fill="auto"/>
            <w:vAlign w:val="center"/>
          </w:tcPr>
          <w:p w14:paraId="633CBFC0" w14:textId="77777777" w:rsidR="00EA51C4" w:rsidRDefault="00EA51C4" w:rsidP="00BA499D">
            <w:pPr>
              <w:rPr>
                <w:b/>
                <w:bCs/>
                <w:sz w:val="20"/>
                <w:szCs w:val="20"/>
              </w:rPr>
            </w:pPr>
          </w:p>
        </w:tc>
      </w:tr>
    </w:tbl>
    <w:p w14:paraId="6F62808E" w14:textId="77777777" w:rsidR="00EA51C4" w:rsidRDefault="00EA51C4" w:rsidP="00EA51C4">
      <w:pPr>
        <w:rPr>
          <w:rFonts w:eastAsiaTheme="majorEastAsia" w:cstheme="minorHAnsi"/>
          <w:color w:val="4472C4" w:themeColor="accent5"/>
          <w:sz w:val="28"/>
          <w:szCs w:val="28"/>
        </w:rPr>
      </w:pPr>
      <w:bookmarkStart w:id="275" w:name="_Toc26534695"/>
      <w:r>
        <w:br w:type="page"/>
      </w:r>
    </w:p>
    <w:p w14:paraId="30EAB342" w14:textId="77777777" w:rsidR="00EA51C4" w:rsidRPr="008D312D" w:rsidRDefault="00EA51C4" w:rsidP="00EA51C4">
      <w:pPr>
        <w:pStyle w:val="Heading3"/>
      </w:pPr>
      <w:bookmarkStart w:id="276" w:name="_Toc165035525"/>
      <w:r w:rsidRPr="008D312D">
        <w:lastRenderedPageBreak/>
        <w:t>2.</w:t>
      </w:r>
      <w:r>
        <w:t>8</w:t>
      </w:r>
      <w:r w:rsidRPr="008D312D">
        <w:t>.</w:t>
      </w:r>
      <w:r>
        <w:t>8</w:t>
      </w:r>
      <w:r w:rsidRPr="008D312D">
        <w:t>. Izvršenje neprihodovnih poslova</w:t>
      </w:r>
      <w:bookmarkEnd w:id="275"/>
      <w:bookmarkEnd w:id="276"/>
    </w:p>
    <w:p w14:paraId="36EBC591" w14:textId="77777777" w:rsidR="00EA51C4" w:rsidRPr="00A20D7A" w:rsidRDefault="00EA51C4" w:rsidP="00EA51C4">
      <w:pPr>
        <w:tabs>
          <w:tab w:val="center" w:pos="858"/>
          <w:tab w:val="center" w:pos="4320"/>
          <w:tab w:val="right" w:pos="8306"/>
          <w:tab w:val="right" w:pos="8640"/>
        </w:tabs>
        <w:spacing w:after="120"/>
        <w:jc w:val="both"/>
        <w:rPr>
          <w:rFonts w:eastAsia="Times New Roman" w:cstheme="minorHAnsi"/>
          <w:b/>
          <w:bCs/>
          <w:lang w:eastAsia="hr-HR"/>
        </w:rPr>
      </w:pPr>
      <w:r w:rsidRPr="00B64114">
        <w:rPr>
          <w:rFonts w:eastAsia="Times New Roman" w:cstheme="minorHAnsi"/>
          <w:b/>
          <w:bCs/>
          <w:lang w:eastAsia="hr-HR"/>
        </w:rPr>
        <w:t xml:space="preserve">Tablica </w:t>
      </w:r>
      <w:r>
        <w:rPr>
          <w:rFonts w:eastAsia="Times New Roman" w:cstheme="minorHAnsi"/>
          <w:b/>
          <w:bCs/>
          <w:lang w:eastAsia="hr-HR"/>
        </w:rPr>
        <w:t>31</w:t>
      </w:r>
      <w:r w:rsidRPr="00B64114">
        <w:rPr>
          <w:rFonts w:eastAsia="Times New Roman" w:cstheme="minorHAnsi"/>
          <w:b/>
          <w:bCs/>
          <w:lang w:eastAsia="hr-HR"/>
        </w:rPr>
        <w:t xml:space="preserve">. </w:t>
      </w:r>
      <w:r>
        <w:rPr>
          <w:rFonts w:eastAsia="Times New Roman" w:cstheme="minorHAnsi"/>
          <w:b/>
          <w:bCs/>
          <w:lang w:eastAsia="hr-HR"/>
        </w:rPr>
        <w:t>I</w:t>
      </w:r>
      <w:r w:rsidRPr="00B64114">
        <w:rPr>
          <w:rFonts w:eastAsia="Times New Roman" w:cstheme="minorHAnsi"/>
          <w:b/>
          <w:bCs/>
          <w:lang w:eastAsia="hr-HR"/>
        </w:rPr>
        <w:t>zvršenj</w:t>
      </w:r>
      <w:r>
        <w:rPr>
          <w:rFonts w:eastAsia="Times New Roman" w:cstheme="minorHAnsi"/>
          <w:b/>
          <w:bCs/>
          <w:lang w:eastAsia="hr-HR"/>
        </w:rPr>
        <w:t>e</w:t>
      </w:r>
      <w:r w:rsidRPr="00B64114">
        <w:rPr>
          <w:rFonts w:eastAsia="Times New Roman" w:cstheme="minorHAnsi"/>
          <w:b/>
          <w:bCs/>
          <w:lang w:eastAsia="hr-HR"/>
        </w:rPr>
        <w:t xml:space="preserve"> neprihodovnih usluga medicinskih </w:t>
      </w:r>
      <w:r w:rsidRPr="00A20D7A">
        <w:rPr>
          <w:rFonts w:eastAsia="Times New Roman" w:cstheme="minorHAnsi"/>
          <w:b/>
          <w:bCs/>
          <w:lang w:eastAsia="hr-HR"/>
        </w:rPr>
        <w:t>proizvoda (broj zaprimljenih obavijesti / izvješća)</w:t>
      </w:r>
    </w:p>
    <w:tbl>
      <w:tblPr>
        <w:tblW w:w="9082"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1882"/>
        <w:gridCol w:w="2796"/>
        <w:gridCol w:w="1276"/>
        <w:gridCol w:w="1275"/>
        <w:gridCol w:w="1134"/>
      </w:tblGrid>
      <w:tr w:rsidR="00EA51C4" w:rsidRPr="00E12150" w14:paraId="15ABDDD9" w14:textId="77777777" w:rsidTr="00BA499D">
        <w:trPr>
          <w:trHeight w:val="453"/>
        </w:trPr>
        <w:tc>
          <w:tcPr>
            <w:tcW w:w="719" w:type="dxa"/>
            <w:vMerge w:val="restart"/>
            <w:shd w:val="clear" w:color="auto" w:fill="A3E7FF"/>
            <w:vAlign w:val="center"/>
            <w:hideMark/>
          </w:tcPr>
          <w:p w14:paraId="0E07164F" w14:textId="77777777" w:rsidR="00EA51C4" w:rsidRPr="00E12150" w:rsidRDefault="00EA51C4" w:rsidP="00BA499D">
            <w:pPr>
              <w:jc w:val="center"/>
              <w:rPr>
                <w:rFonts w:eastAsia="Times New Roman" w:cstheme="minorHAnsi"/>
                <w:b/>
                <w:bCs/>
                <w:sz w:val="18"/>
                <w:szCs w:val="18"/>
                <w:lang w:eastAsia="hr-HR"/>
              </w:rPr>
            </w:pPr>
            <w:r w:rsidRPr="00E12150">
              <w:rPr>
                <w:rFonts w:eastAsia="Times New Roman" w:cstheme="minorHAnsi"/>
                <w:b/>
                <w:bCs/>
                <w:sz w:val="18"/>
                <w:szCs w:val="18"/>
                <w:lang w:eastAsia="hr-HR"/>
              </w:rPr>
              <w:t>R.br.</w:t>
            </w:r>
          </w:p>
        </w:tc>
        <w:tc>
          <w:tcPr>
            <w:tcW w:w="1882" w:type="dxa"/>
            <w:vMerge w:val="restart"/>
            <w:shd w:val="clear" w:color="auto" w:fill="A3E7FF"/>
            <w:vAlign w:val="center"/>
            <w:hideMark/>
          </w:tcPr>
          <w:p w14:paraId="40EF84E1" w14:textId="77777777" w:rsidR="00EA51C4" w:rsidRPr="00E12150" w:rsidRDefault="00EA51C4" w:rsidP="00BA499D">
            <w:pPr>
              <w:rPr>
                <w:rFonts w:eastAsia="Times New Roman" w:cstheme="minorHAnsi"/>
                <w:b/>
                <w:bCs/>
                <w:sz w:val="18"/>
                <w:szCs w:val="18"/>
                <w:lang w:eastAsia="hr-HR"/>
              </w:rPr>
            </w:pPr>
            <w:r w:rsidRPr="00E12150">
              <w:rPr>
                <w:rFonts w:eastAsia="Times New Roman" w:cstheme="minorHAnsi"/>
                <w:b/>
                <w:bCs/>
                <w:sz w:val="18"/>
                <w:szCs w:val="18"/>
                <w:lang w:eastAsia="hr-HR"/>
              </w:rPr>
              <w:t>Naziv usluge</w:t>
            </w:r>
          </w:p>
        </w:tc>
        <w:tc>
          <w:tcPr>
            <w:tcW w:w="2796" w:type="dxa"/>
            <w:vMerge w:val="restart"/>
            <w:shd w:val="clear" w:color="auto" w:fill="A3E7FF"/>
            <w:vAlign w:val="center"/>
          </w:tcPr>
          <w:p w14:paraId="3FC97DB6" w14:textId="77777777" w:rsidR="00EA51C4" w:rsidRPr="00E12150" w:rsidRDefault="00EA51C4" w:rsidP="00BA499D">
            <w:pPr>
              <w:rPr>
                <w:rFonts w:eastAsia="Times New Roman" w:cstheme="minorHAnsi"/>
                <w:b/>
                <w:bCs/>
                <w:sz w:val="18"/>
                <w:szCs w:val="18"/>
                <w:lang w:eastAsia="hr-HR"/>
              </w:rPr>
            </w:pPr>
            <w:r w:rsidRPr="00E12150">
              <w:rPr>
                <w:rFonts w:eastAsia="Times New Roman" w:cs="Calibri"/>
                <w:b/>
                <w:sz w:val="18"/>
                <w:szCs w:val="18"/>
                <w:lang w:eastAsia="hr-HR"/>
              </w:rPr>
              <w:t>Obrazloženje</w:t>
            </w:r>
          </w:p>
        </w:tc>
        <w:tc>
          <w:tcPr>
            <w:tcW w:w="1276" w:type="dxa"/>
            <w:vMerge w:val="restart"/>
            <w:shd w:val="clear" w:color="auto" w:fill="A3E7FF"/>
            <w:vAlign w:val="center"/>
            <w:hideMark/>
          </w:tcPr>
          <w:p w14:paraId="2FE87E05" w14:textId="77777777" w:rsidR="00EA51C4" w:rsidRPr="00E12150" w:rsidRDefault="00EA51C4" w:rsidP="00BA499D">
            <w:pPr>
              <w:jc w:val="center"/>
              <w:rPr>
                <w:rFonts w:eastAsia="Times New Roman" w:cstheme="minorHAnsi"/>
                <w:b/>
                <w:bCs/>
                <w:sz w:val="18"/>
                <w:szCs w:val="18"/>
                <w:lang w:eastAsia="hr-HR"/>
              </w:rPr>
            </w:pPr>
            <w:r>
              <w:rPr>
                <w:rFonts w:eastAsia="Times New Roman" w:cstheme="minorHAnsi"/>
                <w:b/>
                <w:bCs/>
                <w:sz w:val="18"/>
                <w:szCs w:val="18"/>
                <w:lang w:eastAsia="hr-HR"/>
              </w:rPr>
              <w:t>Plan za 2023</w:t>
            </w:r>
            <w:r w:rsidRPr="00E12150">
              <w:rPr>
                <w:rFonts w:eastAsia="Times New Roman" w:cstheme="minorHAnsi"/>
                <w:b/>
                <w:bCs/>
                <w:sz w:val="18"/>
                <w:szCs w:val="18"/>
                <w:lang w:eastAsia="hr-HR"/>
              </w:rPr>
              <w:t xml:space="preserve">. </w:t>
            </w:r>
          </w:p>
        </w:tc>
        <w:tc>
          <w:tcPr>
            <w:tcW w:w="1275" w:type="dxa"/>
            <w:vMerge w:val="restart"/>
            <w:shd w:val="clear" w:color="auto" w:fill="A3E7FF"/>
            <w:vAlign w:val="center"/>
            <w:hideMark/>
          </w:tcPr>
          <w:p w14:paraId="05374390" w14:textId="77777777" w:rsidR="00EA51C4" w:rsidRPr="00E12150" w:rsidRDefault="00EA51C4" w:rsidP="00BA499D">
            <w:pPr>
              <w:jc w:val="center"/>
              <w:rPr>
                <w:rFonts w:eastAsia="Times New Roman" w:cstheme="minorHAnsi"/>
                <w:b/>
                <w:bCs/>
                <w:sz w:val="18"/>
                <w:szCs w:val="18"/>
                <w:lang w:eastAsia="hr-HR"/>
              </w:rPr>
            </w:pPr>
            <w:r w:rsidRPr="00E12150">
              <w:rPr>
                <w:rFonts w:eastAsia="Times New Roman" w:cstheme="minorHAnsi"/>
                <w:b/>
                <w:bCs/>
                <w:sz w:val="18"/>
                <w:szCs w:val="18"/>
                <w:lang w:eastAsia="hr-HR"/>
              </w:rPr>
              <w:t>Izvršenje</w:t>
            </w:r>
          </w:p>
          <w:p w14:paraId="34279234" w14:textId="77777777" w:rsidR="00EA51C4" w:rsidRPr="00E12150" w:rsidRDefault="00EA51C4" w:rsidP="00BA499D">
            <w:pPr>
              <w:jc w:val="center"/>
              <w:rPr>
                <w:rFonts w:eastAsia="Times New Roman" w:cstheme="minorHAnsi"/>
                <w:b/>
                <w:bCs/>
                <w:sz w:val="18"/>
                <w:szCs w:val="18"/>
                <w:lang w:eastAsia="hr-HR"/>
              </w:rPr>
            </w:pPr>
            <w:r>
              <w:rPr>
                <w:rFonts w:eastAsia="Times New Roman" w:cstheme="minorHAnsi"/>
                <w:b/>
                <w:bCs/>
                <w:sz w:val="18"/>
                <w:szCs w:val="18"/>
                <w:lang w:eastAsia="hr-HR"/>
              </w:rPr>
              <w:t>01.01.-31.12.2023</w:t>
            </w:r>
            <w:r w:rsidRPr="00E12150">
              <w:rPr>
                <w:rFonts w:eastAsia="Times New Roman" w:cstheme="minorHAnsi"/>
                <w:b/>
                <w:bCs/>
                <w:sz w:val="18"/>
                <w:szCs w:val="18"/>
                <w:lang w:eastAsia="hr-HR"/>
              </w:rPr>
              <w:t>.</w:t>
            </w:r>
          </w:p>
        </w:tc>
        <w:tc>
          <w:tcPr>
            <w:tcW w:w="1134" w:type="dxa"/>
            <w:vMerge w:val="restart"/>
            <w:shd w:val="clear" w:color="auto" w:fill="A3E7FF"/>
            <w:vAlign w:val="center"/>
            <w:hideMark/>
          </w:tcPr>
          <w:p w14:paraId="6D2092C7" w14:textId="77777777" w:rsidR="00EA51C4" w:rsidRPr="00E12150" w:rsidRDefault="00EA51C4" w:rsidP="00BA499D">
            <w:pPr>
              <w:jc w:val="center"/>
              <w:rPr>
                <w:rFonts w:eastAsia="Times New Roman" w:cstheme="minorHAnsi"/>
                <w:b/>
                <w:bCs/>
                <w:sz w:val="18"/>
                <w:szCs w:val="18"/>
                <w:lang w:eastAsia="hr-HR"/>
              </w:rPr>
            </w:pPr>
            <w:r w:rsidRPr="00E12150">
              <w:rPr>
                <w:rFonts w:eastAsia="Times New Roman" w:cstheme="minorHAnsi"/>
                <w:b/>
                <w:bCs/>
                <w:sz w:val="18"/>
                <w:szCs w:val="18"/>
                <w:lang w:eastAsia="hr-HR"/>
              </w:rPr>
              <w:t>% izvršenja</w:t>
            </w:r>
          </w:p>
        </w:tc>
      </w:tr>
      <w:tr w:rsidR="00EA51C4" w:rsidRPr="00E12150" w14:paraId="060FADCD" w14:textId="77777777" w:rsidTr="00BA499D">
        <w:trPr>
          <w:trHeight w:val="509"/>
        </w:trPr>
        <w:tc>
          <w:tcPr>
            <w:tcW w:w="719" w:type="dxa"/>
            <w:vMerge/>
            <w:shd w:val="clear" w:color="auto" w:fill="A3E7FF"/>
            <w:vAlign w:val="center"/>
            <w:hideMark/>
          </w:tcPr>
          <w:p w14:paraId="7D6A838D" w14:textId="77777777" w:rsidR="00EA51C4" w:rsidRPr="00E12150" w:rsidRDefault="00EA51C4" w:rsidP="00BA499D">
            <w:pPr>
              <w:jc w:val="center"/>
              <w:rPr>
                <w:rFonts w:eastAsia="Times New Roman" w:cstheme="minorHAnsi"/>
                <w:b/>
                <w:bCs/>
                <w:color w:val="000000"/>
                <w:sz w:val="18"/>
                <w:szCs w:val="18"/>
                <w:lang w:eastAsia="hr-HR"/>
              </w:rPr>
            </w:pPr>
          </w:p>
        </w:tc>
        <w:tc>
          <w:tcPr>
            <w:tcW w:w="1882" w:type="dxa"/>
            <w:vMerge/>
            <w:shd w:val="clear" w:color="auto" w:fill="A3E7FF"/>
            <w:vAlign w:val="center"/>
            <w:hideMark/>
          </w:tcPr>
          <w:p w14:paraId="7A45C17D" w14:textId="77777777" w:rsidR="00EA51C4" w:rsidRPr="00E12150" w:rsidRDefault="00EA51C4" w:rsidP="00BA499D">
            <w:pPr>
              <w:rPr>
                <w:rFonts w:eastAsia="Times New Roman" w:cstheme="minorHAnsi"/>
                <w:b/>
                <w:bCs/>
                <w:color w:val="000000"/>
                <w:sz w:val="18"/>
                <w:szCs w:val="18"/>
                <w:lang w:eastAsia="hr-HR"/>
              </w:rPr>
            </w:pPr>
          </w:p>
        </w:tc>
        <w:tc>
          <w:tcPr>
            <w:tcW w:w="2796" w:type="dxa"/>
            <w:vMerge/>
            <w:shd w:val="clear" w:color="auto" w:fill="A3E7FF"/>
            <w:vAlign w:val="center"/>
          </w:tcPr>
          <w:p w14:paraId="611CCF9F" w14:textId="77777777" w:rsidR="00EA51C4" w:rsidRPr="00E12150" w:rsidRDefault="00EA51C4" w:rsidP="00BA499D">
            <w:pPr>
              <w:rPr>
                <w:rFonts w:eastAsia="Times New Roman" w:cstheme="minorHAnsi"/>
                <w:b/>
                <w:bCs/>
                <w:color w:val="000000"/>
                <w:sz w:val="18"/>
                <w:szCs w:val="18"/>
                <w:lang w:eastAsia="hr-HR"/>
              </w:rPr>
            </w:pPr>
          </w:p>
        </w:tc>
        <w:tc>
          <w:tcPr>
            <w:tcW w:w="1276" w:type="dxa"/>
            <w:vMerge/>
            <w:shd w:val="clear" w:color="auto" w:fill="A3E7FF"/>
            <w:vAlign w:val="center"/>
            <w:hideMark/>
          </w:tcPr>
          <w:p w14:paraId="2955E04E" w14:textId="77777777" w:rsidR="00EA51C4" w:rsidRPr="00E12150" w:rsidRDefault="00EA51C4" w:rsidP="00BA499D">
            <w:pPr>
              <w:jc w:val="center"/>
              <w:rPr>
                <w:rFonts w:eastAsia="Times New Roman" w:cstheme="minorHAnsi"/>
                <w:b/>
                <w:bCs/>
                <w:color w:val="000000"/>
                <w:sz w:val="18"/>
                <w:szCs w:val="18"/>
                <w:lang w:eastAsia="hr-HR"/>
              </w:rPr>
            </w:pPr>
          </w:p>
        </w:tc>
        <w:tc>
          <w:tcPr>
            <w:tcW w:w="1275" w:type="dxa"/>
            <w:vMerge/>
            <w:shd w:val="clear" w:color="auto" w:fill="A3E7FF"/>
            <w:vAlign w:val="center"/>
            <w:hideMark/>
          </w:tcPr>
          <w:p w14:paraId="5E8AC622" w14:textId="77777777" w:rsidR="00EA51C4" w:rsidRPr="00E12150" w:rsidRDefault="00EA51C4" w:rsidP="00BA499D">
            <w:pPr>
              <w:jc w:val="center"/>
              <w:rPr>
                <w:rFonts w:eastAsia="Times New Roman" w:cstheme="minorHAnsi"/>
                <w:b/>
                <w:bCs/>
                <w:color w:val="000000"/>
                <w:sz w:val="18"/>
                <w:szCs w:val="18"/>
                <w:lang w:eastAsia="hr-HR"/>
              </w:rPr>
            </w:pPr>
          </w:p>
        </w:tc>
        <w:tc>
          <w:tcPr>
            <w:tcW w:w="1134" w:type="dxa"/>
            <w:vMerge/>
            <w:shd w:val="clear" w:color="auto" w:fill="A3E7FF"/>
            <w:vAlign w:val="center"/>
            <w:hideMark/>
          </w:tcPr>
          <w:p w14:paraId="0CDFF03B" w14:textId="77777777" w:rsidR="00EA51C4" w:rsidRPr="00E12150" w:rsidRDefault="00EA51C4" w:rsidP="00BA499D">
            <w:pPr>
              <w:jc w:val="center"/>
              <w:rPr>
                <w:rFonts w:eastAsia="Times New Roman" w:cstheme="minorHAnsi"/>
                <w:b/>
                <w:bCs/>
                <w:color w:val="000000"/>
                <w:sz w:val="18"/>
                <w:szCs w:val="18"/>
                <w:lang w:eastAsia="hr-HR"/>
              </w:rPr>
            </w:pPr>
          </w:p>
        </w:tc>
      </w:tr>
      <w:tr w:rsidR="00EA51C4" w:rsidRPr="00E12150" w14:paraId="29B133FA" w14:textId="77777777" w:rsidTr="00BA499D">
        <w:trPr>
          <w:trHeight w:val="284"/>
        </w:trPr>
        <w:tc>
          <w:tcPr>
            <w:tcW w:w="719" w:type="dxa"/>
            <w:shd w:val="clear" w:color="auto" w:fill="auto"/>
            <w:noWrap/>
            <w:vAlign w:val="center"/>
            <w:hideMark/>
          </w:tcPr>
          <w:p w14:paraId="228B44F3" w14:textId="77777777" w:rsidR="00EA51C4" w:rsidRPr="00E12150" w:rsidRDefault="00EA51C4" w:rsidP="00BA499D">
            <w:pPr>
              <w:jc w:val="center"/>
              <w:rPr>
                <w:rFonts w:eastAsia="Times New Roman" w:cstheme="minorHAnsi"/>
                <w:color w:val="1A1A1A"/>
                <w:sz w:val="18"/>
                <w:szCs w:val="18"/>
                <w:lang w:eastAsia="hr-HR"/>
              </w:rPr>
            </w:pPr>
            <w:r w:rsidRPr="00E12150">
              <w:rPr>
                <w:rFonts w:eastAsia="Times New Roman" w:cstheme="minorHAnsi"/>
                <w:color w:val="1A1A1A"/>
                <w:sz w:val="18"/>
                <w:szCs w:val="18"/>
                <w:lang w:eastAsia="hr-HR"/>
              </w:rPr>
              <w:t>1.</w:t>
            </w:r>
          </w:p>
        </w:tc>
        <w:tc>
          <w:tcPr>
            <w:tcW w:w="1882" w:type="dxa"/>
            <w:shd w:val="clear" w:color="auto" w:fill="auto"/>
            <w:vAlign w:val="center"/>
          </w:tcPr>
          <w:p w14:paraId="53E0EFF3" w14:textId="77777777" w:rsidR="00EA51C4" w:rsidRPr="00E12150" w:rsidRDefault="00EA51C4" w:rsidP="00BA499D">
            <w:pPr>
              <w:rPr>
                <w:rFonts w:eastAsia="Times New Roman" w:cstheme="minorHAnsi"/>
                <w:bCs/>
                <w:color w:val="1A1A1A"/>
                <w:sz w:val="18"/>
                <w:szCs w:val="18"/>
                <w:lang w:eastAsia="hr-HR"/>
              </w:rPr>
            </w:pPr>
            <w:r w:rsidRPr="00E12150">
              <w:rPr>
                <w:rFonts w:ascii="Calibri" w:hAnsi="Calibri"/>
                <w:sz w:val="18"/>
                <w:szCs w:val="18"/>
              </w:rPr>
              <w:t>Obavijesti o stavljanju medicinskih proizvoda u promet</w:t>
            </w:r>
          </w:p>
        </w:tc>
        <w:tc>
          <w:tcPr>
            <w:tcW w:w="2796" w:type="dxa"/>
            <w:shd w:val="clear" w:color="auto" w:fill="auto"/>
            <w:vAlign w:val="center"/>
          </w:tcPr>
          <w:p w14:paraId="776216AA" w14:textId="77777777" w:rsidR="00EA51C4" w:rsidRPr="00E12150" w:rsidRDefault="00EA51C4" w:rsidP="00BA499D">
            <w:pPr>
              <w:rPr>
                <w:rFonts w:eastAsia="Times New Roman" w:cstheme="minorHAnsi"/>
                <w:bCs/>
                <w:color w:val="1A1A1A"/>
                <w:sz w:val="18"/>
                <w:szCs w:val="18"/>
                <w:lang w:eastAsia="hr-HR"/>
              </w:rPr>
            </w:pPr>
            <w:r w:rsidRPr="00E12150">
              <w:rPr>
                <w:rFonts w:ascii="Calibri" w:hAnsi="Calibri"/>
                <w:sz w:val="18"/>
                <w:szCs w:val="18"/>
              </w:rPr>
              <w:t xml:space="preserve">Zaprimanje i obrada obavijesti o stavljanju medicinskih proizvoda klase rizika IIa, IIb, III, </w:t>
            </w:r>
            <w:r w:rsidRPr="00E12150">
              <w:rPr>
                <w:rFonts w:ascii="Calibri" w:hAnsi="Calibri"/>
                <w:i/>
                <w:sz w:val="18"/>
                <w:szCs w:val="18"/>
              </w:rPr>
              <w:t>in vitro</w:t>
            </w:r>
            <w:r w:rsidRPr="00E12150">
              <w:rPr>
                <w:rFonts w:ascii="Calibri" w:hAnsi="Calibri"/>
                <w:sz w:val="18"/>
                <w:szCs w:val="18"/>
              </w:rPr>
              <w:t xml:space="preserve"> dijagnostičkih medicinskih proizvoda i aktivnih medicinskih proizvoda za ugradnju u promet na tržištu RH</w:t>
            </w:r>
          </w:p>
        </w:tc>
        <w:tc>
          <w:tcPr>
            <w:tcW w:w="1276" w:type="dxa"/>
            <w:shd w:val="clear" w:color="auto" w:fill="auto"/>
            <w:noWrap/>
            <w:vAlign w:val="center"/>
          </w:tcPr>
          <w:p w14:paraId="090C6C5A" w14:textId="77777777" w:rsidR="00EA51C4" w:rsidRPr="00E12150" w:rsidRDefault="00EA51C4" w:rsidP="00BA499D">
            <w:pPr>
              <w:jc w:val="center"/>
              <w:rPr>
                <w:rFonts w:eastAsia="Times New Roman" w:cstheme="minorHAnsi"/>
                <w:bCs/>
                <w:color w:val="000000"/>
                <w:sz w:val="18"/>
                <w:szCs w:val="18"/>
                <w:lang w:eastAsia="hr-HR"/>
              </w:rPr>
            </w:pPr>
            <w:r>
              <w:rPr>
                <w:rFonts w:eastAsia="Times New Roman" w:cstheme="minorHAnsi"/>
                <w:bCs/>
                <w:color w:val="000000"/>
                <w:sz w:val="18"/>
                <w:szCs w:val="18"/>
                <w:lang w:eastAsia="hr-HR"/>
              </w:rPr>
              <w:t>1060</w:t>
            </w:r>
          </w:p>
        </w:tc>
        <w:tc>
          <w:tcPr>
            <w:tcW w:w="1275" w:type="dxa"/>
            <w:shd w:val="clear" w:color="auto" w:fill="auto"/>
            <w:noWrap/>
            <w:vAlign w:val="center"/>
          </w:tcPr>
          <w:p w14:paraId="3CA55E16" w14:textId="77777777" w:rsidR="00EA51C4" w:rsidRPr="00E12150" w:rsidRDefault="00EA51C4" w:rsidP="00BA499D">
            <w:pPr>
              <w:jc w:val="center"/>
              <w:rPr>
                <w:rFonts w:eastAsia="Times New Roman" w:cstheme="minorHAnsi"/>
                <w:bCs/>
                <w:color w:val="000000"/>
                <w:sz w:val="18"/>
                <w:szCs w:val="18"/>
                <w:lang w:eastAsia="hr-HR"/>
              </w:rPr>
            </w:pPr>
            <w:r>
              <w:rPr>
                <w:rFonts w:eastAsia="Times New Roman" w:cstheme="minorHAnsi"/>
                <w:bCs/>
                <w:color w:val="000000"/>
                <w:sz w:val="18"/>
                <w:szCs w:val="18"/>
                <w:lang w:eastAsia="hr-HR"/>
              </w:rPr>
              <w:t>1042</w:t>
            </w:r>
          </w:p>
        </w:tc>
        <w:tc>
          <w:tcPr>
            <w:tcW w:w="1134" w:type="dxa"/>
            <w:shd w:val="clear" w:color="auto" w:fill="auto"/>
            <w:noWrap/>
            <w:vAlign w:val="center"/>
          </w:tcPr>
          <w:p w14:paraId="2F173DF9" w14:textId="77777777" w:rsidR="00EA51C4" w:rsidRPr="00E12150" w:rsidRDefault="00EA51C4" w:rsidP="00BA499D">
            <w:pPr>
              <w:jc w:val="center"/>
              <w:rPr>
                <w:rFonts w:eastAsia="Times New Roman" w:cstheme="minorHAnsi"/>
                <w:bCs/>
                <w:color w:val="000000"/>
                <w:sz w:val="18"/>
                <w:szCs w:val="18"/>
                <w:lang w:eastAsia="hr-HR"/>
              </w:rPr>
            </w:pPr>
            <w:r>
              <w:rPr>
                <w:rFonts w:eastAsia="Times New Roman" w:cstheme="minorHAnsi"/>
                <w:bCs/>
                <w:color w:val="000000"/>
                <w:sz w:val="18"/>
                <w:szCs w:val="18"/>
                <w:lang w:eastAsia="hr-HR"/>
              </w:rPr>
              <w:t>98%</w:t>
            </w:r>
          </w:p>
        </w:tc>
      </w:tr>
      <w:tr w:rsidR="00EA51C4" w:rsidRPr="00E12150" w14:paraId="40981CC9" w14:textId="77777777" w:rsidTr="00BA499D">
        <w:trPr>
          <w:trHeight w:val="284"/>
        </w:trPr>
        <w:tc>
          <w:tcPr>
            <w:tcW w:w="719" w:type="dxa"/>
            <w:shd w:val="clear" w:color="auto" w:fill="auto"/>
            <w:noWrap/>
            <w:vAlign w:val="center"/>
            <w:hideMark/>
          </w:tcPr>
          <w:p w14:paraId="0E23D258" w14:textId="77777777" w:rsidR="00EA51C4" w:rsidRPr="00E12150" w:rsidRDefault="00EA51C4" w:rsidP="00BA499D">
            <w:pPr>
              <w:jc w:val="center"/>
              <w:rPr>
                <w:rFonts w:eastAsia="Times New Roman" w:cstheme="minorHAnsi"/>
                <w:color w:val="1A1A1A"/>
                <w:sz w:val="18"/>
                <w:szCs w:val="18"/>
                <w:lang w:eastAsia="hr-HR"/>
              </w:rPr>
            </w:pPr>
            <w:r w:rsidRPr="00E12150">
              <w:rPr>
                <w:rFonts w:eastAsia="Times New Roman" w:cstheme="minorHAnsi"/>
                <w:color w:val="1A1A1A"/>
                <w:sz w:val="18"/>
                <w:szCs w:val="18"/>
                <w:lang w:eastAsia="hr-HR"/>
              </w:rPr>
              <w:t>2.</w:t>
            </w:r>
          </w:p>
        </w:tc>
        <w:tc>
          <w:tcPr>
            <w:tcW w:w="1882" w:type="dxa"/>
            <w:shd w:val="clear" w:color="auto" w:fill="auto"/>
            <w:vAlign w:val="center"/>
          </w:tcPr>
          <w:p w14:paraId="0F492940" w14:textId="77777777" w:rsidR="00EA51C4" w:rsidRPr="00E12150" w:rsidRDefault="00EA51C4" w:rsidP="00BA499D">
            <w:pPr>
              <w:rPr>
                <w:rFonts w:eastAsia="Times New Roman" w:cstheme="minorHAnsi"/>
                <w:bCs/>
                <w:color w:val="1A1A1A"/>
                <w:sz w:val="18"/>
                <w:szCs w:val="18"/>
                <w:lang w:eastAsia="hr-HR"/>
              </w:rPr>
            </w:pPr>
            <w:r w:rsidRPr="00E12150">
              <w:rPr>
                <w:rFonts w:ascii="Calibri" w:hAnsi="Calibri" w:cs="Calibri"/>
                <w:color w:val="000000"/>
                <w:sz w:val="18"/>
                <w:szCs w:val="18"/>
                <w:lang w:eastAsia="hr-HR"/>
              </w:rPr>
              <w:t>Štetni događaji</w:t>
            </w:r>
          </w:p>
        </w:tc>
        <w:tc>
          <w:tcPr>
            <w:tcW w:w="2796" w:type="dxa"/>
            <w:shd w:val="clear" w:color="auto" w:fill="auto"/>
            <w:vAlign w:val="center"/>
          </w:tcPr>
          <w:p w14:paraId="04C04755" w14:textId="77777777" w:rsidR="00EA51C4" w:rsidRPr="00E12150" w:rsidRDefault="00EA51C4" w:rsidP="00BA499D">
            <w:pPr>
              <w:rPr>
                <w:rFonts w:eastAsia="Times New Roman" w:cstheme="minorHAnsi"/>
                <w:bCs/>
                <w:color w:val="1A1A1A"/>
                <w:sz w:val="18"/>
                <w:szCs w:val="18"/>
                <w:lang w:eastAsia="hr-HR"/>
              </w:rPr>
            </w:pPr>
            <w:r w:rsidRPr="00E12150">
              <w:rPr>
                <w:sz w:val="18"/>
                <w:szCs w:val="18"/>
              </w:rPr>
              <w:t>Zaprimanje i obrada izvješća o štetnim događajima vezanim uz medicinske proizvode koji su se dogodili na području RH</w:t>
            </w:r>
          </w:p>
        </w:tc>
        <w:tc>
          <w:tcPr>
            <w:tcW w:w="1276" w:type="dxa"/>
            <w:shd w:val="clear" w:color="auto" w:fill="auto"/>
            <w:noWrap/>
            <w:vAlign w:val="center"/>
          </w:tcPr>
          <w:p w14:paraId="5F7D3B81" w14:textId="77777777" w:rsidR="00EA51C4" w:rsidRPr="00E12150" w:rsidRDefault="00EA51C4" w:rsidP="00BA499D">
            <w:pPr>
              <w:jc w:val="center"/>
              <w:rPr>
                <w:rFonts w:eastAsia="Times New Roman" w:cstheme="minorHAnsi"/>
                <w:bCs/>
                <w:color w:val="000000"/>
                <w:sz w:val="18"/>
                <w:szCs w:val="18"/>
                <w:lang w:eastAsia="hr-HR"/>
              </w:rPr>
            </w:pPr>
            <w:r>
              <w:rPr>
                <w:rFonts w:eastAsia="Times New Roman" w:cstheme="minorHAnsi"/>
                <w:bCs/>
                <w:color w:val="000000"/>
                <w:sz w:val="18"/>
                <w:szCs w:val="18"/>
                <w:lang w:eastAsia="hr-HR"/>
              </w:rPr>
              <w:t>940</w:t>
            </w:r>
          </w:p>
        </w:tc>
        <w:tc>
          <w:tcPr>
            <w:tcW w:w="1275" w:type="dxa"/>
            <w:tcBorders>
              <w:top w:val="single" w:sz="4" w:space="0" w:color="auto"/>
              <w:left w:val="single" w:sz="4" w:space="0" w:color="auto"/>
              <w:bottom w:val="single" w:sz="4" w:space="0" w:color="auto"/>
              <w:right w:val="single" w:sz="4" w:space="0" w:color="auto"/>
            </w:tcBorders>
            <w:noWrap/>
            <w:vAlign w:val="center"/>
          </w:tcPr>
          <w:p w14:paraId="6260A378" w14:textId="77777777" w:rsidR="00EA51C4" w:rsidRPr="00953D57" w:rsidRDefault="00EA51C4" w:rsidP="00BA499D">
            <w:pPr>
              <w:jc w:val="center"/>
              <w:rPr>
                <w:rFonts w:eastAsia="Times New Roman" w:cstheme="minorHAnsi"/>
                <w:bCs/>
                <w:color w:val="000000"/>
                <w:sz w:val="18"/>
                <w:szCs w:val="18"/>
                <w:lang w:eastAsia="hr-HR"/>
              </w:rPr>
            </w:pPr>
            <w:r>
              <w:rPr>
                <w:rFonts w:eastAsia="Times New Roman" w:cstheme="minorHAnsi"/>
                <w:bCs/>
                <w:color w:val="000000"/>
                <w:sz w:val="18"/>
                <w:szCs w:val="18"/>
                <w:lang w:eastAsia="hr-HR"/>
              </w:rPr>
              <w:t>922</w:t>
            </w:r>
          </w:p>
        </w:tc>
        <w:tc>
          <w:tcPr>
            <w:tcW w:w="1134" w:type="dxa"/>
            <w:tcBorders>
              <w:top w:val="single" w:sz="4" w:space="0" w:color="auto"/>
              <w:left w:val="single" w:sz="4" w:space="0" w:color="auto"/>
              <w:bottom w:val="single" w:sz="4" w:space="0" w:color="auto"/>
              <w:right w:val="single" w:sz="4" w:space="0" w:color="auto"/>
            </w:tcBorders>
            <w:noWrap/>
            <w:vAlign w:val="center"/>
          </w:tcPr>
          <w:p w14:paraId="306C2A1B" w14:textId="77777777" w:rsidR="00EA51C4" w:rsidRPr="00953D57" w:rsidRDefault="00EA51C4" w:rsidP="00BA499D">
            <w:pPr>
              <w:jc w:val="center"/>
              <w:rPr>
                <w:rFonts w:eastAsia="Times New Roman" w:cstheme="minorHAnsi"/>
                <w:bCs/>
                <w:color w:val="000000"/>
                <w:sz w:val="18"/>
                <w:szCs w:val="18"/>
                <w:lang w:eastAsia="hr-HR"/>
              </w:rPr>
            </w:pPr>
            <w:r>
              <w:rPr>
                <w:rFonts w:eastAsia="Times New Roman" w:cstheme="minorHAnsi"/>
                <w:bCs/>
                <w:color w:val="000000"/>
                <w:sz w:val="18"/>
                <w:szCs w:val="18"/>
                <w:lang w:eastAsia="hr-HR"/>
              </w:rPr>
              <w:t>98%</w:t>
            </w:r>
          </w:p>
        </w:tc>
      </w:tr>
      <w:tr w:rsidR="00EA51C4" w:rsidRPr="00E12150" w14:paraId="7FC6B62B" w14:textId="77777777" w:rsidTr="00BA499D">
        <w:trPr>
          <w:trHeight w:val="284"/>
        </w:trPr>
        <w:tc>
          <w:tcPr>
            <w:tcW w:w="719" w:type="dxa"/>
            <w:shd w:val="clear" w:color="auto" w:fill="auto"/>
            <w:noWrap/>
            <w:vAlign w:val="center"/>
          </w:tcPr>
          <w:p w14:paraId="26950FBB" w14:textId="77777777" w:rsidR="00EA51C4" w:rsidRPr="00E12150" w:rsidRDefault="00EA51C4" w:rsidP="00BA499D">
            <w:pPr>
              <w:jc w:val="center"/>
              <w:rPr>
                <w:rFonts w:eastAsia="Times New Roman" w:cstheme="minorHAnsi"/>
                <w:color w:val="1A1A1A"/>
                <w:sz w:val="18"/>
                <w:szCs w:val="18"/>
                <w:lang w:eastAsia="hr-HR"/>
              </w:rPr>
            </w:pPr>
            <w:r w:rsidRPr="00E12150">
              <w:rPr>
                <w:rFonts w:eastAsia="Times New Roman" w:cstheme="minorHAnsi"/>
                <w:color w:val="1A1A1A"/>
                <w:sz w:val="18"/>
                <w:szCs w:val="18"/>
                <w:lang w:eastAsia="hr-HR"/>
              </w:rPr>
              <w:t>3.</w:t>
            </w:r>
          </w:p>
        </w:tc>
        <w:tc>
          <w:tcPr>
            <w:tcW w:w="1882" w:type="dxa"/>
            <w:shd w:val="clear" w:color="auto" w:fill="auto"/>
            <w:vAlign w:val="center"/>
          </w:tcPr>
          <w:p w14:paraId="3F894210" w14:textId="77777777" w:rsidR="00EA51C4" w:rsidRPr="00E12150" w:rsidRDefault="00EA51C4" w:rsidP="00BA499D">
            <w:pPr>
              <w:rPr>
                <w:rFonts w:ascii="Calibri" w:hAnsi="Calibri" w:cs="Calibri"/>
                <w:color w:val="000000"/>
                <w:sz w:val="18"/>
                <w:szCs w:val="18"/>
                <w:lang w:eastAsia="hr-HR"/>
              </w:rPr>
            </w:pPr>
            <w:r w:rsidRPr="00E12150">
              <w:rPr>
                <w:rFonts w:ascii="Calibri" w:hAnsi="Calibri" w:cs="Calibri"/>
                <w:color w:val="000000"/>
                <w:sz w:val="18"/>
                <w:szCs w:val="18"/>
                <w:lang w:eastAsia="hr-HR"/>
              </w:rPr>
              <w:t>Sigurnosno korektivne radnje</w:t>
            </w:r>
          </w:p>
        </w:tc>
        <w:tc>
          <w:tcPr>
            <w:tcW w:w="2796" w:type="dxa"/>
            <w:shd w:val="clear" w:color="auto" w:fill="auto"/>
            <w:vAlign w:val="center"/>
          </w:tcPr>
          <w:p w14:paraId="0FB84472" w14:textId="77777777" w:rsidR="00EA51C4" w:rsidRPr="00E12150" w:rsidRDefault="00EA51C4" w:rsidP="00BA499D">
            <w:pPr>
              <w:rPr>
                <w:rFonts w:eastAsia="Times New Roman" w:cstheme="minorHAnsi"/>
                <w:bCs/>
                <w:color w:val="1A1A1A"/>
                <w:sz w:val="18"/>
                <w:szCs w:val="18"/>
                <w:lang w:eastAsia="hr-HR"/>
              </w:rPr>
            </w:pPr>
            <w:r w:rsidRPr="00E12150">
              <w:rPr>
                <w:rFonts w:ascii="Calibri" w:hAnsi="Calibri"/>
                <w:sz w:val="18"/>
                <w:szCs w:val="18"/>
              </w:rPr>
              <w:t>Zaprimanje i obrada izvješća o korektivnim radnjama koje provodi proizvođač na medicinskim proizvodima u prometu i uporabi na području RH</w:t>
            </w:r>
          </w:p>
        </w:tc>
        <w:tc>
          <w:tcPr>
            <w:tcW w:w="1276" w:type="dxa"/>
            <w:shd w:val="clear" w:color="auto" w:fill="auto"/>
            <w:noWrap/>
            <w:vAlign w:val="center"/>
          </w:tcPr>
          <w:p w14:paraId="2B267AB8" w14:textId="77777777" w:rsidR="00EA51C4" w:rsidRPr="00E12150" w:rsidRDefault="00EA51C4" w:rsidP="00BA499D">
            <w:pPr>
              <w:jc w:val="center"/>
              <w:rPr>
                <w:rFonts w:eastAsia="Times New Roman" w:cstheme="minorHAnsi"/>
                <w:bCs/>
                <w:color w:val="000000"/>
                <w:sz w:val="18"/>
                <w:szCs w:val="18"/>
                <w:lang w:eastAsia="hr-HR"/>
              </w:rPr>
            </w:pPr>
            <w:r>
              <w:rPr>
                <w:rFonts w:eastAsia="Times New Roman" w:cstheme="minorHAnsi"/>
                <w:bCs/>
                <w:color w:val="000000"/>
                <w:sz w:val="18"/>
                <w:szCs w:val="18"/>
                <w:lang w:eastAsia="hr-HR"/>
              </w:rPr>
              <w:t>720</w:t>
            </w:r>
          </w:p>
        </w:tc>
        <w:tc>
          <w:tcPr>
            <w:tcW w:w="1275" w:type="dxa"/>
            <w:tcBorders>
              <w:top w:val="single" w:sz="4" w:space="0" w:color="auto"/>
              <w:left w:val="single" w:sz="4" w:space="0" w:color="auto"/>
              <w:bottom w:val="single" w:sz="4" w:space="0" w:color="auto"/>
              <w:right w:val="single" w:sz="4" w:space="0" w:color="auto"/>
            </w:tcBorders>
            <w:noWrap/>
            <w:vAlign w:val="center"/>
          </w:tcPr>
          <w:p w14:paraId="7E3EAC3F" w14:textId="77777777" w:rsidR="00EA51C4" w:rsidRPr="00953D57" w:rsidRDefault="00EA51C4" w:rsidP="00BA499D">
            <w:pPr>
              <w:jc w:val="center"/>
              <w:rPr>
                <w:rFonts w:eastAsia="Times New Roman" w:cstheme="minorHAnsi"/>
                <w:bCs/>
                <w:color w:val="000000"/>
                <w:sz w:val="18"/>
                <w:szCs w:val="18"/>
                <w:lang w:eastAsia="hr-HR"/>
              </w:rPr>
            </w:pPr>
            <w:r>
              <w:rPr>
                <w:rFonts w:eastAsia="Times New Roman" w:cstheme="minorHAnsi"/>
                <w:bCs/>
                <w:color w:val="000000"/>
                <w:sz w:val="18"/>
                <w:szCs w:val="18"/>
                <w:lang w:eastAsia="hr-HR"/>
              </w:rPr>
              <w:t>798</w:t>
            </w:r>
          </w:p>
        </w:tc>
        <w:tc>
          <w:tcPr>
            <w:tcW w:w="1134" w:type="dxa"/>
            <w:tcBorders>
              <w:top w:val="single" w:sz="4" w:space="0" w:color="auto"/>
              <w:left w:val="single" w:sz="4" w:space="0" w:color="auto"/>
              <w:bottom w:val="single" w:sz="4" w:space="0" w:color="auto"/>
              <w:right w:val="single" w:sz="4" w:space="0" w:color="auto"/>
            </w:tcBorders>
            <w:noWrap/>
            <w:vAlign w:val="center"/>
          </w:tcPr>
          <w:p w14:paraId="4562F10F" w14:textId="77777777" w:rsidR="00EA51C4" w:rsidRPr="00953D57" w:rsidRDefault="00EA51C4" w:rsidP="00BA499D">
            <w:pPr>
              <w:jc w:val="center"/>
              <w:rPr>
                <w:rFonts w:eastAsia="Times New Roman" w:cstheme="minorHAnsi"/>
                <w:bCs/>
                <w:color w:val="000000"/>
                <w:sz w:val="18"/>
                <w:szCs w:val="18"/>
                <w:lang w:eastAsia="hr-HR"/>
              </w:rPr>
            </w:pPr>
            <w:r>
              <w:rPr>
                <w:rFonts w:eastAsia="Times New Roman" w:cstheme="minorHAnsi"/>
                <w:bCs/>
                <w:color w:val="000000"/>
                <w:sz w:val="18"/>
                <w:szCs w:val="18"/>
                <w:lang w:eastAsia="hr-HR"/>
              </w:rPr>
              <w:t>110%</w:t>
            </w:r>
          </w:p>
        </w:tc>
      </w:tr>
      <w:tr w:rsidR="00EA51C4" w:rsidRPr="00E12150" w14:paraId="5B5460FC" w14:textId="77777777" w:rsidTr="00BA499D">
        <w:trPr>
          <w:trHeight w:val="284"/>
        </w:trPr>
        <w:tc>
          <w:tcPr>
            <w:tcW w:w="719" w:type="dxa"/>
            <w:shd w:val="clear" w:color="auto" w:fill="auto"/>
            <w:noWrap/>
            <w:vAlign w:val="center"/>
          </w:tcPr>
          <w:p w14:paraId="05479B24" w14:textId="77777777" w:rsidR="00EA51C4" w:rsidRPr="00E12150" w:rsidRDefault="00EA51C4" w:rsidP="00BA499D">
            <w:pPr>
              <w:jc w:val="center"/>
              <w:rPr>
                <w:rFonts w:eastAsia="Times New Roman" w:cstheme="minorHAnsi"/>
                <w:color w:val="1A1A1A"/>
                <w:sz w:val="18"/>
                <w:szCs w:val="18"/>
                <w:lang w:eastAsia="hr-HR"/>
              </w:rPr>
            </w:pPr>
            <w:r w:rsidRPr="00E12150">
              <w:rPr>
                <w:rFonts w:eastAsia="Times New Roman" w:cstheme="minorHAnsi"/>
                <w:color w:val="1A1A1A"/>
                <w:sz w:val="18"/>
                <w:szCs w:val="18"/>
                <w:lang w:eastAsia="hr-HR"/>
              </w:rPr>
              <w:t>4.</w:t>
            </w:r>
          </w:p>
        </w:tc>
        <w:tc>
          <w:tcPr>
            <w:tcW w:w="1882" w:type="dxa"/>
            <w:shd w:val="clear" w:color="auto" w:fill="auto"/>
            <w:vAlign w:val="center"/>
          </w:tcPr>
          <w:p w14:paraId="27176FF3" w14:textId="77777777" w:rsidR="00EA51C4" w:rsidRPr="00E12150" w:rsidRDefault="00EA51C4" w:rsidP="00BA499D">
            <w:pPr>
              <w:rPr>
                <w:rFonts w:ascii="Calibri" w:hAnsi="Calibri" w:cs="Calibri"/>
                <w:color w:val="000000"/>
                <w:sz w:val="18"/>
                <w:szCs w:val="18"/>
                <w:lang w:eastAsia="hr-HR"/>
              </w:rPr>
            </w:pPr>
            <w:r w:rsidRPr="00E12150">
              <w:rPr>
                <w:rFonts w:ascii="Calibri" w:hAnsi="Calibri"/>
                <w:sz w:val="18"/>
                <w:szCs w:val="18"/>
              </w:rPr>
              <w:t>Izvješća o korektivnim radnjama od drugih nadležnih tijela (NCAR izvješća)</w:t>
            </w:r>
          </w:p>
        </w:tc>
        <w:tc>
          <w:tcPr>
            <w:tcW w:w="2796" w:type="dxa"/>
            <w:shd w:val="clear" w:color="auto" w:fill="auto"/>
            <w:vAlign w:val="center"/>
          </w:tcPr>
          <w:p w14:paraId="492E75C6" w14:textId="77777777" w:rsidR="00EA51C4" w:rsidRPr="00E12150" w:rsidRDefault="00EA51C4" w:rsidP="00BA499D">
            <w:pPr>
              <w:rPr>
                <w:rFonts w:eastAsia="Times New Roman" w:cstheme="minorHAnsi"/>
                <w:bCs/>
                <w:color w:val="1A1A1A"/>
                <w:sz w:val="18"/>
                <w:szCs w:val="18"/>
                <w:lang w:eastAsia="hr-HR"/>
              </w:rPr>
            </w:pPr>
            <w:r w:rsidRPr="00E12150">
              <w:rPr>
                <w:rFonts w:ascii="Calibri" w:hAnsi="Calibri"/>
                <w:sz w:val="18"/>
                <w:szCs w:val="18"/>
              </w:rPr>
              <w:t>Zaprimanje i obrada izvješća o sigurnosno korektivnim radnjama u sustavu razmjene među nadležnim tijelima EU-a</w:t>
            </w:r>
          </w:p>
        </w:tc>
        <w:tc>
          <w:tcPr>
            <w:tcW w:w="1276" w:type="dxa"/>
            <w:shd w:val="clear" w:color="auto" w:fill="auto"/>
            <w:noWrap/>
            <w:vAlign w:val="center"/>
          </w:tcPr>
          <w:p w14:paraId="16690520" w14:textId="77777777" w:rsidR="00EA51C4" w:rsidRPr="00E12150" w:rsidRDefault="00EA51C4" w:rsidP="00BA499D">
            <w:pPr>
              <w:jc w:val="center"/>
              <w:rPr>
                <w:rFonts w:eastAsia="Times New Roman" w:cstheme="minorHAnsi"/>
                <w:bCs/>
                <w:color w:val="000000"/>
                <w:sz w:val="18"/>
                <w:szCs w:val="18"/>
                <w:lang w:eastAsia="hr-HR"/>
              </w:rPr>
            </w:pPr>
            <w:r>
              <w:rPr>
                <w:rFonts w:eastAsia="Times New Roman" w:cstheme="minorHAnsi"/>
                <w:bCs/>
                <w:color w:val="000000"/>
                <w:sz w:val="18"/>
                <w:szCs w:val="18"/>
                <w:lang w:eastAsia="hr-HR"/>
              </w:rPr>
              <w:t>1200</w:t>
            </w:r>
          </w:p>
        </w:tc>
        <w:tc>
          <w:tcPr>
            <w:tcW w:w="1275" w:type="dxa"/>
            <w:tcBorders>
              <w:top w:val="single" w:sz="4" w:space="0" w:color="auto"/>
              <w:left w:val="single" w:sz="4" w:space="0" w:color="auto"/>
              <w:bottom w:val="single" w:sz="4" w:space="0" w:color="auto"/>
              <w:right w:val="single" w:sz="4" w:space="0" w:color="auto"/>
            </w:tcBorders>
            <w:noWrap/>
            <w:vAlign w:val="center"/>
          </w:tcPr>
          <w:p w14:paraId="55F64815" w14:textId="77777777" w:rsidR="00EA51C4" w:rsidRPr="00953D57" w:rsidRDefault="00EA51C4" w:rsidP="00BA499D">
            <w:pPr>
              <w:jc w:val="center"/>
              <w:rPr>
                <w:rFonts w:eastAsia="Times New Roman" w:cstheme="minorHAnsi"/>
                <w:bCs/>
                <w:color w:val="000000"/>
                <w:sz w:val="18"/>
                <w:szCs w:val="18"/>
                <w:lang w:eastAsia="hr-HR"/>
              </w:rPr>
            </w:pPr>
            <w:r>
              <w:rPr>
                <w:rFonts w:eastAsia="Times New Roman" w:cstheme="minorHAnsi"/>
                <w:bCs/>
                <w:color w:val="000000"/>
                <w:sz w:val="18"/>
                <w:szCs w:val="18"/>
                <w:lang w:eastAsia="hr-HR"/>
              </w:rPr>
              <w:t>708</w:t>
            </w:r>
          </w:p>
        </w:tc>
        <w:tc>
          <w:tcPr>
            <w:tcW w:w="1134" w:type="dxa"/>
            <w:tcBorders>
              <w:top w:val="single" w:sz="4" w:space="0" w:color="auto"/>
              <w:left w:val="single" w:sz="4" w:space="0" w:color="auto"/>
              <w:bottom w:val="single" w:sz="4" w:space="0" w:color="auto"/>
              <w:right w:val="single" w:sz="4" w:space="0" w:color="auto"/>
            </w:tcBorders>
            <w:noWrap/>
            <w:vAlign w:val="center"/>
          </w:tcPr>
          <w:p w14:paraId="643834F4" w14:textId="77777777" w:rsidR="00EA51C4" w:rsidRPr="00953D57" w:rsidRDefault="00EA51C4" w:rsidP="00BA499D">
            <w:pPr>
              <w:jc w:val="center"/>
              <w:rPr>
                <w:rFonts w:eastAsia="Times New Roman" w:cstheme="minorHAnsi"/>
                <w:bCs/>
                <w:color w:val="000000"/>
                <w:sz w:val="18"/>
                <w:szCs w:val="18"/>
                <w:lang w:eastAsia="hr-HR"/>
              </w:rPr>
            </w:pPr>
            <w:r>
              <w:rPr>
                <w:rFonts w:eastAsia="Times New Roman" w:cstheme="minorHAnsi"/>
                <w:bCs/>
                <w:color w:val="000000"/>
                <w:sz w:val="18"/>
                <w:szCs w:val="18"/>
                <w:lang w:eastAsia="hr-HR"/>
              </w:rPr>
              <w:t>49%</w:t>
            </w:r>
          </w:p>
        </w:tc>
      </w:tr>
      <w:tr w:rsidR="00EA51C4" w:rsidRPr="00E12150" w14:paraId="38B26A81" w14:textId="77777777" w:rsidTr="00BA499D">
        <w:trPr>
          <w:trHeight w:val="284"/>
        </w:trPr>
        <w:tc>
          <w:tcPr>
            <w:tcW w:w="719" w:type="dxa"/>
            <w:shd w:val="clear" w:color="auto" w:fill="auto"/>
            <w:noWrap/>
            <w:vAlign w:val="center"/>
          </w:tcPr>
          <w:p w14:paraId="4F199669" w14:textId="77777777" w:rsidR="00EA51C4" w:rsidRPr="00104FAC" w:rsidRDefault="00EA51C4" w:rsidP="00BA499D">
            <w:pPr>
              <w:jc w:val="center"/>
              <w:rPr>
                <w:rFonts w:eastAsia="Times New Roman" w:cstheme="minorHAnsi"/>
                <w:color w:val="1A1A1A"/>
                <w:sz w:val="18"/>
                <w:szCs w:val="18"/>
                <w:lang w:eastAsia="hr-HR"/>
              </w:rPr>
            </w:pPr>
            <w:r>
              <w:rPr>
                <w:rFonts w:eastAsia="Times New Roman" w:cstheme="minorHAnsi"/>
                <w:color w:val="1A1A1A"/>
                <w:sz w:val="18"/>
                <w:szCs w:val="18"/>
                <w:lang w:eastAsia="hr-HR"/>
              </w:rPr>
              <w:t>5</w:t>
            </w:r>
            <w:r w:rsidRPr="00104FAC">
              <w:rPr>
                <w:rFonts w:eastAsia="Times New Roman" w:cstheme="minorHAnsi"/>
                <w:color w:val="1A1A1A"/>
                <w:sz w:val="18"/>
                <w:szCs w:val="18"/>
                <w:lang w:eastAsia="hr-HR"/>
              </w:rPr>
              <w:t>.</w:t>
            </w:r>
          </w:p>
        </w:tc>
        <w:tc>
          <w:tcPr>
            <w:tcW w:w="1882" w:type="dxa"/>
            <w:shd w:val="clear" w:color="auto" w:fill="auto"/>
            <w:vAlign w:val="center"/>
          </w:tcPr>
          <w:p w14:paraId="23AC2572" w14:textId="77777777" w:rsidR="00EA51C4" w:rsidRPr="00104FAC" w:rsidRDefault="00EA51C4" w:rsidP="00BA499D">
            <w:pPr>
              <w:rPr>
                <w:rFonts w:ascii="Calibri" w:hAnsi="Calibri" w:cs="Calibri"/>
                <w:color w:val="000000"/>
                <w:sz w:val="18"/>
                <w:szCs w:val="18"/>
                <w:lang w:eastAsia="hr-HR"/>
              </w:rPr>
            </w:pPr>
            <w:r w:rsidRPr="00104FAC">
              <w:rPr>
                <w:rFonts w:ascii="Calibri" w:hAnsi="Calibri"/>
                <w:sz w:val="18"/>
                <w:szCs w:val="18"/>
              </w:rPr>
              <w:t>Vigilancijski upiti</w:t>
            </w:r>
          </w:p>
        </w:tc>
        <w:tc>
          <w:tcPr>
            <w:tcW w:w="2796" w:type="dxa"/>
            <w:shd w:val="clear" w:color="auto" w:fill="auto"/>
            <w:vAlign w:val="center"/>
          </w:tcPr>
          <w:p w14:paraId="1E253E17" w14:textId="77777777" w:rsidR="00EA51C4" w:rsidRPr="00104FAC" w:rsidRDefault="00EA51C4" w:rsidP="00BA499D">
            <w:pPr>
              <w:rPr>
                <w:rFonts w:eastAsia="Times New Roman" w:cstheme="minorHAnsi"/>
                <w:bCs/>
                <w:color w:val="1A1A1A"/>
                <w:sz w:val="18"/>
                <w:szCs w:val="18"/>
                <w:lang w:eastAsia="hr-HR"/>
              </w:rPr>
            </w:pPr>
            <w:r w:rsidRPr="00104FAC">
              <w:rPr>
                <w:rFonts w:ascii="Calibri" w:hAnsi="Calibri"/>
                <w:sz w:val="18"/>
                <w:szCs w:val="18"/>
              </w:rPr>
              <w:t>Odgovaranje na upite u sustavu vigilancije od drugih nadležnih tijela EU-a</w:t>
            </w:r>
          </w:p>
        </w:tc>
        <w:tc>
          <w:tcPr>
            <w:tcW w:w="1276" w:type="dxa"/>
            <w:shd w:val="clear" w:color="auto" w:fill="auto"/>
            <w:noWrap/>
            <w:vAlign w:val="center"/>
          </w:tcPr>
          <w:p w14:paraId="15CBAA43" w14:textId="77777777" w:rsidR="00EA51C4" w:rsidRPr="00104FAC" w:rsidRDefault="00EA51C4" w:rsidP="00BA499D">
            <w:pPr>
              <w:jc w:val="center"/>
              <w:rPr>
                <w:rFonts w:eastAsia="Times New Roman" w:cstheme="minorHAnsi"/>
                <w:bCs/>
                <w:color w:val="000000"/>
                <w:sz w:val="18"/>
                <w:szCs w:val="18"/>
                <w:lang w:eastAsia="hr-HR"/>
              </w:rPr>
            </w:pPr>
            <w:r>
              <w:rPr>
                <w:rFonts w:eastAsia="Times New Roman" w:cstheme="minorHAnsi"/>
                <w:bCs/>
                <w:color w:val="000000"/>
                <w:sz w:val="18"/>
                <w:szCs w:val="18"/>
                <w:lang w:eastAsia="hr-HR"/>
              </w:rPr>
              <w:t>120</w:t>
            </w:r>
          </w:p>
        </w:tc>
        <w:tc>
          <w:tcPr>
            <w:tcW w:w="1275" w:type="dxa"/>
            <w:shd w:val="clear" w:color="auto" w:fill="auto"/>
            <w:noWrap/>
            <w:vAlign w:val="center"/>
          </w:tcPr>
          <w:p w14:paraId="414F7EC4" w14:textId="77777777" w:rsidR="00EA51C4" w:rsidRPr="00104FAC" w:rsidRDefault="00EA51C4" w:rsidP="00BA499D">
            <w:pPr>
              <w:jc w:val="center"/>
              <w:rPr>
                <w:rFonts w:eastAsia="Times New Roman" w:cstheme="minorHAnsi"/>
                <w:bCs/>
                <w:color w:val="000000"/>
                <w:sz w:val="18"/>
                <w:szCs w:val="18"/>
                <w:lang w:eastAsia="hr-HR"/>
              </w:rPr>
            </w:pPr>
            <w:r>
              <w:rPr>
                <w:rFonts w:eastAsia="Times New Roman" w:cstheme="minorHAnsi"/>
                <w:bCs/>
                <w:color w:val="000000"/>
                <w:sz w:val="18"/>
                <w:szCs w:val="18"/>
                <w:lang w:eastAsia="hr-HR"/>
              </w:rPr>
              <w:t>130</w:t>
            </w:r>
          </w:p>
        </w:tc>
        <w:tc>
          <w:tcPr>
            <w:tcW w:w="1134" w:type="dxa"/>
            <w:shd w:val="clear" w:color="auto" w:fill="auto"/>
            <w:noWrap/>
            <w:vAlign w:val="center"/>
          </w:tcPr>
          <w:p w14:paraId="21BF0869" w14:textId="77777777" w:rsidR="00EA51C4" w:rsidRPr="00104FAC" w:rsidRDefault="00EA51C4" w:rsidP="00BA499D">
            <w:pPr>
              <w:jc w:val="center"/>
              <w:rPr>
                <w:rFonts w:eastAsia="Times New Roman" w:cstheme="minorHAnsi"/>
                <w:bCs/>
                <w:color w:val="000000"/>
                <w:sz w:val="18"/>
                <w:szCs w:val="18"/>
                <w:lang w:eastAsia="hr-HR"/>
              </w:rPr>
            </w:pPr>
            <w:r>
              <w:rPr>
                <w:rFonts w:eastAsia="Times New Roman" w:cstheme="minorHAnsi"/>
                <w:bCs/>
                <w:color w:val="000000"/>
                <w:sz w:val="18"/>
                <w:szCs w:val="18"/>
                <w:lang w:eastAsia="hr-HR"/>
              </w:rPr>
              <w:t>108%</w:t>
            </w:r>
          </w:p>
        </w:tc>
      </w:tr>
      <w:tr w:rsidR="00EA51C4" w:rsidRPr="00E12150" w14:paraId="3389A712" w14:textId="77777777" w:rsidTr="00BA499D">
        <w:trPr>
          <w:trHeight w:val="284"/>
        </w:trPr>
        <w:tc>
          <w:tcPr>
            <w:tcW w:w="719" w:type="dxa"/>
            <w:shd w:val="clear" w:color="auto" w:fill="auto"/>
            <w:noWrap/>
            <w:vAlign w:val="center"/>
          </w:tcPr>
          <w:p w14:paraId="2FAC9FD8" w14:textId="77777777" w:rsidR="00EA51C4" w:rsidRPr="00104FAC" w:rsidRDefault="00EA51C4" w:rsidP="00BA499D">
            <w:pPr>
              <w:jc w:val="center"/>
              <w:rPr>
                <w:rFonts w:eastAsia="Times New Roman" w:cstheme="minorHAnsi"/>
                <w:color w:val="1A1A1A"/>
                <w:sz w:val="18"/>
                <w:szCs w:val="18"/>
                <w:lang w:eastAsia="hr-HR"/>
              </w:rPr>
            </w:pPr>
            <w:r>
              <w:rPr>
                <w:rFonts w:eastAsia="Times New Roman" w:cstheme="minorHAnsi"/>
                <w:color w:val="1A1A1A"/>
                <w:sz w:val="18"/>
                <w:szCs w:val="18"/>
                <w:lang w:eastAsia="hr-HR"/>
              </w:rPr>
              <w:t>6</w:t>
            </w:r>
            <w:r w:rsidRPr="00104FAC">
              <w:rPr>
                <w:rFonts w:eastAsia="Times New Roman" w:cstheme="minorHAnsi"/>
                <w:color w:val="1A1A1A"/>
                <w:sz w:val="18"/>
                <w:szCs w:val="18"/>
                <w:lang w:eastAsia="hr-HR"/>
              </w:rPr>
              <w:t>.</w:t>
            </w:r>
          </w:p>
        </w:tc>
        <w:tc>
          <w:tcPr>
            <w:tcW w:w="1882" w:type="dxa"/>
            <w:shd w:val="clear" w:color="auto" w:fill="auto"/>
            <w:vAlign w:val="center"/>
          </w:tcPr>
          <w:p w14:paraId="0C7CF82A" w14:textId="77777777" w:rsidR="00EA51C4" w:rsidRPr="00104FAC" w:rsidRDefault="00EA51C4" w:rsidP="00BA499D">
            <w:pPr>
              <w:rPr>
                <w:rFonts w:ascii="Calibri" w:hAnsi="Calibri" w:cs="Calibri"/>
                <w:color w:val="000000"/>
                <w:sz w:val="18"/>
                <w:szCs w:val="18"/>
                <w:lang w:eastAsia="hr-HR"/>
              </w:rPr>
            </w:pPr>
            <w:r w:rsidRPr="00104FAC">
              <w:rPr>
                <w:rFonts w:ascii="Calibri" w:hAnsi="Calibri"/>
                <w:sz w:val="18"/>
                <w:szCs w:val="18"/>
              </w:rPr>
              <w:t>Upiti o razvrstavanju</w:t>
            </w:r>
          </w:p>
        </w:tc>
        <w:tc>
          <w:tcPr>
            <w:tcW w:w="2796" w:type="dxa"/>
            <w:shd w:val="clear" w:color="auto" w:fill="auto"/>
            <w:vAlign w:val="center"/>
          </w:tcPr>
          <w:p w14:paraId="31491CCE" w14:textId="77777777" w:rsidR="00EA51C4" w:rsidRPr="00104FAC" w:rsidRDefault="00EA51C4" w:rsidP="00BA499D">
            <w:pPr>
              <w:rPr>
                <w:rFonts w:eastAsia="Times New Roman" w:cstheme="minorHAnsi"/>
                <w:bCs/>
                <w:color w:val="1A1A1A"/>
                <w:sz w:val="18"/>
                <w:szCs w:val="18"/>
                <w:lang w:eastAsia="hr-HR"/>
              </w:rPr>
            </w:pPr>
            <w:r w:rsidRPr="00104FAC">
              <w:rPr>
                <w:rFonts w:ascii="Calibri" w:hAnsi="Calibri"/>
                <w:sz w:val="18"/>
                <w:szCs w:val="18"/>
              </w:rPr>
              <w:t>Odgovaranje na upite o razvrstavanju i graničnim proizvodima zaprimljene od drugih nadležnih tijela EU-a</w:t>
            </w:r>
          </w:p>
        </w:tc>
        <w:tc>
          <w:tcPr>
            <w:tcW w:w="1276" w:type="dxa"/>
            <w:shd w:val="clear" w:color="auto" w:fill="auto"/>
            <w:noWrap/>
            <w:vAlign w:val="center"/>
          </w:tcPr>
          <w:p w14:paraId="5CE2D17E" w14:textId="77777777" w:rsidR="00EA51C4" w:rsidRPr="00104FAC" w:rsidRDefault="00EA51C4" w:rsidP="00BA499D">
            <w:pPr>
              <w:jc w:val="center"/>
              <w:rPr>
                <w:rFonts w:eastAsia="Times New Roman" w:cstheme="minorHAnsi"/>
                <w:bCs/>
                <w:color w:val="000000"/>
                <w:sz w:val="18"/>
                <w:szCs w:val="18"/>
                <w:lang w:eastAsia="hr-HR"/>
              </w:rPr>
            </w:pPr>
            <w:r>
              <w:rPr>
                <w:rFonts w:eastAsia="Times New Roman" w:cstheme="minorHAnsi"/>
                <w:bCs/>
                <w:color w:val="000000"/>
                <w:sz w:val="18"/>
                <w:szCs w:val="18"/>
                <w:lang w:eastAsia="hr-HR"/>
              </w:rPr>
              <w:t>10</w:t>
            </w:r>
          </w:p>
        </w:tc>
        <w:tc>
          <w:tcPr>
            <w:tcW w:w="1275" w:type="dxa"/>
            <w:shd w:val="clear" w:color="auto" w:fill="auto"/>
            <w:noWrap/>
            <w:vAlign w:val="center"/>
          </w:tcPr>
          <w:p w14:paraId="048BB3A2" w14:textId="77777777" w:rsidR="00EA51C4" w:rsidRPr="00104FAC" w:rsidRDefault="00EA51C4" w:rsidP="00BA499D">
            <w:pPr>
              <w:jc w:val="center"/>
              <w:rPr>
                <w:rFonts w:eastAsia="Times New Roman" w:cstheme="minorHAnsi"/>
                <w:bCs/>
                <w:color w:val="000000"/>
                <w:sz w:val="18"/>
                <w:szCs w:val="18"/>
                <w:lang w:eastAsia="hr-HR"/>
              </w:rPr>
            </w:pPr>
            <w:r>
              <w:rPr>
                <w:rFonts w:eastAsia="Times New Roman" w:cstheme="minorHAnsi"/>
                <w:bCs/>
                <w:color w:val="000000"/>
                <w:sz w:val="18"/>
                <w:szCs w:val="18"/>
                <w:lang w:eastAsia="hr-HR"/>
              </w:rPr>
              <w:t>6</w:t>
            </w:r>
          </w:p>
        </w:tc>
        <w:tc>
          <w:tcPr>
            <w:tcW w:w="1134" w:type="dxa"/>
            <w:shd w:val="clear" w:color="auto" w:fill="auto"/>
            <w:noWrap/>
            <w:vAlign w:val="center"/>
          </w:tcPr>
          <w:p w14:paraId="7E76EDB1" w14:textId="77777777" w:rsidR="00EA51C4" w:rsidRPr="00104FAC" w:rsidRDefault="00EA51C4" w:rsidP="00BA499D">
            <w:pPr>
              <w:jc w:val="center"/>
              <w:rPr>
                <w:rFonts w:eastAsia="Times New Roman" w:cstheme="minorHAnsi"/>
                <w:bCs/>
                <w:color w:val="000000"/>
                <w:sz w:val="18"/>
                <w:szCs w:val="18"/>
                <w:lang w:eastAsia="hr-HR"/>
              </w:rPr>
            </w:pPr>
            <w:r>
              <w:rPr>
                <w:rFonts w:eastAsia="Times New Roman" w:cstheme="minorHAnsi"/>
                <w:bCs/>
                <w:color w:val="000000"/>
                <w:sz w:val="18"/>
                <w:szCs w:val="18"/>
                <w:lang w:eastAsia="hr-HR"/>
              </w:rPr>
              <w:t>60%</w:t>
            </w:r>
          </w:p>
        </w:tc>
      </w:tr>
      <w:tr w:rsidR="00EA51C4" w:rsidRPr="00E12150" w14:paraId="166E9B6D" w14:textId="77777777" w:rsidTr="00BA499D">
        <w:trPr>
          <w:trHeight w:val="284"/>
        </w:trPr>
        <w:tc>
          <w:tcPr>
            <w:tcW w:w="719" w:type="dxa"/>
            <w:shd w:val="clear" w:color="auto" w:fill="auto"/>
            <w:noWrap/>
            <w:vAlign w:val="center"/>
          </w:tcPr>
          <w:p w14:paraId="42DB3C79" w14:textId="77777777" w:rsidR="00EA51C4" w:rsidRPr="00104FAC" w:rsidRDefault="00EA51C4" w:rsidP="00BA499D">
            <w:pPr>
              <w:jc w:val="center"/>
              <w:rPr>
                <w:rFonts w:eastAsia="Times New Roman" w:cstheme="minorHAnsi"/>
                <w:color w:val="1A1A1A"/>
                <w:sz w:val="18"/>
                <w:szCs w:val="18"/>
                <w:lang w:eastAsia="hr-HR"/>
              </w:rPr>
            </w:pPr>
            <w:r>
              <w:rPr>
                <w:rFonts w:eastAsia="Times New Roman" w:cstheme="minorHAnsi"/>
                <w:color w:val="1A1A1A"/>
                <w:sz w:val="18"/>
                <w:szCs w:val="18"/>
                <w:lang w:eastAsia="hr-HR"/>
              </w:rPr>
              <w:t>7</w:t>
            </w:r>
            <w:r w:rsidRPr="00104FAC">
              <w:rPr>
                <w:rFonts w:eastAsia="Times New Roman" w:cstheme="minorHAnsi"/>
                <w:color w:val="1A1A1A"/>
                <w:sz w:val="18"/>
                <w:szCs w:val="18"/>
                <w:lang w:eastAsia="hr-HR"/>
              </w:rPr>
              <w:t>.</w:t>
            </w:r>
          </w:p>
        </w:tc>
        <w:tc>
          <w:tcPr>
            <w:tcW w:w="1882" w:type="dxa"/>
            <w:shd w:val="clear" w:color="auto" w:fill="auto"/>
            <w:vAlign w:val="center"/>
          </w:tcPr>
          <w:p w14:paraId="6FABCD1D" w14:textId="77777777" w:rsidR="00EA51C4" w:rsidRPr="00104FAC" w:rsidRDefault="00EA51C4" w:rsidP="00BA499D">
            <w:pPr>
              <w:rPr>
                <w:rFonts w:ascii="Calibri" w:hAnsi="Calibri"/>
                <w:sz w:val="18"/>
                <w:szCs w:val="18"/>
              </w:rPr>
            </w:pPr>
            <w:r w:rsidRPr="00104FAC">
              <w:rPr>
                <w:rFonts w:ascii="Calibri" w:hAnsi="Calibri"/>
                <w:sz w:val="18"/>
                <w:szCs w:val="18"/>
              </w:rPr>
              <w:t>SER konzultacija</w:t>
            </w:r>
          </w:p>
        </w:tc>
        <w:tc>
          <w:tcPr>
            <w:tcW w:w="2796" w:type="dxa"/>
            <w:shd w:val="clear" w:color="auto" w:fill="auto"/>
            <w:vAlign w:val="center"/>
          </w:tcPr>
          <w:p w14:paraId="2CE8C59A" w14:textId="77777777" w:rsidR="00EA51C4" w:rsidRPr="00104FAC" w:rsidRDefault="00EA51C4" w:rsidP="00BA499D">
            <w:pPr>
              <w:rPr>
                <w:rFonts w:eastAsia="Times New Roman" w:cstheme="minorHAnsi"/>
                <w:bCs/>
                <w:color w:val="1A1A1A"/>
                <w:sz w:val="18"/>
                <w:szCs w:val="18"/>
                <w:lang w:eastAsia="hr-HR"/>
              </w:rPr>
            </w:pPr>
            <w:r w:rsidRPr="00104FAC">
              <w:rPr>
                <w:rFonts w:ascii="Calibri" w:hAnsi="Calibri"/>
                <w:sz w:val="18"/>
                <w:szCs w:val="18"/>
              </w:rPr>
              <w:t>Davanje mišljenja o evaluacijskom izvješću proizvoda koji su izrađeni upotrebom životinjskih tkiva sukladno Uredbi 722/2012.</w:t>
            </w:r>
          </w:p>
        </w:tc>
        <w:tc>
          <w:tcPr>
            <w:tcW w:w="1276" w:type="dxa"/>
            <w:shd w:val="clear" w:color="auto" w:fill="auto"/>
            <w:noWrap/>
            <w:vAlign w:val="center"/>
          </w:tcPr>
          <w:p w14:paraId="78F1665B" w14:textId="77777777" w:rsidR="00EA51C4" w:rsidRPr="00104FAC" w:rsidRDefault="00EA51C4" w:rsidP="00BA499D">
            <w:pPr>
              <w:jc w:val="center"/>
              <w:rPr>
                <w:rFonts w:eastAsia="Times New Roman" w:cstheme="minorHAnsi"/>
                <w:bCs/>
                <w:color w:val="000000"/>
                <w:sz w:val="18"/>
                <w:szCs w:val="18"/>
                <w:lang w:eastAsia="hr-HR"/>
              </w:rPr>
            </w:pPr>
            <w:r>
              <w:rPr>
                <w:rFonts w:eastAsia="Times New Roman" w:cstheme="minorHAnsi"/>
                <w:bCs/>
                <w:color w:val="000000"/>
                <w:sz w:val="18"/>
                <w:szCs w:val="18"/>
                <w:lang w:eastAsia="hr-HR"/>
              </w:rPr>
              <w:t>30</w:t>
            </w:r>
          </w:p>
        </w:tc>
        <w:tc>
          <w:tcPr>
            <w:tcW w:w="1275" w:type="dxa"/>
            <w:shd w:val="clear" w:color="auto" w:fill="auto"/>
            <w:noWrap/>
            <w:vAlign w:val="center"/>
          </w:tcPr>
          <w:p w14:paraId="5FF0A0DA" w14:textId="77777777" w:rsidR="00EA51C4" w:rsidRPr="00104FAC" w:rsidRDefault="00EA51C4" w:rsidP="00BA499D">
            <w:pPr>
              <w:jc w:val="center"/>
              <w:rPr>
                <w:rFonts w:eastAsia="Times New Roman" w:cstheme="minorHAnsi"/>
                <w:bCs/>
                <w:color w:val="000000"/>
                <w:sz w:val="18"/>
                <w:szCs w:val="18"/>
                <w:lang w:eastAsia="hr-HR"/>
              </w:rPr>
            </w:pPr>
            <w:r>
              <w:rPr>
                <w:rFonts w:eastAsia="Times New Roman" w:cstheme="minorHAnsi"/>
                <w:bCs/>
                <w:color w:val="000000"/>
                <w:sz w:val="18"/>
                <w:szCs w:val="18"/>
                <w:lang w:eastAsia="hr-HR"/>
              </w:rPr>
              <w:t>39</w:t>
            </w:r>
          </w:p>
        </w:tc>
        <w:tc>
          <w:tcPr>
            <w:tcW w:w="1134" w:type="dxa"/>
            <w:shd w:val="clear" w:color="auto" w:fill="auto"/>
            <w:noWrap/>
            <w:vAlign w:val="center"/>
          </w:tcPr>
          <w:p w14:paraId="2D57A556" w14:textId="77777777" w:rsidR="00EA51C4" w:rsidRPr="00104FAC" w:rsidRDefault="00EA51C4" w:rsidP="00BA499D">
            <w:pPr>
              <w:jc w:val="center"/>
              <w:rPr>
                <w:rFonts w:eastAsia="Times New Roman" w:cstheme="minorHAnsi"/>
                <w:bCs/>
                <w:color w:val="000000"/>
                <w:sz w:val="18"/>
                <w:szCs w:val="18"/>
                <w:lang w:eastAsia="hr-HR"/>
              </w:rPr>
            </w:pPr>
            <w:r>
              <w:rPr>
                <w:rFonts w:eastAsia="Times New Roman" w:cstheme="minorHAnsi"/>
                <w:bCs/>
                <w:color w:val="000000"/>
                <w:sz w:val="18"/>
                <w:szCs w:val="18"/>
                <w:lang w:eastAsia="hr-HR"/>
              </w:rPr>
              <w:t>130%</w:t>
            </w:r>
          </w:p>
        </w:tc>
      </w:tr>
    </w:tbl>
    <w:p w14:paraId="2C4D6D81" w14:textId="77777777" w:rsidR="00EA51C4" w:rsidRDefault="00EA51C4" w:rsidP="00EA51C4">
      <w:pPr>
        <w:spacing w:after="200" w:line="276" w:lineRule="auto"/>
        <w:rPr>
          <w:rFonts w:eastAsia="Times New Roman" w:cstheme="minorHAnsi"/>
          <w:b/>
          <w:bCs/>
          <w:lang w:eastAsia="hr-HR"/>
        </w:rPr>
      </w:pPr>
    </w:p>
    <w:p w14:paraId="316EBD97" w14:textId="77777777" w:rsidR="00EA51C4" w:rsidRPr="008B1562" w:rsidRDefault="00EA51C4" w:rsidP="00EA51C4">
      <w:pPr>
        <w:tabs>
          <w:tab w:val="center" w:pos="858"/>
          <w:tab w:val="center" w:pos="4320"/>
          <w:tab w:val="right" w:pos="8306"/>
          <w:tab w:val="right" w:pos="8640"/>
        </w:tabs>
        <w:spacing w:before="240" w:after="120"/>
        <w:jc w:val="both"/>
        <w:rPr>
          <w:rFonts w:eastAsia="Times New Roman" w:cstheme="minorHAnsi"/>
          <w:b/>
          <w:bCs/>
          <w:lang w:eastAsia="hr-HR"/>
        </w:rPr>
      </w:pPr>
      <w:r w:rsidRPr="008B1562">
        <w:rPr>
          <w:rFonts w:eastAsia="Times New Roman" w:cstheme="minorHAnsi"/>
          <w:b/>
          <w:bCs/>
          <w:lang w:eastAsia="hr-HR"/>
        </w:rPr>
        <w:t xml:space="preserve">Tablica </w:t>
      </w:r>
      <w:r>
        <w:rPr>
          <w:rFonts w:eastAsia="Times New Roman" w:cstheme="minorHAnsi"/>
          <w:b/>
          <w:bCs/>
          <w:lang w:eastAsia="hr-HR"/>
        </w:rPr>
        <w:t>32</w:t>
      </w:r>
      <w:r w:rsidRPr="008B1562">
        <w:rPr>
          <w:rFonts w:eastAsia="Times New Roman" w:cstheme="minorHAnsi"/>
          <w:b/>
          <w:bCs/>
          <w:lang w:eastAsia="hr-HR"/>
        </w:rPr>
        <w:t>. Sudjelovanja na radnim sastancima u europskim poslovima medicinskih proizvoda</w:t>
      </w:r>
    </w:p>
    <w:tbl>
      <w:tblPr>
        <w:tblW w:w="9082"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4253"/>
        <w:gridCol w:w="2155"/>
        <w:gridCol w:w="1955"/>
      </w:tblGrid>
      <w:tr w:rsidR="00EA51C4" w:rsidRPr="008B1562" w14:paraId="328EBD3F" w14:textId="77777777" w:rsidTr="00BA499D">
        <w:trPr>
          <w:trHeight w:val="284"/>
        </w:trPr>
        <w:tc>
          <w:tcPr>
            <w:tcW w:w="719" w:type="dxa"/>
            <w:vMerge w:val="restart"/>
            <w:tcBorders>
              <w:top w:val="single" w:sz="4" w:space="0" w:color="auto"/>
              <w:left w:val="single" w:sz="4" w:space="0" w:color="auto"/>
              <w:bottom w:val="single" w:sz="4" w:space="0" w:color="auto"/>
              <w:right w:val="single" w:sz="4" w:space="0" w:color="auto"/>
            </w:tcBorders>
            <w:shd w:val="clear" w:color="auto" w:fill="A3E7FF"/>
            <w:vAlign w:val="center"/>
            <w:hideMark/>
          </w:tcPr>
          <w:p w14:paraId="006C0787" w14:textId="77777777" w:rsidR="00EA51C4" w:rsidRPr="008B1562" w:rsidRDefault="00EA51C4" w:rsidP="00BA499D">
            <w:pPr>
              <w:jc w:val="center"/>
              <w:rPr>
                <w:rFonts w:eastAsia="Times New Roman" w:cstheme="minorHAnsi"/>
                <w:b/>
                <w:bCs/>
                <w:sz w:val="18"/>
                <w:szCs w:val="18"/>
                <w:lang w:eastAsia="hr-HR"/>
              </w:rPr>
            </w:pPr>
            <w:r w:rsidRPr="008B1562">
              <w:rPr>
                <w:rFonts w:eastAsia="Times New Roman" w:cstheme="minorHAnsi"/>
                <w:b/>
                <w:bCs/>
                <w:sz w:val="18"/>
                <w:szCs w:val="18"/>
                <w:lang w:eastAsia="hr-HR"/>
              </w:rPr>
              <w:t>R.br.</w:t>
            </w:r>
          </w:p>
        </w:tc>
        <w:tc>
          <w:tcPr>
            <w:tcW w:w="4253" w:type="dxa"/>
            <w:vMerge w:val="restart"/>
            <w:tcBorders>
              <w:top w:val="single" w:sz="4" w:space="0" w:color="auto"/>
              <w:left w:val="single" w:sz="4" w:space="0" w:color="auto"/>
              <w:bottom w:val="single" w:sz="4" w:space="0" w:color="auto"/>
              <w:right w:val="single" w:sz="4" w:space="0" w:color="auto"/>
            </w:tcBorders>
            <w:shd w:val="clear" w:color="auto" w:fill="A3E7FF"/>
            <w:vAlign w:val="center"/>
            <w:hideMark/>
          </w:tcPr>
          <w:p w14:paraId="4B6965F6" w14:textId="77777777" w:rsidR="00EA51C4" w:rsidRPr="008B1562" w:rsidRDefault="00EA51C4" w:rsidP="00BA499D">
            <w:pPr>
              <w:rPr>
                <w:rFonts w:eastAsia="Times New Roman" w:cstheme="minorHAnsi"/>
                <w:b/>
                <w:bCs/>
                <w:sz w:val="18"/>
                <w:szCs w:val="18"/>
                <w:lang w:eastAsia="hr-HR"/>
              </w:rPr>
            </w:pPr>
            <w:r w:rsidRPr="008B1562">
              <w:rPr>
                <w:rFonts w:eastAsia="Times New Roman" w:cstheme="minorHAnsi"/>
                <w:b/>
                <w:bCs/>
                <w:sz w:val="18"/>
                <w:szCs w:val="18"/>
                <w:lang w:eastAsia="hr-HR"/>
              </w:rPr>
              <w:t>Naziv povjerenstva/radne skupine/odbora</w:t>
            </w:r>
          </w:p>
        </w:tc>
        <w:tc>
          <w:tcPr>
            <w:tcW w:w="2155" w:type="dxa"/>
            <w:vMerge w:val="restart"/>
            <w:tcBorders>
              <w:top w:val="single" w:sz="4" w:space="0" w:color="auto"/>
              <w:left w:val="single" w:sz="4" w:space="0" w:color="auto"/>
              <w:bottom w:val="single" w:sz="4" w:space="0" w:color="auto"/>
              <w:right w:val="single" w:sz="4" w:space="0" w:color="auto"/>
            </w:tcBorders>
            <w:shd w:val="clear" w:color="auto" w:fill="A3E7FF"/>
            <w:vAlign w:val="center"/>
            <w:hideMark/>
          </w:tcPr>
          <w:p w14:paraId="257976BF" w14:textId="77777777" w:rsidR="00EA51C4" w:rsidRPr="008B1562" w:rsidRDefault="00EA51C4" w:rsidP="00BA499D">
            <w:pPr>
              <w:jc w:val="center"/>
              <w:rPr>
                <w:rFonts w:eastAsia="Times New Roman" w:cstheme="minorHAnsi"/>
                <w:b/>
                <w:bCs/>
                <w:sz w:val="18"/>
                <w:szCs w:val="18"/>
                <w:lang w:eastAsia="hr-HR"/>
              </w:rPr>
            </w:pPr>
            <w:r w:rsidRPr="008B1562">
              <w:rPr>
                <w:rFonts w:eastAsia="Times New Roman" w:cstheme="minorHAnsi"/>
                <w:b/>
                <w:bCs/>
                <w:sz w:val="18"/>
                <w:szCs w:val="18"/>
                <w:lang w:eastAsia="hr-HR"/>
              </w:rPr>
              <w:t>Plan za 202</w:t>
            </w:r>
            <w:r>
              <w:rPr>
                <w:rFonts w:eastAsia="Times New Roman" w:cstheme="minorHAnsi"/>
                <w:b/>
                <w:bCs/>
                <w:sz w:val="18"/>
                <w:szCs w:val="18"/>
                <w:lang w:eastAsia="hr-HR"/>
              </w:rPr>
              <w:t>3</w:t>
            </w:r>
            <w:r w:rsidRPr="008B1562">
              <w:rPr>
                <w:rFonts w:eastAsia="Times New Roman" w:cstheme="minorHAnsi"/>
                <w:b/>
                <w:bCs/>
                <w:sz w:val="18"/>
                <w:szCs w:val="18"/>
                <w:lang w:eastAsia="hr-HR"/>
              </w:rPr>
              <w:t xml:space="preserve">. </w:t>
            </w:r>
          </w:p>
        </w:tc>
        <w:tc>
          <w:tcPr>
            <w:tcW w:w="1955" w:type="dxa"/>
            <w:vMerge w:val="restart"/>
            <w:tcBorders>
              <w:top w:val="single" w:sz="4" w:space="0" w:color="auto"/>
              <w:left w:val="single" w:sz="4" w:space="0" w:color="auto"/>
              <w:bottom w:val="single" w:sz="4" w:space="0" w:color="auto"/>
              <w:right w:val="single" w:sz="4" w:space="0" w:color="auto"/>
            </w:tcBorders>
            <w:shd w:val="clear" w:color="auto" w:fill="A3E7FF"/>
            <w:vAlign w:val="center"/>
            <w:hideMark/>
          </w:tcPr>
          <w:p w14:paraId="3FCD3D4D" w14:textId="77777777" w:rsidR="00EA51C4" w:rsidRPr="008B1562" w:rsidRDefault="00EA51C4" w:rsidP="00BA499D">
            <w:pPr>
              <w:jc w:val="center"/>
              <w:rPr>
                <w:rFonts w:eastAsia="Times New Roman" w:cstheme="minorHAnsi"/>
                <w:b/>
                <w:bCs/>
                <w:sz w:val="18"/>
                <w:szCs w:val="18"/>
                <w:lang w:eastAsia="hr-HR"/>
              </w:rPr>
            </w:pPr>
            <w:r w:rsidRPr="008B1562">
              <w:rPr>
                <w:rFonts w:eastAsia="Times New Roman" w:cstheme="minorHAnsi"/>
                <w:b/>
                <w:bCs/>
                <w:sz w:val="18"/>
                <w:szCs w:val="18"/>
                <w:lang w:eastAsia="hr-HR"/>
              </w:rPr>
              <w:t xml:space="preserve">Izvršenje </w:t>
            </w:r>
          </w:p>
          <w:p w14:paraId="3FB58A7D" w14:textId="77777777" w:rsidR="00EA51C4" w:rsidRPr="008B1562" w:rsidRDefault="00EA51C4" w:rsidP="00BA499D">
            <w:pPr>
              <w:jc w:val="center"/>
              <w:rPr>
                <w:rFonts w:eastAsia="Times New Roman" w:cstheme="minorHAnsi"/>
                <w:b/>
                <w:bCs/>
                <w:sz w:val="18"/>
                <w:szCs w:val="18"/>
                <w:lang w:eastAsia="hr-HR"/>
              </w:rPr>
            </w:pPr>
            <w:r>
              <w:rPr>
                <w:rFonts w:eastAsia="Times New Roman" w:cstheme="minorHAnsi"/>
                <w:b/>
                <w:bCs/>
                <w:sz w:val="18"/>
                <w:szCs w:val="18"/>
                <w:lang w:eastAsia="hr-HR"/>
              </w:rPr>
              <w:t>01.01.-31.12</w:t>
            </w:r>
            <w:r w:rsidRPr="008B1562">
              <w:rPr>
                <w:rFonts w:eastAsia="Times New Roman" w:cstheme="minorHAnsi"/>
                <w:b/>
                <w:bCs/>
                <w:sz w:val="18"/>
                <w:szCs w:val="18"/>
                <w:lang w:eastAsia="hr-HR"/>
              </w:rPr>
              <w:t>.202</w:t>
            </w:r>
            <w:r>
              <w:rPr>
                <w:rFonts w:eastAsia="Times New Roman" w:cstheme="minorHAnsi"/>
                <w:b/>
                <w:bCs/>
                <w:sz w:val="18"/>
                <w:szCs w:val="18"/>
                <w:lang w:eastAsia="hr-HR"/>
              </w:rPr>
              <w:t>3</w:t>
            </w:r>
            <w:r w:rsidRPr="008B1562">
              <w:rPr>
                <w:rFonts w:eastAsia="Times New Roman" w:cstheme="minorHAnsi"/>
                <w:b/>
                <w:bCs/>
                <w:sz w:val="18"/>
                <w:szCs w:val="18"/>
                <w:lang w:eastAsia="hr-HR"/>
              </w:rPr>
              <w:t>.</w:t>
            </w:r>
          </w:p>
        </w:tc>
      </w:tr>
      <w:tr w:rsidR="00EA51C4" w:rsidRPr="008B1562" w14:paraId="678383C5" w14:textId="77777777" w:rsidTr="00BA499D">
        <w:trPr>
          <w:trHeight w:val="5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FED994" w14:textId="77777777" w:rsidR="00EA51C4" w:rsidRPr="008B1562" w:rsidRDefault="00EA51C4" w:rsidP="00BA499D">
            <w:pPr>
              <w:spacing w:line="276" w:lineRule="auto"/>
              <w:rPr>
                <w:rFonts w:eastAsia="Times New Roman" w:cstheme="minorHAnsi"/>
                <w:b/>
                <w:bCs/>
                <w:sz w:val="18"/>
                <w:szCs w:val="18"/>
                <w:lang w:eastAsia="hr-H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EDC560" w14:textId="77777777" w:rsidR="00EA51C4" w:rsidRPr="008B1562" w:rsidRDefault="00EA51C4" w:rsidP="00BA499D">
            <w:pPr>
              <w:spacing w:line="276" w:lineRule="auto"/>
              <w:rPr>
                <w:rFonts w:eastAsia="Times New Roman" w:cstheme="minorHAnsi"/>
                <w:b/>
                <w:bCs/>
                <w:sz w:val="18"/>
                <w:szCs w:val="18"/>
                <w:lang w:eastAsia="hr-HR"/>
              </w:rPr>
            </w:pPr>
          </w:p>
        </w:tc>
        <w:tc>
          <w:tcPr>
            <w:tcW w:w="2155" w:type="dxa"/>
            <w:vMerge/>
            <w:tcBorders>
              <w:top w:val="single" w:sz="4" w:space="0" w:color="auto"/>
              <w:left w:val="single" w:sz="4" w:space="0" w:color="auto"/>
              <w:bottom w:val="single" w:sz="4" w:space="0" w:color="auto"/>
              <w:right w:val="single" w:sz="4" w:space="0" w:color="auto"/>
            </w:tcBorders>
            <w:vAlign w:val="center"/>
            <w:hideMark/>
          </w:tcPr>
          <w:p w14:paraId="63B9E012" w14:textId="77777777" w:rsidR="00EA51C4" w:rsidRPr="008B1562" w:rsidRDefault="00EA51C4" w:rsidP="00BA499D">
            <w:pPr>
              <w:spacing w:line="276" w:lineRule="auto"/>
              <w:rPr>
                <w:rFonts w:eastAsia="Times New Roman" w:cstheme="minorHAnsi"/>
                <w:b/>
                <w:bCs/>
                <w:sz w:val="18"/>
                <w:szCs w:val="18"/>
                <w:lang w:eastAsia="hr-HR"/>
              </w:rPr>
            </w:pPr>
          </w:p>
        </w:tc>
        <w:tc>
          <w:tcPr>
            <w:tcW w:w="1955" w:type="dxa"/>
            <w:vMerge/>
            <w:tcBorders>
              <w:top w:val="single" w:sz="4" w:space="0" w:color="auto"/>
              <w:left w:val="single" w:sz="4" w:space="0" w:color="auto"/>
              <w:bottom w:val="single" w:sz="4" w:space="0" w:color="auto"/>
              <w:right w:val="single" w:sz="4" w:space="0" w:color="auto"/>
            </w:tcBorders>
            <w:vAlign w:val="center"/>
            <w:hideMark/>
          </w:tcPr>
          <w:p w14:paraId="6CD5F777" w14:textId="77777777" w:rsidR="00EA51C4" w:rsidRPr="008B1562" w:rsidRDefault="00EA51C4" w:rsidP="00BA499D">
            <w:pPr>
              <w:spacing w:line="276" w:lineRule="auto"/>
              <w:rPr>
                <w:rFonts w:eastAsia="Times New Roman" w:cstheme="minorHAnsi"/>
                <w:b/>
                <w:bCs/>
                <w:sz w:val="18"/>
                <w:szCs w:val="18"/>
                <w:lang w:eastAsia="hr-HR"/>
              </w:rPr>
            </w:pPr>
          </w:p>
        </w:tc>
      </w:tr>
      <w:tr w:rsidR="00EA51C4" w:rsidRPr="008B1562" w14:paraId="5F1DBF3E" w14:textId="77777777" w:rsidTr="00BA499D">
        <w:trPr>
          <w:trHeight w:val="284"/>
        </w:trPr>
        <w:tc>
          <w:tcPr>
            <w:tcW w:w="9082" w:type="dxa"/>
            <w:gridSpan w:val="4"/>
            <w:tcBorders>
              <w:top w:val="single" w:sz="4" w:space="0" w:color="auto"/>
              <w:left w:val="single" w:sz="4" w:space="0" w:color="auto"/>
              <w:bottom w:val="single" w:sz="4" w:space="0" w:color="auto"/>
              <w:right w:val="single" w:sz="4" w:space="0" w:color="auto"/>
            </w:tcBorders>
            <w:noWrap/>
            <w:vAlign w:val="center"/>
            <w:hideMark/>
          </w:tcPr>
          <w:p w14:paraId="3B62FA01" w14:textId="77777777" w:rsidR="00EA51C4" w:rsidRPr="008B1562" w:rsidRDefault="00EA51C4" w:rsidP="00BA499D">
            <w:pPr>
              <w:rPr>
                <w:rFonts w:eastAsia="Times New Roman" w:cstheme="minorHAnsi"/>
                <w:bCs/>
                <w:color w:val="000000"/>
                <w:sz w:val="18"/>
                <w:szCs w:val="18"/>
                <w:lang w:eastAsia="hr-HR"/>
              </w:rPr>
            </w:pPr>
            <w:r w:rsidRPr="008B1562">
              <w:rPr>
                <w:rFonts w:eastAsia="Times New Roman" w:cstheme="minorHAnsi"/>
                <w:bCs/>
                <w:color w:val="000000"/>
                <w:sz w:val="18"/>
                <w:szCs w:val="18"/>
                <w:lang w:eastAsia="hr-HR"/>
              </w:rPr>
              <w:t>Povjerenstva i radne skupine EK-a</w:t>
            </w:r>
          </w:p>
        </w:tc>
      </w:tr>
      <w:tr w:rsidR="00EA51C4" w:rsidRPr="008B1562" w14:paraId="589D9FF7" w14:textId="77777777" w:rsidTr="00BA499D">
        <w:trPr>
          <w:trHeight w:val="284"/>
        </w:trPr>
        <w:tc>
          <w:tcPr>
            <w:tcW w:w="719" w:type="dxa"/>
            <w:tcBorders>
              <w:top w:val="single" w:sz="4" w:space="0" w:color="auto"/>
              <w:left w:val="single" w:sz="4" w:space="0" w:color="auto"/>
              <w:bottom w:val="single" w:sz="4" w:space="0" w:color="auto"/>
              <w:right w:val="single" w:sz="4" w:space="0" w:color="auto"/>
            </w:tcBorders>
            <w:noWrap/>
            <w:vAlign w:val="center"/>
            <w:hideMark/>
          </w:tcPr>
          <w:p w14:paraId="133EA749" w14:textId="77777777" w:rsidR="00EA51C4" w:rsidRPr="008B1562" w:rsidRDefault="00EA51C4" w:rsidP="00BA499D">
            <w:pPr>
              <w:jc w:val="center"/>
              <w:rPr>
                <w:rFonts w:eastAsia="Times New Roman" w:cstheme="minorHAnsi"/>
                <w:color w:val="1A1A1A"/>
                <w:sz w:val="18"/>
                <w:szCs w:val="18"/>
                <w:lang w:eastAsia="hr-HR"/>
              </w:rPr>
            </w:pPr>
            <w:r w:rsidRPr="008B1562">
              <w:rPr>
                <w:rFonts w:eastAsia="Times New Roman" w:cstheme="minorHAnsi"/>
                <w:color w:val="1A1A1A"/>
                <w:sz w:val="18"/>
                <w:szCs w:val="18"/>
                <w:lang w:eastAsia="hr-HR"/>
              </w:rPr>
              <w:t>1.</w:t>
            </w:r>
          </w:p>
        </w:tc>
        <w:tc>
          <w:tcPr>
            <w:tcW w:w="4253" w:type="dxa"/>
            <w:tcBorders>
              <w:top w:val="single" w:sz="4" w:space="0" w:color="auto"/>
              <w:left w:val="single" w:sz="4" w:space="0" w:color="auto"/>
              <w:bottom w:val="single" w:sz="4" w:space="0" w:color="auto"/>
              <w:right w:val="single" w:sz="4" w:space="0" w:color="auto"/>
            </w:tcBorders>
            <w:vAlign w:val="center"/>
            <w:hideMark/>
          </w:tcPr>
          <w:p w14:paraId="65A4555D" w14:textId="77777777" w:rsidR="00EA51C4" w:rsidRPr="008B1562" w:rsidRDefault="00EA51C4" w:rsidP="00BA499D">
            <w:pPr>
              <w:rPr>
                <w:rFonts w:eastAsia="Times New Roman" w:cstheme="minorHAnsi"/>
                <w:bCs/>
                <w:color w:val="1A1A1A"/>
                <w:sz w:val="18"/>
                <w:szCs w:val="18"/>
                <w:lang w:eastAsia="hr-HR"/>
              </w:rPr>
            </w:pPr>
            <w:r w:rsidRPr="00270917">
              <w:rPr>
                <w:rFonts w:eastAsia="Times New Roman" w:cs="Calibri"/>
                <w:bCs/>
                <w:color w:val="1A1A1A"/>
                <w:sz w:val="18"/>
                <w:szCs w:val="18"/>
                <w:lang w:eastAsia="hr-HR"/>
              </w:rPr>
              <w:t>Mreža nacionalnih agencija za medicinske proizvode (CAMD)</w:t>
            </w:r>
          </w:p>
        </w:tc>
        <w:tc>
          <w:tcPr>
            <w:tcW w:w="2155" w:type="dxa"/>
            <w:tcBorders>
              <w:top w:val="single" w:sz="4" w:space="0" w:color="auto"/>
              <w:left w:val="single" w:sz="4" w:space="0" w:color="auto"/>
              <w:bottom w:val="single" w:sz="4" w:space="0" w:color="auto"/>
              <w:right w:val="single" w:sz="4" w:space="0" w:color="auto"/>
            </w:tcBorders>
            <w:noWrap/>
            <w:vAlign w:val="center"/>
          </w:tcPr>
          <w:p w14:paraId="6C6BB350" w14:textId="77777777" w:rsidR="00EA51C4" w:rsidRPr="008B1562" w:rsidRDefault="00EA51C4" w:rsidP="00BA499D">
            <w:pPr>
              <w:spacing w:line="276" w:lineRule="auto"/>
              <w:jc w:val="center"/>
              <w:rPr>
                <w:rFonts w:ascii="Calibri" w:hAnsi="Calibri" w:cs="Times New Roman"/>
                <w:bCs/>
                <w:sz w:val="18"/>
                <w:szCs w:val="18"/>
              </w:rPr>
            </w:pPr>
            <w:r>
              <w:rPr>
                <w:color w:val="1A1A1A"/>
                <w:sz w:val="18"/>
                <w:szCs w:val="18"/>
                <w:lang w:eastAsia="hr-HR"/>
              </w:rPr>
              <w:t>2</w:t>
            </w:r>
          </w:p>
        </w:tc>
        <w:tc>
          <w:tcPr>
            <w:tcW w:w="1955" w:type="dxa"/>
            <w:tcBorders>
              <w:top w:val="single" w:sz="4" w:space="0" w:color="auto"/>
              <w:left w:val="single" w:sz="4" w:space="0" w:color="auto"/>
              <w:bottom w:val="single" w:sz="4" w:space="0" w:color="auto"/>
              <w:right w:val="single" w:sz="4" w:space="0" w:color="auto"/>
            </w:tcBorders>
            <w:noWrap/>
            <w:vAlign w:val="center"/>
          </w:tcPr>
          <w:p w14:paraId="7ACAFECB" w14:textId="77777777" w:rsidR="00EA51C4" w:rsidRPr="008B1562" w:rsidRDefault="00EA51C4" w:rsidP="00BA499D">
            <w:pPr>
              <w:jc w:val="center"/>
              <w:rPr>
                <w:rFonts w:eastAsia="Times New Roman" w:cstheme="minorHAnsi"/>
                <w:bCs/>
                <w:color w:val="000000"/>
                <w:sz w:val="18"/>
                <w:szCs w:val="18"/>
                <w:lang w:eastAsia="hr-HR"/>
              </w:rPr>
            </w:pPr>
            <w:r>
              <w:rPr>
                <w:rFonts w:eastAsia="Times New Roman" w:cstheme="minorHAnsi"/>
                <w:bCs/>
                <w:color w:val="000000"/>
                <w:sz w:val="18"/>
                <w:szCs w:val="18"/>
                <w:lang w:eastAsia="hr-HR"/>
              </w:rPr>
              <w:t>2</w:t>
            </w:r>
          </w:p>
        </w:tc>
      </w:tr>
      <w:tr w:rsidR="00EA51C4" w:rsidRPr="008B1562" w14:paraId="02F724AB" w14:textId="77777777" w:rsidTr="00BA499D">
        <w:trPr>
          <w:trHeight w:val="284"/>
        </w:trPr>
        <w:tc>
          <w:tcPr>
            <w:tcW w:w="719" w:type="dxa"/>
            <w:tcBorders>
              <w:top w:val="single" w:sz="4" w:space="0" w:color="auto"/>
              <w:left w:val="single" w:sz="4" w:space="0" w:color="auto"/>
              <w:bottom w:val="single" w:sz="4" w:space="0" w:color="auto"/>
              <w:right w:val="single" w:sz="4" w:space="0" w:color="auto"/>
            </w:tcBorders>
            <w:noWrap/>
            <w:vAlign w:val="center"/>
            <w:hideMark/>
          </w:tcPr>
          <w:p w14:paraId="320EA810" w14:textId="77777777" w:rsidR="00EA51C4" w:rsidRPr="008B1562" w:rsidRDefault="00EA51C4" w:rsidP="00BA499D">
            <w:pPr>
              <w:jc w:val="center"/>
              <w:rPr>
                <w:rFonts w:eastAsia="Times New Roman" w:cstheme="minorHAnsi"/>
                <w:color w:val="1A1A1A"/>
                <w:sz w:val="18"/>
                <w:szCs w:val="18"/>
                <w:lang w:eastAsia="hr-HR"/>
              </w:rPr>
            </w:pPr>
            <w:r w:rsidRPr="008B1562">
              <w:rPr>
                <w:rFonts w:eastAsia="Times New Roman" w:cstheme="minorHAnsi"/>
                <w:color w:val="1A1A1A"/>
                <w:sz w:val="18"/>
                <w:szCs w:val="18"/>
                <w:lang w:eastAsia="hr-HR"/>
              </w:rPr>
              <w:t>2.</w:t>
            </w:r>
          </w:p>
        </w:tc>
        <w:tc>
          <w:tcPr>
            <w:tcW w:w="4253" w:type="dxa"/>
            <w:tcBorders>
              <w:top w:val="single" w:sz="4" w:space="0" w:color="auto"/>
              <w:left w:val="single" w:sz="4" w:space="0" w:color="auto"/>
              <w:bottom w:val="single" w:sz="4" w:space="0" w:color="auto"/>
              <w:right w:val="single" w:sz="4" w:space="0" w:color="auto"/>
            </w:tcBorders>
            <w:vAlign w:val="center"/>
            <w:hideMark/>
          </w:tcPr>
          <w:p w14:paraId="775245C6" w14:textId="77777777" w:rsidR="00EA51C4" w:rsidRPr="008B1562" w:rsidRDefault="00EA51C4" w:rsidP="00BA499D">
            <w:pPr>
              <w:rPr>
                <w:rFonts w:eastAsia="Times New Roman" w:cstheme="minorHAnsi"/>
                <w:bCs/>
                <w:color w:val="1A1A1A"/>
                <w:sz w:val="18"/>
                <w:szCs w:val="18"/>
                <w:lang w:eastAsia="hr-HR"/>
              </w:rPr>
            </w:pPr>
            <w:r w:rsidRPr="00270917">
              <w:rPr>
                <w:rFonts w:eastAsia="Times New Roman" w:cs="Calibri"/>
                <w:bCs/>
                <w:color w:val="1A1A1A"/>
                <w:sz w:val="18"/>
                <w:szCs w:val="18"/>
                <w:lang w:eastAsia="hr-HR"/>
              </w:rPr>
              <w:t>Radna skupina za standarde (Standards)</w:t>
            </w:r>
          </w:p>
        </w:tc>
        <w:tc>
          <w:tcPr>
            <w:tcW w:w="2155" w:type="dxa"/>
            <w:tcBorders>
              <w:top w:val="single" w:sz="4" w:space="0" w:color="auto"/>
              <w:left w:val="single" w:sz="4" w:space="0" w:color="auto"/>
              <w:bottom w:val="single" w:sz="4" w:space="0" w:color="auto"/>
              <w:right w:val="single" w:sz="4" w:space="0" w:color="auto"/>
            </w:tcBorders>
            <w:noWrap/>
            <w:vAlign w:val="center"/>
          </w:tcPr>
          <w:p w14:paraId="2A4BC693" w14:textId="77777777" w:rsidR="00EA51C4" w:rsidRPr="008B1562" w:rsidRDefault="00EA51C4" w:rsidP="00BA499D">
            <w:pPr>
              <w:spacing w:line="276" w:lineRule="auto"/>
              <w:jc w:val="center"/>
              <w:rPr>
                <w:rFonts w:ascii="Calibri" w:hAnsi="Calibri" w:cs="Times New Roman"/>
                <w:bCs/>
                <w:sz w:val="18"/>
                <w:szCs w:val="18"/>
              </w:rPr>
            </w:pPr>
            <w:r>
              <w:rPr>
                <w:color w:val="1A1A1A"/>
                <w:sz w:val="18"/>
                <w:szCs w:val="18"/>
                <w:lang w:eastAsia="hr-HR"/>
              </w:rPr>
              <w:t>1</w:t>
            </w:r>
          </w:p>
        </w:tc>
        <w:tc>
          <w:tcPr>
            <w:tcW w:w="1955" w:type="dxa"/>
            <w:tcBorders>
              <w:top w:val="single" w:sz="4" w:space="0" w:color="auto"/>
              <w:left w:val="single" w:sz="4" w:space="0" w:color="auto"/>
              <w:bottom w:val="single" w:sz="4" w:space="0" w:color="auto"/>
              <w:right w:val="single" w:sz="4" w:space="0" w:color="auto"/>
            </w:tcBorders>
            <w:noWrap/>
            <w:vAlign w:val="center"/>
          </w:tcPr>
          <w:p w14:paraId="380DC2CE" w14:textId="77777777" w:rsidR="00EA51C4" w:rsidRPr="008B1562" w:rsidRDefault="00EA51C4" w:rsidP="00BA499D">
            <w:pPr>
              <w:jc w:val="center"/>
              <w:rPr>
                <w:rFonts w:eastAsia="Times New Roman" w:cstheme="minorHAnsi"/>
                <w:bCs/>
                <w:color w:val="000000"/>
                <w:sz w:val="18"/>
                <w:szCs w:val="18"/>
                <w:lang w:eastAsia="hr-HR"/>
              </w:rPr>
            </w:pPr>
            <w:r>
              <w:rPr>
                <w:rFonts w:eastAsia="Times New Roman" w:cstheme="minorHAnsi"/>
                <w:bCs/>
                <w:color w:val="000000"/>
                <w:sz w:val="18"/>
                <w:szCs w:val="18"/>
                <w:lang w:eastAsia="hr-HR"/>
              </w:rPr>
              <w:t>2</w:t>
            </w:r>
          </w:p>
        </w:tc>
      </w:tr>
      <w:tr w:rsidR="00EA51C4" w:rsidRPr="008B1562" w14:paraId="5FC1082B" w14:textId="77777777" w:rsidTr="00BA499D">
        <w:trPr>
          <w:trHeight w:val="284"/>
        </w:trPr>
        <w:tc>
          <w:tcPr>
            <w:tcW w:w="719" w:type="dxa"/>
            <w:tcBorders>
              <w:top w:val="single" w:sz="4" w:space="0" w:color="auto"/>
              <w:left w:val="single" w:sz="4" w:space="0" w:color="auto"/>
              <w:bottom w:val="single" w:sz="4" w:space="0" w:color="auto"/>
              <w:right w:val="single" w:sz="4" w:space="0" w:color="auto"/>
            </w:tcBorders>
            <w:noWrap/>
            <w:vAlign w:val="center"/>
            <w:hideMark/>
          </w:tcPr>
          <w:p w14:paraId="5E4660B4" w14:textId="77777777" w:rsidR="00EA51C4" w:rsidRPr="008B1562" w:rsidRDefault="00EA51C4" w:rsidP="00BA499D">
            <w:pPr>
              <w:jc w:val="center"/>
              <w:rPr>
                <w:rFonts w:eastAsia="Times New Roman" w:cstheme="minorHAnsi"/>
                <w:color w:val="1A1A1A"/>
                <w:sz w:val="18"/>
                <w:szCs w:val="18"/>
                <w:lang w:eastAsia="hr-HR"/>
              </w:rPr>
            </w:pPr>
            <w:r w:rsidRPr="008B1562">
              <w:rPr>
                <w:rFonts w:eastAsia="Times New Roman" w:cstheme="minorHAnsi"/>
                <w:color w:val="1A1A1A"/>
                <w:sz w:val="18"/>
                <w:szCs w:val="18"/>
                <w:lang w:eastAsia="hr-HR"/>
              </w:rPr>
              <w:t>3.</w:t>
            </w:r>
          </w:p>
        </w:tc>
        <w:tc>
          <w:tcPr>
            <w:tcW w:w="4253" w:type="dxa"/>
            <w:tcBorders>
              <w:top w:val="single" w:sz="4" w:space="0" w:color="auto"/>
              <w:left w:val="single" w:sz="4" w:space="0" w:color="auto"/>
              <w:bottom w:val="single" w:sz="4" w:space="0" w:color="auto"/>
              <w:right w:val="single" w:sz="4" w:space="0" w:color="auto"/>
            </w:tcBorders>
            <w:vAlign w:val="center"/>
            <w:hideMark/>
          </w:tcPr>
          <w:p w14:paraId="4CF8B627" w14:textId="77777777" w:rsidR="00EA51C4" w:rsidRPr="008B1562" w:rsidRDefault="00EA51C4" w:rsidP="00BA499D">
            <w:pPr>
              <w:rPr>
                <w:rFonts w:eastAsia="Times New Roman" w:cstheme="minorHAnsi"/>
                <w:bCs/>
                <w:color w:val="1A1A1A"/>
                <w:sz w:val="18"/>
                <w:szCs w:val="18"/>
                <w:lang w:eastAsia="hr-HR"/>
              </w:rPr>
            </w:pPr>
            <w:r w:rsidRPr="00270917">
              <w:rPr>
                <w:rFonts w:eastAsia="Times New Roman" w:cs="Calibri"/>
                <w:bCs/>
                <w:color w:val="1A1A1A"/>
                <w:sz w:val="18"/>
                <w:szCs w:val="18"/>
                <w:lang w:eastAsia="hr-HR"/>
              </w:rPr>
              <w:t>Radna skupina za jedinstvene oznake medicinskih proizvoda (UDI)</w:t>
            </w:r>
          </w:p>
        </w:tc>
        <w:tc>
          <w:tcPr>
            <w:tcW w:w="2155" w:type="dxa"/>
            <w:tcBorders>
              <w:top w:val="single" w:sz="4" w:space="0" w:color="auto"/>
              <w:left w:val="single" w:sz="4" w:space="0" w:color="auto"/>
              <w:bottom w:val="single" w:sz="4" w:space="0" w:color="auto"/>
              <w:right w:val="single" w:sz="4" w:space="0" w:color="auto"/>
            </w:tcBorders>
            <w:noWrap/>
            <w:vAlign w:val="center"/>
          </w:tcPr>
          <w:p w14:paraId="7C70E210" w14:textId="77777777" w:rsidR="00EA51C4" w:rsidRPr="008B1562" w:rsidRDefault="00EA51C4" w:rsidP="00BA499D">
            <w:pPr>
              <w:spacing w:line="276" w:lineRule="auto"/>
              <w:jc w:val="center"/>
              <w:rPr>
                <w:rFonts w:ascii="Calibri" w:hAnsi="Calibri" w:cs="Times New Roman"/>
                <w:bCs/>
                <w:sz w:val="18"/>
                <w:szCs w:val="18"/>
              </w:rPr>
            </w:pPr>
            <w:r>
              <w:rPr>
                <w:color w:val="1A1A1A"/>
                <w:sz w:val="18"/>
                <w:szCs w:val="18"/>
                <w:lang w:eastAsia="hr-HR"/>
              </w:rPr>
              <w:t>2</w:t>
            </w:r>
          </w:p>
        </w:tc>
        <w:tc>
          <w:tcPr>
            <w:tcW w:w="1955" w:type="dxa"/>
            <w:tcBorders>
              <w:top w:val="single" w:sz="4" w:space="0" w:color="auto"/>
              <w:left w:val="single" w:sz="4" w:space="0" w:color="auto"/>
              <w:bottom w:val="single" w:sz="4" w:space="0" w:color="auto"/>
              <w:right w:val="single" w:sz="4" w:space="0" w:color="auto"/>
            </w:tcBorders>
            <w:noWrap/>
            <w:vAlign w:val="center"/>
          </w:tcPr>
          <w:p w14:paraId="119D6F3C" w14:textId="77777777" w:rsidR="00EA51C4" w:rsidRPr="008B1562" w:rsidRDefault="00EA51C4" w:rsidP="00BA499D">
            <w:pPr>
              <w:jc w:val="center"/>
              <w:rPr>
                <w:rFonts w:eastAsia="Times New Roman" w:cstheme="minorHAnsi"/>
                <w:bCs/>
                <w:color w:val="000000"/>
                <w:sz w:val="18"/>
                <w:szCs w:val="18"/>
                <w:lang w:eastAsia="hr-HR"/>
              </w:rPr>
            </w:pPr>
            <w:r>
              <w:rPr>
                <w:rFonts w:eastAsia="Times New Roman" w:cstheme="minorHAnsi"/>
                <w:bCs/>
                <w:color w:val="000000"/>
                <w:sz w:val="18"/>
                <w:szCs w:val="18"/>
                <w:lang w:eastAsia="hr-HR"/>
              </w:rPr>
              <w:t>2</w:t>
            </w:r>
          </w:p>
        </w:tc>
      </w:tr>
      <w:tr w:rsidR="00EA51C4" w:rsidRPr="008B1562" w14:paraId="2489E905" w14:textId="77777777" w:rsidTr="00BA499D">
        <w:trPr>
          <w:trHeight w:val="284"/>
        </w:trPr>
        <w:tc>
          <w:tcPr>
            <w:tcW w:w="719" w:type="dxa"/>
            <w:tcBorders>
              <w:top w:val="single" w:sz="4" w:space="0" w:color="auto"/>
              <w:left w:val="single" w:sz="4" w:space="0" w:color="auto"/>
              <w:bottom w:val="single" w:sz="4" w:space="0" w:color="auto"/>
              <w:right w:val="single" w:sz="4" w:space="0" w:color="auto"/>
            </w:tcBorders>
            <w:noWrap/>
            <w:vAlign w:val="center"/>
            <w:hideMark/>
          </w:tcPr>
          <w:p w14:paraId="0B633C61" w14:textId="77777777" w:rsidR="00EA51C4" w:rsidRPr="008B1562" w:rsidRDefault="00EA51C4" w:rsidP="00BA499D">
            <w:pPr>
              <w:jc w:val="center"/>
              <w:rPr>
                <w:rFonts w:eastAsia="Times New Roman" w:cstheme="minorHAnsi"/>
                <w:color w:val="1A1A1A"/>
                <w:sz w:val="18"/>
                <w:szCs w:val="18"/>
                <w:lang w:eastAsia="hr-HR"/>
              </w:rPr>
            </w:pPr>
            <w:r w:rsidRPr="008B1562">
              <w:rPr>
                <w:rFonts w:eastAsia="Times New Roman" w:cstheme="minorHAnsi"/>
                <w:color w:val="1A1A1A"/>
                <w:sz w:val="18"/>
                <w:szCs w:val="18"/>
                <w:lang w:eastAsia="hr-HR"/>
              </w:rPr>
              <w:t>4.</w:t>
            </w:r>
          </w:p>
        </w:tc>
        <w:tc>
          <w:tcPr>
            <w:tcW w:w="4253" w:type="dxa"/>
            <w:tcBorders>
              <w:top w:val="single" w:sz="4" w:space="0" w:color="auto"/>
              <w:left w:val="single" w:sz="4" w:space="0" w:color="auto"/>
              <w:bottom w:val="single" w:sz="4" w:space="0" w:color="auto"/>
              <w:right w:val="single" w:sz="4" w:space="0" w:color="auto"/>
            </w:tcBorders>
            <w:vAlign w:val="center"/>
            <w:hideMark/>
          </w:tcPr>
          <w:p w14:paraId="79101825" w14:textId="77777777" w:rsidR="00EA51C4" w:rsidRPr="008B1562" w:rsidRDefault="00EA51C4" w:rsidP="00BA499D">
            <w:pPr>
              <w:rPr>
                <w:rFonts w:eastAsia="Times New Roman" w:cstheme="minorHAnsi"/>
                <w:bCs/>
                <w:color w:val="1A1A1A"/>
                <w:sz w:val="18"/>
                <w:szCs w:val="18"/>
                <w:lang w:eastAsia="hr-HR"/>
              </w:rPr>
            </w:pPr>
            <w:r w:rsidRPr="00270917">
              <w:rPr>
                <w:rFonts w:eastAsia="Times New Roman" w:cs="Calibri"/>
                <w:bCs/>
                <w:color w:val="1A1A1A"/>
                <w:sz w:val="18"/>
                <w:szCs w:val="18"/>
                <w:lang w:eastAsia="hr-HR"/>
              </w:rPr>
              <w:t>Skupina za međunarodnu suradnju (INT)</w:t>
            </w:r>
          </w:p>
        </w:tc>
        <w:tc>
          <w:tcPr>
            <w:tcW w:w="2155" w:type="dxa"/>
            <w:tcBorders>
              <w:top w:val="single" w:sz="4" w:space="0" w:color="auto"/>
              <w:left w:val="single" w:sz="4" w:space="0" w:color="auto"/>
              <w:bottom w:val="single" w:sz="4" w:space="0" w:color="auto"/>
              <w:right w:val="single" w:sz="4" w:space="0" w:color="auto"/>
            </w:tcBorders>
            <w:noWrap/>
            <w:vAlign w:val="center"/>
          </w:tcPr>
          <w:p w14:paraId="797B4B82" w14:textId="77777777" w:rsidR="00EA51C4" w:rsidRPr="008B1562" w:rsidRDefault="00EA51C4" w:rsidP="00BA499D">
            <w:pPr>
              <w:spacing w:line="276" w:lineRule="auto"/>
              <w:jc w:val="center"/>
              <w:rPr>
                <w:rFonts w:ascii="Calibri" w:hAnsi="Calibri" w:cs="Times New Roman"/>
                <w:bCs/>
                <w:sz w:val="18"/>
                <w:szCs w:val="18"/>
              </w:rPr>
            </w:pPr>
            <w:r>
              <w:rPr>
                <w:color w:val="1A1A1A"/>
                <w:sz w:val="18"/>
                <w:szCs w:val="18"/>
                <w:lang w:eastAsia="hr-HR"/>
              </w:rPr>
              <w:t>2</w:t>
            </w:r>
          </w:p>
        </w:tc>
        <w:tc>
          <w:tcPr>
            <w:tcW w:w="1955" w:type="dxa"/>
            <w:tcBorders>
              <w:top w:val="single" w:sz="4" w:space="0" w:color="auto"/>
              <w:left w:val="single" w:sz="4" w:space="0" w:color="auto"/>
              <w:bottom w:val="single" w:sz="4" w:space="0" w:color="auto"/>
              <w:right w:val="single" w:sz="4" w:space="0" w:color="auto"/>
            </w:tcBorders>
            <w:noWrap/>
            <w:vAlign w:val="center"/>
          </w:tcPr>
          <w:p w14:paraId="0A0CB50A" w14:textId="77777777" w:rsidR="00EA51C4" w:rsidRPr="008B1562" w:rsidRDefault="00EA51C4" w:rsidP="00BA499D">
            <w:pPr>
              <w:jc w:val="center"/>
              <w:rPr>
                <w:rFonts w:eastAsia="Times New Roman" w:cstheme="minorHAnsi"/>
                <w:bCs/>
                <w:color w:val="000000"/>
                <w:sz w:val="18"/>
                <w:szCs w:val="18"/>
                <w:lang w:eastAsia="hr-HR"/>
              </w:rPr>
            </w:pPr>
            <w:r>
              <w:rPr>
                <w:rFonts w:eastAsia="Times New Roman" w:cstheme="minorHAnsi"/>
                <w:bCs/>
                <w:color w:val="000000"/>
                <w:sz w:val="18"/>
                <w:szCs w:val="18"/>
                <w:lang w:eastAsia="hr-HR"/>
              </w:rPr>
              <w:t>1</w:t>
            </w:r>
          </w:p>
        </w:tc>
      </w:tr>
      <w:tr w:rsidR="00EA51C4" w:rsidRPr="008B1562" w14:paraId="2C40D4DA" w14:textId="77777777" w:rsidTr="00BA499D">
        <w:trPr>
          <w:trHeight w:val="284"/>
        </w:trPr>
        <w:tc>
          <w:tcPr>
            <w:tcW w:w="719" w:type="dxa"/>
            <w:tcBorders>
              <w:top w:val="single" w:sz="4" w:space="0" w:color="auto"/>
              <w:left w:val="single" w:sz="4" w:space="0" w:color="auto"/>
              <w:bottom w:val="single" w:sz="4" w:space="0" w:color="auto"/>
              <w:right w:val="single" w:sz="4" w:space="0" w:color="auto"/>
            </w:tcBorders>
            <w:noWrap/>
            <w:vAlign w:val="center"/>
            <w:hideMark/>
          </w:tcPr>
          <w:p w14:paraId="59BD3AFC" w14:textId="77777777" w:rsidR="00EA51C4" w:rsidRPr="008B1562" w:rsidRDefault="00EA51C4" w:rsidP="00BA499D">
            <w:pPr>
              <w:jc w:val="center"/>
              <w:rPr>
                <w:rFonts w:eastAsia="Times New Roman" w:cstheme="minorHAnsi"/>
                <w:color w:val="1A1A1A"/>
                <w:sz w:val="18"/>
                <w:szCs w:val="18"/>
                <w:lang w:eastAsia="hr-HR"/>
              </w:rPr>
            </w:pPr>
            <w:r w:rsidRPr="008B1562">
              <w:rPr>
                <w:rFonts w:eastAsia="Times New Roman" w:cstheme="minorHAnsi"/>
                <w:color w:val="1A1A1A"/>
                <w:sz w:val="18"/>
                <w:szCs w:val="18"/>
                <w:lang w:eastAsia="hr-HR"/>
              </w:rPr>
              <w:t>5.</w:t>
            </w:r>
          </w:p>
        </w:tc>
        <w:tc>
          <w:tcPr>
            <w:tcW w:w="4253" w:type="dxa"/>
            <w:tcBorders>
              <w:top w:val="single" w:sz="4" w:space="0" w:color="auto"/>
              <w:left w:val="single" w:sz="4" w:space="0" w:color="auto"/>
              <w:bottom w:val="single" w:sz="4" w:space="0" w:color="auto"/>
              <w:right w:val="single" w:sz="4" w:space="0" w:color="auto"/>
            </w:tcBorders>
            <w:vAlign w:val="center"/>
            <w:hideMark/>
          </w:tcPr>
          <w:p w14:paraId="4B8CAB0A" w14:textId="77777777" w:rsidR="00EA51C4" w:rsidRPr="008B1562" w:rsidRDefault="00EA51C4" w:rsidP="00BA499D">
            <w:pPr>
              <w:rPr>
                <w:rFonts w:eastAsia="Times New Roman" w:cstheme="minorHAnsi"/>
                <w:bCs/>
                <w:color w:val="1A1A1A"/>
                <w:sz w:val="18"/>
                <w:szCs w:val="18"/>
                <w:lang w:eastAsia="hr-HR"/>
              </w:rPr>
            </w:pPr>
            <w:r w:rsidRPr="00270917">
              <w:rPr>
                <w:rFonts w:eastAsia="Times New Roman" w:cs="Calibri"/>
                <w:bCs/>
                <w:color w:val="1A1A1A"/>
                <w:sz w:val="18"/>
                <w:szCs w:val="18"/>
                <w:lang w:eastAsia="hr-HR"/>
              </w:rPr>
              <w:t>Radna skupina za in vitro dijagnostičke medicinske proizvode (IVD)</w:t>
            </w:r>
          </w:p>
        </w:tc>
        <w:tc>
          <w:tcPr>
            <w:tcW w:w="2155" w:type="dxa"/>
            <w:tcBorders>
              <w:top w:val="single" w:sz="4" w:space="0" w:color="auto"/>
              <w:left w:val="single" w:sz="4" w:space="0" w:color="auto"/>
              <w:bottom w:val="single" w:sz="4" w:space="0" w:color="auto"/>
              <w:right w:val="single" w:sz="4" w:space="0" w:color="auto"/>
            </w:tcBorders>
            <w:noWrap/>
            <w:vAlign w:val="center"/>
          </w:tcPr>
          <w:p w14:paraId="6E8A8223" w14:textId="77777777" w:rsidR="00EA51C4" w:rsidRPr="008B1562" w:rsidRDefault="00EA51C4" w:rsidP="00BA499D">
            <w:pPr>
              <w:spacing w:line="276" w:lineRule="auto"/>
              <w:jc w:val="center"/>
              <w:rPr>
                <w:rFonts w:ascii="Calibri" w:hAnsi="Calibri" w:cs="Times New Roman"/>
                <w:bCs/>
                <w:sz w:val="18"/>
                <w:szCs w:val="18"/>
              </w:rPr>
            </w:pPr>
            <w:r>
              <w:rPr>
                <w:color w:val="1A1A1A"/>
                <w:sz w:val="18"/>
                <w:szCs w:val="18"/>
                <w:lang w:eastAsia="hr-HR"/>
              </w:rPr>
              <w:t>2</w:t>
            </w:r>
          </w:p>
        </w:tc>
        <w:tc>
          <w:tcPr>
            <w:tcW w:w="1955" w:type="dxa"/>
            <w:tcBorders>
              <w:top w:val="single" w:sz="4" w:space="0" w:color="auto"/>
              <w:left w:val="single" w:sz="4" w:space="0" w:color="auto"/>
              <w:bottom w:val="single" w:sz="4" w:space="0" w:color="auto"/>
              <w:right w:val="single" w:sz="4" w:space="0" w:color="auto"/>
            </w:tcBorders>
            <w:noWrap/>
            <w:vAlign w:val="center"/>
          </w:tcPr>
          <w:p w14:paraId="52AF5AF2" w14:textId="77777777" w:rsidR="00EA51C4" w:rsidRPr="008B1562" w:rsidRDefault="00EA51C4" w:rsidP="00BA499D">
            <w:pPr>
              <w:jc w:val="center"/>
              <w:rPr>
                <w:rFonts w:eastAsia="Times New Roman" w:cstheme="minorHAnsi"/>
                <w:bCs/>
                <w:color w:val="000000"/>
                <w:sz w:val="18"/>
                <w:szCs w:val="18"/>
                <w:lang w:eastAsia="hr-HR"/>
              </w:rPr>
            </w:pPr>
            <w:r>
              <w:rPr>
                <w:rFonts w:eastAsia="Times New Roman" w:cstheme="minorHAnsi"/>
                <w:bCs/>
                <w:color w:val="000000"/>
                <w:sz w:val="18"/>
                <w:szCs w:val="18"/>
                <w:lang w:eastAsia="hr-HR"/>
              </w:rPr>
              <w:t>1</w:t>
            </w:r>
          </w:p>
        </w:tc>
      </w:tr>
      <w:tr w:rsidR="00EA51C4" w:rsidRPr="008B1562" w14:paraId="5F45CC64" w14:textId="77777777" w:rsidTr="00BA499D">
        <w:trPr>
          <w:trHeight w:val="339"/>
        </w:trPr>
        <w:tc>
          <w:tcPr>
            <w:tcW w:w="719" w:type="dxa"/>
            <w:tcBorders>
              <w:top w:val="single" w:sz="4" w:space="0" w:color="auto"/>
              <w:left w:val="single" w:sz="4" w:space="0" w:color="auto"/>
              <w:bottom w:val="single" w:sz="4" w:space="0" w:color="auto"/>
              <w:right w:val="single" w:sz="4" w:space="0" w:color="auto"/>
            </w:tcBorders>
            <w:noWrap/>
            <w:vAlign w:val="center"/>
            <w:hideMark/>
          </w:tcPr>
          <w:p w14:paraId="4E3267FE" w14:textId="77777777" w:rsidR="00EA51C4" w:rsidRPr="008B1562" w:rsidRDefault="00EA51C4" w:rsidP="00BA499D">
            <w:pPr>
              <w:jc w:val="center"/>
              <w:rPr>
                <w:rFonts w:eastAsia="Times New Roman" w:cstheme="minorHAnsi"/>
                <w:color w:val="1A1A1A"/>
                <w:sz w:val="18"/>
                <w:szCs w:val="18"/>
                <w:lang w:eastAsia="hr-HR"/>
              </w:rPr>
            </w:pPr>
            <w:r w:rsidRPr="008B1562">
              <w:rPr>
                <w:rFonts w:eastAsia="Times New Roman" w:cstheme="minorHAnsi"/>
                <w:color w:val="1A1A1A"/>
                <w:sz w:val="18"/>
                <w:szCs w:val="18"/>
                <w:lang w:eastAsia="hr-HR"/>
              </w:rPr>
              <w:t>6.</w:t>
            </w:r>
          </w:p>
        </w:tc>
        <w:tc>
          <w:tcPr>
            <w:tcW w:w="4253" w:type="dxa"/>
            <w:tcBorders>
              <w:top w:val="single" w:sz="4" w:space="0" w:color="auto"/>
              <w:left w:val="single" w:sz="4" w:space="0" w:color="auto"/>
              <w:bottom w:val="single" w:sz="4" w:space="0" w:color="auto"/>
              <w:right w:val="single" w:sz="4" w:space="0" w:color="auto"/>
            </w:tcBorders>
            <w:vAlign w:val="center"/>
            <w:hideMark/>
          </w:tcPr>
          <w:p w14:paraId="7ECC48F8" w14:textId="77777777" w:rsidR="00EA51C4" w:rsidRPr="008B1562" w:rsidRDefault="00EA51C4" w:rsidP="00BA499D">
            <w:pPr>
              <w:rPr>
                <w:rFonts w:eastAsia="Times New Roman" w:cstheme="minorHAnsi"/>
                <w:bCs/>
                <w:color w:val="1A1A1A"/>
                <w:sz w:val="18"/>
                <w:szCs w:val="18"/>
                <w:lang w:eastAsia="hr-HR"/>
              </w:rPr>
            </w:pPr>
            <w:r w:rsidRPr="00270917">
              <w:rPr>
                <w:rFonts w:eastAsia="Times New Roman" w:cs="Calibri"/>
                <w:bCs/>
                <w:color w:val="1A1A1A"/>
                <w:sz w:val="18"/>
                <w:szCs w:val="18"/>
                <w:lang w:eastAsia="hr-HR"/>
              </w:rPr>
              <w:t>Radna skupina za Eudamed (Eudamed)</w:t>
            </w:r>
          </w:p>
        </w:tc>
        <w:tc>
          <w:tcPr>
            <w:tcW w:w="2155" w:type="dxa"/>
            <w:tcBorders>
              <w:top w:val="single" w:sz="4" w:space="0" w:color="auto"/>
              <w:left w:val="single" w:sz="4" w:space="0" w:color="auto"/>
              <w:bottom w:val="single" w:sz="4" w:space="0" w:color="auto"/>
              <w:right w:val="single" w:sz="4" w:space="0" w:color="auto"/>
            </w:tcBorders>
            <w:noWrap/>
            <w:vAlign w:val="center"/>
          </w:tcPr>
          <w:p w14:paraId="7E186028" w14:textId="77777777" w:rsidR="00EA51C4" w:rsidRPr="008B1562" w:rsidRDefault="00EA51C4" w:rsidP="00BA499D">
            <w:pPr>
              <w:spacing w:line="276" w:lineRule="auto"/>
              <w:jc w:val="center"/>
              <w:rPr>
                <w:rFonts w:ascii="Calibri" w:hAnsi="Calibri" w:cs="Times New Roman"/>
                <w:bCs/>
                <w:sz w:val="18"/>
                <w:szCs w:val="18"/>
              </w:rPr>
            </w:pPr>
            <w:r>
              <w:rPr>
                <w:color w:val="1A1A1A"/>
                <w:sz w:val="18"/>
                <w:szCs w:val="18"/>
                <w:lang w:eastAsia="hr-HR"/>
              </w:rPr>
              <w:t>2</w:t>
            </w:r>
          </w:p>
        </w:tc>
        <w:tc>
          <w:tcPr>
            <w:tcW w:w="1955" w:type="dxa"/>
            <w:tcBorders>
              <w:top w:val="single" w:sz="4" w:space="0" w:color="auto"/>
              <w:left w:val="single" w:sz="4" w:space="0" w:color="auto"/>
              <w:bottom w:val="single" w:sz="4" w:space="0" w:color="auto"/>
              <w:right w:val="single" w:sz="4" w:space="0" w:color="auto"/>
            </w:tcBorders>
            <w:noWrap/>
            <w:vAlign w:val="center"/>
          </w:tcPr>
          <w:p w14:paraId="082DC75C" w14:textId="77777777" w:rsidR="00EA51C4" w:rsidRPr="008B1562" w:rsidRDefault="00EA51C4" w:rsidP="00BA499D">
            <w:pPr>
              <w:jc w:val="center"/>
              <w:rPr>
                <w:rFonts w:eastAsia="Times New Roman" w:cstheme="minorHAnsi"/>
                <w:bCs/>
                <w:color w:val="000000"/>
                <w:sz w:val="18"/>
                <w:szCs w:val="18"/>
                <w:lang w:eastAsia="hr-HR"/>
              </w:rPr>
            </w:pPr>
            <w:r>
              <w:rPr>
                <w:rFonts w:eastAsia="Times New Roman" w:cstheme="minorHAnsi"/>
                <w:bCs/>
                <w:color w:val="000000"/>
                <w:sz w:val="18"/>
                <w:szCs w:val="18"/>
                <w:lang w:eastAsia="hr-HR"/>
              </w:rPr>
              <w:t>3</w:t>
            </w:r>
          </w:p>
        </w:tc>
      </w:tr>
      <w:tr w:rsidR="00EA51C4" w:rsidRPr="008B1562" w14:paraId="0C0E9B53" w14:textId="77777777" w:rsidTr="00BA499D">
        <w:trPr>
          <w:trHeight w:val="284"/>
        </w:trPr>
        <w:tc>
          <w:tcPr>
            <w:tcW w:w="719" w:type="dxa"/>
            <w:tcBorders>
              <w:top w:val="single" w:sz="4" w:space="0" w:color="auto"/>
              <w:left w:val="single" w:sz="4" w:space="0" w:color="auto"/>
              <w:bottom w:val="single" w:sz="4" w:space="0" w:color="auto"/>
              <w:right w:val="single" w:sz="4" w:space="0" w:color="auto"/>
            </w:tcBorders>
            <w:noWrap/>
            <w:vAlign w:val="center"/>
            <w:hideMark/>
          </w:tcPr>
          <w:p w14:paraId="13BF0C78" w14:textId="77777777" w:rsidR="00EA51C4" w:rsidRPr="008B1562" w:rsidRDefault="00EA51C4" w:rsidP="00BA499D">
            <w:pPr>
              <w:jc w:val="center"/>
              <w:rPr>
                <w:rFonts w:eastAsia="Times New Roman" w:cstheme="minorHAnsi"/>
                <w:color w:val="1A1A1A"/>
                <w:sz w:val="18"/>
                <w:szCs w:val="18"/>
                <w:lang w:eastAsia="hr-HR"/>
              </w:rPr>
            </w:pPr>
            <w:r w:rsidRPr="008B1562">
              <w:rPr>
                <w:rFonts w:eastAsia="Times New Roman" w:cstheme="minorHAnsi"/>
                <w:color w:val="1A1A1A"/>
                <w:sz w:val="18"/>
                <w:szCs w:val="18"/>
                <w:lang w:eastAsia="hr-HR"/>
              </w:rPr>
              <w:t>7.</w:t>
            </w:r>
          </w:p>
        </w:tc>
        <w:tc>
          <w:tcPr>
            <w:tcW w:w="4253" w:type="dxa"/>
            <w:tcBorders>
              <w:top w:val="single" w:sz="4" w:space="0" w:color="auto"/>
              <w:left w:val="single" w:sz="4" w:space="0" w:color="auto"/>
              <w:bottom w:val="single" w:sz="4" w:space="0" w:color="auto"/>
              <w:right w:val="single" w:sz="4" w:space="0" w:color="auto"/>
            </w:tcBorders>
            <w:vAlign w:val="center"/>
            <w:hideMark/>
          </w:tcPr>
          <w:p w14:paraId="234E1FE7" w14:textId="77777777" w:rsidR="00EA51C4" w:rsidRPr="008B1562" w:rsidRDefault="00EA51C4" w:rsidP="00BA499D">
            <w:pPr>
              <w:rPr>
                <w:rFonts w:eastAsia="Times New Roman" w:cstheme="minorHAnsi"/>
                <w:bCs/>
                <w:color w:val="1A1A1A"/>
                <w:sz w:val="18"/>
                <w:szCs w:val="18"/>
                <w:lang w:eastAsia="hr-HR"/>
              </w:rPr>
            </w:pPr>
            <w:r w:rsidRPr="00270917">
              <w:rPr>
                <w:rFonts w:eastAsia="Times New Roman" w:cs="Calibri"/>
                <w:bCs/>
                <w:color w:val="1A1A1A"/>
                <w:sz w:val="18"/>
                <w:szCs w:val="18"/>
                <w:lang w:eastAsia="hr-HR"/>
              </w:rPr>
              <w:t>Radna skupina za posttržišno praćenje medicinskih proizvoda i područje vigilancije (PMSV)</w:t>
            </w:r>
          </w:p>
        </w:tc>
        <w:tc>
          <w:tcPr>
            <w:tcW w:w="2155" w:type="dxa"/>
            <w:tcBorders>
              <w:top w:val="single" w:sz="4" w:space="0" w:color="auto"/>
              <w:left w:val="single" w:sz="4" w:space="0" w:color="auto"/>
              <w:bottom w:val="single" w:sz="4" w:space="0" w:color="auto"/>
              <w:right w:val="single" w:sz="4" w:space="0" w:color="auto"/>
            </w:tcBorders>
            <w:noWrap/>
            <w:vAlign w:val="center"/>
          </w:tcPr>
          <w:p w14:paraId="072A9F43" w14:textId="77777777" w:rsidR="00EA51C4" w:rsidRPr="008B1562" w:rsidRDefault="00EA51C4" w:rsidP="00BA499D">
            <w:pPr>
              <w:spacing w:line="276" w:lineRule="auto"/>
              <w:jc w:val="center"/>
              <w:rPr>
                <w:rFonts w:ascii="Calibri" w:hAnsi="Calibri" w:cs="Times New Roman"/>
                <w:bCs/>
                <w:sz w:val="18"/>
                <w:szCs w:val="18"/>
              </w:rPr>
            </w:pPr>
            <w:r>
              <w:rPr>
                <w:color w:val="1A1A1A"/>
                <w:sz w:val="18"/>
                <w:szCs w:val="18"/>
                <w:lang w:eastAsia="hr-HR"/>
              </w:rPr>
              <w:t>2</w:t>
            </w:r>
          </w:p>
        </w:tc>
        <w:tc>
          <w:tcPr>
            <w:tcW w:w="1955" w:type="dxa"/>
            <w:tcBorders>
              <w:top w:val="single" w:sz="4" w:space="0" w:color="auto"/>
              <w:left w:val="single" w:sz="4" w:space="0" w:color="auto"/>
              <w:bottom w:val="single" w:sz="4" w:space="0" w:color="auto"/>
              <w:right w:val="single" w:sz="4" w:space="0" w:color="auto"/>
            </w:tcBorders>
            <w:noWrap/>
            <w:vAlign w:val="center"/>
          </w:tcPr>
          <w:p w14:paraId="092C859D" w14:textId="77777777" w:rsidR="00EA51C4" w:rsidRPr="008B1562" w:rsidRDefault="00EA51C4" w:rsidP="00BA499D">
            <w:pPr>
              <w:jc w:val="center"/>
              <w:rPr>
                <w:rFonts w:eastAsia="Times New Roman" w:cstheme="minorHAnsi"/>
                <w:bCs/>
                <w:color w:val="000000"/>
                <w:sz w:val="18"/>
                <w:szCs w:val="18"/>
                <w:lang w:eastAsia="hr-HR"/>
              </w:rPr>
            </w:pPr>
            <w:r>
              <w:rPr>
                <w:rFonts w:eastAsia="Times New Roman" w:cstheme="minorHAnsi"/>
                <w:bCs/>
                <w:color w:val="000000"/>
                <w:sz w:val="18"/>
                <w:szCs w:val="18"/>
                <w:lang w:eastAsia="hr-HR"/>
              </w:rPr>
              <w:t>3</w:t>
            </w:r>
          </w:p>
        </w:tc>
      </w:tr>
      <w:tr w:rsidR="00EA51C4" w:rsidRPr="008B1562" w14:paraId="779A768A" w14:textId="77777777" w:rsidTr="00BA499D">
        <w:trPr>
          <w:trHeight w:val="284"/>
        </w:trPr>
        <w:tc>
          <w:tcPr>
            <w:tcW w:w="719" w:type="dxa"/>
            <w:tcBorders>
              <w:top w:val="single" w:sz="4" w:space="0" w:color="auto"/>
              <w:left w:val="single" w:sz="4" w:space="0" w:color="auto"/>
              <w:bottom w:val="single" w:sz="4" w:space="0" w:color="auto"/>
              <w:right w:val="single" w:sz="4" w:space="0" w:color="auto"/>
            </w:tcBorders>
            <w:noWrap/>
            <w:vAlign w:val="center"/>
            <w:hideMark/>
          </w:tcPr>
          <w:p w14:paraId="276976FA" w14:textId="77777777" w:rsidR="00EA51C4" w:rsidRPr="008B1562" w:rsidRDefault="00EA51C4" w:rsidP="00BA499D">
            <w:pPr>
              <w:jc w:val="center"/>
              <w:rPr>
                <w:rFonts w:eastAsia="Times New Roman" w:cstheme="minorHAnsi"/>
                <w:color w:val="1A1A1A"/>
                <w:sz w:val="18"/>
                <w:szCs w:val="18"/>
                <w:lang w:eastAsia="hr-HR"/>
              </w:rPr>
            </w:pPr>
            <w:r w:rsidRPr="008B1562">
              <w:rPr>
                <w:rFonts w:eastAsia="Times New Roman" w:cstheme="minorHAnsi"/>
                <w:color w:val="1A1A1A"/>
                <w:sz w:val="18"/>
                <w:szCs w:val="18"/>
                <w:lang w:eastAsia="hr-HR"/>
              </w:rPr>
              <w:lastRenderedPageBreak/>
              <w:t>8.</w:t>
            </w:r>
          </w:p>
        </w:tc>
        <w:tc>
          <w:tcPr>
            <w:tcW w:w="4253" w:type="dxa"/>
            <w:tcBorders>
              <w:top w:val="single" w:sz="4" w:space="0" w:color="auto"/>
              <w:left w:val="single" w:sz="4" w:space="0" w:color="auto"/>
              <w:bottom w:val="single" w:sz="4" w:space="0" w:color="auto"/>
              <w:right w:val="single" w:sz="4" w:space="0" w:color="auto"/>
            </w:tcBorders>
            <w:vAlign w:val="center"/>
            <w:hideMark/>
          </w:tcPr>
          <w:p w14:paraId="140614AA" w14:textId="77777777" w:rsidR="00EA51C4" w:rsidRPr="008B1562" w:rsidRDefault="00EA51C4" w:rsidP="00BA499D">
            <w:pPr>
              <w:rPr>
                <w:rFonts w:eastAsia="Times New Roman" w:cstheme="minorHAnsi"/>
                <w:bCs/>
                <w:color w:val="1A1A1A"/>
                <w:sz w:val="18"/>
                <w:szCs w:val="18"/>
                <w:lang w:eastAsia="hr-HR"/>
              </w:rPr>
            </w:pPr>
            <w:r w:rsidRPr="00270917">
              <w:rPr>
                <w:rFonts w:eastAsia="Times New Roman" w:cs="Calibri"/>
                <w:bCs/>
                <w:color w:val="1A1A1A"/>
                <w:sz w:val="18"/>
                <w:szCs w:val="18"/>
                <w:lang w:eastAsia="hr-HR"/>
              </w:rPr>
              <w:t>Radna skupina za nove tehnologije (New Technologies)</w:t>
            </w:r>
            <w:r>
              <w:rPr>
                <w:rFonts w:eastAsia="Times New Roman" w:cs="Calibri"/>
                <w:bCs/>
                <w:color w:val="1A1A1A"/>
                <w:sz w:val="18"/>
                <w:szCs w:val="18"/>
                <w:lang w:eastAsia="hr-HR"/>
              </w:rPr>
              <w:t xml:space="preserve"> </w:t>
            </w:r>
            <w:r w:rsidRPr="008B1562">
              <w:rPr>
                <w:rFonts w:eastAsia="Times New Roman" w:cs="Calibri"/>
                <w:bCs/>
                <w:color w:val="1A1A1A"/>
                <w:sz w:val="18"/>
                <w:szCs w:val="18"/>
                <w:lang w:eastAsia="hr-HR"/>
              </w:rPr>
              <w:t>NT</w:t>
            </w:r>
          </w:p>
        </w:tc>
        <w:tc>
          <w:tcPr>
            <w:tcW w:w="2155" w:type="dxa"/>
            <w:tcBorders>
              <w:top w:val="single" w:sz="4" w:space="0" w:color="auto"/>
              <w:left w:val="single" w:sz="4" w:space="0" w:color="auto"/>
              <w:bottom w:val="single" w:sz="4" w:space="0" w:color="auto"/>
              <w:right w:val="single" w:sz="4" w:space="0" w:color="auto"/>
            </w:tcBorders>
            <w:noWrap/>
            <w:vAlign w:val="center"/>
          </w:tcPr>
          <w:p w14:paraId="485367F1" w14:textId="77777777" w:rsidR="00EA51C4" w:rsidRPr="008B1562" w:rsidRDefault="00EA51C4" w:rsidP="00BA499D">
            <w:pPr>
              <w:spacing w:line="276" w:lineRule="auto"/>
              <w:jc w:val="center"/>
              <w:rPr>
                <w:rFonts w:ascii="Calibri" w:hAnsi="Calibri" w:cs="Times New Roman"/>
                <w:bCs/>
                <w:sz w:val="18"/>
                <w:szCs w:val="18"/>
              </w:rPr>
            </w:pPr>
            <w:r>
              <w:rPr>
                <w:color w:val="1A1A1A"/>
                <w:sz w:val="18"/>
                <w:szCs w:val="18"/>
                <w:lang w:eastAsia="hr-HR"/>
              </w:rPr>
              <w:t>2</w:t>
            </w:r>
          </w:p>
        </w:tc>
        <w:tc>
          <w:tcPr>
            <w:tcW w:w="1955" w:type="dxa"/>
            <w:tcBorders>
              <w:top w:val="single" w:sz="4" w:space="0" w:color="auto"/>
              <w:left w:val="single" w:sz="4" w:space="0" w:color="auto"/>
              <w:bottom w:val="single" w:sz="4" w:space="0" w:color="auto"/>
              <w:right w:val="single" w:sz="4" w:space="0" w:color="auto"/>
            </w:tcBorders>
            <w:noWrap/>
            <w:vAlign w:val="center"/>
          </w:tcPr>
          <w:p w14:paraId="42C76C81" w14:textId="77777777" w:rsidR="00EA51C4" w:rsidRPr="008B1562" w:rsidRDefault="00EA51C4" w:rsidP="00BA499D">
            <w:pPr>
              <w:jc w:val="center"/>
              <w:rPr>
                <w:rFonts w:eastAsia="Times New Roman" w:cstheme="minorHAnsi"/>
                <w:bCs/>
                <w:color w:val="000000"/>
                <w:sz w:val="18"/>
                <w:szCs w:val="18"/>
                <w:lang w:eastAsia="hr-HR"/>
              </w:rPr>
            </w:pPr>
            <w:r>
              <w:rPr>
                <w:rFonts w:eastAsia="Times New Roman" w:cstheme="minorHAnsi"/>
                <w:bCs/>
                <w:color w:val="000000"/>
                <w:sz w:val="18"/>
                <w:szCs w:val="18"/>
                <w:lang w:eastAsia="hr-HR"/>
              </w:rPr>
              <w:t>2</w:t>
            </w:r>
          </w:p>
        </w:tc>
      </w:tr>
      <w:tr w:rsidR="00EA51C4" w:rsidRPr="008B1562" w14:paraId="556B82A0" w14:textId="77777777" w:rsidTr="00BA499D">
        <w:trPr>
          <w:trHeight w:val="284"/>
        </w:trPr>
        <w:tc>
          <w:tcPr>
            <w:tcW w:w="719" w:type="dxa"/>
            <w:tcBorders>
              <w:top w:val="single" w:sz="4" w:space="0" w:color="auto"/>
              <w:left w:val="single" w:sz="4" w:space="0" w:color="auto"/>
              <w:bottom w:val="single" w:sz="4" w:space="0" w:color="auto"/>
              <w:right w:val="single" w:sz="4" w:space="0" w:color="auto"/>
            </w:tcBorders>
            <w:noWrap/>
            <w:vAlign w:val="center"/>
            <w:hideMark/>
          </w:tcPr>
          <w:p w14:paraId="7BC278A0" w14:textId="77777777" w:rsidR="00EA51C4" w:rsidRPr="008B1562" w:rsidRDefault="00EA51C4" w:rsidP="00BA499D">
            <w:pPr>
              <w:jc w:val="center"/>
              <w:rPr>
                <w:rFonts w:eastAsia="Times New Roman" w:cstheme="minorHAnsi"/>
                <w:color w:val="1A1A1A"/>
                <w:sz w:val="18"/>
                <w:szCs w:val="18"/>
                <w:lang w:eastAsia="hr-HR"/>
              </w:rPr>
            </w:pPr>
            <w:r w:rsidRPr="008B1562">
              <w:rPr>
                <w:rFonts w:eastAsia="Times New Roman" w:cstheme="minorHAnsi"/>
                <w:color w:val="1A1A1A"/>
                <w:sz w:val="18"/>
                <w:szCs w:val="18"/>
                <w:lang w:eastAsia="hr-HR"/>
              </w:rPr>
              <w:t>9.</w:t>
            </w:r>
          </w:p>
        </w:tc>
        <w:tc>
          <w:tcPr>
            <w:tcW w:w="4253" w:type="dxa"/>
            <w:tcBorders>
              <w:top w:val="single" w:sz="4" w:space="0" w:color="auto"/>
              <w:left w:val="single" w:sz="4" w:space="0" w:color="auto"/>
              <w:bottom w:val="single" w:sz="4" w:space="0" w:color="auto"/>
              <w:right w:val="single" w:sz="4" w:space="0" w:color="auto"/>
            </w:tcBorders>
            <w:vAlign w:val="center"/>
            <w:hideMark/>
          </w:tcPr>
          <w:p w14:paraId="6E9A92ED" w14:textId="77777777" w:rsidR="00EA51C4" w:rsidRPr="008B1562" w:rsidRDefault="00EA51C4" w:rsidP="00BA499D">
            <w:pPr>
              <w:rPr>
                <w:rFonts w:eastAsia="Times New Roman" w:cstheme="minorHAnsi"/>
                <w:bCs/>
                <w:color w:val="1A1A1A"/>
                <w:sz w:val="18"/>
                <w:szCs w:val="18"/>
                <w:lang w:eastAsia="hr-HR"/>
              </w:rPr>
            </w:pPr>
            <w:r w:rsidRPr="00270917">
              <w:rPr>
                <w:rFonts w:eastAsia="Times New Roman" w:cs="Calibri"/>
                <w:bCs/>
                <w:color w:val="1A1A1A"/>
                <w:sz w:val="18"/>
                <w:szCs w:val="18"/>
                <w:lang w:eastAsia="hr-HR"/>
              </w:rPr>
              <w:t>Odbor za medicinske tehnologije (Medical Devices Commitee – MDC)</w:t>
            </w:r>
          </w:p>
        </w:tc>
        <w:tc>
          <w:tcPr>
            <w:tcW w:w="2155" w:type="dxa"/>
            <w:tcBorders>
              <w:top w:val="single" w:sz="4" w:space="0" w:color="auto"/>
              <w:left w:val="single" w:sz="4" w:space="0" w:color="auto"/>
              <w:bottom w:val="single" w:sz="4" w:space="0" w:color="auto"/>
              <w:right w:val="single" w:sz="4" w:space="0" w:color="auto"/>
            </w:tcBorders>
            <w:noWrap/>
            <w:vAlign w:val="center"/>
          </w:tcPr>
          <w:p w14:paraId="3B03713A" w14:textId="77777777" w:rsidR="00EA51C4" w:rsidRPr="008B1562" w:rsidRDefault="00EA51C4" w:rsidP="00BA499D">
            <w:pPr>
              <w:spacing w:line="276" w:lineRule="auto"/>
              <w:jc w:val="center"/>
              <w:rPr>
                <w:rFonts w:ascii="Calibri" w:hAnsi="Calibri" w:cs="Times New Roman"/>
                <w:bCs/>
                <w:sz w:val="18"/>
                <w:szCs w:val="18"/>
              </w:rPr>
            </w:pPr>
            <w:r>
              <w:rPr>
                <w:color w:val="1A1A1A"/>
                <w:sz w:val="18"/>
                <w:szCs w:val="18"/>
                <w:lang w:eastAsia="hr-HR"/>
              </w:rPr>
              <w:t>1</w:t>
            </w:r>
          </w:p>
        </w:tc>
        <w:tc>
          <w:tcPr>
            <w:tcW w:w="1955" w:type="dxa"/>
            <w:tcBorders>
              <w:top w:val="single" w:sz="4" w:space="0" w:color="auto"/>
              <w:left w:val="single" w:sz="4" w:space="0" w:color="auto"/>
              <w:bottom w:val="single" w:sz="4" w:space="0" w:color="auto"/>
              <w:right w:val="single" w:sz="4" w:space="0" w:color="auto"/>
            </w:tcBorders>
            <w:noWrap/>
            <w:vAlign w:val="center"/>
          </w:tcPr>
          <w:p w14:paraId="0E1BA3E7" w14:textId="77777777" w:rsidR="00EA51C4" w:rsidRPr="008B1562" w:rsidRDefault="00EA51C4" w:rsidP="00BA499D">
            <w:pPr>
              <w:jc w:val="center"/>
              <w:rPr>
                <w:rFonts w:eastAsia="Times New Roman" w:cstheme="minorHAnsi"/>
                <w:bCs/>
                <w:color w:val="000000"/>
                <w:sz w:val="18"/>
                <w:szCs w:val="18"/>
                <w:lang w:eastAsia="hr-HR"/>
              </w:rPr>
            </w:pPr>
            <w:r>
              <w:rPr>
                <w:rFonts w:eastAsia="Times New Roman" w:cstheme="minorHAnsi"/>
                <w:bCs/>
                <w:color w:val="000000"/>
                <w:sz w:val="18"/>
                <w:szCs w:val="18"/>
                <w:lang w:eastAsia="hr-HR"/>
              </w:rPr>
              <w:t>0</w:t>
            </w:r>
          </w:p>
        </w:tc>
      </w:tr>
      <w:tr w:rsidR="00EA51C4" w:rsidRPr="008B1562" w14:paraId="7CF746B6" w14:textId="77777777" w:rsidTr="00BA499D">
        <w:trPr>
          <w:trHeight w:val="284"/>
        </w:trPr>
        <w:tc>
          <w:tcPr>
            <w:tcW w:w="719" w:type="dxa"/>
            <w:tcBorders>
              <w:top w:val="single" w:sz="4" w:space="0" w:color="auto"/>
              <w:left w:val="single" w:sz="4" w:space="0" w:color="auto"/>
              <w:bottom w:val="single" w:sz="4" w:space="0" w:color="auto"/>
              <w:right w:val="single" w:sz="4" w:space="0" w:color="auto"/>
            </w:tcBorders>
            <w:noWrap/>
            <w:vAlign w:val="center"/>
            <w:hideMark/>
          </w:tcPr>
          <w:p w14:paraId="187F0653" w14:textId="77777777" w:rsidR="00EA51C4" w:rsidRPr="008B1562" w:rsidRDefault="00EA51C4" w:rsidP="00BA499D">
            <w:pPr>
              <w:jc w:val="center"/>
              <w:rPr>
                <w:rFonts w:eastAsia="Times New Roman" w:cstheme="minorHAnsi"/>
                <w:color w:val="1A1A1A"/>
                <w:sz w:val="18"/>
                <w:szCs w:val="18"/>
                <w:lang w:eastAsia="hr-HR"/>
              </w:rPr>
            </w:pPr>
            <w:r w:rsidRPr="008B1562">
              <w:rPr>
                <w:rFonts w:eastAsia="Times New Roman" w:cstheme="minorHAnsi"/>
                <w:color w:val="1A1A1A"/>
                <w:sz w:val="18"/>
                <w:szCs w:val="18"/>
                <w:lang w:eastAsia="hr-HR"/>
              </w:rPr>
              <w:t>10.</w:t>
            </w:r>
          </w:p>
        </w:tc>
        <w:tc>
          <w:tcPr>
            <w:tcW w:w="4253" w:type="dxa"/>
            <w:tcBorders>
              <w:top w:val="single" w:sz="4" w:space="0" w:color="auto"/>
              <w:left w:val="single" w:sz="4" w:space="0" w:color="auto"/>
              <w:bottom w:val="single" w:sz="4" w:space="0" w:color="auto"/>
              <w:right w:val="single" w:sz="4" w:space="0" w:color="auto"/>
            </w:tcBorders>
            <w:vAlign w:val="center"/>
            <w:hideMark/>
          </w:tcPr>
          <w:p w14:paraId="5C225B98" w14:textId="77777777" w:rsidR="00EA51C4" w:rsidRPr="008B1562" w:rsidRDefault="00EA51C4" w:rsidP="00BA499D">
            <w:pPr>
              <w:rPr>
                <w:rFonts w:eastAsia="Times New Roman" w:cstheme="minorHAnsi"/>
                <w:bCs/>
                <w:color w:val="1A1A1A"/>
                <w:sz w:val="18"/>
                <w:szCs w:val="18"/>
                <w:lang w:eastAsia="hr-HR"/>
              </w:rPr>
            </w:pPr>
            <w:r w:rsidRPr="00270917">
              <w:rPr>
                <w:rFonts w:eastAsia="Times New Roman" w:cs="Calibri"/>
                <w:bCs/>
                <w:color w:val="1A1A1A"/>
                <w:sz w:val="18"/>
                <w:szCs w:val="18"/>
                <w:lang w:eastAsia="hr-HR"/>
              </w:rPr>
              <w:t>Radna skupina za granične proizvode i razvrstavanje medicinskih proizvoda (Borderline &amp; Classification group)</w:t>
            </w:r>
          </w:p>
        </w:tc>
        <w:tc>
          <w:tcPr>
            <w:tcW w:w="2155" w:type="dxa"/>
            <w:tcBorders>
              <w:top w:val="single" w:sz="4" w:space="0" w:color="auto"/>
              <w:left w:val="single" w:sz="4" w:space="0" w:color="auto"/>
              <w:bottom w:val="single" w:sz="4" w:space="0" w:color="auto"/>
              <w:right w:val="single" w:sz="4" w:space="0" w:color="auto"/>
            </w:tcBorders>
            <w:noWrap/>
            <w:vAlign w:val="center"/>
          </w:tcPr>
          <w:p w14:paraId="2D20ADF6" w14:textId="77777777" w:rsidR="00EA51C4" w:rsidRPr="008B1562" w:rsidRDefault="00EA51C4" w:rsidP="00BA499D">
            <w:pPr>
              <w:jc w:val="center"/>
              <w:rPr>
                <w:rFonts w:eastAsia="Times New Roman" w:cstheme="minorHAnsi"/>
                <w:bCs/>
                <w:color w:val="000000"/>
                <w:sz w:val="18"/>
                <w:szCs w:val="18"/>
                <w:lang w:eastAsia="hr-HR"/>
              </w:rPr>
            </w:pPr>
            <w:r>
              <w:rPr>
                <w:color w:val="1A1A1A"/>
                <w:sz w:val="18"/>
                <w:szCs w:val="18"/>
                <w:lang w:eastAsia="hr-HR"/>
              </w:rPr>
              <w:t>2</w:t>
            </w:r>
          </w:p>
        </w:tc>
        <w:tc>
          <w:tcPr>
            <w:tcW w:w="1955" w:type="dxa"/>
            <w:tcBorders>
              <w:top w:val="single" w:sz="4" w:space="0" w:color="auto"/>
              <w:left w:val="single" w:sz="4" w:space="0" w:color="auto"/>
              <w:bottom w:val="single" w:sz="4" w:space="0" w:color="auto"/>
              <w:right w:val="single" w:sz="4" w:space="0" w:color="auto"/>
            </w:tcBorders>
            <w:noWrap/>
            <w:vAlign w:val="center"/>
          </w:tcPr>
          <w:p w14:paraId="59BE84BE" w14:textId="77777777" w:rsidR="00EA51C4" w:rsidRPr="008B1562" w:rsidRDefault="00EA51C4" w:rsidP="00BA499D">
            <w:pPr>
              <w:jc w:val="center"/>
              <w:rPr>
                <w:rFonts w:eastAsia="Times New Roman" w:cstheme="minorHAnsi"/>
                <w:bCs/>
                <w:color w:val="000000"/>
                <w:sz w:val="18"/>
                <w:szCs w:val="18"/>
                <w:lang w:eastAsia="hr-HR"/>
              </w:rPr>
            </w:pPr>
            <w:r>
              <w:rPr>
                <w:rFonts w:eastAsia="Times New Roman" w:cstheme="minorHAnsi"/>
                <w:bCs/>
                <w:color w:val="000000"/>
                <w:sz w:val="18"/>
                <w:szCs w:val="18"/>
                <w:lang w:eastAsia="hr-HR"/>
              </w:rPr>
              <w:t>1</w:t>
            </w:r>
          </w:p>
        </w:tc>
      </w:tr>
      <w:tr w:rsidR="00EA51C4" w:rsidRPr="008B1562" w14:paraId="5CBC55CA" w14:textId="77777777" w:rsidTr="00BA499D">
        <w:trPr>
          <w:trHeight w:val="284"/>
        </w:trPr>
        <w:tc>
          <w:tcPr>
            <w:tcW w:w="719" w:type="dxa"/>
            <w:tcBorders>
              <w:top w:val="single" w:sz="4" w:space="0" w:color="auto"/>
              <w:left w:val="single" w:sz="4" w:space="0" w:color="auto"/>
              <w:bottom w:val="single" w:sz="4" w:space="0" w:color="auto"/>
              <w:right w:val="single" w:sz="4" w:space="0" w:color="auto"/>
            </w:tcBorders>
            <w:noWrap/>
            <w:vAlign w:val="center"/>
            <w:hideMark/>
          </w:tcPr>
          <w:p w14:paraId="35609E37" w14:textId="77777777" w:rsidR="00EA51C4" w:rsidRPr="008B1562" w:rsidRDefault="00EA51C4" w:rsidP="00BA499D">
            <w:pPr>
              <w:jc w:val="center"/>
              <w:rPr>
                <w:rFonts w:eastAsia="Times New Roman" w:cstheme="minorHAnsi"/>
                <w:color w:val="1A1A1A"/>
                <w:sz w:val="18"/>
                <w:szCs w:val="18"/>
                <w:lang w:eastAsia="hr-HR"/>
              </w:rPr>
            </w:pPr>
            <w:r w:rsidRPr="008B1562">
              <w:rPr>
                <w:rFonts w:eastAsia="Times New Roman" w:cstheme="minorHAnsi"/>
                <w:color w:val="1A1A1A"/>
                <w:sz w:val="18"/>
                <w:szCs w:val="18"/>
                <w:lang w:eastAsia="hr-HR"/>
              </w:rPr>
              <w:t>11.</w:t>
            </w:r>
          </w:p>
        </w:tc>
        <w:tc>
          <w:tcPr>
            <w:tcW w:w="4253" w:type="dxa"/>
            <w:tcBorders>
              <w:top w:val="single" w:sz="4" w:space="0" w:color="auto"/>
              <w:left w:val="single" w:sz="4" w:space="0" w:color="auto"/>
              <w:bottom w:val="single" w:sz="4" w:space="0" w:color="auto"/>
              <w:right w:val="single" w:sz="4" w:space="0" w:color="auto"/>
            </w:tcBorders>
            <w:vAlign w:val="center"/>
            <w:hideMark/>
          </w:tcPr>
          <w:p w14:paraId="56A2859C" w14:textId="77777777" w:rsidR="00EA51C4" w:rsidRPr="008B1562" w:rsidRDefault="00EA51C4" w:rsidP="00BA499D">
            <w:pPr>
              <w:rPr>
                <w:rFonts w:eastAsia="Times New Roman" w:cstheme="minorHAnsi"/>
                <w:bCs/>
                <w:color w:val="1A1A1A"/>
                <w:sz w:val="18"/>
                <w:szCs w:val="18"/>
                <w:lang w:eastAsia="hr-HR"/>
              </w:rPr>
            </w:pPr>
            <w:r w:rsidRPr="00270917">
              <w:rPr>
                <w:rFonts w:eastAsia="Times New Roman" w:cs="Calibri"/>
                <w:bCs/>
                <w:color w:val="1A1A1A"/>
                <w:sz w:val="18"/>
                <w:szCs w:val="18"/>
                <w:lang w:eastAsia="hr-HR"/>
              </w:rPr>
              <w:t>Koordinacijska skupina za medicinske proizvode (MDCG-MDR, MDCG-IVDR)</w:t>
            </w:r>
          </w:p>
        </w:tc>
        <w:tc>
          <w:tcPr>
            <w:tcW w:w="2155" w:type="dxa"/>
            <w:tcBorders>
              <w:top w:val="single" w:sz="4" w:space="0" w:color="auto"/>
              <w:left w:val="single" w:sz="4" w:space="0" w:color="auto"/>
              <w:bottom w:val="single" w:sz="4" w:space="0" w:color="auto"/>
              <w:right w:val="single" w:sz="4" w:space="0" w:color="auto"/>
            </w:tcBorders>
            <w:noWrap/>
            <w:vAlign w:val="center"/>
          </w:tcPr>
          <w:p w14:paraId="33ECA583" w14:textId="77777777" w:rsidR="00EA51C4" w:rsidRPr="008B1562" w:rsidRDefault="00EA51C4" w:rsidP="00BA499D">
            <w:pPr>
              <w:jc w:val="center"/>
              <w:rPr>
                <w:rFonts w:eastAsia="Times New Roman" w:cstheme="minorHAnsi"/>
                <w:bCs/>
                <w:color w:val="000000"/>
                <w:sz w:val="18"/>
                <w:szCs w:val="18"/>
                <w:lang w:eastAsia="hr-HR"/>
              </w:rPr>
            </w:pPr>
            <w:r>
              <w:rPr>
                <w:color w:val="1A1A1A"/>
                <w:sz w:val="18"/>
                <w:szCs w:val="18"/>
                <w:lang w:eastAsia="hr-HR"/>
              </w:rPr>
              <w:t>6</w:t>
            </w:r>
          </w:p>
        </w:tc>
        <w:tc>
          <w:tcPr>
            <w:tcW w:w="1955" w:type="dxa"/>
            <w:tcBorders>
              <w:top w:val="single" w:sz="4" w:space="0" w:color="auto"/>
              <w:left w:val="single" w:sz="4" w:space="0" w:color="auto"/>
              <w:bottom w:val="single" w:sz="4" w:space="0" w:color="auto"/>
              <w:right w:val="single" w:sz="4" w:space="0" w:color="auto"/>
            </w:tcBorders>
            <w:noWrap/>
            <w:vAlign w:val="center"/>
          </w:tcPr>
          <w:p w14:paraId="18966563" w14:textId="77777777" w:rsidR="00EA51C4" w:rsidRPr="008B1562" w:rsidRDefault="00EA51C4" w:rsidP="00BA499D">
            <w:pPr>
              <w:jc w:val="center"/>
              <w:rPr>
                <w:rFonts w:eastAsia="Times New Roman" w:cstheme="minorHAnsi"/>
                <w:bCs/>
                <w:color w:val="000000"/>
                <w:sz w:val="18"/>
                <w:szCs w:val="18"/>
                <w:lang w:eastAsia="hr-HR"/>
              </w:rPr>
            </w:pPr>
            <w:r>
              <w:rPr>
                <w:rFonts w:eastAsia="Times New Roman" w:cstheme="minorHAnsi"/>
                <w:bCs/>
                <w:color w:val="000000"/>
                <w:sz w:val="18"/>
                <w:szCs w:val="18"/>
                <w:lang w:eastAsia="hr-HR"/>
              </w:rPr>
              <w:t>3</w:t>
            </w:r>
          </w:p>
        </w:tc>
      </w:tr>
      <w:tr w:rsidR="00EA51C4" w:rsidRPr="008B1562" w14:paraId="16247079" w14:textId="77777777" w:rsidTr="00BA499D">
        <w:trPr>
          <w:trHeight w:val="284"/>
        </w:trPr>
        <w:tc>
          <w:tcPr>
            <w:tcW w:w="719" w:type="dxa"/>
            <w:tcBorders>
              <w:top w:val="single" w:sz="4" w:space="0" w:color="auto"/>
              <w:left w:val="single" w:sz="4" w:space="0" w:color="auto"/>
              <w:bottom w:val="single" w:sz="4" w:space="0" w:color="auto"/>
              <w:right w:val="single" w:sz="4" w:space="0" w:color="auto"/>
            </w:tcBorders>
            <w:noWrap/>
            <w:vAlign w:val="center"/>
            <w:hideMark/>
          </w:tcPr>
          <w:p w14:paraId="40340385" w14:textId="77777777" w:rsidR="00EA51C4" w:rsidRPr="008B1562" w:rsidRDefault="00EA51C4" w:rsidP="00BA499D">
            <w:pPr>
              <w:jc w:val="center"/>
              <w:rPr>
                <w:rFonts w:eastAsia="Times New Roman" w:cstheme="minorHAnsi"/>
                <w:color w:val="1A1A1A"/>
                <w:sz w:val="18"/>
                <w:szCs w:val="18"/>
                <w:lang w:eastAsia="hr-HR"/>
              </w:rPr>
            </w:pPr>
            <w:r w:rsidRPr="008B1562">
              <w:rPr>
                <w:rFonts w:eastAsia="Times New Roman" w:cstheme="minorHAnsi"/>
                <w:color w:val="1A1A1A"/>
                <w:sz w:val="18"/>
                <w:szCs w:val="18"/>
                <w:lang w:eastAsia="hr-HR"/>
              </w:rPr>
              <w:t>12.</w:t>
            </w:r>
          </w:p>
        </w:tc>
        <w:tc>
          <w:tcPr>
            <w:tcW w:w="4253" w:type="dxa"/>
            <w:tcBorders>
              <w:top w:val="single" w:sz="4" w:space="0" w:color="auto"/>
              <w:left w:val="single" w:sz="4" w:space="0" w:color="auto"/>
              <w:bottom w:val="single" w:sz="4" w:space="0" w:color="auto"/>
              <w:right w:val="single" w:sz="4" w:space="0" w:color="auto"/>
            </w:tcBorders>
            <w:vAlign w:val="center"/>
            <w:hideMark/>
          </w:tcPr>
          <w:p w14:paraId="2677D6B1" w14:textId="77777777" w:rsidR="00EA51C4" w:rsidRPr="008B1562" w:rsidRDefault="00EA51C4" w:rsidP="00BA499D">
            <w:pPr>
              <w:rPr>
                <w:rFonts w:eastAsia="Times New Roman" w:cstheme="minorHAnsi"/>
                <w:bCs/>
                <w:color w:val="1A1A1A"/>
                <w:sz w:val="18"/>
                <w:szCs w:val="18"/>
                <w:lang w:eastAsia="hr-HR"/>
              </w:rPr>
            </w:pPr>
            <w:r w:rsidRPr="00270917">
              <w:rPr>
                <w:rFonts w:eastAsia="Times New Roman" w:cs="Calibri"/>
                <w:bCs/>
                <w:color w:val="1A1A1A"/>
                <w:sz w:val="18"/>
                <w:szCs w:val="18"/>
                <w:lang w:eastAsia="hr-HR"/>
              </w:rPr>
              <w:t>Radna skupina za nomenklaturu medicinskih proizvoda (Nomenclature)</w:t>
            </w:r>
          </w:p>
        </w:tc>
        <w:tc>
          <w:tcPr>
            <w:tcW w:w="2155" w:type="dxa"/>
            <w:tcBorders>
              <w:top w:val="single" w:sz="4" w:space="0" w:color="auto"/>
              <w:left w:val="single" w:sz="4" w:space="0" w:color="auto"/>
              <w:bottom w:val="single" w:sz="4" w:space="0" w:color="auto"/>
              <w:right w:val="single" w:sz="4" w:space="0" w:color="auto"/>
            </w:tcBorders>
            <w:noWrap/>
            <w:vAlign w:val="center"/>
          </w:tcPr>
          <w:p w14:paraId="5E7401D1" w14:textId="77777777" w:rsidR="00EA51C4" w:rsidRPr="008B1562" w:rsidRDefault="00EA51C4" w:rsidP="00BA499D">
            <w:pPr>
              <w:jc w:val="center"/>
              <w:rPr>
                <w:rFonts w:eastAsia="Times New Roman" w:cstheme="minorHAnsi"/>
                <w:bCs/>
                <w:color w:val="000000"/>
                <w:sz w:val="18"/>
                <w:szCs w:val="18"/>
                <w:lang w:eastAsia="hr-HR"/>
              </w:rPr>
            </w:pPr>
            <w:r>
              <w:rPr>
                <w:color w:val="1A1A1A"/>
                <w:sz w:val="18"/>
                <w:szCs w:val="18"/>
                <w:lang w:eastAsia="hr-HR"/>
              </w:rPr>
              <w:t>2</w:t>
            </w:r>
          </w:p>
        </w:tc>
        <w:tc>
          <w:tcPr>
            <w:tcW w:w="1955" w:type="dxa"/>
            <w:tcBorders>
              <w:top w:val="single" w:sz="4" w:space="0" w:color="auto"/>
              <w:left w:val="single" w:sz="4" w:space="0" w:color="auto"/>
              <w:bottom w:val="single" w:sz="4" w:space="0" w:color="auto"/>
              <w:right w:val="single" w:sz="4" w:space="0" w:color="auto"/>
            </w:tcBorders>
            <w:noWrap/>
            <w:vAlign w:val="center"/>
          </w:tcPr>
          <w:p w14:paraId="23768DA3" w14:textId="77777777" w:rsidR="00EA51C4" w:rsidRPr="008B1562" w:rsidRDefault="00EA51C4" w:rsidP="00BA499D">
            <w:pPr>
              <w:jc w:val="center"/>
              <w:rPr>
                <w:rFonts w:eastAsia="Times New Roman" w:cstheme="minorHAnsi"/>
                <w:bCs/>
                <w:color w:val="000000"/>
                <w:sz w:val="18"/>
                <w:szCs w:val="18"/>
                <w:lang w:eastAsia="hr-HR"/>
              </w:rPr>
            </w:pPr>
            <w:r>
              <w:rPr>
                <w:rFonts w:eastAsia="Times New Roman" w:cstheme="minorHAnsi"/>
                <w:bCs/>
                <w:color w:val="000000"/>
                <w:sz w:val="18"/>
                <w:szCs w:val="18"/>
                <w:lang w:eastAsia="hr-HR"/>
              </w:rPr>
              <w:t>0</w:t>
            </w:r>
          </w:p>
        </w:tc>
      </w:tr>
      <w:tr w:rsidR="00EA51C4" w:rsidRPr="008B1562" w14:paraId="6F9E6D6C" w14:textId="77777777" w:rsidTr="00BA499D">
        <w:trPr>
          <w:trHeight w:val="284"/>
        </w:trPr>
        <w:tc>
          <w:tcPr>
            <w:tcW w:w="719" w:type="dxa"/>
            <w:tcBorders>
              <w:top w:val="single" w:sz="4" w:space="0" w:color="auto"/>
              <w:left w:val="single" w:sz="4" w:space="0" w:color="auto"/>
              <w:bottom w:val="single" w:sz="4" w:space="0" w:color="auto"/>
              <w:right w:val="single" w:sz="4" w:space="0" w:color="auto"/>
            </w:tcBorders>
            <w:noWrap/>
            <w:vAlign w:val="center"/>
          </w:tcPr>
          <w:p w14:paraId="0EFB85A9" w14:textId="77777777" w:rsidR="00EA51C4" w:rsidRPr="008B1562" w:rsidRDefault="00EA51C4" w:rsidP="00BA499D">
            <w:pPr>
              <w:jc w:val="center"/>
              <w:rPr>
                <w:rFonts w:eastAsia="Times New Roman" w:cstheme="minorHAnsi"/>
                <w:color w:val="1A1A1A"/>
                <w:sz w:val="18"/>
                <w:szCs w:val="18"/>
                <w:lang w:eastAsia="hr-HR"/>
              </w:rPr>
            </w:pPr>
            <w:r>
              <w:rPr>
                <w:rFonts w:eastAsia="Times New Roman" w:cstheme="minorHAnsi"/>
                <w:color w:val="1A1A1A"/>
                <w:sz w:val="18"/>
                <w:szCs w:val="18"/>
                <w:lang w:eastAsia="hr-HR"/>
              </w:rPr>
              <w:t>13.</w:t>
            </w:r>
          </w:p>
        </w:tc>
        <w:tc>
          <w:tcPr>
            <w:tcW w:w="4253" w:type="dxa"/>
            <w:tcBorders>
              <w:top w:val="single" w:sz="4" w:space="0" w:color="auto"/>
              <w:left w:val="single" w:sz="4" w:space="0" w:color="auto"/>
              <w:bottom w:val="single" w:sz="4" w:space="0" w:color="auto"/>
              <w:right w:val="single" w:sz="4" w:space="0" w:color="auto"/>
            </w:tcBorders>
            <w:vAlign w:val="center"/>
          </w:tcPr>
          <w:p w14:paraId="6243649B" w14:textId="77777777" w:rsidR="00EA51C4" w:rsidRPr="008B1562" w:rsidRDefault="00EA51C4" w:rsidP="00BA499D">
            <w:pPr>
              <w:rPr>
                <w:rFonts w:eastAsia="Times New Roman" w:cs="Calibri"/>
                <w:bCs/>
                <w:color w:val="1A1A1A"/>
                <w:sz w:val="18"/>
                <w:szCs w:val="18"/>
                <w:lang w:eastAsia="hr-HR"/>
              </w:rPr>
            </w:pPr>
            <w:r w:rsidRPr="00270917">
              <w:rPr>
                <w:rFonts w:eastAsia="Times New Roman" w:cs="Calibri"/>
                <w:bCs/>
                <w:color w:val="1A1A1A"/>
                <w:sz w:val="18"/>
                <w:szCs w:val="18"/>
                <w:lang w:eastAsia="hr-HR"/>
              </w:rPr>
              <w:t>Radna skupina za proizvode iz Priloga XVI Uredbe (EU) 2017/745 (Annex XVI)</w:t>
            </w:r>
          </w:p>
        </w:tc>
        <w:tc>
          <w:tcPr>
            <w:tcW w:w="2155" w:type="dxa"/>
            <w:tcBorders>
              <w:top w:val="single" w:sz="4" w:space="0" w:color="auto"/>
              <w:left w:val="single" w:sz="4" w:space="0" w:color="auto"/>
              <w:bottom w:val="single" w:sz="4" w:space="0" w:color="auto"/>
              <w:right w:val="single" w:sz="4" w:space="0" w:color="auto"/>
            </w:tcBorders>
            <w:noWrap/>
            <w:vAlign w:val="center"/>
          </w:tcPr>
          <w:p w14:paraId="4E7781B3" w14:textId="77777777" w:rsidR="00EA51C4" w:rsidRDefault="00EA51C4" w:rsidP="00BA499D">
            <w:pPr>
              <w:jc w:val="center"/>
              <w:rPr>
                <w:rFonts w:eastAsia="Times New Roman" w:cstheme="minorHAnsi"/>
                <w:bCs/>
                <w:color w:val="000000"/>
                <w:sz w:val="18"/>
                <w:szCs w:val="18"/>
                <w:lang w:eastAsia="hr-HR"/>
              </w:rPr>
            </w:pPr>
            <w:r>
              <w:rPr>
                <w:color w:val="1A1A1A"/>
                <w:sz w:val="18"/>
                <w:szCs w:val="18"/>
                <w:lang w:eastAsia="hr-HR"/>
              </w:rPr>
              <w:t>1</w:t>
            </w:r>
          </w:p>
        </w:tc>
        <w:tc>
          <w:tcPr>
            <w:tcW w:w="1955" w:type="dxa"/>
            <w:tcBorders>
              <w:top w:val="single" w:sz="4" w:space="0" w:color="auto"/>
              <w:left w:val="single" w:sz="4" w:space="0" w:color="auto"/>
              <w:bottom w:val="single" w:sz="4" w:space="0" w:color="auto"/>
              <w:right w:val="single" w:sz="4" w:space="0" w:color="auto"/>
            </w:tcBorders>
            <w:noWrap/>
            <w:vAlign w:val="center"/>
          </w:tcPr>
          <w:p w14:paraId="59B77F60" w14:textId="77777777" w:rsidR="00EA51C4" w:rsidRPr="008B1562" w:rsidRDefault="00EA51C4" w:rsidP="00BA499D">
            <w:pPr>
              <w:jc w:val="center"/>
              <w:rPr>
                <w:rFonts w:eastAsia="Times New Roman" w:cstheme="minorHAnsi"/>
                <w:bCs/>
                <w:color w:val="000000"/>
                <w:sz w:val="18"/>
                <w:szCs w:val="18"/>
                <w:lang w:eastAsia="hr-HR"/>
              </w:rPr>
            </w:pPr>
            <w:r>
              <w:rPr>
                <w:rFonts w:eastAsia="Times New Roman" w:cstheme="minorHAnsi"/>
                <w:bCs/>
                <w:color w:val="000000"/>
                <w:sz w:val="18"/>
                <w:szCs w:val="18"/>
                <w:lang w:eastAsia="hr-HR"/>
              </w:rPr>
              <w:t>1</w:t>
            </w:r>
          </w:p>
        </w:tc>
      </w:tr>
      <w:tr w:rsidR="00EA51C4" w:rsidRPr="008B1562" w14:paraId="1EC37285" w14:textId="77777777" w:rsidTr="00BA499D">
        <w:trPr>
          <w:trHeight w:val="284"/>
        </w:trPr>
        <w:tc>
          <w:tcPr>
            <w:tcW w:w="497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BD8C97D" w14:textId="77777777" w:rsidR="00EA51C4" w:rsidRPr="008B1562" w:rsidRDefault="00EA51C4" w:rsidP="00BA499D">
            <w:pPr>
              <w:rPr>
                <w:rFonts w:eastAsia="Times New Roman" w:cstheme="minorHAnsi"/>
                <w:b/>
                <w:bCs/>
                <w:color w:val="1A1A1A"/>
                <w:sz w:val="18"/>
                <w:szCs w:val="18"/>
                <w:lang w:eastAsia="hr-HR"/>
              </w:rPr>
            </w:pPr>
            <w:r w:rsidRPr="008B1562">
              <w:rPr>
                <w:rFonts w:eastAsia="Times New Roman" w:cstheme="minorHAnsi"/>
                <w:b/>
                <w:bCs/>
                <w:color w:val="1A1A1A"/>
                <w:sz w:val="18"/>
                <w:szCs w:val="18"/>
                <w:lang w:eastAsia="hr-HR"/>
              </w:rPr>
              <w:t>UKUPNO:</w:t>
            </w:r>
          </w:p>
        </w:tc>
        <w:tc>
          <w:tcPr>
            <w:tcW w:w="2155" w:type="dxa"/>
            <w:tcBorders>
              <w:top w:val="single" w:sz="4" w:space="0" w:color="auto"/>
              <w:left w:val="single" w:sz="4" w:space="0" w:color="auto"/>
              <w:bottom w:val="single" w:sz="4" w:space="0" w:color="auto"/>
              <w:right w:val="single" w:sz="4" w:space="0" w:color="auto"/>
            </w:tcBorders>
            <w:shd w:val="clear" w:color="auto" w:fill="BFBFBF"/>
            <w:noWrap/>
            <w:vAlign w:val="center"/>
          </w:tcPr>
          <w:p w14:paraId="36B680A0" w14:textId="77777777" w:rsidR="00EA51C4" w:rsidRPr="008B1562" w:rsidRDefault="00EA51C4" w:rsidP="00BA499D">
            <w:pPr>
              <w:jc w:val="center"/>
              <w:rPr>
                <w:rFonts w:eastAsia="Times New Roman" w:cstheme="minorHAnsi"/>
                <w:b/>
                <w:bCs/>
                <w:color w:val="000000"/>
                <w:sz w:val="18"/>
                <w:szCs w:val="18"/>
                <w:lang w:eastAsia="hr-HR"/>
              </w:rPr>
            </w:pPr>
            <w:r>
              <w:rPr>
                <w:b/>
                <w:bCs/>
                <w:color w:val="1A1A1A"/>
                <w:sz w:val="20"/>
                <w:szCs w:val="20"/>
                <w:lang w:eastAsia="hr-HR"/>
              </w:rPr>
              <w:t>27</w:t>
            </w:r>
          </w:p>
        </w:tc>
        <w:tc>
          <w:tcPr>
            <w:tcW w:w="1955" w:type="dxa"/>
            <w:tcBorders>
              <w:top w:val="single" w:sz="4" w:space="0" w:color="auto"/>
              <w:left w:val="single" w:sz="4" w:space="0" w:color="auto"/>
              <w:bottom w:val="single" w:sz="4" w:space="0" w:color="auto"/>
              <w:right w:val="single" w:sz="4" w:space="0" w:color="auto"/>
            </w:tcBorders>
            <w:shd w:val="clear" w:color="auto" w:fill="BFBFBF"/>
            <w:noWrap/>
            <w:vAlign w:val="center"/>
          </w:tcPr>
          <w:p w14:paraId="12714728" w14:textId="77777777" w:rsidR="00EA51C4" w:rsidRPr="008B1562" w:rsidRDefault="00EA51C4" w:rsidP="00BA499D">
            <w:pPr>
              <w:jc w:val="center"/>
              <w:rPr>
                <w:rFonts w:eastAsia="Times New Roman" w:cstheme="minorHAnsi"/>
                <w:b/>
                <w:bCs/>
                <w:color w:val="000000"/>
                <w:sz w:val="18"/>
                <w:szCs w:val="18"/>
                <w:lang w:eastAsia="hr-HR"/>
              </w:rPr>
            </w:pPr>
            <w:r>
              <w:rPr>
                <w:rFonts w:eastAsia="Times New Roman" w:cstheme="minorHAnsi"/>
                <w:b/>
                <w:bCs/>
                <w:color w:val="000000"/>
                <w:sz w:val="18"/>
                <w:szCs w:val="18"/>
                <w:lang w:eastAsia="hr-HR"/>
              </w:rPr>
              <w:t>17</w:t>
            </w:r>
          </w:p>
        </w:tc>
      </w:tr>
    </w:tbl>
    <w:p w14:paraId="4B0D1981" w14:textId="77777777" w:rsidR="00EA51C4" w:rsidRPr="008B1562" w:rsidRDefault="00EA51C4" w:rsidP="00EA51C4">
      <w:pPr>
        <w:tabs>
          <w:tab w:val="center" w:pos="858"/>
          <w:tab w:val="center" w:pos="4320"/>
          <w:tab w:val="right" w:pos="8306"/>
          <w:tab w:val="right" w:pos="8640"/>
        </w:tabs>
        <w:spacing w:after="120"/>
        <w:jc w:val="both"/>
        <w:rPr>
          <w:rFonts w:eastAsia="Times New Roman" w:cstheme="minorHAnsi"/>
          <w:bCs/>
          <w:strike/>
          <w:color w:val="1D1B11"/>
          <w:sz w:val="18"/>
          <w:szCs w:val="18"/>
          <w:lang w:eastAsia="hr-HR"/>
        </w:rPr>
      </w:pPr>
    </w:p>
    <w:p w14:paraId="509844C0" w14:textId="77777777" w:rsidR="00EA51C4" w:rsidRDefault="00EA51C4" w:rsidP="00EA51C4"/>
    <w:p w14:paraId="22495394" w14:textId="0AA03EC5" w:rsidR="00EA51C4" w:rsidRDefault="00EA51C4">
      <w:r>
        <w:br w:type="page"/>
      </w:r>
    </w:p>
    <w:p w14:paraId="5334ADEB" w14:textId="77777777" w:rsidR="00EA51C4" w:rsidRDefault="00EA51C4" w:rsidP="00EA51C4">
      <w:pPr>
        <w:keepNext/>
        <w:keepLines/>
        <w:spacing w:line="276" w:lineRule="auto"/>
        <w:outlineLvl w:val="1"/>
        <w:rPr>
          <w:rFonts w:eastAsiaTheme="majorEastAsia" w:cstheme="minorHAnsi"/>
          <w:bCs/>
          <w:color w:val="4472C4" w:themeColor="accent5"/>
          <w:sz w:val="32"/>
          <w:szCs w:val="32"/>
        </w:rPr>
      </w:pPr>
      <w:bookmarkStart w:id="277" w:name="_Toc26534696"/>
      <w:bookmarkStart w:id="278" w:name="_Toc165035526"/>
      <w:r w:rsidRPr="003E695F">
        <w:rPr>
          <w:rFonts w:eastAsiaTheme="majorEastAsia" w:cstheme="minorHAnsi"/>
          <w:bCs/>
          <w:color w:val="4472C4" w:themeColor="accent5"/>
          <w:sz w:val="32"/>
          <w:szCs w:val="32"/>
        </w:rPr>
        <w:lastRenderedPageBreak/>
        <w:t>2.</w:t>
      </w:r>
      <w:r>
        <w:rPr>
          <w:rFonts w:eastAsiaTheme="majorEastAsia" w:cstheme="minorHAnsi"/>
          <w:bCs/>
          <w:color w:val="4472C4" w:themeColor="accent5"/>
          <w:sz w:val="32"/>
          <w:szCs w:val="32"/>
        </w:rPr>
        <w:t>9</w:t>
      </w:r>
      <w:r w:rsidRPr="003E695F">
        <w:rPr>
          <w:rFonts w:eastAsiaTheme="majorEastAsia" w:cstheme="minorHAnsi"/>
          <w:bCs/>
          <w:color w:val="4472C4" w:themeColor="accent5"/>
          <w:sz w:val="32"/>
          <w:szCs w:val="32"/>
        </w:rPr>
        <w:t>. Klinička ispitivanja</w:t>
      </w:r>
      <w:bookmarkEnd w:id="277"/>
      <w:bookmarkEnd w:id="278"/>
    </w:p>
    <w:p w14:paraId="2700F11B" w14:textId="77777777" w:rsidR="00EA51C4" w:rsidRPr="003E695F" w:rsidRDefault="00EA51C4" w:rsidP="00EA51C4">
      <w:pPr>
        <w:keepNext/>
        <w:keepLines/>
        <w:outlineLvl w:val="1"/>
        <w:rPr>
          <w:rFonts w:eastAsiaTheme="majorEastAsia" w:cstheme="minorHAnsi"/>
          <w:bCs/>
          <w:color w:val="4472C4" w:themeColor="accent5"/>
          <w:sz w:val="32"/>
          <w:szCs w:val="32"/>
        </w:rPr>
      </w:pPr>
    </w:p>
    <w:p w14:paraId="6A2E5F64" w14:textId="77777777" w:rsidR="00EA51C4" w:rsidRPr="003E695F" w:rsidRDefault="00EA51C4" w:rsidP="00EA51C4">
      <w:pPr>
        <w:spacing w:line="276" w:lineRule="auto"/>
        <w:jc w:val="both"/>
      </w:pPr>
      <w:r w:rsidRPr="003E695F">
        <w:t xml:space="preserve">Dana 31. siječnja 2022. godine stupila je na snagu Uredba (EU) 536/2014 Europskog parlamenta i Vijeća od 16. travnja 2014. godine o kliničkim ispitivanjima lijekova za primjenu kod ljudi te o stavljanju izvan snage Direktive 2001/20/EZ (engl. Clinical Trial Regulation, CTR) zajedno s Provedbenom uredbom Komisije (EU) 2022/20 оd 7. siječnja 2022. godine o utvrđivanju pravila za primjenu Uredbe (EU) br. 536/2014 Europskog parlamenta i Vijeća u pogledu utvrđivanja pravila i postupaka za suradnju država članica u ocjeni sigurnosti kliničkih ispitivanja, koja između ostalog definira i provođenje ocjene sigurnosti u kliničkim ispitivanjima. </w:t>
      </w:r>
    </w:p>
    <w:p w14:paraId="100E5D37" w14:textId="77777777" w:rsidR="00EA51C4" w:rsidRPr="003E695F" w:rsidRDefault="00EA51C4" w:rsidP="00EA51C4">
      <w:pPr>
        <w:spacing w:line="276" w:lineRule="auto"/>
        <w:jc w:val="both"/>
      </w:pPr>
      <w:r w:rsidRPr="003E695F">
        <w:t>Navedena Uredba (EU) 536/2014 u Republici Hrvatskoj preuzeta je Zakonom o provedbi Uredbe (EU) br. 536/2014 („Narodne novine“, broj 14/2019).</w:t>
      </w:r>
    </w:p>
    <w:p w14:paraId="121AD150" w14:textId="77777777" w:rsidR="00EA51C4" w:rsidRPr="003E695F" w:rsidRDefault="00EA51C4" w:rsidP="00EA51C4">
      <w:pPr>
        <w:spacing w:line="276" w:lineRule="auto"/>
        <w:jc w:val="both"/>
      </w:pPr>
      <w:r w:rsidRPr="003E695F">
        <w:t xml:space="preserve">Sukladno navedenom Ministarstvo zdravstva izradilo je Cjenik naknada za odobravanje zahtjeva za provođenje kliničkih ispitivanja lijekova i njihovih značajnih izmjena i dopuna sukladno regulatornom okviru Uredbe koji je objavljen na internetskim stranicama HALMEDa. </w:t>
      </w:r>
    </w:p>
    <w:p w14:paraId="29DCA4BC" w14:textId="77777777" w:rsidR="00EA51C4" w:rsidRDefault="00EA51C4" w:rsidP="00EA51C4">
      <w:pPr>
        <w:spacing w:line="276" w:lineRule="auto"/>
        <w:jc w:val="both"/>
      </w:pPr>
      <w:r w:rsidRPr="003E695F">
        <w:t>Za klinička is</w:t>
      </w:r>
      <w:r>
        <w:t>p</w:t>
      </w:r>
      <w:r w:rsidRPr="003E695F">
        <w:t xml:space="preserve">itivanja koja se u prijelaznom periodu </w:t>
      </w:r>
      <w:r>
        <w:t xml:space="preserve">od veljače 2022. godine </w:t>
      </w:r>
      <w:r w:rsidRPr="003E695F">
        <w:t xml:space="preserve">do 31. siječnja 2025. godine nastavljaju provoditi sukladno regulatornom okviru Direktive 2001/20/EZ i Zakona o lijekovima („Narodne novine“ br. 76/13, 90/14 i 100/18) naknade za odobravanje zahtjeva za provođenje kliničkih ispitivanja lijekova ostaju nepromijenjene. </w:t>
      </w:r>
    </w:p>
    <w:p w14:paraId="10A87C65" w14:textId="77777777" w:rsidR="00EA51C4" w:rsidRPr="003E695F" w:rsidRDefault="00EA51C4" w:rsidP="00EA51C4">
      <w:pPr>
        <w:spacing w:line="276" w:lineRule="auto"/>
        <w:ind w:left="708"/>
        <w:jc w:val="both"/>
      </w:pPr>
    </w:p>
    <w:p w14:paraId="2AB8D5BB" w14:textId="77777777" w:rsidR="00EA51C4" w:rsidRPr="003E695F" w:rsidRDefault="00EA51C4" w:rsidP="00EA51C4">
      <w:pPr>
        <w:keepNext/>
        <w:keepLines/>
        <w:spacing w:after="240" w:line="276" w:lineRule="auto"/>
        <w:outlineLvl w:val="2"/>
        <w:rPr>
          <w:rFonts w:eastAsiaTheme="majorEastAsia" w:cstheme="minorHAnsi"/>
          <w:bCs/>
          <w:color w:val="4472C4" w:themeColor="accent5"/>
          <w:sz w:val="28"/>
          <w:szCs w:val="28"/>
        </w:rPr>
      </w:pPr>
      <w:bookmarkStart w:id="279" w:name="_Toc26534697"/>
      <w:bookmarkStart w:id="280" w:name="_Toc165035527"/>
      <w:r w:rsidRPr="003E695F">
        <w:rPr>
          <w:rFonts w:eastAsiaTheme="majorEastAsia" w:cstheme="minorHAnsi"/>
          <w:bCs/>
          <w:color w:val="4472C4" w:themeColor="accent5"/>
          <w:sz w:val="28"/>
          <w:szCs w:val="28"/>
        </w:rPr>
        <w:t>2.</w:t>
      </w:r>
      <w:r>
        <w:rPr>
          <w:rFonts w:eastAsiaTheme="majorEastAsia" w:cstheme="minorHAnsi"/>
          <w:bCs/>
          <w:color w:val="4472C4" w:themeColor="accent5"/>
          <w:sz w:val="28"/>
          <w:szCs w:val="28"/>
        </w:rPr>
        <w:t>9</w:t>
      </w:r>
      <w:r w:rsidRPr="003E695F">
        <w:rPr>
          <w:rFonts w:eastAsiaTheme="majorEastAsia" w:cstheme="minorHAnsi"/>
          <w:bCs/>
          <w:color w:val="4472C4" w:themeColor="accent5"/>
          <w:sz w:val="28"/>
          <w:szCs w:val="28"/>
        </w:rPr>
        <w:t>.1. Središnje etičko povjerenstvo (SEP)</w:t>
      </w:r>
      <w:bookmarkEnd w:id="279"/>
      <w:bookmarkEnd w:id="280"/>
    </w:p>
    <w:p w14:paraId="0FEC32C4" w14:textId="77777777" w:rsidR="00EA51C4" w:rsidRPr="003E695F" w:rsidRDefault="00EA51C4" w:rsidP="00EA51C4">
      <w:pPr>
        <w:spacing w:after="240" w:line="276" w:lineRule="auto"/>
        <w:jc w:val="both"/>
      </w:pPr>
      <w:r w:rsidRPr="003E695F">
        <w:t>Temeljem odredbi Pravilnika o kliničkim ispitivanjima i dobroj kliničkoj praksi (Narodne novine, br. 121/07.) i Pravilnika o kliničkim ispitivanjima lijekova i dobroj kliničkoj praksi (Narodne novine, br. 25/15. i 124/15), Središnje etičko povjerenstvo (SEP) nadležno je za:</w:t>
      </w:r>
    </w:p>
    <w:p w14:paraId="736435C8" w14:textId="77777777" w:rsidR="00EA51C4" w:rsidRPr="003E695F" w:rsidRDefault="00EA51C4" w:rsidP="00EA51C4">
      <w:pPr>
        <w:numPr>
          <w:ilvl w:val="0"/>
          <w:numId w:val="20"/>
        </w:numPr>
        <w:spacing w:after="240" w:line="276" w:lineRule="auto"/>
        <w:ind w:left="0"/>
        <w:contextualSpacing/>
        <w:jc w:val="both"/>
        <w:rPr>
          <w:rFonts w:eastAsiaTheme="minorEastAsia"/>
        </w:rPr>
      </w:pPr>
      <w:r w:rsidRPr="003E695F">
        <w:rPr>
          <w:rFonts w:eastAsiaTheme="minorEastAsia"/>
        </w:rPr>
        <w:t>davanje mišljenja u postupku davanja odobrenja za kliničko ispitivanje lijeka i/ili medicinskog proizvoda, uključujući akademsko kliničko ispitivanje</w:t>
      </w:r>
    </w:p>
    <w:p w14:paraId="66703CC7" w14:textId="77777777" w:rsidR="00EA51C4" w:rsidRPr="003E695F" w:rsidRDefault="00EA51C4" w:rsidP="00EA51C4">
      <w:pPr>
        <w:numPr>
          <w:ilvl w:val="0"/>
          <w:numId w:val="20"/>
        </w:numPr>
        <w:spacing w:after="240" w:line="276" w:lineRule="auto"/>
        <w:ind w:left="0"/>
        <w:contextualSpacing/>
        <w:jc w:val="both"/>
        <w:rPr>
          <w:rFonts w:eastAsiaTheme="minorEastAsia"/>
        </w:rPr>
      </w:pPr>
      <w:r w:rsidRPr="003E695F">
        <w:rPr>
          <w:rFonts w:eastAsiaTheme="minorEastAsia"/>
        </w:rPr>
        <w:t>davanje mišljenja u postupku davanja odobrenja za neintervencijsko ispitivanje</w:t>
      </w:r>
    </w:p>
    <w:p w14:paraId="7AD899B2" w14:textId="77777777" w:rsidR="00EA51C4" w:rsidRPr="003E695F" w:rsidRDefault="00EA51C4" w:rsidP="00EA51C4">
      <w:pPr>
        <w:numPr>
          <w:ilvl w:val="0"/>
          <w:numId w:val="20"/>
        </w:numPr>
        <w:spacing w:after="240" w:line="276" w:lineRule="auto"/>
        <w:ind w:left="0"/>
        <w:contextualSpacing/>
        <w:jc w:val="both"/>
        <w:rPr>
          <w:rFonts w:eastAsiaTheme="minorEastAsia"/>
        </w:rPr>
      </w:pPr>
      <w:r w:rsidRPr="003E695F">
        <w:rPr>
          <w:rFonts w:eastAsiaTheme="minorEastAsia"/>
        </w:rPr>
        <w:t>prihvaćanje manjih izmjena i dodataka ranije odobrenome planu kliničkoga ispitivanja</w:t>
      </w:r>
    </w:p>
    <w:p w14:paraId="628D4815" w14:textId="77777777" w:rsidR="00EA51C4" w:rsidRPr="003E695F" w:rsidRDefault="00EA51C4" w:rsidP="00EA51C4">
      <w:pPr>
        <w:numPr>
          <w:ilvl w:val="0"/>
          <w:numId w:val="20"/>
        </w:numPr>
        <w:spacing w:after="240" w:line="276" w:lineRule="auto"/>
        <w:ind w:left="0"/>
        <w:contextualSpacing/>
        <w:jc w:val="both"/>
        <w:rPr>
          <w:rFonts w:eastAsiaTheme="minorEastAsia"/>
        </w:rPr>
      </w:pPr>
      <w:r w:rsidRPr="003E695F">
        <w:rPr>
          <w:rFonts w:eastAsiaTheme="minorEastAsia"/>
        </w:rPr>
        <w:t>davanje mišljenja u postupku davanja odobrenja većih izmjena i dodataka ranije odobrenome planu kliničkoga ispitivanja</w:t>
      </w:r>
    </w:p>
    <w:p w14:paraId="611348BC" w14:textId="77777777" w:rsidR="00EA51C4" w:rsidRPr="003E695F" w:rsidRDefault="00EA51C4" w:rsidP="00EA51C4">
      <w:pPr>
        <w:numPr>
          <w:ilvl w:val="0"/>
          <w:numId w:val="20"/>
        </w:numPr>
        <w:spacing w:after="240" w:line="276" w:lineRule="auto"/>
        <w:ind w:left="0"/>
        <w:contextualSpacing/>
        <w:jc w:val="both"/>
        <w:rPr>
          <w:rFonts w:eastAsiaTheme="minorEastAsia"/>
        </w:rPr>
      </w:pPr>
      <w:r w:rsidRPr="003E695F">
        <w:rPr>
          <w:rFonts w:eastAsiaTheme="minorEastAsia"/>
        </w:rPr>
        <w:t>prihvaćanje konačnoga izvješća o kliničkom ispitivanju.</w:t>
      </w:r>
    </w:p>
    <w:p w14:paraId="3BDA3ED8" w14:textId="77777777" w:rsidR="00EA51C4" w:rsidRPr="003E695F" w:rsidRDefault="00EA51C4" w:rsidP="00EA51C4">
      <w:pPr>
        <w:spacing w:after="240" w:line="276" w:lineRule="auto"/>
        <w:jc w:val="both"/>
      </w:pPr>
      <w:r w:rsidRPr="003E695F">
        <w:t xml:space="preserve">SEP je samostalno tijelo zdravstvenih radnika i drugih članova nemedicinske struke koje broji devetnaest članova. Predsjednika, zamjenika predsjednika i članove SEP-a imenuje ministar nadležan za zdravstvo. HALMED obavlja administrativne poslove za potrebe rada SEP-a. </w:t>
      </w:r>
    </w:p>
    <w:p w14:paraId="3EA9C98C" w14:textId="77777777" w:rsidR="00EA51C4" w:rsidRPr="003E695F" w:rsidRDefault="00EA51C4" w:rsidP="00EA51C4">
      <w:pPr>
        <w:spacing w:after="240" w:line="276" w:lineRule="auto"/>
        <w:jc w:val="both"/>
      </w:pPr>
      <w:r w:rsidRPr="008D5E5C">
        <w:t>SEP je u izvještajnom razdoblju održao 24 sjednice.</w:t>
      </w:r>
    </w:p>
    <w:p w14:paraId="12A5DAFA" w14:textId="77777777" w:rsidR="00EA51C4" w:rsidRDefault="00EA51C4" w:rsidP="00EA51C4">
      <w:pPr>
        <w:spacing w:line="276" w:lineRule="auto"/>
        <w:ind w:left="708"/>
      </w:pPr>
      <w:r>
        <w:br w:type="page"/>
      </w:r>
    </w:p>
    <w:p w14:paraId="7FCE577F" w14:textId="77777777" w:rsidR="00EA51C4" w:rsidRPr="003E695F" w:rsidRDefault="00EA51C4" w:rsidP="00EA51C4">
      <w:pPr>
        <w:spacing w:line="276" w:lineRule="auto"/>
        <w:ind w:left="708"/>
        <w:jc w:val="both"/>
      </w:pPr>
    </w:p>
    <w:p w14:paraId="29FFA98F" w14:textId="77777777" w:rsidR="00EA51C4" w:rsidRDefault="00EA51C4" w:rsidP="00EA51C4">
      <w:pPr>
        <w:keepNext/>
        <w:keepLines/>
        <w:spacing w:line="276" w:lineRule="auto"/>
        <w:outlineLvl w:val="2"/>
        <w:rPr>
          <w:rFonts w:eastAsiaTheme="majorEastAsia" w:cstheme="minorHAnsi"/>
          <w:bCs/>
          <w:color w:val="4472C4" w:themeColor="accent5"/>
          <w:sz w:val="28"/>
          <w:szCs w:val="28"/>
        </w:rPr>
      </w:pPr>
      <w:bookmarkStart w:id="281" w:name="_Toc26534698"/>
      <w:bookmarkStart w:id="282" w:name="_Toc165035528"/>
      <w:r w:rsidRPr="003E695F">
        <w:rPr>
          <w:rFonts w:eastAsiaTheme="majorEastAsia" w:cstheme="minorHAnsi"/>
          <w:bCs/>
          <w:color w:val="4472C4" w:themeColor="accent5"/>
          <w:sz w:val="28"/>
          <w:szCs w:val="28"/>
        </w:rPr>
        <w:t>2.</w:t>
      </w:r>
      <w:r>
        <w:rPr>
          <w:rFonts w:eastAsiaTheme="majorEastAsia" w:cstheme="minorHAnsi"/>
          <w:bCs/>
          <w:color w:val="4472C4" w:themeColor="accent5"/>
          <w:sz w:val="28"/>
          <w:szCs w:val="28"/>
        </w:rPr>
        <w:t>9</w:t>
      </w:r>
      <w:r w:rsidRPr="003E695F">
        <w:rPr>
          <w:rFonts w:eastAsiaTheme="majorEastAsia" w:cstheme="minorHAnsi"/>
          <w:bCs/>
          <w:color w:val="4472C4" w:themeColor="accent5"/>
          <w:sz w:val="28"/>
          <w:szCs w:val="28"/>
        </w:rPr>
        <w:t>.2. Izvršenje prihodovnih usluga</w:t>
      </w:r>
      <w:bookmarkEnd w:id="281"/>
      <w:bookmarkEnd w:id="282"/>
    </w:p>
    <w:p w14:paraId="5018A7B1" w14:textId="77777777" w:rsidR="00EA51C4" w:rsidRPr="003E695F" w:rsidRDefault="00EA51C4" w:rsidP="00EA51C4">
      <w:pPr>
        <w:keepNext/>
        <w:keepLines/>
        <w:spacing w:line="276" w:lineRule="auto"/>
        <w:outlineLvl w:val="2"/>
        <w:rPr>
          <w:rFonts w:eastAsiaTheme="majorEastAsia" w:cstheme="minorHAnsi"/>
          <w:bCs/>
          <w:color w:val="4472C4" w:themeColor="accent5"/>
          <w:sz w:val="28"/>
          <w:szCs w:val="28"/>
        </w:rPr>
      </w:pPr>
    </w:p>
    <w:p w14:paraId="5CE61BD9" w14:textId="77777777" w:rsidR="00EA51C4" w:rsidRPr="003E695F" w:rsidRDefault="00EA51C4" w:rsidP="00EA51C4">
      <w:pPr>
        <w:tabs>
          <w:tab w:val="center" w:pos="858"/>
          <w:tab w:val="center" w:pos="4320"/>
          <w:tab w:val="right" w:pos="8306"/>
          <w:tab w:val="right" w:pos="8640"/>
        </w:tabs>
        <w:spacing w:line="276" w:lineRule="auto"/>
        <w:jc w:val="both"/>
        <w:rPr>
          <w:rFonts w:eastAsia="Times New Roman" w:cstheme="minorHAnsi"/>
          <w:b/>
          <w:bCs/>
          <w:lang w:eastAsia="hr-HR"/>
        </w:rPr>
      </w:pPr>
      <w:r w:rsidRPr="003E695F">
        <w:rPr>
          <w:rFonts w:eastAsia="Times New Roman" w:cstheme="minorHAnsi"/>
          <w:b/>
          <w:bCs/>
          <w:lang w:eastAsia="hr-HR"/>
        </w:rPr>
        <w:t xml:space="preserve">Tablica </w:t>
      </w:r>
      <w:r>
        <w:rPr>
          <w:rFonts w:eastAsia="Times New Roman" w:cstheme="minorHAnsi"/>
          <w:b/>
          <w:bCs/>
          <w:lang w:eastAsia="hr-HR"/>
        </w:rPr>
        <w:t>33</w:t>
      </w:r>
      <w:r w:rsidRPr="003E695F">
        <w:rPr>
          <w:rFonts w:eastAsia="Times New Roman" w:cstheme="minorHAnsi"/>
          <w:b/>
          <w:bCs/>
          <w:lang w:eastAsia="hr-HR"/>
        </w:rPr>
        <w:t>. Izvršenje prihodovnih usluga Središnjeg etičkog povjerenstva (SEP)</w:t>
      </w:r>
    </w:p>
    <w:tbl>
      <w:tblPr>
        <w:tblW w:w="9082"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4167"/>
        <w:gridCol w:w="1417"/>
        <w:gridCol w:w="1504"/>
        <w:gridCol w:w="1275"/>
      </w:tblGrid>
      <w:tr w:rsidR="00EA51C4" w:rsidRPr="003E695F" w14:paraId="236B0376" w14:textId="77777777" w:rsidTr="00BA499D">
        <w:trPr>
          <w:trHeight w:val="284"/>
          <w:tblHeader/>
        </w:trPr>
        <w:tc>
          <w:tcPr>
            <w:tcW w:w="719" w:type="dxa"/>
            <w:vMerge w:val="restart"/>
            <w:shd w:val="clear" w:color="auto" w:fill="A3E7FF"/>
            <w:vAlign w:val="center"/>
            <w:hideMark/>
          </w:tcPr>
          <w:p w14:paraId="02C738EA" w14:textId="77777777" w:rsidR="00EA51C4" w:rsidRPr="003E695F" w:rsidRDefault="00EA51C4" w:rsidP="00BA499D">
            <w:pPr>
              <w:spacing w:line="276" w:lineRule="auto"/>
              <w:jc w:val="center"/>
              <w:rPr>
                <w:rFonts w:eastAsia="Times New Roman" w:cstheme="minorHAnsi"/>
                <w:b/>
                <w:bCs/>
                <w:sz w:val="18"/>
                <w:szCs w:val="18"/>
                <w:lang w:eastAsia="hr-HR"/>
              </w:rPr>
            </w:pPr>
            <w:r w:rsidRPr="003E695F">
              <w:rPr>
                <w:rFonts w:eastAsia="Times New Roman" w:cstheme="minorHAnsi"/>
                <w:b/>
                <w:bCs/>
                <w:sz w:val="18"/>
                <w:szCs w:val="18"/>
                <w:lang w:eastAsia="hr-HR"/>
              </w:rPr>
              <w:t>R.br.</w:t>
            </w:r>
          </w:p>
        </w:tc>
        <w:tc>
          <w:tcPr>
            <w:tcW w:w="4167" w:type="dxa"/>
            <w:vMerge w:val="restart"/>
            <w:shd w:val="clear" w:color="auto" w:fill="A3E7FF"/>
            <w:vAlign w:val="center"/>
            <w:hideMark/>
          </w:tcPr>
          <w:p w14:paraId="2FDF1DC2" w14:textId="77777777" w:rsidR="00EA51C4" w:rsidRPr="003E695F" w:rsidRDefault="00EA51C4" w:rsidP="00BA499D">
            <w:pPr>
              <w:spacing w:line="276" w:lineRule="auto"/>
              <w:rPr>
                <w:rFonts w:eastAsia="Times New Roman" w:cstheme="minorHAnsi"/>
                <w:b/>
                <w:bCs/>
                <w:sz w:val="18"/>
                <w:szCs w:val="18"/>
                <w:lang w:eastAsia="hr-HR"/>
              </w:rPr>
            </w:pPr>
            <w:r w:rsidRPr="003E695F">
              <w:rPr>
                <w:rFonts w:eastAsia="Times New Roman" w:cstheme="minorHAnsi"/>
                <w:b/>
                <w:bCs/>
                <w:sz w:val="18"/>
                <w:szCs w:val="18"/>
                <w:lang w:eastAsia="hr-HR"/>
              </w:rPr>
              <w:t>Naziv usluge</w:t>
            </w:r>
          </w:p>
        </w:tc>
        <w:tc>
          <w:tcPr>
            <w:tcW w:w="1417" w:type="dxa"/>
            <w:vMerge w:val="restart"/>
            <w:shd w:val="clear" w:color="auto" w:fill="A3E7FF"/>
            <w:vAlign w:val="center"/>
            <w:hideMark/>
          </w:tcPr>
          <w:p w14:paraId="1D857086" w14:textId="77777777" w:rsidR="00EA51C4" w:rsidRPr="003E695F" w:rsidRDefault="00EA51C4" w:rsidP="00BA499D">
            <w:pPr>
              <w:spacing w:line="276" w:lineRule="auto"/>
              <w:jc w:val="center"/>
              <w:rPr>
                <w:rFonts w:eastAsia="Times New Roman" w:cstheme="minorHAnsi"/>
                <w:b/>
                <w:bCs/>
                <w:sz w:val="18"/>
                <w:szCs w:val="18"/>
                <w:lang w:eastAsia="hr-HR"/>
              </w:rPr>
            </w:pPr>
            <w:r w:rsidRPr="003E695F">
              <w:rPr>
                <w:rFonts w:eastAsia="Times New Roman" w:cstheme="minorHAnsi"/>
                <w:b/>
                <w:bCs/>
                <w:sz w:val="18"/>
                <w:szCs w:val="18"/>
                <w:lang w:eastAsia="hr-HR"/>
              </w:rPr>
              <w:t>Plan za 202</w:t>
            </w:r>
            <w:r>
              <w:rPr>
                <w:rFonts w:eastAsia="Times New Roman" w:cstheme="minorHAnsi"/>
                <w:b/>
                <w:bCs/>
                <w:sz w:val="18"/>
                <w:szCs w:val="18"/>
                <w:lang w:eastAsia="hr-HR"/>
              </w:rPr>
              <w:t>3</w:t>
            </w:r>
            <w:r w:rsidRPr="003E695F">
              <w:rPr>
                <w:rFonts w:eastAsia="Times New Roman" w:cstheme="minorHAnsi"/>
                <w:b/>
                <w:bCs/>
                <w:sz w:val="18"/>
                <w:szCs w:val="18"/>
                <w:lang w:eastAsia="hr-HR"/>
              </w:rPr>
              <w:t>.</w:t>
            </w:r>
          </w:p>
        </w:tc>
        <w:tc>
          <w:tcPr>
            <w:tcW w:w="1504" w:type="dxa"/>
            <w:vMerge w:val="restart"/>
            <w:shd w:val="clear" w:color="auto" w:fill="A3E7FF"/>
            <w:vAlign w:val="center"/>
            <w:hideMark/>
          </w:tcPr>
          <w:p w14:paraId="233A9561" w14:textId="77777777" w:rsidR="00EA51C4" w:rsidRPr="003E695F" w:rsidRDefault="00EA51C4" w:rsidP="00BA499D">
            <w:pPr>
              <w:spacing w:line="276" w:lineRule="auto"/>
              <w:jc w:val="center"/>
              <w:rPr>
                <w:rFonts w:eastAsia="Times New Roman" w:cstheme="minorHAnsi"/>
                <w:b/>
                <w:bCs/>
                <w:sz w:val="18"/>
                <w:szCs w:val="18"/>
                <w:lang w:eastAsia="hr-HR"/>
              </w:rPr>
            </w:pPr>
            <w:r w:rsidRPr="003E695F">
              <w:rPr>
                <w:rFonts w:eastAsia="Times New Roman" w:cstheme="minorHAnsi"/>
                <w:b/>
                <w:bCs/>
                <w:sz w:val="18"/>
                <w:szCs w:val="18"/>
                <w:lang w:eastAsia="hr-HR"/>
              </w:rPr>
              <w:t>Izvršenje</w:t>
            </w:r>
          </w:p>
          <w:p w14:paraId="198175C5" w14:textId="77777777" w:rsidR="00EA51C4" w:rsidRPr="003E695F" w:rsidRDefault="00EA51C4" w:rsidP="00BA499D">
            <w:pPr>
              <w:spacing w:line="276" w:lineRule="auto"/>
              <w:jc w:val="center"/>
              <w:rPr>
                <w:rFonts w:eastAsia="Times New Roman" w:cstheme="minorHAnsi"/>
                <w:b/>
                <w:bCs/>
                <w:sz w:val="18"/>
                <w:szCs w:val="18"/>
                <w:lang w:eastAsia="hr-HR"/>
              </w:rPr>
            </w:pPr>
            <w:r w:rsidRPr="003E695F">
              <w:rPr>
                <w:rFonts w:eastAsia="Times New Roman" w:cstheme="minorHAnsi"/>
                <w:b/>
                <w:bCs/>
                <w:sz w:val="18"/>
                <w:szCs w:val="18"/>
                <w:lang w:eastAsia="hr-HR"/>
              </w:rPr>
              <w:t>01.01.-</w:t>
            </w:r>
            <w:r>
              <w:rPr>
                <w:rFonts w:eastAsia="Times New Roman" w:cstheme="minorHAnsi"/>
                <w:b/>
                <w:bCs/>
                <w:sz w:val="18"/>
                <w:szCs w:val="18"/>
                <w:lang w:eastAsia="hr-HR"/>
              </w:rPr>
              <w:t>31.12</w:t>
            </w:r>
            <w:r w:rsidRPr="003E695F">
              <w:rPr>
                <w:rFonts w:eastAsia="Times New Roman" w:cstheme="minorHAnsi"/>
                <w:b/>
                <w:bCs/>
                <w:sz w:val="18"/>
                <w:szCs w:val="18"/>
                <w:lang w:eastAsia="hr-HR"/>
              </w:rPr>
              <w:t>.202</w:t>
            </w:r>
            <w:r>
              <w:rPr>
                <w:rFonts w:eastAsia="Times New Roman" w:cstheme="minorHAnsi"/>
                <w:b/>
                <w:bCs/>
                <w:sz w:val="18"/>
                <w:szCs w:val="18"/>
                <w:lang w:eastAsia="hr-HR"/>
              </w:rPr>
              <w:t>3</w:t>
            </w:r>
            <w:r w:rsidRPr="003E695F">
              <w:rPr>
                <w:rFonts w:eastAsia="Times New Roman" w:cstheme="minorHAnsi"/>
                <w:b/>
                <w:bCs/>
                <w:sz w:val="18"/>
                <w:szCs w:val="18"/>
                <w:lang w:eastAsia="hr-HR"/>
              </w:rPr>
              <w:t>.</w:t>
            </w:r>
          </w:p>
        </w:tc>
        <w:tc>
          <w:tcPr>
            <w:tcW w:w="1275" w:type="dxa"/>
            <w:vMerge w:val="restart"/>
            <w:shd w:val="clear" w:color="auto" w:fill="A3E7FF"/>
            <w:vAlign w:val="center"/>
            <w:hideMark/>
          </w:tcPr>
          <w:p w14:paraId="168FBDA4" w14:textId="77777777" w:rsidR="00EA51C4" w:rsidRPr="003E695F" w:rsidRDefault="00EA51C4" w:rsidP="00BA499D">
            <w:pPr>
              <w:spacing w:line="276" w:lineRule="auto"/>
              <w:jc w:val="center"/>
              <w:rPr>
                <w:rFonts w:eastAsia="Times New Roman" w:cstheme="minorHAnsi"/>
                <w:b/>
                <w:bCs/>
                <w:sz w:val="18"/>
                <w:szCs w:val="18"/>
                <w:lang w:eastAsia="hr-HR"/>
              </w:rPr>
            </w:pPr>
            <w:r w:rsidRPr="003E695F">
              <w:rPr>
                <w:rFonts w:eastAsia="Times New Roman" w:cstheme="minorHAnsi"/>
                <w:b/>
                <w:bCs/>
                <w:sz w:val="18"/>
                <w:szCs w:val="18"/>
                <w:lang w:eastAsia="hr-HR"/>
              </w:rPr>
              <w:t>% izvršenja</w:t>
            </w:r>
          </w:p>
        </w:tc>
      </w:tr>
      <w:tr w:rsidR="00EA51C4" w:rsidRPr="003E695F" w14:paraId="699A015B" w14:textId="77777777" w:rsidTr="00BA499D">
        <w:trPr>
          <w:trHeight w:val="509"/>
          <w:tblHeader/>
        </w:trPr>
        <w:tc>
          <w:tcPr>
            <w:tcW w:w="719" w:type="dxa"/>
            <w:vMerge/>
            <w:shd w:val="clear" w:color="auto" w:fill="A3E7FF"/>
            <w:vAlign w:val="center"/>
            <w:hideMark/>
          </w:tcPr>
          <w:p w14:paraId="5B709943" w14:textId="77777777" w:rsidR="00EA51C4" w:rsidRPr="003E695F" w:rsidRDefault="00EA51C4" w:rsidP="00BA499D">
            <w:pPr>
              <w:spacing w:line="276" w:lineRule="auto"/>
              <w:jc w:val="center"/>
              <w:rPr>
                <w:rFonts w:eastAsia="Times New Roman" w:cstheme="minorHAnsi"/>
                <w:b/>
                <w:bCs/>
                <w:color w:val="000000"/>
                <w:sz w:val="18"/>
                <w:szCs w:val="18"/>
                <w:lang w:eastAsia="hr-HR"/>
              </w:rPr>
            </w:pPr>
          </w:p>
        </w:tc>
        <w:tc>
          <w:tcPr>
            <w:tcW w:w="4167" w:type="dxa"/>
            <w:vMerge/>
            <w:shd w:val="clear" w:color="auto" w:fill="A3E7FF"/>
            <w:vAlign w:val="center"/>
            <w:hideMark/>
          </w:tcPr>
          <w:p w14:paraId="09B47F8D" w14:textId="77777777" w:rsidR="00EA51C4" w:rsidRPr="003E695F" w:rsidRDefault="00EA51C4" w:rsidP="00BA499D">
            <w:pPr>
              <w:spacing w:line="276" w:lineRule="auto"/>
              <w:rPr>
                <w:rFonts w:eastAsia="Times New Roman" w:cstheme="minorHAnsi"/>
                <w:b/>
                <w:bCs/>
                <w:color w:val="000000"/>
                <w:sz w:val="18"/>
                <w:szCs w:val="18"/>
                <w:lang w:eastAsia="hr-HR"/>
              </w:rPr>
            </w:pPr>
          </w:p>
        </w:tc>
        <w:tc>
          <w:tcPr>
            <w:tcW w:w="1417" w:type="dxa"/>
            <w:vMerge/>
            <w:shd w:val="clear" w:color="auto" w:fill="A3E7FF"/>
            <w:vAlign w:val="center"/>
            <w:hideMark/>
          </w:tcPr>
          <w:p w14:paraId="6C8E0063" w14:textId="77777777" w:rsidR="00EA51C4" w:rsidRPr="003E695F" w:rsidRDefault="00EA51C4" w:rsidP="00BA499D">
            <w:pPr>
              <w:spacing w:line="276" w:lineRule="auto"/>
              <w:jc w:val="center"/>
              <w:rPr>
                <w:rFonts w:eastAsia="Times New Roman" w:cstheme="minorHAnsi"/>
                <w:b/>
                <w:bCs/>
                <w:color w:val="000000"/>
                <w:sz w:val="18"/>
                <w:szCs w:val="18"/>
                <w:lang w:eastAsia="hr-HR"/>
              </w:rPr>
            </w:pPr>
          </w:p>
        </w:tc>
        <w:tc>
          <w:tcPr>
            <w:tcW w:w="1504" w:type="dxa"/>
            <w:vMerge/>
            <w:shd w:val="clear" w:color="auto" w:fill="A3E7FF"/>
            <w:vAlign w:val="center"/>
            <w:hideMark/>
          </w:tcPr>
          <w:p w14:paraId="1EB1D0B3" w14:textId="77777777" w:rsidR="00EA51C4" w:rsidRPr="003E695F" w:rsidRDefault="00EA51C4" w:rsidP="00BA499D">
            <w:pPr>
              <w:spacing w:line="276" w:lineRule="auto"/>
              <w:jc w:val="center"/>
              <w:rPr>
                <w:rFonts w:eastAsia="Times New Roman" w:cstheme="minorHAnsi"/>
                <w:b/>
                <w:bCs/>
                <w:color w:val="000000"/>
                <w:sz w:val="18"/>
                <w:szCs w:val="18"/>
                <w:lang w:eastAsia="hr-HR"/>
              </w:rPr>
            </w:pPr>
          </w:p>
        </w:tc>
        <w:tc>
          <w:tcPr>
            <w:tcW w:w="1275" w:type="dxa"/>
            <w:vMerge/>
            <w:tcBorders>
              <w:bottom w:val="single" w:sz="4" w:space="0" w:color="auto"/>
            </w:tcBorders>
            <w:shd w:val="clear" w:color="auto" w:fill="A3E7FF"/>
            <w:vAlign w:val="center"/>
            <w:hideMark/>
          </w:tcPr>
          <w:p w14:paraId="26A02AE3" w14:textId="77777777" w:rsidR="00EA51C4" w:rsidRPr="003E695F" w:rsidRDefault="00EA51C4" w:rsidP="00BA499D">
            <w:pPr>
              <w:spacing w:line="276" w:lineRule="auto"/>
              <w:jc w:val="center"/>
              <w:rPr>
                <w:rFonts w:eastAsia="Times New Roman" w:cstheme="minorHAnsi"/>
                <w:b/>
                <w:bCs/>
                <w:color w:val="000000"/>
                <w:sz w:val="18"/>
                <w:szCs w:val="18"/>
                <w:lang w:eastAsia="hr-HR"/>
              </w:rPr>
            </w:pPr>
          </w:p>
        </w:tc>
      </w:tr>
      <w:tr w:rsidR="00EA51C4" w:rsidRPr="003E695F" w14:paraId="162B9013" w14:textId="77777777" w:rsidTr="00BA499D">
        <w:trPr>
          <w:trHeight w:val="142"/>
        </w:trPr>
        <w:tc>
          <w:tcPr>
            <w:tcW w:w="719" w:type="dxa"/>
            <w:shd w:val="clear" w:color="auto" w:fill="auto"/>
            <w:noWrap/>
            <w:vAlign w:val="center"/>
            <w:hideMark/>
          </w:tcPr>
          <w:p w14:paraId="5432F76B" w14:textId="77777777" w:rsidR="00EA51C4" w:rsidRPr="003E695F" w:rsidRDefault="00EA51C4" w:rsidP="00BA499D">
            <w:pPr>
              <w:spacing w:line="276" w:lineRule="auto"/>
              <w:jc w:val="center"/>
              <w:rPr>
                <w:rFonts w:eastAsia="Times New Roman" w:cstheme="minorHAnsi"/>
                <w:color w:val="1A1A1A"/>
                <w:sz w:val="18"/>
                <w:szCs w:val="18"/>
                <w:lang w:eastAsia="hr-HR"/>
              </w:rPr>
            </w:pPr>
            <w:r w:rsidRPr="003E695F">
              <w:rPr>
                <w:rFonts w:eastAsia="Times New Roman" w:cstheme="minorHAnsi"/>
                <w:color w:val="1A1A1A"/>
                <w:sz w:val="18"/>
                <w:szCs w:val="18"/>
                <w:lang w:eastAsia="hr-HR"/>
              </w:rPr>
              <w:t>1.</w:t>
            </w:r>
          </w:p>
        </w:tc>
        <w:tc>
          <w:tcPr>
            <w:tcW w:w="4167" w:type="dxa"/>
            <w:shd w:val="clear" w:color="auto" w:fill="auto"/>
            <w:vAlign w:val="center"/>
          </w:tcPr>
          <w:p w14:paraId="424AAB46" w14:textId="77777777" w:rsidR="00EA51C4" w:rsidRPr="003E695F" w:rsidRDefault="00EA51C4" w:rsidP="00BA499D">
            <w:pPr>
              <w:spacing w:line="276" w:lineRule="auto"/>
              <w:rPr>
                <w:color w:val="1A1A1A"/>
                <w:sz w:val="18"/>
                <w:szCs w:val="18"/>
              </w:rPr>
            </w:pPr>
            <w:r w:rsidRPr="003E695F">
              <w:rPr>
                <w:color w:val="1A1A1A"/>
                <w:sz w:val="18"/>
                <w:szCs w:val="18"/>
              </w:rPr>
              <w:t>Davanje mišljenja Središnjeg etičkog povjerenstva za kliničko ispitivanje</w:t>
            </w:r>
          </w:p>
        </w:tc>
        <w:tc>
          <w:tcPr>
            <w:tcW w:w="1417" w:type="dxa"/>
            <w:shd w:val="clear" w:color="auto" w:fill="auto"/>
            <w:noWrap/>
            <w:vAlign w:val="center"/>
          </w:tcPr>
          <w:p w14:paraId="45996962" w14:textId="77777777" w:rsidR="00EA51C4" w:rsidRPr="00424D85" w:rsidRDefault="00EA51C4" w:rsidP="00BA499D">
            <w:pPr>
              <w:spacing w:line="276" w:lineRule="auto"/>
              <w:jc w:val="center"/>
              <w:rPr>
                <w:bCs/>
                <w:sz w:val="18"/>
                <w:szCs w:val="18"/>
              </w:rPr>
            </w:pPr>
            <w:r w:rsidRPr="00220101">
              <w:rPr>
                <w:bCs/>
                <w:sz w:val="20"/>
                <w:szCs w:val="20"/>
              </w:rPr>
              <w:t>16</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6C9CFC" w14:textId="77777777" w:rsidR="00EA51C4" w:rsidRPr="0040415C" w:rsidRDefault="00EA51C4" w:rsidP="00BA499D">
            <w:pPr>
              <w:spacing w:line="276" w:lineRule="auto"/>
              <w:jc w:val="center"/>
              <w:rPr>
                <w:bCs/>
                <w:sz w:val="18"/>
                <w:szCs w:val="18"/>
              </w:rPr>
            </w:pPr>
            <w:r w:rsidRPr="007437E7">
              <w:rPr>
                <w:bCs/>
                <w:sz w:val="20"/>
                <w:szCs w:val="20"/>
              </w:rPr>
              <w:t>24</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6CF34DB" w14:textId="77777777" w:rsidR="00EA51C4" w:rsidRPr="0040415C" w:rsidRDefault="00EA51C4" w:rsidP="00BA499D">
            <w:pPr>
              <w:spacing w:line="276" w:lineRule="auto"/>
              <w:jc w:val="center"/>
              <w:rPr>
                <w:sz w:val="18"/>
                <w:szCs w:val="18"/>
              </w:rPr>
            </w:pPr>
            <w:r w:rsidRPr="0040415C">
              <w:rPr>
                <w:sz w:val="20"/>
                <w:szCs w:val="20"/>
              </w:rPr>
              <w:t>150%</w:t>
            </w:r>
          </w:p>
        </w:tc>
      </w:tr>
      <w:tr w:rsidR="00EA51C4" w:rsidRPr="003E695F" w14:paraId="564FAA98" w14:textId="77777777" w:rsidTr="00BA499D">
        <w:trPr>
          <w:trHeight w:val="142"/>
        </w:trPr>
        <w:tc>
          <w:tcPr>
            <w:tcW w:w="719" w:type="dxa"/>
            <w:shd w:val="clear" w:color="auto" w:fill="auto"/>
            <w:noWrap/>
            <w:vAlign w:val="center"/>
            <w:hideMark/>
          </w:tcPr>
          <w:p w14:paraId="2042EC91" w14:textId="77777777" w:rsidR="00EA51C4" w:rsidRPr="003E695F" w:rsidRDefault="00EA51C4" w:rsidP="00BA499D">
            <w:pPr>
              <w:spacing w:line="276" w:lineRule="auto"/>
              <w:jc w:val="center"/>
              <w:rPr>
                <w:rFonts w:eastAsia="Times New Roman" w:cstheme="minorHAnsi"/>
                <w:color w:val="1A1A1A"/>
                <w:sz w:val="18"/>
                <w:szCs w:val="18"/>
                <w:lang w:eastAsia="hr-HR"/>
              </w:rPr>
            </w:pPr>
            <w:r w:rsidRPr="003E695F">
              <w:rPr>
                <w:rFonts w:eastAsia="Times New Roman" w:cstheme="minorHAnsi"/>
                <w:color w:val="1A1A1A"/>
                <w:sz w:val="18"/>
                <w:szCs w:val="18"/>
                <w:lang w:eastAsia="hr-HR"/>
              </w:rPr>
              <w:t>2.</w:t>
            </w:r>
          </w:p>
        </w:tc>
        <w:tc>
          <w:tcPr>
            <w:tcW w:w="4167" w:type="dxa"/>
            <w:shd w:val="clear" w:color="auto" w:fill="auto"/>
            <w:vAlign w:val="center"/>
          </w:tcPr>
          <w:p w14:paraId="427A2AFA" w14:textId="77777777" w:rsidR="00EA51C4" w:rsidRPr="003E695F" w:rsidRDefault="00EA51C4" w:rsidP="00BA499D">
            <w:pPr>
              <w:spacing w:line="276" w:lineRule="auto"/>
              <w:rPr>
                <w:color w:val="1A1A1A"/>
                <w:sz w:val="18"/>
                <w:szCs w:val="18"/>
              </w:rPr>
            </w:pPr>
            <w:r w:rsidRPr="003E695F">
              <w:rPr>
                <w:color w:val="1A1A1A"/>
                <w:sz w:val="18"/>
                <w:szCs w:val="18"/>
              </w:rPr>
              <w:t>Davanje mišljenja Središnjeg etičkog povjerenstva za provođenje ispitivanja bioekvivalencije</w:t>
            </w:r>
          </w:p>
        </w:tc>
        <w:tc>
          <w:tcPr>
            <w:tcW w:w="1417" w:type="dxa"/>
            <w:shd w:val="clear" w:color="auto" w:fill="auto"/>
            <w:noWrap/>
            <w:vAlign w:val="center"/>
          </w:tcPr>
          <w:p w14:paraId="63CF8A6A" w14:textId="77777777" w:rsidR="00EA51C4" w:rsidRPr="00424D85" w:rsidRDefault="00EA51C4" w:rsidP="00BA499D">
            <w:pPr>
              <w:spacing w:line="276" w:lineRule="auto"/>
              <w:jc w:val="center"/>
              <w:rPr>
                <w:bCs/>
                <w:sz w:val="18"/>
                <w:szCs w:val="18"/>
              </w:rPr>
            </w:pPr>
            <w:r w:rsidRPr="00220101">
              <w:rPr>
                <w:bCs/>
                <w:sz w:val="20"/>
                <w:szCs w:val="20"/>
              </w:rPr>
              <w:t>0</w:t>
            </w:r>
          </w:p>
        </w:tc>
        <w:tc>
          <w:tcPr>
            <w:tcW w:w="1504" w:type="dxa"/>
            <w:tcBorders>
              <w:top w:val="nil"/>
              <w:left w:val="single" w:sz="4" w:space="0" w:color="auto"/>
              <w:bottom w:val="single" w:sz="4" w:space="0" w:color="auto"/>
              <w:right w:val="single" w:sz="4" w:space="0" w:color="auto"/>
            </w:tcBorders>
            <w:shd w:val="clear" w:color="auto" w:fill="auto"/>
            <w:noWrap/>
            <w:vAlign w:val="center"/>
          </w:tcPr>
          <w:p w14:paraId="2BFDFD4B" w14:textId="77777777" w:rsidR="00EA51C4" w:rsidRPr="0040415C" w:rsidRDefault="00EA51C4" w:rsidP="00BA499D">
            <w:pPr>
              <w:spacing w:line="276" w:lineRule="auto"/>
              <w:jc w:val="center"/>
              <w:rPr>
                <w:bCs/>
                <w:sz w:val="18"/>
                <w:szCs w:val="18"/>
              </w:rPr>
            </w:pPr>
            <w:r w:rsidRPr="007437E7">
              <w:rPr>
                <w:bCs/>
                <w:sz w:val="20"/>
                <w:szCs w:val="20"/>
              </w:rPr>
              <w:t>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9EAF898" w14:textId="77777777" w:rsidR="00EA51C4" w:rsidRPr="0040415C" w:rsidRDefault="00EA51C4" w:rsidP="00BA499D">
            <w:pPr>
              <w:spacing w:line="276" w:lineRule="auto"/>
              <w:jc w:val="center"/>
              <w:rPr>
                <w:sz w:val="18"/>
                <w:szCs w:val="18"/>
              </w:rPr>
            </w:pPr>
            <w:r>
              <w:rPr>
                <w:sz w:val="20"/>
                <w:szCs w:val="20"/>
              </w:rPr>
              <w:t>-</w:t>
            </w:r>
          </w:p>
        </w:tc>
      </w:tr>
      <w:tr w:rsidR="00EA51C4" w:rsidRPr="003E695F" w14:paraId="2E1E6CE7" w14:textId="77777777" w:rsidTr="00BA499D">
        <w:trPr>
          <w:trHeight w:val="142"/>
        </w:trPr>
        <w:tc>
          <w:tcPr>
            <w:tcW w:w="719" w:type="dxa"/>
            <w:shd w:val="clear" w:color="auto" w:fill="auto"/>
            <w:noWrap/>
            <w:vAlign w:val="center"/>
            <w:hideMark/>
          </w:tcPr>
          <w:p w14:paraId="49507F15" w14:textId="77777777" w:rsidR="00EA51C4" w:rsidRPr="003E695F" w:rsidRDefault="00EA51C4" w:rsidP="00BA499D">
            <w:pPr>
              <w:spacing w:line="276" w:lineRule="auto"/>
              <w:jc w:val="center"/>
              <w:rPr>
                <w:rFonts w:eastAsia="Times New Roman" w:cstheme="minorHAnsi"/>
                <w:color w:val="1A1A1A"/>
                <w:sz w:val="18"/>
                <w:szCs w:val="18"/>
                <w:lang w:eastAsia="hr-HR"/>
              </w:rPr>
            </w:pPr>
            <w:r w:rsidRPr="003E695F">
              <w:rPr>
                <w:rFonts w:eastAsia="Times New Roman" w:cstheme="minorHAnsi"/>
                <w:color w:val="1A1A1A"/>
                <w:sz w:val="18"/>
                <w:szCs w:val="18"/>
                <w:lang w:eastAsia="hr-HR"/>
              </w:rPr>
              <w:t>3.</w:t>
            </w:r>
          </w:p>
        </w:tc>
        <w:tc>
          <w:tcPr>
            <w:tcW w:w="4167" w:type="dxa"/>
            <w:shd w:val="clear" w:color="auto" w:fill="auto"/>
            <w:vAlign w:val="center"/>
          </w:tcPr>
          <w:p w14:paraId="302817C1" w14:textId="77777777" w:rsidR="00EA51C4" w:rsidRPr="003E695F" w:rsidRDefault="00EA51C4" w:rsidP="00BA499D">
            <w:pPr>
              <w:spacing w:line="276" w:lineRule="auto"/>
              <w:rPr>
                <w:color w:val="1A1A1A"/>
                <w:sz w:val="18"/>
                <w:szCs w:val="18"/>
              </w:rPr>
            </w:pPr>
            <w:r w:rsidRPr="003E695F">
              <w:rPr>
                <w:color w:val="1A1A1A"/>
                <w:sz w:val="18"/>
                <w:szCs w:val="18"/>
              </w:rPr>
              <w:t>Davanje mišljenja Središnjeg etičkog povjerenstva za provođenje neintervencijskog ispitivanja medicinskih proizvoda</w:t>
            </w:r>
          </w:p>
        </w:tc>
        <w:tc>
          <w:tcPr>
            <w:tcW w:w="1417" w:type="dxa"/>
            <w:shd w:val="clear" w:color="auto" w:fill="auto"/>
            <w:noWrap/>
            <w:vAlign w:val="center"/>
          </w:tcPr>
          <w:p w14:paraId="0D2419C3" w14:textId="77777777" w:rsidR="00EA51C4" w:rsidRPr="00424D85" w:rsidRDefault="00EA51C4" w:rsidP="00BA499D">
            <w:pPr>
              <w:spacing w:line="276" w:lineRule="auto"/>
              <w:jc w:val="center"/>
              <w:rPr>
                <w:bCs/>
                <w:sz w:val="18"/>
                <w:szCs w:val="18"/>
              </w:rPr>
            </w:pPr>
            <w:r w:rsidRPr="00220101">
              <w:rPr>
                <w:bCs/>
                <w:sz w:val="20"/>
                <w:szCs w:val="20"/>
              </w:rPr>
              <w:t>1</w:t>
            </w:r>
          </w:p>
        </w:tc>
        <w:tc>
          <w:tcPr>
            <w:tcW w:w="1504" w:type="dxa"/>
            <w:tcBorders>
              <w:top w:val="nil"/>
              <w:left w:val="single" w:sz="4" w:space="0" w:color="auto"/>
              <w:bottom w:val="single" w:sz="4" w:space="0" w:color="auto"/>
              <w:right w:val="single" w:sz="4" w:space="0" w:color="auto"/>
            </w:tcBorders>
            <w:shd w:val="clear" w:color="auto" w:fill="auto"/>
            <w:noWrap/>
            <w:vAlign w:val="center"/>
          </w:tcPr>
          <w:p w14:paraId="3CFD0EBA" w14:textId="77777777" w:rsidR="00EA51C4" w:rsidRPr="0040415C" w:rsidRDefault="00EA51C4" w:rsidP="00BA499D">
            <w:pPr>
              <w:spacing w:line="276" w:lineRule="auto"/>
              <w:jc w:val="center"/>
              <w:rPr>
                <w:bCs/>
                <w:sz w:val="18"/>
                <w:szCs w:val="18"/>
              </w:rPr>
            </w:pPr>
            <w:r w:rsidRPr="007437E7">
              <w:rPr>
                <w:bCs/>
                <w:sz w:val="20"/>
                <w:szCs w:val="20"/>
              </w:rPr>
              <w:t>2</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32ADAF3" w14:textId="77777777" w:rsidR="00EA51C4" w:rsidRPr="0040415C" w:rsidRDefault="00EA51C4" w:rsidP="00BA499D">
            <w:pPr>
              <w:spacing w:line="276" w:lineRule="auto"/>
              <w:jc w:val="center"/>
              <w:rPr>
                <w:sz w:val="18"/>
                <w:szCs w:val="18"/>
              </w:rPr>
            </w:pPr>
            <w:r w:rsidRPr="0040415C">
              <w:rPr>
                <w:sz w:val="20"/>
                <w:szCs w:val="20"/>
              </w:rPr>
              <w:t>200%</w:t>
            </w:r>
          </w:p>
        </w:tc>
      </w:tr>
      <w:tr w:rsidR="00EA51C4" w:rsidRPr="003E695F" w14:paraId="0F629E41" w14:textId="77777777" w:rsidTr="00BA499D">
        <w:trPr>
          <w:trHeight w:val="142"/>
        </w:trPr>
        <w:tc>
          <w:tcPr>
            <w:tcW w:w="719" w:type="dxa"/>
            <w:shd w:val="clear" w:color="auto" w:fill="auto"/>
            <w:noWrap/>
            <w:vAlign w:val="center"/>
          </w:tcPr>
          <w:p w14:paraId="60449E7A" w14:textId="77777777" w:rsidR="00EA51C4" w:rsidRPr="003E695F" w:rsidRDefault="00EA51C4" w:rsidP="00BA499D">
            <w:pPr>
              <w:spacing w:line="276" w:lineRule="auto"/>
              <w:jc w:val="center"/>
              <w:rPr>
                <w:rFonts w:eastAsia="Times New Roman" w:cstheme="minorHAnsi"/>
                <w:color w:val="1A1A1A"/>
                <w:sz w:val="18"/>
                <w:szCs w:val="18"/>
                <w:lang w:eastAsia="hr-HR"/>
              </w:rPr>
            </w:pPr>
            <w:r w:rsidRPr="003E695F">
              <w:rPr>
                <w:rFonts w:eastAsia="Times New Roman" w:cstheme="minorHAnsi"/>
                <w:color w:val="1A1A1A"/>
                <w:sz w:val="18"/>
                <w:szCs w:val="18"/>
                <w:lang w:eastAsia="hr-HR"/>
              </w:rPr>
              <w:t>4.</w:t>
            </w:r>
          </w:p>
        </w:tc>
        <w:tc>
          <w:tcPr>
            <w:tcW w:w="4167" w:type="dxa"/>
            <w:shd w:val="clear" w:color="auto" w:fill="auto"/>
            <w:vAlign w:val="center"/>
          </w:tcPr>
          <w:p w14:paraId="43808FE1" w14:textId="77777777" w:rsidR="00EA51C4" w:rsidRPr="003E695F" w:rsidRDefault="00EA51C4" w:rsidP="00BA499D">
            <w:pPr>
              <w:spacing w:line="276" w:lineRule="auto"/>
              <w:rPr>
                <w:color w:val="1A1A1A"/>
                <w:sz w:val="18"/>
                <w:szCs w:val="18"/>
              </w:rPr>
            </w:pPr>
            <w:r w:rsidRPr="003E695F">
              <w:rPr>
                <w:color w:val="1A1A1A"/>
                <w:sz w:val="18"/>
                <w:szCs w:val="18"/>
              </w:rPr>
              <w:t>Davanje mišljenja Središnjeg etičkog povjerenstva za provođenje neintervencijskog ispitivanja lijekova</w:t>
            </w:r>
          </w:p>
        </w:tc>
        <w:tc>
          <w:tcPr>
            <w:tcW w:w="1417" w:type="dxa"/>
            <w:shd w:val="clear" w:color="auto" w:fill="auto"/>
            <w:noWrap/>
            <w:vAlign w:val="center"/>
          </w:tcPr>
          <w:p w14:paraId="361C713F" w14:textId="77777777" w:rsidR="00EA51C4" w:rsidRPr="00424D85" w:rsidRDefault="00EA51C4" w:rsidP="00BA499D">
            <w:pPr>
              <w:spacing w:line="276" w:lineRule="auto"/>
              <w:jc w:val="center"/>
              <w:rPr>
                <w:bCs/>
                <w:sz w:val="18"/>
                <w:szCs w:val="18"/>
              </w:rPr>
            </w:pPr>
            <w:r w:rsidRPr="00220101">
              <w:rPr>
                <w:bCs/>
                <w:sz w:val="20"/>
                <w:szCs w:val="20"/>
              </w:rPr>
              <w:t>8</w:t>
            </w:r>
          </w:p>
        </w:tc>
        <w:tc>
          <w:tcPr>
            <w:tcW w:w="1504" w:type="dxa"/>
            <w:tcBorders>
              <w:top w:val="nil"/>
              <w:left w:val="single" w:sz="4" w:space="0" w:color="auto"/>
              <w:bottom w:val="single" w:sz="4" w:space="0" w:color="auto"/>
              <w:right w:val="single" w:sz="4" w:space="0" w:color="auto"/>
            </w:tcBorders>
            <w:shd w:val="clear" w:color="auto" w:fill="auto"/>
            <w:noWrap/>
            <w:vAlign w:val="center"/>
          </w:tcPr>
          <w:p w14:paraId="7C3154CD" w14:textId="77777777" w:rsidR="00EA51C4" w:rsidRPr="0040415C" w:rsidRDefault="00EA51C4" w:rsidP="00BA499D">
            <w:pPr>
              <w:spacing w:line="276" w:lineRule="auto"/>
              <w:jc w:val="center"/>
              <w:rPr>
                <w:bCs/>
                <w:sz w:val="18"/>
                <w:szCs w:val="18"/>
              </w:rPr>
            </w:pPr>
            <w:r w:rsidRPr="007437E7">
              <w:rPr>
                <w:bCs/>
                <w:sz w:val="20"/>
                <w:szCs w:val="20"/>
              </w:rPr>
              <w:t>3</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B8F314A" w14:textId="77777777" w:rsidR="00EA51C4" w:rsidRPr="0040415C" w:rsidRDefault="00EA51C4" w:rsidP="00BA499D">
            <w:pPr>
              <w:spacing w:line="276" w:lineRule="auto"/>
              <w:jc w:val="center"/>
              <w:rPr>
                <w:sz w:val="18"/>
                <w:szCs w:val="18"/>
              </w:rPr>
            </w:pPr>
            <w:r w:rsidRPr="0040415C">
              <w:rPr>
                <w:sz w:val="20"/>
                <w:szCs w:val="20"/>
              </w:rPr>
              <w:t>38%</w:t>
            </w:r>
          </w:p>
        </w:tc>
      </w:tr>
      <w:tr w:rsidR="00EA51C4" w:rsidRPr="003E695F" w14:paraId="75AF9E96" w14:textId="77777777" w:rsidTr="00BA499D">
        <w:trPr>
          <w:trHeight w:val="142"/>
        </w:trPr>
        <w:tc>
          <w:tcPr>
            <w:tcW w:w="719" w:type="dxa"/>
            <w:shd w:val="clear" w:color="auto" w:fill="auto"/>
            <w:noWrap/>
            <w:vAlign w:val="center"/>
          </w:tcPr>
          <w:p w14:paraId="555DEA32" w14:textId="77777777" w:rsidR="00EA51C4" w:rsidRPr="003E695F" w:rsidRDefault="00EA51C4" w:rsidP="00BA499D">
            <w:pPr>
              <w:spacing w:line="276" w:lineRule="auto"/>
              <w:jc w:val="center"/>
              <w:rPr>
                <w:rFonts w:eastAsia="Times New Roman" w:cstheme="minorHAnsi"/>
                <w:color w:val="1A1A1A"/>
                <w:sz w:val="18"/>
                <w:szCs w:val="18"/>
                <w:lang w:eastAsia="hr-HR"/>
              </w:rPr>
            </w:pPr>
            <w:r w:rsidRPr="003E695F">
              <w:rPr>
                <w:rFonts w:eastAsia="Times New Roman" w:cstheme="minorHAnsi"/>
                <w:color w:val="1A1A1A"/>
                <w:sz w:val="18"/>
                <w:szCs w:val="18"/>
                <w:lang w:eastAsia="hr-HR"/>
              </w:rPr>
              <w:t>5.</w:t>
            </w:r>
          </w:p>
        </w:tc>
        <w:tc>
          <w:tcPr>
            <w:tcW w:w="4167" w:type="dxa"/>
            <w:shd w:val="clear" w:color="auto" w:fill="auto"/>
            <w:vAlign w:val="center"/>
          </w:tcPr>
          <w:p w14:paraId="0EEE5E0D" w14:textId="77777777" w:rsidR="00EA51C4" w:rsidRPr="003E695F" w:rsidRDefault="00EA51C4" w:rsidP="00BA499D">
            <w:pPr>
              <w:spacing w:line="276" w:lineRule="auto"/>
              <w:rPr>
                <w:color w:val="1A1A1A"/>
                <w:sz w:val="18"/>
                <w:szCs w:val="18"/>
              </w:rPr>
            </w:pPr>
            <w:r w:rsidRPr="003E695F">
              <w:rPr>
                <w:color w:val="1A1A1A"/>
                <w:sz w:val="18"/>
                <w:szCs w:val="18"/>
              </w:rPr>
              <w:t xml:space="preserve">Davanje mišljenja središnjeg etičkog povjerenstva za akademska ispitivanja </w:t>
            </w:r>
          </w:p>
        </w:tc>
        <w:tc>
          <w:tcPr>
            <w:tcW w:w="1417" w:type="dxa"/>
            <w:shd w:val="clear" w:color="auto" w:fill="auto"/>
            <w:noWrap/>
            <w:vAlign w:val="center"/>
          </w:tcPr>
          <w:p w14:paraId="699AE30D" w14:textId="77777777" w:rsidR="00EA51C4" w:rsidRPr="00424D85" w:rsidRDefault="00EA51C4" w:rsidP="00BA499D">
            <w:pPr>
              <w:spacing w:line="276" w:lineRule="auto"/>
              <w:jc w:val="center"/>
              <w:rPr>
                <w:bCs/>
                <w:sz w:val="18"/>
                <w:szCs w:val="18"/>
              </w:rPr>
            </w:pPr>
            <w:r w:rsidRPr="00220101">
              <w:rPr>
                <w:bCs/>
                <w:sz w:val="20"/>
                <w:szCs w:val="20"/>
              </w:rPr>
              <w:t>0</w:t>
            </w:r>
          </w:p>
        </w:tc>
        <w:tc>
          <w:tcPr>
            <w:tcW w:w="1504" w:type="dxa"/>
            <w:tcBorders>
              <w:top w:val="nil"/>
              <w:left w:val="single" w:sz="4" w:space="0" w:color="auto"/>
              <w:bottom w:val="single" w:sz="4" w:space="0" w:color="auto"/>
              <w:right w:val="single" w:sz="4" w:space="0" w:color="auto"/>
            </w:tcBorders>
            <w:shd w:val="clear" w:color="auto" w:fill="auto"/>
            <w:noWrap/>
            <w:vAlign w:val="center"/>
          </w:tcPr>
          <w:p w14:paraId="76054AC0" w14:textId="77777777" w:rsidR="00EA51C4" w:rsidRPr="0040415C" w:rsidRDefault="00EA51C4" w:rsidP="00BA499D">
            <w:pPr>
              <w:spacing w:line="276" w:lineRule="auto"/>
              <w:jc w:val="center"/>
              <w:rPr>
                <w:bCs/>
                <w:sz w:val="18"/>
                <w:szCs w:val="18"/>
              </w:rPr>
            </w:pPr>
            <w:r w:rsidRPr="007437E7">
              <w:rPr>
                <w:bCs/>
                <w:sz w:val="20"/>
                <w:szCs w:val="20"/>
              </w:rPr>
              <w:t>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411B092" w14:textId="77777777" w:rsidR="00EA51C4" w:rsidRPr="0040415C" w:rsidRDefault="00EA51C4" w:rsidP="00BA499D">
            <w:pPr>
              <w:spacing w:line="276" w:lineRule="auto"/>
              <w:jc w:val="center"/>
              <w:rPr>
                <w:sz w:val="18"/>
                <w:szCs w:val="18"/>
              </w:rPr>
            </w:pPr>
            <w:r>
              <w:rPr>
                <w:sz w:val="20"/>
                <w:szCs w:val="20"/>
              </w:rPr>
              <w:t>-</w:t>
            </w:r>
          </w:p>
        </w:tc>
      </w:tr>
      <w:tr w:rsidR="00EA51C4" w:rsidRPr="003E695F" w14:paraId="2EF96DD4" w14:textId="77777777" w:rsidTr="00BA499D">
        <w:trPr>
          <w:trHeight w:val="142"/>
        </w:trPr>
        <w:tc>
          <w:tcPr>
            <w:tcW w:w="719" w:type="dxa"/>
            <w:shd w:val="clear" w:color="auto" w:fill="auto"/>
            <w:noWrap/>
            <w:vAlign w:val="center"/>
          </w:tcPr>
          <w:p w14:paraId="6D63E09E" w14:textId="77777777" w:rsidR="00EA51C4" w:rsidRPr="003E695F" w:rsidRDefault="00EA51C4" w:rsidP="00BA499D">
            <w:pPr>
              <w:spacing w:line="276" w:lineRule="auto"/>
              <w:jc w:val="center"/>
              <w:rPr>
                <w:rFonts w:eastAsia="Times New Roman" w:cstheme="minorHAnsi"/>
                <w:color w:val="1A1A1A"/>
                <w:sz w:val="18"/>
                <w:szCs w:val="18"/>
                <w:lang w:eastAsia="hr-HR"/>
              </w:rPr>
            </w:pPr>
            <w:r w:rsidRPr="003E695F">
              <w:rPr>
                <w:rFonts w:eastAsia="Times New Roman" w:cstheme="minorHAnsi"/>
                <w:color w:val="1A1A1A"/>
                <w:sz w:val="18"/>
                <w:szCs w:val="18"/>
                <w:lang w:eastAsia="hr-HR"/>
              </w:rPr>
              <w:t>6.</w:t>
            </w:r>
          </w:p>
        </w:tc>
        <w:tc>
          <w:tcPr>
            <w:tcW w:w="4167" w:type="dxa"/>
            <w:shd w:val="clear" w:color="auto" w:fill="auto"/>
            <w:vAlign w:val="center"/>
          </w:tcPr>
          <w:p w14:paraId="2BACFE9E" w14:textId="77777777" w:rsidR="00EA51C4" w:rsidRPr="003E695F" w:rsidRDefault="00EA51C4" w:rsidP="00BA499D">
            <w:pPr>
              <w:spacing w:line="276" w:lineRule="auto"/>
              <w:rPr>
                <w:color w:val="1A1A1A"/>
                <w:sz w:val="18"/>
                <w:szCs w:val="18"/>
              </w:rPr>
            </w:pPr>
            <w:r w:rsidRPr="003E695F">
              <w:rPr>
                <w:color w:val="1A1A1A"/>
                <w:sz w:val="18"/>
                <w:szCs w:val="18"/>
              </w:rPr>
              <w:t>Veće izmjene i dodaci kliničkom ispitivanju</w:t>
            </w:r>
          </w:p>
        </w:tc>
        <w:tc>
          <w:tcPr>
            <w:tcW w:w="1417" w:type="dxa"/>
            <w:shd w:val="clear" w:color="auto" w:fill="auto"/>
            <w:noWrap/>
            <w:vAlign w:val="center"/>
          </w:tcPr>
          <w:p w14:paraId="26B0B88F" w14:textId="77777777" w:rsidR="00EA51C4" w:rsidRPr="00424D85" w:rsidRDefault="00EA51C4" w:rsidP="00BA499D">
            <w:pPr>
              <w:spacing w:line="276" w:lineRule="auto"/>
              <w:jc w:val="center"/>
              <w:rPr>
                <w:bCs/>
                <w:sz w:val="18"/>
                <w:szCs w:val="18"/>
              </w:rPr>
            </w:pPr>
            <w:r w:rsidRPr="00220101">
              <w:rPr>
                <w:bCs/>
                <w:sz w:val="20"/>
                <w:szCs w:val="20"/>
              </w:rPr>
              <w:t>195</w:t>
            </w:r>
          </w:p>
        </w:tc>
        <w:tc>
          <w:tcPr>
            <w:tcW w:w="1504" w:type="dxa"/>
            <w:tcBorders>
              <w:top w:val="nil"/>
              <w:left w:val="single" w:sz="4" w:space="0" w:color="auto"/>
              <w:bottom w:val="single" w:sz="4" w:space="0" w:color="auto"/>
              <w:right w:val="single" w:sz="4" w:space="0" w:color="auto"/>
            </w:tcBorders>
            <w:shd w:val="clear" w:color="auto" w:fill="auto"/>
            <w:noWrap/>
            <w:vAlign w:val="center"/>
          </w:tcPr>
          <w:p w14:paraId="64A51286" w14:textId="77777777" w:rsidR="00EA51C4" w:rsidRPr="0040415C" w:rsidRDefault="00EA51C4" w:rsidP="00BA499D">
            <w:pPr>
              <w:spacing w:line="276" w:lineRule="auto"/>
              <w:jc w:val="center"/>
              <w:rPr>
                <w:bCs/>
                <w:sz w:val="18"/>
                <w:szCs w:val="18"/>
              </w:rPr>
            </w:pPr>
            <w:r w:rsidRPr="007437E7">
              <w:rPr>
                <w:bCs/>
                <w:sz w:val="20"/>
                <w:szCs w:val="20"/>
              </w:rPr>
              <w:t>216</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BC490F2" w14:textId="77777777" w:rsidR="00EA51C4" w:rsidRPr="0040415C" w:rsidRDefault="00EA51C4" w:rsidP="00BA499D">
            <w:pPr>
              <w:spacing w:line="276" w:lineRule="auto"/>
              <w:jc w:val="center"/>
              <w:rPr>
                <w:sz w:val="18"/>
                <w:szCs w:val="18"/>
              </w:rPr>
            </w:pPr>
            <w:r w:rsidRPr="0040415C">
              <w:rPr>
                <w:sz w:val="20"/>
                <w:szCs w:val="20"/>
              </w:rPr>
              <w:t>111%</w:t>
            </w:r>
          </w:p>
        </w:tc>
      </w:tr>
      <w:tr w:rsidR="00EA51C4" w:rsidRPr="003E695F" w14:paraId="25FBBA24" w14:textId="77777777" w:rsidTr="00BA499D">
        <w:trPr>
          <w:trHeight w:val="142"/>
        </w:trPr>
        <w:tc>
          <w:tcPr>
            <w:tcW w:w="719" w:type="dxa"/>
            <w:shd w:val="clear" w:color="auto" w:fill="auto"/>
            <w:noWrap/>
            <w:vAlign w:val="center"/>
          </w:tcPr>
          <w:p w14:paraId="31F736A8" w14:textId="77777777" w:rsidR="00EA51C4" w:rsidRPr="003E695F" w:rsidRDefault="00EA51C4" w:rsidP="00BA499D">
            <w:pPr>
              <w:spacing w:line="276" w:lineRule="auto"/>
              <w:jc w:val="center"/>
              <w:rPr>
                <w:rFonts w:eastAsia="Times New Roman" w:cstheme="minorHAnsi"/>
                <w:color w:val="1A1A1A"/>
                <w:sz w:val="18"/>
                <w:szCs w:val="18"/>
                <w:lang w:eastAsia="hr-HR"/>
              </w:rPr>
            </w:pPr>
            <w:r w:rsidRPr="003E695F">
              <w:rPr>
                <w:rFonts w:eastAsia="Times New Roman" w:cstheme="minorHAnsi"/>
                <w:color w:val="1A1A1A"/>
                <w:sz w:val="18"/>
                <w:szCs w:val="18"/>
                <w:lang w:eastAsia="hr-HR"/>
              </w:rPr>
              <w:t>7.</w:t>
            </w:r>
          </w:p>
        </w:tc>
        <w:tc>
          <w:tcPr>
            <w:tcW w:w="4167" w:type="dxa"/>
            <w:shd w:val="clear" w:color="auto" w:fill="auto"/>
            <w:vAlign w:val="center"/>
          </w:tcPr>
          <w:p w14:paraId="73F8A04C" w14:textId="77777777" w:rsidR="00EA51C4" w:rsidRPr="003E695F" w:rsidRDefault="00EA51C4" w:rsidP="00BA499D">
            <w:pPr>
              <w:spacing w:line="276" w:lineRule="auto"/>
              <w:rPr>
                <w:color w:val="1A1A1A"/>
                <w:sz w:val="18"/>
                <w:szCs w:val="18"/>
              </w:rPr>
            </w:pPr>
            <w:r w:rsidRPr="003E695F">
              <w:rPr>
                <w:color w:val="1A1A1A"/>
                <w:sz w:val="18"/>
                <w:szCs w:val="18"/>
              </w:rPr>
              <w:t>Manje administrativne izmjene i dodaci, dodatni ispitivački centri i izmjene glavnih ispitivača</w:t>
            </w:r>
          </w:p>
        </w:tc>
        <w:tc>
          <w:tcPr>
            <w:tcW w:w="1417" w:type="dxa"/>
            <w:shd w:val="clear" w:color="auto" w:fill="auto"/>
            <w:noWrap/>
            <w:vAlign w:val="center"/>
          </w:tcPr>
          <w:p w14:paraId="242A7893" w14:textId="77777777" w:rsidR="00EA51C4" w:rsidRPr="00424D85" w:rsidRDefault="00EA51C4" w:rsidP="00BA499D">
            <w:pPr>
              <w:spacing w:line="276" w:lineRule="auto"/>
              <w:jc w:val="center"/>
              <w:rPr>
                <w:bCs/>
                <w:sz w:val="18"/>
                <w:szCs w:val="18"/>
              </w:rPr>
            </w:pPr>
            <w:r w:rsidRPr="00220101">
              <w:rPr>
                <w:bCs/>
                <w:sz w:val="20"/>
                <w:szCs w:val="20"/>
              </w:rPr>
              <w:t>63</w:t>
            </w:r>
          </w:p>
        </w:tc>
        <w:tc>
          <w:tcPr>
            <w:tcW w:w="1504" w:type="dxa"/>
            <w:tcBorders>
              <w:top w:val="nil"/>
              <w:left w:val="single" w:sz="4" w:space="0" w:color="auto"/>
              <w:bottom w:val="single" w:sz="4" w:space="0" w:color="auto"/>
              <w:right w:val="single" w:sz="4" w:space="0" w:color="auto"/>
            </w:tcBorders>
            <w:shd w:val="clear" w:color="auto" w:fill="auto"/>
            <w:noWrap/>
            <w:vAlign w:val="center"/>
          </w:tcPr>
          <w:p w14:paraId="0C6067B6" w14:textId="77777777" w:rsidR="00EA51C4" w:rsidRPr="0040415C" w:rsidRDefault="00EA51C4" w:rsidP="00BA499D">
            <w:pPr>
              <w:spacing w:line="276" w:lineRule="auto"/>
              <w:jc w:val="center"/>
              <w:rPr>
                <w:bCs/>
                <w:sz w:val="18"/>
                <w:szCs w:val="18"/>
              </w:rPr>
            </w:pPr>
            <w:r w:rsidRPr="007437E7">
              <w:rPr>
                <w:bCs/>
                <w:sz w:val="20"/>
                <w:szCs w:val="20"/>
              </w:rPr>
              <w:t>79</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9776F75" w14:textId="77777777" w:rsidR="00EA51C4" w:rsidRPr="0040415C" w:rsidRDefault="00EA51C4" w:rsidP="00BA499D">
            <w:pPr>
              <w:spacing w:line="276" w:lineRule="auto"/>
              <w:jc w:val="center"/>
              <w:rPr>
                <w:sz w:val="18"/>
                <w:szCs w:val="18"/>
              </w:rPr>
            </w:pPr>
            <w:r w:rsidRPr="0040415C">
              <w:rPr>
                <w:sz w:val="20"/>
                <w:szCs w:val="20"/>
              </w:rPr>
              <w:t>125%</w:t>
            </w:r>
          </w:p>
        </w:tc>
      </w:tr>
      <w:tr w:rsidR="00EA51C4" w:rsidRPr="003E695F" w14:paraId="2460934C" w14:textId="77777777" w:rsidTr="00BA499D">
        <w:trPr>
          <w:trHeight w:val="142"/>
        </w:trPr>
        <w:tc>
          <w:tcPr>
            <w:tcW w:w="719" w:type="dxa"/>
            <w:shd w:val="clear" w:color="auto" w:fill="auto"/>
            <w:noWrap/>
            <w:vAlign w:val="center"/>
          </w:tcPr>
          <w:p w14:paraId="4520BA5D" w14:textId="77777777" w:rsidR="00EA51C4" w:rsidRPr="008C3579" w:rsidRDefault="00EA51C4" w:rsidP="00BA499D">
            <w:pPr>
              <w:spacing w:line="276" w:lineRule="auto"/>
              <w:rPr>
                <w:bCs/>
                <w:sz w:val="20"/>
                <w:szCs w:val="20"/>
              </w:rPr>
            </w:pPr>
            <w:r>
              <w:rPr>
                <w:bCs/>
                <w:sz w:val="20"/>
                <w:szCs w:val="20"/>
              </w:rPr>
              <w:t xml:space="preserve">    </w:t>
            </w:r>
            <w:r w:rsidRPr="008C3579">
              <w:rPr>
                <w:bCs/>
                <w:sz w:val="20"/>
                <w:szCs w:val="20"/>
              </w:rPr>
              <w:t>8.</w:t>
            </w:r>
          </w:p>
        </w:tc>
        <w:tc>
          <w:tcPr>
            <w:tcW w:w="8363" w:type="dxa"/>
            <w:gridSpan w:val="4"/>
            <w:tcBorders>
              <w:right w:val="single" w:sz="4" w:space="0" w:color="auto"/>
            </w:tcBorders>
            <w:shd w:val="clear" w:color="auto" w:fill="auto"/>
            <w:vAlign w:val="center"/>
          </w:tcPr>
          <w:p w14:paraId="139A5FF9" w14:textId="77777777" w:rsidR="00EA51C4" w:rsidRPr="0025795B" w:rsidRDefault="00EA51C4" w:rsidP="00BA499D">
            <w:pPr>
              <w:spacing w:line="276" w:lineRule="auto"/>
              <w:rPr>
                <w:color w:val="1A1A1A"/>
                <w:sz w:val="18"/>
                <w:szCs w:val="18"/>
              </w:rPr>
            </w:pPr>
            <w:r w:rsidRPr="0025795B">
              <w:rPr>
                <w:color w:val="1A1A1A"/>
                <w:sz w:val="18"/>
                <w:szCs w:val="18"/>
              </w:rPr>
              <w:t>Inicijalni zahtjevi</w:t>
            </w:r>
          </w:p>
        </w:tc>
      </w:tr>
      <w:tr w:rsidR="00EA51C4" w:rsidRPr="003E695F" w14:paraId="00A747BB" w14:textId="77777777" w:rsidTr="00BA499D">
        <w:trPr>
          <w:trHeight w:val="142"/>
        </w:trPr>
        <w:tc>
          <w:tcPr>
            <w:tcW w:w="719" w:type="dxa"/>
            <w:shd w:val="clear" w:color="auto" w:fill="auto"/>
            <w:noWrap/>
            <w:vAlign w:val="center"/>
          </w:tcPr>
          <w:p w14:paraId="27FF9B29" w14:textId="77777777" w:rsidR="00EA51C4" w:rsidRPr="008C3579" w:rsidRDefault="00EA51C4" w:rsidP="00BA499D">
            <w:pPr>
              <w:spacing w:line="276" w:lineRule="auto"/>
              <w:rPr>
                <w:bCs/>
                <w:sz w:val="20"/>
                <w:szCs w:val="20"/>
              </w:rPr>
            </w:pPr>
            <w:r w:rsidRPr="008C3579">
              <w:rPr>
                <w:bCs/>
                <w:sz w:val="20"/>
                <w:szCs w:val="20"/>
              </w:rPr>
              <w:t>8.1.</w:t>
            </w:r>
          </w:p>
        </w:tc>
        <w:tc>
          <w:tcPr>
            <w:tcW w:w="8363" w:type="dxa"/>
            <w:gridSpan w:val="4"/>
            <w:tcBorders>
              <w:right w:val="single" w:sz="4" w:space="0" w:color="auto"/>
            </w:tcBorders>
            <w:shd w:val="clear" w:color="auto" w:fill="auto"/>
            <w:vAlign w:val="center"/>
          </w:tcPr>
          <w:p w14:paraId="13F0317D" w14:textId="77777777" w:rsidR="00EA51C4" w:rsidRPr="0025795B" w:rsidRDefault="00EA51C4" w:rsidP="00BA499D">
            <w:pPr>
              <w:spacing w:line="276" w:lineRule="auto"/>
              <w:rPr>
                <w:color w:val="1A1A1A"/>
                <w:sz w:val="18"/>
                <w:szCs w:val="18"/>
              </w:rPr>
            </w:pPr>
            <w:r w:rsidRPr="0025795B">
              <w:rPr>
                <w:color w:val="1A1A1A"/>
                <w:sz w:val="18"/>
                <w:szCs w:val="18"/>
              </w:rPr>
              <w:t>Ispitivanje neodobrenog lijeka</w:t>
            </w:r>
          </w:p>
        </w:tc>
      </w:tr>
      <w:tr w:rsidR="00EA51C4" w:rsidRPr="003E695F" w14:paraId="05F335E4" w14:textId="77777777" w:rsidTr="00BA499D">
        <w:trPr>
          <w:trHeight w:val="142"/>
        </w:trPr>
        <w:tc>
          <w:tcPr>
            <w:tcW w:w="719" w:type="dxa"/>
            <w:shd w:val="clear" w:color="auto" w:fill="auto"/>
            <w:noWrap/>
            <w:vAlign w:val="center"/>
          </w:tcPr>
          <w:p w14:paraId="2C7770B4" w14:textId="77777777" w:rsidR="00EA51C4" w:rsidRPr="008C3579" w:rsidRDefault="00EA51C4" w:rsidP="00BA499D">
            <w:pPr>
              <w:spacing w:line="276" w:lineRule="auto"/>
              <w:jc w:val="center"/>
              <w:rPr>
                <w:sz w:val="18"/>
                <w:szCs w:val="18"/>
              </w:rPr>
            </w:pPr>
            <w:r w:rsidRPr="008C3579">
              <w:rPr>
                <w:sz w:val="18"/>
                <w:szCs w:val="18"/>
              </w:rPr>
              <w:t>1</w:t>
            </w:r>
            <w:r>
              <w:rPr>
                <w:sz w:val="18"/>
                <w:szCs w:val="18"/>
              </w:rPr>
              <w:t>.</w:t>
            </w:r>
          </w:p>
        </w:tc>
        <w:tc>
          <w:tcPr>
            <w:tcW w:w="4167" w:type="dxa"/>
            <w:shd w:val="clear" w:color="auto" w:fill="auto"/>
            <w:vAlign w:val="center"/>
          </w:tcPr>
          <w:p w14:paraId="7D2B83D4" w14:textId="77777777" w:rsidR="00EA51C4" w:rsidRPr="0025795B" w:rsidRDefault="00EA51C4" w:rsidP="00BA499D">
            <w:pPr>
              <w:spacing w:line="276" w:lineRule="auto"/>
              <w:rPr>
                <w:color w:val="1A1A1A"/>
                <w:sz w:val="18"/>
                <w:szCs w:val="18"/>
              </w:rPr>
            </w:pPr>
            <w:r w:rsidRPr="0025795B">
              <w:rPr>
                <w:color w:val="1A1A1A"/>
                <w:sz w:val="18"/>
                <w:szCs w:val="18"/>
              </w:rPr>
              <w:t>Mononacionalni - dio I.</w:t>
            </w:r>
          </w:p>
        </w:tc>
        <w:tc>
          <w:tcPr>
            <w:tcW w:w="1417" w:type="dxa"/>
            <w:shd w:val="clear" w:color="auto" w:fill="auto"/>
            <w:noWrap/>
            <w:vAlign w:val="center"/>
          </w:tcPr>
          <w:p w14:paraId="096D4A93" w14:textId="77777777" w:rsidR="00EA51C4" w:rsidRPr="00424D85" w:rsidRDefault="00EA51C4" w:rsidP="00BA499D">
            <w:pPr>
              <w:spacing w:line="276" w:lineRule="auto"/>
              <w:jc w:val="center"/>
              <w:rPr>
                <w:bCs/>
                <w:sz w:val="18"/>
                <w:szCs w:val="18"/>
              </w:rPr>
            </w:pPr>
            <w:r w:rsidRPr="00220101">
              <w:rPr>
                <w:bCs/>
                <w:sz w:val="20"/>
                <w:szCs w:val="20"/>
              </w:rPr>
              <w:t>0</w:t>
            </w:r>
          </w:p>
        </w:tc>
        <w:tc>
          <w:tcPr>
            <w:tcW w:w="1504" w:type="dxa"/>
            <w:tcBorders>
              <w:top w:val="nil"/>
              <w:left w:val="single" w:sz="4" w:space="0" w:color="auto"/>
              <w:bottom w:val="single" w:sz="4" w:space="0" w:color="auto"/>
              <w:right w:val="single" w:sz="4" w:space="0" w:color="auto"/>
            </w:tcBorders>
            <w:shd w:val="clear" w:color="auto" w:fill="auto"/>
            <w:noWrap/>
            <w:vAlign w:val="center"/>
          </w:tcPr>
          <w:p w14:paraId="40D2B082" w14:textId="77777777" w:rsidR="00EA51C4" w:rsidRPr="0040415C" w:rsidRDefault="00EA51C4" w:rsidP="00BA499D">
            <w:pPr>
              <w:spacing w:line="276" w:lineRule="auto"/>
              <w:jc w:val="center"/>
              <w:rPr>
                <w:bCs/>
                <w:sz w:val="18"/>
                <w:szCs w:val="18"/>
              </w:rPr>
            </w:pPr>
            <w:r w:rsidRPr="007437E7">
              <w:rPr>
                <w:bCs/>
                <w:sz w:val="20"/>
                <w:szCs w:val="20"/>
              </w:rPr>
              <w:t>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DCA5386" w14:textId="77777777" w:rsidR="00EA51C4" w:rsidRPr="0040415C" w:rsidRDefault="00EA51C4" w:rsidP="00BA499D">
            <w:pPr>
              <w:spacing w:line="276" w:lineRule="auto"/>
              <w:jc w:val="center"/>
              <w:rPr>
                <w:sz w:val="18"/>
                <w:szCs w:val="18"/>
              </w:rPr>
            </w:pPr>
            <w:r>
              <w:rPr>
                <w:sz w:val="20"/>
                <w:szCs w:val="20"/>
              </w:rPr>
              <w:t>-</w:t>
            </w:r>
          </w:p>
        </w:tc>
      </w:tr>
      <w:tr w:rsidR="00EA51C4" w:rsidRPr="003E695F" w14:paraId="678FB7DD" w14:textId="77777777" w:rsidTr="00BA499D">
        <w:trPr>
          <w:trHeight w:val="142"/>
        </w:trPr>
        <w:tc>
          <w:tcPr>
            <w:tcW w:w="719" w:type="dxa"/>
            <w:shd w:val="clear" w:color="auto" w:fill="auto"/>
            <w:noWrap/>
            <w:vAlign w:val="center"/>
          </w:tcPr>
          <w:p w14:paraId="5E672931" w14:textId="77777777" w:rsidR="00EA51C4" w:rsidRPr="008C3579" w:rsidRDefault="00EA51C4" w:rsidP="00BA499D">
            <w:pPr>
              <w:spacing w:line="276" w:lineRule="auto"/>
              <w:jc w:val="center"/>
              <w:rPr>
                <w:sz w:val="18"/>
                <w:szCs w:val="18"/>
              </w:rPr>
            </w:pPr>
            <w:r w:rsidRPr="008C3579">
              <w:rPr>
                <w:sz w:val="18"/>
                <w:szCs w:val="18"/>
              </w:rPr>
              <w:t>2</w:t>
            </w:r>
            <w:r>
              <w:rPr>
                <w:sz w:val="18"/>
                <w:szCs w:val="18"/>
              </w:rPr>
              <w:t>.</w:t>
            </w:r>
          </w:p>
        </w:tc>
        <w:tc>
          <w:tcPr>
            <w:tcW w:w="4167" w:type="dxa"/>
            <w:shd w:val="clear" w:color="auto" w:fill="auto"/>
            <w:vAlign w:val="center"/>
          </w:tcPr>
          <w:p w14:paraId="36A433F0" w14:textId="77777777" w:rsidR="00EA51C4" w:rsidRPr="0025795B" w:rsidRDefault="00EA51C4" w:rsidP="00BA499D">
            <w:pPr>
              <w:spacing w:line="276" w:lineRule="auto"/>
              <w:rPr>
                <w:color w:val="1A1A1A"/>
                <w:sz w:val="18"/>
                <w:szCs w:val="18"/>
              </w:rPr>
            </w:pPr>
            <w:r w:rsidRPr="0025795B">
              <w:rPr>
                <w:color w:val="1A1A1A"/>
                <w:sz w:val="18"/>
                <w:szCs w:val="18"/>
              </w:rPr>
              <w:t>Mononacionalni - dio II.</w:t>
            </w:r>
          </w:p>
        </w:tc>
        <w:tc>
          <w:tcPr>
            <w:tcW w:w="1417" w:type="dxa"/>
            <w:shd w:val="clear" w:color="auto" w:fill="auto"/>
            <w:noWrap/>
            <w:vAlign w:val="center"/>
          </w:tcPr>
          <w:p w14:paraId="546950AF" w14:textId="77777777" w:rsidR="00EA51C4" w:rsidRPr="00424D85" w:rsidRDefault="00EA51C4" w:rsidP="00BA499D">
            <w:pPr>
              <w:spacing w:line="276" w:lineRule="auto"/>
              <w:jc w:val="center"/>
              <w:rPr>
                <w:bCs/>
                <w:sz w:val="18"/>
                <w:szCs w:val="18"/>
              </w:rPr>
            </w:pPr>
            <w:r w:rsidRPr="00220101">
              <w:rPr>
                <w:bCs/>
                <w:sz w:val="20"/>
                <w:szCs w:val="20"/>
              </w:rPr>
              <w:t>0</w:t>
            </w:r>
          </w:p>
        </w:tc>
        <w:tc>
          <w:tcPr>
            <w:tcW w:w="1504" w:type="dxa"/>
            <w:tcBorders>
              <w:top w:val="nil"/>
              <w:left w:val="single" w:sz="4" w:space="0" w:color="auto"/>
              <w:bottom w:val="single" w:sz="4" w:space="0" w:color="auto"/>
              <w:right w:val="single" w:sz="4" w:space="0" w:color="auto"/>
            </w:tcBorders>
            <w:shd w:val="clear" w:color="auto" w:fill="auto"/>
            <w:noWrap/>
            <w:vAlign w:val="center"/>
          </w:tcPr>
          <w:p w14:paraId="674922E3" w14:textId="77777777" w:rsidR="00EA51C4" w:rsidRPr="0040415C" w:rsidRDefault="00EA51C4" w:rsidP="00BA499D">
            <w:pPr>
              <w:spacing w:line="276" w:lineRule="auto"/>
              <w:jc w:val="center"/>
              <w:rPr>
                <w:bCs/>
                <w:sz w:val="18"/>
                <w:szCs w:val="18"/>
              </w:rPr>
            </w:pPr>
            <w:r w:rsidRPr="007437E7">
              <w:rPr>
                <w:bCs/>
                <w:sz w:val="20"/>
                <w:szCs w:val="20"/>
              </w:rPr>
              <w:t>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BCC4C15" w14:textId="77777777" w:rsidR="00EA51C4" w:rsidRPr="0040415C" w:rsidRDefault="00EA51C4" w:rsidP="00BA499D">
            <w:pPr>
              <w:spacing w:line="276" w:lineRule="auto"/>
              <w:jc w:val="center"/>
              <w:rPr>
                <w:sz w:val="18"/>
                <w:szCs w:val="18"/>
              </w:rPr>
            </w:pPr>
            <w:r>
              <w:rPr>
                <w:sz w:val="20"/>
                <w:szCs w:val="20"/>
              </w:rPr>
              <w:t>-</w:t>
            </w:r>
          </w:p>
        </w:tc>
      </w:tr>
      <w:tr w:rsidR="00EA51C4" w:rsidRPr="003E695F" w14:paraId="2507B752" w14:textId="77777777" w:rsidTr="00BA499D">
        <w:trPr>
          <w:trHeight w:val="142"/>
        </w:trPr>
        <w:tc>
          <w:tcPr>
            <w:tcW w:w="719" w:type="dxa"/>
            <w:shd w:val="clear" w:color="auto" w:fill="auto"/>
            <w:noWrap/>
            <w:vAlign w:val="center"/>
          </w:tcPr>
          <w:p w14:paraId="0F8D8B67" w14:textId="77777777" w:rsidR="00EA51C4" w:rsidRPr="008C3579" w:rsidRDefault="00EA51C4" w:rsidP="00BA499D">
            <w:pPr>
              <w:spacing w:line="276" w:lineRule="auto"/>
              <w:jc w:val="center"/>
              <w:rPr>
                <w:sz w:val="18"/>
                <w:szCs w:val="18"/>
              </w:rPr>
            </w:pPr>
            <w:r w:rsidRPr="008C3579">
              <w:rPr>
                <w:sz w:val="18"/>
                <w:szCs w:val="18"/>
              </w:rPr>
              <w:t>3</w:t>
            </w:r>
            <w:r>
              <w:rPr>
                <w:sz w:val="18"/>
                <w:szCs w:val="18"/>
              </w:rPr>
              <w:t>.</w:t>
            </w:r>
          </w:p>
        </w:tc>
        <w:tc>
          <w:tcPr>
            <w:tcW w:w="4167" w:type="dxa"/>
            <w:shd w:val="clear" w:color="auto" w:fill="auto"/>
            <w:vAlign w:val="center"/>
          </w:tcPr>
          <w:p w14:paraId="4429BA65" w14:textId="77777777" w:rsidR="00EA51C4" w:rsidRPr="0025795B" w:rsidRDefault="00EA51C4" w:rsidP="00BA499D">
            <w:pPr>
              <w:spacing w:line="276" w:lineRule="auto"/>
              <w:rPr>
                <w:color w:val="1A1A1A"/>
                <w:sz w:val="18"/>
                <w:szCs w:val="18"/>
              </w:rPr>
            </w:pPr>
            <w:r w:rsidRPr="0025795B">
              <w:rPr>
                <w:color w:val="1A1A1A"/>
                <w:sz w:val="18"/>
                <w:szCs w:val="18"/>
              </w:rPr>
              <w:t>Mononacionalni - dio I.+II.</w:t>
            </w:r>
          </w:p>
        </w:tc>
        <w:tc>
          <w:tcPr>
            <w:tcW w:w="1417" w:type="dxa"/>
            <w:shd w:val="clear" w:color="auto" w:fill="auto"/>
            <w:noWrap/>
            <w:vAlign w:val="center"/>
          </w:tcPr>
          <w:p w14:paraId="0FE09594" w14:textId="77777777" w:rsidR="00EA51C4" w:rsidRPr="00424D85" w:rsidRDefault="00EA51C4" w:rsidP="00BA499D">
            <w:pPr>
              <w:spacing w:line="276" w:lineRule="auto"/>
              <w:jc w:val="center"/>
              <w:rPr>
                <w:bCs/>
                <w:sz w:val="18"/>
                <w:szCs w:val="18"/>
              </w:rPr>
            </w:pPr>
            <w:r w:rsidRPr="00220101">
              <w:rPr>
                <w:bCs/>
                <w:sz w:val="20"/>
                <w:szCs w:val="20"/>
              </w:rPr>
              <w:t>1</w:t>
            </w:r>
          </w:p>
        </w:tc>
        <w:tc>
          <w:tcPr>
            <w:tcW w:w="1504" w:type="dxa"/>
            <w:tcBorders>
              <w:top w:val="nil"/>
              <w:left w:val="single" w:sz="4" w:space="0" w:color="auto"/>
              <w:bottom w:val="single" w:sz="4" w:space="0" w:color="auto"/>
              <w:right w:val="single" w:sz="4" w:space="0" w:color="auto"/>
            </w:tcBorders>
            <w:shd w:val="clear" w:color="auto" w:fill="auto"/>
            <w:noWrap/>
            <w:vAlign w:val="center"/>
          </w:tcPr>
          <w:p w14:paraId="35D6FCEC" w14:textId="77777777" w:rsidR="00EA51C4" w:rsidRPr="0040415C" w:rsidRDefault="00EA51C4" w:rsidP="00BA499D">
            <w:pPr>
              <w:spacing w:line="276" w:lineRule="auto"/>
              <w:jc w:val="center"/>
              <w:rPr>
                <w:bCs/>
                <w:sz w:val="18"/>
                <w:szCs w:val="18"/>
              </w:rPr>
            </w:pPr>
            <w:r w:rsidRPr="007437E7">
              <w:rPr>
                <w:bCs/>
                <w:sz w:val="20"/>
                <w:szCs w:val="20"/>
              </w:rPr>
              <w:t>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3B1BF61" w14:textId="77777777" w:rsidR="00EA51C4" w:rsidRPr="0040415C" w:rsidRDefault="00EA51C4" w:rsidP="00BA499D">
            <w:pPr>
              <w:spacing w:line="276" w:lineRule="auto"/>
              <w:jc w:val="center"/>
              <w:rPr>
                <w:sz w:val="18"/>
                <w:szCs w:val="18"/>
              </w:rPr>
            </w:pPr>
            <w:r w:rsidRPr="0040415C">
              <w:rPr>
                <w:sz w:val="20"/>
                <w:szCs w:val="20"/>
              </w:rPr>
              <w:t>0%</w:t>
            </w:r>
          </w:p>
        </w:tc>
      </w:tr>
      <w:tr w:rsidR="00EA51C4" w:rsidRPr="003E695F" w14:paraId="2A382BAA" w14:textId="77777777" w:rsidTr="00BA499D">
        <w:trPr>
          <w:trHeight w:val="142"/>
        </w:trPr>
        <w:tc>
          <w:tcPr>
            <w:tcW w:w="719" w:type="dxa"/>
            <w:shd w:val="clear" w:color="auto" w:fill="auto"/>
            <w:noWrap/>
            <w:vAlign w:val="center"/>
          </w:tcPr>
          <w:p w14:paraId="3410786A" w14:textId="77777777" w:rsidR="00EA51C4" w:rsidRPr="008C3579" w:rsidRDefault="00EA51C4" w:rsidP="00BA499D">
            <w:pPr>
              <w:spacing w:line="276" w:lineRule="auto"/>
              <w:jc w:val="center"/>
              <w:rPr>
                <w:sz w:val="18"/>
                <w:szCs w:val="18"/>
              </w:rPr>
            </w:pPr>
            <w:r w:rsidRPr="008C3579">
              <w:rPr>
                <w:sz w:val="18"/>
                <w:szCs w:val="18"/>
              </w:rPr>
              <w:t>4</w:t>
            </w:r>
            <w:r>
              <w:rPr>
                <w:sz w:val="18"/>
                <w:szCs w:val="18"/>
              </w:rPr>
              <w:t>.</w:t>
            </w:r>
          </w:p>
        </w:tc>
        <w:tc>
          <w:tcPr>
            <w:tcW w:w="4167" w:type="dxa"/>
            <w:shd w:val="clear" w:color="auto" w:fill="auto"/>
            <w:vAlign w:val="center"/>
          </w:tcPr>
          <w:p w14:paraId="76E85A1D" w14:textId="77777777" w:rsidR="00EA51C4" w:rsidRPr="0025795B" w:rsidRDefault="00EA51C4" w:rsidP="00BA499D">
            <w:pPr>
              <w:spacing w:line="276" w:lineRule="auto"/>
              <w:rPr>
                <w:color w:val="1A1A1A"/>
                <w:sz w:val="18"/>
                <w:szCs w:val="18"/>
              </w:rPr>
            </w:pPr>
            <w:r w:rsidRPr="0025795B">
              <w:rPr>
                <w:color w:val="1A1A1A"/>
                <w:sz w:val="18"/>
                <w:szCs w:val="18"/>
              </w:rPr>
              <w:t>Multinacionalni - Hrvatska RMS - dio I.</w:t>
            </w:r>
          </w:p>
        </w:tc>
        <w:tc>
          <w:tcPr>
            <w:tcW w:w="1417" w:type="dxa"/>
            <w:shd w:val="clear" w:color="auto" w:fill="auto"/>
            <w:noWrap/>
            <w:vAlign w:val="center"/>
          </w:tcPr>
          <w:p w14:paraId="4AD6020C" w14:textId="77777777" w:rsidR="00EA51C4" w:rsidRPr="00424D85" w:rsidRDefault="00EA51C4" w:rsidP="00BA499D">
            <w:pPr>
              <w:spacing w:line="276" w:lineRule="auto"/>
              <w:jc w:val="center"/>
              <w:rPr>
                <w:bCs/>
                <w:sz w:val="18"/>
                <w:szCs w:val="18"/>
              </w:rPr>
            </w:pPr>
            <w:r w:rsidRPr="00220101">
              <w:rPr>
                <w:bCs/>
                <w:sz w:val="20"/>
                <w:szCs w:val="20"/>
              </w:rPr>
              <w:t>0</w:t>
            </w:r>
          </w:p>
        </w:tc>
        <w:tc>
          <w:tcPr>
            <w:tcW w:w="1504" w:type="dxa"/>
            <w:tcBorders>
              <w:top w:val="nil"/>
              <w:left w:val="single" w:sz="4" w:space="0" w:color="auto"/>
              <w:bottom w:val="single" w:sz="4" w:space="0" w:color="auto"/>
              <w:right w:val="single" w:sz="4" w:space="0" w:color="auto"/>
            </w:tcBorders>
            <w:shd w:val="clear" w:color="auto" w:fill="auto"/>
            <w:noWrap/>
            <w:vAlign w:val="center"/>
          </w:tcPr>
          <w:p w14:paraId="0F195569" w14:textId="77777777" w:rsidR="00EA51C4" w:rsidRPr="0040415C" w:rsidRDefault="00EA51C4" w:rsidP="00BA499D">
            <w:pPr>
              <w:spacing w:line="276" w:lineRule="auto"/>
              <w:jc w:val="center"/>
              <w:rPr>
                <w:bCs/>
                <w:sz w:val="18"/>
                <w:szCs w:val="18"/>
              </w:rPr>
            </w:pPr>
            <w:r w:rsidRPr="007437E7">
              <w:rPr>
                <w:bCs/>
                <w:sz w:val="20"/>
                <w:szCs w:val="20"/>
              </w:rPr>
              <w:t>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9EE68D2" w14:textId="77777777" w:rsidR="00EA51C4" w:rsidRPr="0040415C" w:rsidRDefault="00EA51C4" w:rsidP="00BA499D">
            <w:pPr>
              <w:spacing w:line="276" w:lineRule="auto"/>
              <w:jc w:val="center"/>
              <w:rPr>
                <w:sz w:val="18"/>
                <w:szCs w:val="18"/>
              </w:rPr>
            </w:pPr>
            <w:r>
              <w:rPr>
                <w:sz w:val="20"/>
                <w:szCs w:val="20"/>
              </w:rPr>
              <w:t>-</w:t>
            </w:r>
          </w:p>
        </w:tc>
      </w:tr>
      <w:tr w:rsidR="00EA51C4" w:rsidRPr="003E695F" w14:paraId="40A5099D" w14:textId="77777777" w:rsidTr="00BA499D">
        <w:trPr>
          <w:trHeight w:val="142"/>
        </w:trPr>
        <w:tc>
          <w:tcPr>
            <w:tcW w:w="719" w:type="dxa"/>
            <w:shd w:val="clear" w:color="auto" w:fill="auto"/>
            <w:noWrap/>
            <w:vAlign w:val="center"/>
          </w:tcPr>
          <w:p w14:paraId="47EFD766" w14:textId="77777777" w:rsidR="00EA51C4" w:rsidRPr="008C3579" w:rsidRDefault="00EA51C4" w:rsidP="00BA499D">
            <w:pPr>
              <w:spacing w:line="276" w:lineRule="auto"/>
              <w:jc w:val="center"/>
              <w:rPr>
                <w:sz w:val="18"/>
                <w:szCs w:val="18"/>
              </w:rPr>
            </w:pPr>
            <w:r w:rsidRPr="008C3579">
              <w:rPr>
                <w:sz w:val="18"/>
                <w:szCs w:val="18"/>
              </w:rPr>
              <w:t>5</w:t>
            </w:r>
            <w:r>
              <w:rPr>
                <w:sz w:val="18"/>
                <w:szCs w:val="18"/>
              </w:rPr>
              <w:t>.</w:t>
            </w:r>
          </w:p>
        </w:tc>
        <w:tc>
          <w:tcPr>
            <w:tcW w:w="4167" w:type="dxa"/>
            <w:shd w:val="clear" w:color="auto" w:fill="auto"/>
            <w:vAlign w:val="center"/>
          </w:tcPr>
          <w:p w14:paraId="57273833" w14:textId="77777777" w:rsidR="00EA51C4" w:rsidRPr="0025795B" w:rsidRDefault="00EA51C4" w:rsidP="00BA499D">
            <w:pPr>
              <w:spacing w:line="276" w:lineRule="auto"/>
              <w:rPr>
                <w:color w:val="1A1A1A"/>
                <w:sz w:val="18"/>
                <w:szCs w:val="18"/>
              </w:rPr>
            </w:pPr>
            <w:r w:rsidRPr="0025795B">
              <w:rPr>
                <w:color w:val="1A1A1A"/>
                <w:sz w:val="18"/>
                <w:szCs w:val="18"/>
              </w:rPr>
              <w:t>Multinacionalni - Hrvatska RMS - dio II.</w:t>
            </w:r>
          </w:p>
        </w:tc>
        <w:tc>
          <w:tcPr>
            <w:tcW w:w="1417" w:type="dxa"/>
            <w:shd w:val="clear" w:color="auto" w:fill="auto"/>
            <w:noWrap/>
            <w:vAlign w:val="center"/>
          </w:tcPr>
          <w:p w14:paraId="16A3D5B2" w14:textId="77777777" w:rsidR="00EA51C4" w:rsidRPr="00424D85" w:rsidRDefault="00EA51C4" w:rsidP="00BA499D">
            <w:pPr>
              <w:spacing w:line="276" w:lineRule="auto"/>
              <w:jc w:val="center"/>
              <w:rPr>
                <w:bCs/>
                <w:sz w:val="18"/>
                <w:szCs w:val="18"/>
              </w:rPr>
            </w:pPr>
            <w:r w:rsidRPr="00220101">
              <w:rPr>
                <w:bCs/>
                <w:sz w:val="20"/>
                <w:szCs w:val="20"/>
              </w:rPr>
              <w:t>0</w:t>
            </w:r>
          </w:p>
        </w:tc>
        <w:tc>
          <w:tcPr>
            <w:tcW w:w="1504" w:type="dxa"/>
            <w:tcBorders>
              <w:top w:val="nil"/>
              <w:left w:val="single" w:sz="4" w:space="0" w:color="auto"/>
              <w:bottom w:val="single" w:sz="4" w:space="0" w:color="auto"/>
              <w:right w:val="single" w:sz="4" w:space="0" w:color="auto"/>
            </w:tcBorders>
            <w:shd w:val="clear" w:color="auto" w:fill="auto"/>
            <w:noWrap/>
            <w:vAlign w:val="center"/>
          </w:tcPr>
          <w:p w14:paraId="2649C6FC" w14:textId="77777777" w:rsidR="00EA51C4" w:rsidRPr="0040415C" w:rsidRDefault="00EA51C4" w:rsidP="00BA499D">
            <w:pPr>
              <w:spacing w:line="276" w:lineRule="auto"/>
              <w:jc w:val="center"/>
              <w:rPr>
                <w:bCs/>
                <w:sz w:val="18"/>
                <w:szCs w:val="18"/>
              </w:rPr>
            </w:pPr>
            <w:r w:rsidRPr="007437E7">
              <w:rPr>
                <w:bCs/>
                <w:sz w:val="20"/>
                <w:szCs w:val="20"/>
              </w:rPr>
              <w:t>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76389A9" w14:textId="77777777" w:rsidR="00EA51C4" w:rsidRPr="0040415C" w:rsidRDefault="00EA51C4" w:rsidP="00BA499D">
            <w:pPr>
              <w:spacing w:line="276" w:lineRule="auto"/>
              <w:jc w:val="center"/>
              <w:rPr>
                <w:sz w:val="18"/>
                <w:szCs w:val="18"/>
              </w:rPr>
            </w:pPr>
            <w:r>
              <w:rPr>
                <w:sz w:val="20"/>
                <w:szCs w:val="20"/>
              </w:rPr>
              <w:t>-</w:t>
            </w:r>
          </w:p>
        </w:tc>
      </w:tr>
      <w:tr w:rsidR="00EA51C4" w:rsidRPr="003E695F" w14:paraId="739BE333" w14:textId="77777777" w:rsidTr="00BA499D">
        <w:trPr>
          <w:trHeight w:val="142"/>
        </w:trPr>
        <w:tc>
          <w:tcPr>
            <w:tcW w:w="719" w:type="dxa"/>
            <w:shd w:val="clear" w:color="auto" w:fill="auto"/>
            <w:noWrap/>
            <w:vAlign w:val="center"/>
          </w:tcPr>
          <w:p w14:paraId="166E9132" w14:textId="77777777" w:rsidR="00EA51C4" w:rsidRPr="008C3579" w:rsidRDefault="00EA51C4" w:rsidP="00BA499D">
            <w:pPr>
              <w:spacing w:line="276" w:lineRule="auto"/>
              <w:jc w:val="center"/>
              <w:rPr>
                <w:sz w:val="18"/>
                <w:szCs w:val="18"/>
              </w:rPr>
            </w:pPr>
            <w:r w:rsidRPr="008C3579">
              <w:rPr>
                <w:sz w:val="18"/>
                <w:szCs w:val="18"/>
              </w:rPr>
              <w:t>6</w:t>
            </w:r>
            <w:r>
              <w:rPr>
                <w:sz w:val="18"/>
                <w:szCs w:val="18"/>
              </w:rPr>
              <w:t>.</w:t>
            </w:r>
          </w:p>
        </w:tc>
        <w:tc>
          <w:tcPr>
            <w:tcW w:w="4167" w:type="dxa"/>
            <w:shd w:val="clear" w:color="auto" w:fill="auto"/>
            <w:vAlign w:val="center"/>
          </w:tcPr>
          <w:p w14:paraId="2AC4F7BE" w14:textId="77777777" w:rsidR="00EA51C4" w:rsidRPr="0025795B" w:rsidRDefault="00EA51C4" w:rsidP="00BA499D">
            <w:pPr>
              <w:spacing w:line="276" w:lineRule="auto"/>
              <w:rPr>
                <w:color w:val="1A1A1A"/>
                <w:sz w:val="18"/>
                <w:szCs w:val="18"/>
              </w:rPr>
            </w:pPr>
            <w:r w:rsidRPr="0025795B">
              <w:rPr>
                <w:color w:val="1A1A1A"/>
                <w:sz w:val="18"/>
                <w:szCs w:val="18"/>
              </w:rPr>
              <w:t>Multinacionalni - Hrvatska RMS - dio I.+II.</w:t>
            </w:r>
          </w:p>
        </w:tc>
        <w:tc>
          <w:tcPr>
            <w:tcW w:w="1417" w:type="dxa"/>
            <w:shd w:val="clear" w:color="auto" w:fill="auto"/>
            <w:noWrap/>
            <w:vAlign w:val="center"/>
          </w:tcPr>
          <w:p w14:paraId="6160FFED" w14:textId="77777777" w:rsidR="00EA51C4" w:rsidRPr="00424D85" w:rsidRDefault="00EA51C4" w:rsidP="00BA499D">
            <w:pPr>
              <w:spacing w:line="276" w:lineRule="auto"/>
              <w:jc w:val="center"/>
              <w:rPr>
                <w:bCs/>
                <w:sz w:val="18"/>
                <w:szCs w:val="18"/>
              </w:rPr>
            </w:pPr>
            <w:r w:rsidRPr="00220101">
              <w:rPr>
                <w:bCs/>
                <w:sz w:val="20"/>
                <w:szCs w:val="20"/>
              </w:rPr>
              <w:t>1</w:t>
            </w:r>
          </w:p>
        </w:tc>
        <w:tc>
          <w:tcPr>
            <w:tcW w:w="1504" w:type="dxa"/>
            <w:tcBorders>
              <w:top w:val="nil"/>
              <w:left w:val="single" w:sz="4" w:space="0" w:color="auto"/>
              <w:bottom w:val="single" w:sz="4" w:space="0" w:color="auto"/>
              <w:right w:val="single" w:sz="4" w:space="0" w:color="auto"/>
            </w:tcBorders>
            <w:shd w:val="clear" w:color="auto" w:fill="auto"/>
            <w:noWrap/>
            <w:vAlign w:val="center"/>
          </w:tcPr>
          <w:p w14:paraId="61470103" w14:textId="77777777" w:rsidR="00EA51C4" w:rsidRPr="0040415C" w:rsidRDefault="00EA51C4" w:rsidP="00BA499D">
            <w:pPr>
              <w:spacing w:line="276" w:lineRule="auto"/>
              <w:jc w:val="center"/>
              <w:rPr>
                <w:bCs/>
                <w:sz w:val="18"/>
                <w:szCs w:val="18"/>
              </w:rPr>
            </w:pPr>
            <w:r w:rsidRPr="007437E7">
              <w:rPr>
                <w:bCs/>
                <w:sz w:val="20"/>
                <w:szCs w:val="20"/>
              </w:rPr>
              <w:t>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BFEA8BA" w14:textId="77777777" w:rsidR="00EA51C4" w:rsidRPr="0040415C" w:rsidRDefault="00EA51C4" w:rsidP="00BA499D">
            <w:pPr>
              <w:spacing w:line="276" w:lineRule="auto"/>
              <w:jc w:val="center"/>
              <w:rPr>
                <w:sz w:val="18"/>
                <w:szCs w:val="18"/>
              </w:rPr>
            </w:pPr>
            <w:r w:rsidRPr="0040415C">
              <w:rPr>
                <w:sz w:val="20"/>
                <w:szCs w:val="20"/>
              </w:rPr>
              <w:t>0%</w:t>
            </w:r>
          </w:p>
        </w:tc>
      </w:tr>
      <w:tr w:rsidR="00EA51C4" w:rsidRPr="003E695F" w14:paraId="17B71E58" w14:textId="77777777" w:rsidTr="00BA499D">
        <w:trPr>
          <w:trHeight w:val="142"/>
        </w:trPr>
        <w:tc>
          <w:tcPr>
            <w:tcW w:w="719" w:type="dxa"/>
            <w:shd w:val="clear" w:color="auto" w:fill="auto"/>
            <w:noWrap/>
            <w:vAlign w:val="center"/>
          </w:tcPr>
          <w:p w14:paraId="3E6810A4" w14:textId="77777777" w:rsidR="00EA51C4" w:rsidRPr="008C3579" w:rsidRDefault="00EA51C4" w:rsidP="00BA499D">
            <w:pPr>
              <w:spacing w:line="276" w:lineRule="auto"/>
              <w:jc w:val="center"/>
              <w:rPr>
                <w:sz w:val="18"/>
                <w:szCs w:val="18"/>
              </w:rPr>
            </w:pPr>
            <w:r w:rsidRPr="008C3579">
              <w:rPr>
                <w:sz w:val="18"/>
                <w:szCs w:val="18"/>
              </w:rPr>
              <w:t>7</w:t>
            </w:r>
            <w:r>
              <w:rPr>
                <w:sz w:val="18"/>
                <w:szCs w:val="18"/>
              </w:rPr>
              <w:t>.</w:t>
            </w:r>
          </w:p>
        </w:tc>
        <w:tc>
          <w:tcPr>
            <w:tcW w:w="4167" w:type="dxa"/>
            <w:shd w:val="clear" w:color="auto" w:fill="auto"/>
            <w:vAlign w:val="center"/>
          </w:tcPr>
          <w:p w14:paraId="395339D2" w14:textId="77777777" w:rsidR="00EA51C4" w:rsidRPr="0025795B" w:rsidRDefault="00EA51C4" w:rsidP="00BA499D">
            <w:pPr>
              <w:spacing w:line="276" w:lineRule="auto"/>
              <w:rPr>
                <w:color w:val="1A1A1A"/>
                <w:sz w:val="18"/>
                <w:szCs w:val="18"/>
              </w:rPr>
            </w:pPr>
            <w:r w:rsidRPr="0025795B">
              <w:rPr>
                <w:color w:val="1A1A1A"/>
                <w:sz w:val="18"/>
                <w:szCs w:val="18"/>
              </w:rPr>
              <w:t>Multinacionalni - Hrvatska MSC - dio I.</w:t>
            </w:r>
          </w:p>
        </w:tc>
        <w:tc>
          <w:tcPr>
            <w:tcW w:w="1417" w:type="dxa"/>
            <w:shd w:val="clear" w:color="auto" w:fill="auto"/>
            <w:noWrap/>
            <w:vAlign w:val="center"/>
          </w:tcPr>
          <w:p w14:paraId="48DE09C0" w14:textId="77777777" w:rsidR="00EA51C4" w:rsidRPr="00424D85" w:rsidRDefault="00EA51C4" w:rsidP="00BA499D">
            <w:pPr>
              <w:spacing w:line="276" w:lineRule="auto"/>
              <w:jc w:val="center"/>
              <w:rPr>
                <w:bCs/>
                <w:sz w:val="18"/>
                <w:szCs w:val="18"/>
              </w:rPr>
            </w:pPr>
            <w:r w:rsidRPr="00220101">
              <w:rPr>
                <w:bCs/>
                <w:sz w:val="20"/>
                <w:szCs w:val="20"/>
              </w:rPr>
              <w:t>0</w:t>
            </w:r>
          </w:p>
        </w:tc>
        <w:tc>
          <w:tcPr>
            <w:tcW w:w="1504" w:type="dxa"/>
            <w:tcBorders>
              <w:top w:val="nil"/>
              <w:left w:val="single" w:sz="4" w:space="0" w:color="auto"/>
              <w:bottom w:val="single" w:sz="4" w:space="0" w:color="auto"/>
              <w:right w:val="single" w:sz="4" w:space="0" w:color="auto"/>
            </w:tcBorders>
            <w:shd w:val="clear" w:color="auto" w:fill="auto"/>
            <w:noWrap/>
            <w:vAlign w:val="center"/>
          </w:tcPr>
          <w:p w14:paraId="0928EA23" w14:textId="77777777" w:rsidR="00EA51C4" w:rsidRPr="0040415C" w:rsidRDefault="00EA51C4" w:rsidP="00BA499D">
            <w:pPr>
              <w:spacing w:line="276" w:lineRule="auto"/>
              <w:jc w:val="center"/>
              <w:rPr>
                <w:bCs/>
                <w:sz w:val="18"/>
                <w:szCs w:val="18"/>
              </w:rPr>
            </w:pPr>
            <w:r w:rsidRPr="007437E7">
              <w:rPr>
                <w:bCs/>
                <w:sz w:val="20"/>
                <w:szCs w:val="20"/>
              </w:rPr>
              <w:t>3</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1AAFCF6" w14:textId="77777777" w:rsidR="00EA51C4" w:rsidRPr="0040415C" w:rsidRDefault="00EA51C4" w:rsidP="00BA499D">
            <w:pPr>
              <w:spacing w:line="276" w:lineRule="auto"/>
              <w:jc w:val="center"/>
              <w:rPr>
                <w:sz w:val="18"/>
                <w:szCs w:val="18"/>
              </w:rPr>
            </w:pPr>
            <w:r>
              <w:rPr>
                <w:sz w:val="20"/>
                <w:szCs w:val="20"/>
              </w:rPr>
              <w:t>-</w:t>
            </w:r>
          </w:p>
        </w:tc>
      </w:tr>
      <w:tr w:rsidR="00EA51C4" w:rsidRPr="003E695F" w14:paraId="5F240C99" w14:textId="77777777" w:rsidTr="00BA499D">
        <w:trPr>
          <w:trHeight w:val="142"/>
        </w:trPr>
        <w:tc>
          <w:tcPr>
            <w:tcW w:w="719" w:type="dxa"/>
            <w:shd w:val="clear" w:color="auto" w:fill="auto"/>
            <w:noWrap/>
            <w:vAlign w:val="center"/>
          </w:tcPr>
          <w:p w14:paraId="6713D98E" w14:textId="77777777" w:rsidR="00EA51C4" w:rsidRPr="008C3579" w:rsidRDefault="00EA51C4" w:rsidP="00BA499D">
            <w:pPr>
              <w:spacing w:line="276" w:lineRule="auto"/>
              <w:jc w:val="center"/>
              <w:rPr>
                <w:sz w:val="18"/>
                <w:szCs w:val="18"/>
              </w:rPr>
            </w:pPr>
            <w:r w:rsidRPr="008C3579">
              <w:rPr>
                <w:sz w:val="18"/>
                <w:szCs w:val="18"/>
              </w:rPr>
              <w:t>8</w:t>
            </w:r>
            <w:r>
              <w:rPr>
                <w:sz w:val="18"/>
                <w:szCs w:val="18"/>
              </w:rPr>
              <w:t>.</w:t>
            </w:r>
          </w:p>
        </w:tc>
        <w:tc>
          <w:tcPr>
            <w:tcW w:w="4167" w:type="dxa"/>
            <w:shd w:val="clear" w:color="auto" w:fill="auto"/>
            <w:vAlign w:val="center"/>
          </w:tcPr>
          <w:p w14:paraId="7F8E0748" w14:textId="77777777" w:rsidR="00EA51C4" w:rsidRPr="0025795B" w:rsidRDefault="00EA51C4" w:rsidP="00BA499D">
            <w:pPr>
              <w:spacing w:line="276" w:lineRule="auto"/>
              <w:rPr>
                <w:color w:val="1A1A1A"/>
                <w:sz w:val="18"/>
                <w:szCs w:val="18"/>
              </w:rPr>
            </w:pPr>
            <w:r w:rsidRPr="0025795B">
              <w:rPr>
                <w:color w:val="1A1A1A"/>
                <w:sz w:val="18"/>
                <w:szCs w:val="18"/>
              </w:rPr>
              <w:t>Multinacionalni - Hrvatska MSC - dio II.</w:t>
            </w:r>
          </w:p>
        </w:tc>
        <w:tc>
          <w:tcPr>
            <w:tcW w:w="1417" w:type="dxa"/>
            <w:shd w:val="clear" w:color="auto" w:fill="auto"/>
            <w:noWrap/>
            <w:vAlign w:val="center"/>
          </w:tcPr>
          <w:p w14:paraId="06BA482D" w14:textId="77777777" w:rsidR="00EA51C4" w:rsidRPr="00424D85" w:rsidRDefault="00EA51C4" w:rsidP="00BA499D">
            <w:pPr>
              <w:spacing w:line="276" w:lineRule="auto"/>
              <w:jc w:val="center"/>
              <w:rPr>
                <w:bCs/>
                <w:sz w:val="18"/>
                <w:szCs w:val="18"/>
              </w:rPr>
            </w:pPr>
            <w:r w:rsidRPr="00220101">
              <w:rPr>
                <w:bCs/>
                <w:sz w:val="20"/>
                <w:szCs w:val="20"/>
              </w:rPr>
              <w:t>3</w:t>
            </w:r>
          </w:p>
        </w:tc>
        <w:tc>
          <w:tcPr>
            <w:tcW w:w="1504" w:type="dxa"/>
            <w:tcBorders>
              <w:top w:val="nil"/>
              <w:left w:val="single" w:sz="4" w:space="0" w:color="auto"/>
              <w:bottom w:val="single" w:sz="4" w:space="0" w:color="auto"/>
              <w:right w:val="single" w:sz="4" w:space="0" w:color="auto"/>
            </w:tcBorders>
            <w:shd w:val="clear" w:color="auto" w:fill="auto"/>
            <w:noWrap/>
            <w:vAlign w:val="center"/>
          </w:tcPr>
          <w:p w14:paraId="336F92EE" w14:textId="77777777" w:rsidR="00EA51C4" w:rsidRPr="0040415C" w:rsidRDefault="00EA51C4" w:rsidP="00BA499D">
            <w:pPr>
              <w:spacing w:line="276" w:lineRule="auto"/>
              <w:jc w:val="center"/>
              <w:rPr>
                <w:bCs/>
                <w:sz w:val="18"/>
                <w:szCs w:val="18"/>
              </w:rPr>
            </w:pPr>
            <w:r w:rsidRPr="007437E7">
              <w:rPr>
                <w:bCs/>
                <w:sz w:val="20"/>
                <w:szCs w:val="20"/>
              </w:rPr>
              <w:t>2</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A649139" w14:textId="77777777" w:rsidR="00EA51C4" w:rsidRPr="0040415C" w:rsidRDefault="00EA51C4" w:rsidP="00BA499D">
            <w:pPr>
              <w:spacing w:line="276" w:lineRule="auto"/>
              <w:jc w:val="center"/>
              <w:rPr>
                <w:sz w:val="18"/>
                <w:szCs w:val="18"/>
              </w:rPr>
            </w:pPr>
            <w:r w:rsidRPr="0040415C">
              <w:rPr>
                <w:sz w:val="20"/>
                <w:szCs w:val="20"/>
              </w:rPr>
              <w:t>67%</w:t>
            </w:r>
          </w:p>
        </w:tc>
      </w:tr>
      <w:tr w:rsidR="00EA51C4" w:rsidRPr="003E695F" w14:paraId="36FCF4B9" w14:textId="77777777" w:rsidTr="00BA499D">
        <w:trPr>
          <w:trHeight w:val="142"/>
        </w:trPr>
        <w:tc>
          <w:tcPr>
            <w:tcW w:w="719" w:type="dxa"/>
            <w:shd w:val="clear" w:color="auto" w:fill="auto"/>
            <w:noWrap/>
            <w:vAlign w:val="center"/>
          </w:tcPr>
          <w:p w14:paraId="05044212" w14:textId="77777777" w:rsidR="00EA51C4" w:rsidRPr="008C3579" w:rsidRDefault="00EA51C4" w:rsidP="00BA499D">
            <w:pPr>
              <w:spacing w:line="276" w:lineRule="auto"/>
              <w:jc w:val="center"/>
              <w:rPr>
                <w:sz w:val="18"/>
                <w:szCs w:val="18"/>
              </w:rPr>
            </w:pPr>
            <w:r w:rsidRPr="008C3579">
              <w:rPr>
                <w:sz w:val="18"/>
                <w:szCs w:val="18"/>
              </w:rPr>
              <w:t>9</w:t>
            </w:r>
            <w:r>
              <w:rPr>
                <w:sz w:val="18"/>
                <w:szCs w:val="18"/>
              </w:rPr>
              <w:t>.</w:t>
            </w:r>
          </w:p>
        </w:tc>
        <w:tc>
          <w:tcPr>
            <w:tcW w:w="4167" w:type="dxa"/>
            <w:shd w:val="clear" w:color="auto" w:fill="auto"/>
            <w:vAlign w:val="center"/>
          </w:tcPr>
          <w:p w14:paraId="0F676304" w14:textId="77777777" w:rsidR="00EA51C4" w:rsidRPr="0025795B" w:rsidRDefault="00EA51C4" w:rsidP="00BA499D">
            <w:pPr>
              <w:spacing w:line="276" w:lineRule="auto"/>
              <w:rPr>
                <w:color w:val="1A1A1A"/>
                <w:sz w:val="18"/>
                <w:szCs w:val="18"/>
              </w:rPr>
            </w:pPr>
            <w:r w:rsidRPr="0025795B">
              <w:rPr>
                <w:color w:val="1A1A1A"/>
                <w:sz w:val="18"/>
                <w:szCs w:val="18"/>
              </w:rPr>
              <w:t>Multinacionalni - Hrvatska MSC - dio I.+II.</w:t>
            </w:r>
          </w:p>
        </w:tc>
        <w:tc>
          <w:tcPr>
            <w:tcW w:w="1417" w:type="dxa"/>
            <w:shd w:val="clear" w:color="auto" w:fill="auto"/>
            <w:noWrap/>
            <w:vAlign w:val="center"/>
          </w:tcPr>
          <w:p w14:paraId="0C4E45F5" w14:textId="77777777" w:rsidR="00EA51C4" w:rsidRPr="00424D85" w:rsidRDefault="00EA51C4" w:rsidP="00BA499D">
            <w:pPr>
              <w:spacing w:line="276" w:lineRule="auto"/>
              <w:jc w:val="center"/>
              <w:rPr>
                <w:bCs/>
                <w:sz w:val="18"/>
                <w:szCs w:val="18"/>
              </w:rPr>
            </w:pPr>
            <w:r w:rsidRPr="00220101">
              <w:rPr>
                <w:bCs/>
                <w:sz w:val="20"/>
                <w:szCs w:val="20"/>
              </w:rPr>
              <w:t>27</w:t>
            </w:r>
          </w:p>
        </w:tc>
        <w:tc>
          <w:tcPr>
            <w:tcW w:w="1504" w:type="dxa"/>
            <w:tcBorders>
              <w:top w:val="nil"/>
              <w:left w:val="single" w:sz="4" w:space="0" w:color="auto"/>
              <w:bottom w:val="single" w:sz="4" w:space="0" w:color="auto"/>
              <w:right w:val="single" w:sz="4" w:space="0" w:color="auto"/>
            </w:tcBorders>
            <w:shd w:val="clear" w:color="auto" w:fill="auto"/>
            <w:noWrap/>
            <w:vAlign w:val="center"/>
          </w:tcPr>
          <w:p w14:paraId="31DE6FA4" w14:textId="77777777" w:rsidR="00EA51C4" w:rsidRPr="0040415C" w:rsidRDefault="00EA51C4" w:rsidP="00BA499D">
            <w:pPr>
              <w:spacing w:line="276" w:lineRule="auto"/>
              <w:jc w:val="center"/>
              <w:rPr>
                <w:bCs/>
                <w:sz w:val="18"/>
                <w:szCs w:val="18"/>
              </w:rPr>
            </w:pPr>
            <w:r w:rsidRPr="007437E7">
              <w:rPr>
                <w:bCs/>
                <w:sz w:val="20"/>
                <w:szCs w:val="20"/>
              </w:rPr>
              <w:t>34</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D6DC3CA" w14:textId="77777777" w:rsidR="00EA51C4" w:rsidRPr="0040415C" w:rsidRDefault="00EA51C4" w:rsidP="00BA499D">
            <w:pPr>
              <w:spacing w:line="276" w:lineRule="auto"/>
              <w:jc w:val="center"/>
              <w:rPr>
                <w:sz w:val="18"/>
                <w:szCs w:val="18"/>
              </w:rPr>
            </w:pPr>
            <w:r w:rsidRPr="0040415C">
              <w:rPr>
                <w:sz w:val="20"/>
                <w:szCs w:val="20"/>
              </w:rPr>
              <w:t>126%</w:t>
            </w:r>
          </w:p>
        </w:tc>
      </w:tr>
      <w:tr w:rsidR="00EA51C4" w:rsidRPr="003E695F" w14:paraId="4C9360BA" w14:textId="77777777" w:rsidTr="00BA499D">
        <w:trPr>
          <w:trHeight w:val="142"/>
        </w:trPr>
        <w:tc>
          <w:tcPr>
            <w:tcW w:w="719" w:type="dxa"/>
            <w:shd w:val="clear" w:color="auto" w:fill="auto"/>
            <w:noWrap/>
            <w:vAlign w:val="center"/>
          </w:tcPr>
          <w:p w14:paraId="21453CF8" w14:textId="77777777" w:rsidR="00EA51C4" w:rsidRPr="008C3579" w:rsidRDefault="00EA51C4" w:rsidP="00BA499D">
            <w:pPr>
              <w:spacing w:line="276" w:lineRule="auto"/>
              <w:jc w:val="center"/>
              <w:rPr>
                <w:sz w:val="18"/>
                <w:szCs w:val="18"/>
              </w:rPr>
            </w:pPr>
            <w:r w:rsidRPr="008C3579">
              <w:rPr>
                <w:sz w:val="18"/>
                <w:szCs w:val="18"/>
              </w:rPr>
              <w:t>10</w:t>
            </w:r>
            <w:r>
              <w:rPr>
                <w:sz w:val="18"/>
                <w:szCs w:val="18"/>
              </w:rPr>
              <w:t>.</w:t>
            </w:r>
          </w:p>
        </w:tc>
        <w:tc>
          <w:tcPr>
            <w:tcW w:w="4167" w:type="dxa"/>
            <w:shd w:val="clear" w:color="auto" w:fill="auto"/>
            <w:vAlign w:val="center"/>
          </w:tcPr>
          <w:p w14:paraId="7840AED0" w14:textId="77777777" w:rsidR="00EA51C4" w:rsidRPr="0025795B" w:rsidRDefault="00EA51C4" w:rsidP="00BA499D">
            <w:pPr>
              <w:spacing w:line="276" w:lineRule="auto"/>
              <w:rPr>
                <w:color w:val="1A1A1A"/>
                <w:sz w:val="18"/>
                <w:szCs w:val="18"/>
              </w:rPr>
            </w:pPr>
            <w:r w:rsidRPr="0025795B">
              <w:rPr>
                <w:color w:val="1A1A1A"/>
                <w:sz w:val="18"/>
                <w:szCs w:val="18"/>
              </w:rPr>
              <w:t>Zahtjev za AdMSC Hrvatsku - dio I.+II.</w:t>
            </w:r>
          </w:p>
        </w:tc>
        <w:tc>
          <w:tcPr>
            <w:tcW w:w="1417" w:type="dxa"/>
            <w:shd w:val="clear" w:color="auto" w:fill="auto"/>
            <w:noWrap/>
            <w:vAlign w:val="center"/>
          </w:tcPr>
          <w:p w14:paraId="647F4EA8" w14:textId="77777777" w:rsidR="00EA51C4" w:rsidRPr="00424D85" w:rsidRDefault="00EA51C4" w:rsidP="00BA499D">
            <w:pPr>
              <w:spacing w:line="276" w:lineRule="auto"/>
              <w:jc w:val="center"/>
              <w:rPr>
                <w:bCs/>
                <w:sz w:val="18"/>
                <w:szCs w:val="18"/>
              </w:rPr>
            </w:pPr>
            <w:r w:rsidRPr="00220101">
              <w:rPr>
                <w:bCs/>
                <w:sz w:val="20"/>
                <w:szCs w:val="20"/>
              </w:rPr>
              <w:t>2</w:t>
            </w:r>
          </w:p>
        </w:tc>
        <w:tc>
          <w:tcPr>
            <w:tcW w:w="1504" w:type="dxa"/>
            <w:tcBorders>
              <w:top w:val="nil"/>
              <w:left w:val="single" w:sz="4" w:space="0" w:color="auto"/>
              <w:bottom w:val="single" w:sz="4" w:space="0" w:color="auto"/>
              <w:right w:val="single" w:sz="4" w:space="0" w:color="auto"/>
            </w:tcBorders>
            <w:shd w:val="clear" w:color="auto" w:fill="auto"/>
            <w:noWrap/>
            <w:vAlign w:val="center"/>
          </w:tcPr>
          <w:p w14:paraId="02F96EDB" w14:textId="77777777" w:rsidR="00EA51C4" w:rsidRPr="0040415C" w:rsidRDefault="00EA51C4" w:rsidP="00BA499D">
            <w:pPr>
              <w:spacing w:line="276" w:lineRule="auto"/>
              <w:jc w:val="center"/>
              <w:rPr>
                <w:bCs/>
                <w:sz w:val="18"/>
                <w:szCs w:val="18"/>
              </w:rPr>
            </w:pPr>
            <w:r w:rsidRPr="007437E7">
              <w:rPr>
                <w:bCs/>
                <w:sz w:val="20"/>
                <w:szCs w:val="20"/>
              </w:rPr>
              <w:t>6</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61E89A5" w14:textId="77777777" w:rsidR="00EA51C4" w:rsidRPr="0040415C" w:rsidRDefault="00EA51C4" w:rsidP="00BA499D">
            <w:pPr>
              <w:spacing w:line="276" w:lineRule="auto"/>
              <w:jc w:val="center"/>
              <w:rPr>
                <w:sz w:val="18"/>
                <w:szCs w:val="18"/>
              </w:rPr>
            </w:pPr>
            <w:r w:rsidRPr="0040415C">
              <w:rPr>
                <w:sz w:val="20"/>
                <w:szCs w:val="20"/>
              </w:rPr>
              <w:t>300%</w:t>
            </w:r>
          </w:p>
        </w:tc>
      </w:tr>
      <w:tr w:rsidR="00EA51C4" w:rsidRPr="003E695F" w14:paraId="1B4C6970" w14:textId="77777777" w:rsidTr="00BA499D">
        <w:trPr>
          <w:trHeight w:val="142"/>
        </w:trPr>
        <w:tc>
          <w:tcPr>
            <w:tcW w:w="719" w:type="dxa"/>
            <w:shd w:val="clear" w:color="auto" w:fill="auto"/>
            <w:noWrap/>
            <w:vAlign w:val="center"/>
          </w:tcPr>
          <w:p w14:paraId="4CF28B9F" w14:textId="77777777" w:rsidR="00EA51C4" w:rsidRPr="008C3579" w:rsidRDefault="00EA51C4" w:rsidP="00BA499D">
            <w:pPr>
              <w:spacing w:line="276" w:lineRule="auto"/>
              <w:rPr>
                <w:bCs/>
                <w:sz w:val="18"/>
                <w:szCs w:val="18"/>
              </w:rPr>
            </w:pPr>
            <w:r w:rsidRPr="008C3579">
              <w:rPr>
                <w:bCs/>
                <w:sz w:val="18"/>
                <w:szCs w:val="18"/>
              </w:rPr>
              <w:t>8.2.</w:t>
            </w:r>
          </w:p>
        </w:tc>
        <w:tc>
          <w:tcPr>
            <w:tcW w:w="8363" w:type="dxa"/>
            <w:gridSpan w:val="4"/>
            <w:tcBorders>
              <w:right w:val="single" w:sz="4" w:space="0" w:color="auto"/>
            </w:tcBorders>
            <w:shd w:val="clear" w:color="auto" w:fill="auto"/>
            <w:vAlign w:val="center"/>
          </w:tcPr>
          <w:p w14:paraId="0FE33A9E" w14:textId="77777777" w:rsidR="00EA51C4" w:rsidRPr="0025795B" w:rsidRDefault="00EA51C4" w:rsidP="00BA499D">
            <w:pPr>
              <w:spacing w:line="276" w:lineRule="auto"/>
              <w:rPr>
                <w:color w:val="1A1A1A"/>
                <w:sz w:val="18"/>
                <w:szCs w:val="18"/>
              </w:rPr>
            </w:pPr>
            <w:r w:rsidRPr="0025795B">
              <w:rPr>
                <w:color w:val="1A1A1A"/>
                <w:sz w:val="18"/>
                <w:szCs w:val="18"/>
              </w:rPr>
              <w:t>Ispitivanje odobrenog lijeka</w:t>
            </w:r>
          </w:p>
        </w:tc>
      </w:tr>
      <w:tr w:rsidR="00EA51C4" w:rsidRPr="003E695F" w14:paraId="0DC9ACAA" w14:textId="77777777" w:rsidTr="00BA499D">
        <w:trPr>
          <w:trHeight w:val="142"/>
        </w:trPr>
        <w:tc>
          <w:tcPr>
            <w:tcW w:w="719" w:type="dxa"/>
            <w:shd w:val="clear" w:color="auto" w:fill="auto"/>
            <w:noWrap/>
            <w:vAlign w:val="center"/>
          </w:tcPr>
          <w:p w14:paraId="5D759D57" w14:textId="77777777" w:rsidR="00EA51C4" w:rsidRPr="008C3579" w:rsidRDefault="00EA51C4" w:rsidP="00BA499D">
            <w:pPr>
              <w:spacing w:line="276" w:lineRule="auto"/>
              <w:jc w:val="center"/>
              <w:rPr>
                <w:sz w:val="18"/>
                <w:szCs w:val="18"/>
              </w:rPr>
            </w:pPr>
            <w:r w:rsidRPr="008C3579">
              <w:rPr>
                <w:sz w:val="18"/>
                <w:szCs w:val="18"/>
              </w:rPr>
              <w:t>1</w:t>
            </w:r>
            <w:r>
              <w:rPr>
                <w:sz w:val="18"/>
                <w:szCs w:val="18"/>
              </w:rPr>
              <w:t>.</w:t>
            </w:r>
          </w:p>
        </w:tc>
        <w:tc>
          <w:tcPr>
            <w:tcW w:w="4167" w:type="dxa"/>
            <w:shd w:val="clear" w:color="auto" w:fill="auto"/>
            <w:vAlign w:val="center"/>
          </w:tcPr>
          <w:p w14:paraId="04220087" w14:textId="77777777" w:rsidR="00EA51C4" w:rsidRPr="0025795B" w:rsidRDefault="00EA51C4" w:rsidP="00BA499D">
            <w:pPr>
              <w:spacing w:line="276" w:lineRule="auto"/>
              <w:rPr>
                <w:color w:val="1A1A1A"/>
                <w:sz w:val="18"/>
                <w:szCs w:val="18"/>
              </w:rPr>
            </w:pPr>
            <w:r w:rsidRPr="0025795B">
              <w:rPr>
                <w:color w:val="1A1A1A"/>
                <w:sz w:val="18"/>
                <w:szCs w:val="18"/>
              </w:rPr>
              <w:t>Mononacionalni - dio I.</w:t>
            </w:r>
          </w:p>
        </w:tc>
        <w:tc>
          <w:tcPr>
            <w:tcW w:w="1417" w:type="dxa"/>
            <w:shd w:val="clear" w:color="auto" w:fill="auto"/>
            <w:noWrap/>
            <w:vAlign w:val="center"/>
          </w:tcPr>
          <w:p w14:paraId="277B006E" w14:textId="77777777" w:rsidR="00EA51C4" w:rsidRPr="00424D85" w:rsidRDefault="00EA51C4" w:rsidP="00BA499D">
            <w:pPr>
              <w:spacing w:line="276" w:lineRule="auto"/>
              <w:jc w:val="center"/>
              <w:rPr>
                <w:bCs/>
                <w:sz w:val="18"/>
                <w:szCs w:val="18"/>
              </w:rPr>
            </w:pPr>
            <w:r w:rsidRPr="00220101">
              <w:rPr>
                <w:bCs/>
                <w:sz w:val="20"/>
                <w:szCs w:val="20"/>
              </w:rPr>
              <w:t>0</w:t>
            </w:r>
          </w:p>
        </w:tc>
        <w:tc>
          <w:tcPr>
            <w:tcW w:w="1504" w:type="dxa"/>
            <w:tcBorders>
              <w:top w:val="nil"/>
              <w:left w:val="single" w:sz="4" w:space="0" w:color="auto"/>
              <w:bottom w:val="single" w:sz="4" w:space="0" w:color="auto"/>
              <w:right w:val="single" w:sz="4" w:space="0" w:color="auto"/>
            </w:tcBorders>
            <w:shd w:val="clear" w:color="auto" w:fill="auto"/>
            <w:noWrap/>
            <w:vAlign w:val="center"/>
          </w:tcPr>
          <w:p w14:paraId="34CC3715" w14:textId="77777777" w:rsidR="00EA51C4" w:rsidRPr="0040415C" w:rsidRDefault="00EA51C4" w:rsidP="00BA499D">
            <w:pPr>
              <w:spacing w:line="276" w:lineRule="auto"/>
              <w:jc w:val="center"/>
              <w:rPr>
                <w:bCs/>
                <w:sz w:val="18"/>
                <w:szCs w:val="18"/>
              </w:rPr>
            </w:pPr>
            <w:r w:rsidRPr="007437E7">
              <w:rPr>
                <w:bCs/>
                <w:sz w:val="20"/>
                <w:szCs w:val="20"/>
              </w:rPr>
              <w:t>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969E02C" w14:textId="77777777" w:rsidR="00EA51C4" w:rsidRPr="0040415C" w:rsidRDefault="00EA51C4" w:rsidP="00BA499D">
            <w:pPr>
              <w:spacing w:line="276" w:lineRule="auto"/>
              <w:jc w:val="center"/>
              <w:rPr>
                <w:sz w:val="18"/>
                <w:szCs w:val="18"/>
              </w:rPr>
            </w:pPr>
            <w:r>
              <w:rPr>
                <w:sz w:val="20"/>
                <w:szCs w:val="20"/>
              </w:rPr>
              <w:t>-</w:t>
            </w:r>
          </w:p>
        </w:tc>
      </w:tr>
      <w:tr w:rsidR="00EA51C4" w:rsidRPr="003E695F" w14:paraId="2D6EA93E" w14:textId="77777777" w:rsidTr="00BA499D">
        <w:trPr>
          <w:trHeight w:val="142"/>
        </w:trPr>
        <w:tc>
          <w:tcPr>
            <w:tcW w:w="719" w:type="dxa"/>
            <w:shd w:val="clear" w:color="auto" w:fill="auto"/>
            <w:noWrap/>
            <w:vAlign w:val="center"/>
          </w:tcPr>
          <w:p w14:paraId="0CF19D79" w14:textId="77777777" w:rsidR="00EA51C4" w:rsidRPr="008C3579" w:rsidRDefault="00EA51C4" w:rsidP="00BA499D">
            <w:pPr>
              <w:spacing w:line="276" w:lineRule="auto"/>
              <w:jc w:val="center"/>
              <w:rPr>
                <w:sz w:val="18"/>
                <w:szCs w:val="18"/>
              </w:rPr>
            </w:pPr>
            <w:r w:rsidRPr="008C3579">
              <w:rPr>
                <w:sz w:val="18"/>
                <w:szCs w:val="18"/>
              </w:rPr>
              <w:t>2</w:t>
            </w:r>
            <w:r>
              <w:rPr>
                <w:sz w:val="18"/>
                <w:szCs w:val="18"/>
              </w:rPr>
              <w:t>.</w:t>
            </w:r>
          </w:p>
        </w:tc>
        <w:tc>
          <w:tcPr>
            <w:tcW w:w="4167" w:type="dxa"/>
            <w:shd w:val="clear" w:color="auto" w:fill="auto"/>
            <w:vAlign w:val="center"/>
          </w:tcPr>
          <w:p w14:paraId="2C32E8C6" w14:textId="77777777" w:rsidR="00EA51C4" w:rsidRPr="0025795B" w:rsidRDefault="00EA51C4" w:rsidP="00BA499D">
            <w:pPr>
              <w:spacing w:line="276" w:lineRule="auto"/>
              <w:rPr>
                <w:color w:val="1A1A1A"/>
                <w:sz w:val="18"/>
                <w:szCs w:val="18"/>
              </w:rPr>
            </w:pPr>
            <w:r w:rsidRPr="0025795B">
              <w:rPr>
                <w:color w:val="1A1A1A"/>
                <w:sz w:val="18"/>
                <w:szCs w:val="18"/>
              </w:rPr>
              <w:t>Mononacionalni - dio II.</w:t>
            </w:r>
          </w:p>
        </w:tc>
        <w:tc>
          <w:tcPr>
            <w:tcW w:w="1417" w:type="dxa"/>
            <w:shd w:val="clear" w:color="auto" w:fill="auto"/>
            <w:noWrap/>
            <w:vAlign w:val="center"/>
          </w:tcPr>
          <w:p w14:paraId="3818C826" w14:textId="77777777" w:rsidR="00EA51C4" w:rsidRPr="00424D85" w:rsidRDefault="00EA51C4" w:rsidP="00BA499D">
            <w:pPr>
              <w:spacing w:line="276" w:lineRule="auto"/>
              <w:jc w:val="center"/>
              <w:rPr>
                <w:bCs/>
                <w:sz w:val="18"/>
                <w:szCs w:val="18"/>
              </w:rPr>
            </w:pPr>
            <w:r w:rsidRPr="00220101">
              <w:rPr>
                <w:bCs/>
                <w:sz w:val="20"/>
                <w:szCs w:val="20"/>
              </w:rPr>
              <w:t>0</w:t>
            </w:r>
          </w:p>
        </w:tc>
        <w:tc>
          <w:tcPr>
            <w:tcW w:w="1504" w:type="dxa"/>
            <w:tcBorders>
              <w:top w:val="nil"/>
              <w:left w:val="single" w:sz="4" w:space="0" w:color="auto"/>
              <w:bottom w:val="single" w:sz="4" w:space="0" w:color="auto"/>
              <w:right w:val="single" w:sz="4" w:space="0" w:color="auto"/>
            </w:tcBorders>
            <w:shd w:val="clear" w:color="auto" w:fill="auto"/>
            <w:noWrap/>
            <w:vAlign w:val="center"/>
          </w:tcPr>
          <w:p w14:paraId="29C339F0" w14:textId="77777777" w:rsidR="00EA51C4" w:rsidRPr="0040415C" w:rsidRDefault="00EA51C4" w:rsidP="00BA499D">
            <w:pPr>
              <w:spacing w:line="276" w:lineRule="auto"/>
              <w:jc w:val="center"/>
              <w:rPr>
                <w:bCs/>
                <w:sz w:val="18"/>
                <w:szCs w:val="18"/>
              </w:rPr>
            </w:pPr>
            <w:r w:rsidRPr="007437E7">
              <w:rPr>
                <w:bCs/>
                <w:sz w:val="20"/>
                <w:szCs w:val="20"/>
              </w:rPr>
              <w:t>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19287C0" w14:textId="77777777" w:rsidR="00EA51C4" w:rsidRPr="0040415C" w:rsidRDefault="00EA51C4" w:rsidP="00BA499D">
            <w:pPr>
              <w:spacing w:line="276" w:lineRule="auto"/>
              <w:jc w:val="center"/>
              <w:rPr>
                <w:sz w:val="18"/>
                <w:szCs w:val="18"/>
              </w:rPr>
            </w:pPr>
            <w:r>
              <w:rPr>
                <w:sz w:val="20"/>
                <w:szCs w:val="20"/>
              </w:rPr>
              <w:t>-</w:t>
            </w:r>
          </w:p>
        </w:tc>
      </w:tr>
      <w:tr w:rsidR="00EA51C4" w:rsidRPr="003E695F" w14:paraId="5339DE36" w14:textId="77777777" w:rsidTr="00BA499D">
        <w:trPr>
          <w:trHeight w:val="142"/>
        </w:trPr>
        <w:tc>
          <w:tcPr>
            <w:tcW w:w="719" w:type="dxa"/>
            <w:shd w:val="clear" w:color="auto" w:fill="auto"/>
            <w:noWrap/>
            <w:vAlign w:val="center"/>
          </w:tcPr>
          <w:p w14:paraId="095F76DC" w14:textId="77777777" w:rsidR="00EA51C4" w:rsidRPr="008C3579" w:rsidRDefault="00EA51C4" w:rsidP="00BA499D">
            <w:pPr>
              <w:spacing w:line="276" w:lineRule="auto"/>
              <w:jc w:val="center"/>
              <w:rPr>
                <w:sz w:val="18"/>
                <w:szCs w:val="18"/>
              </w:rPr>
            </w:pPr>
            <w:r w:rsidRPr="008C3579">
              <w:rPr>
                <w:sz w:val="18"/>
                <w:szCs w:val="18"/>
              </w:rPr>
              <w:t>3</w:t>
            </w:r>
            <w:r>
              <w:rPr>
                <w:sz w:val="18"/>
                <w:szCs w:val="18"/>
              </w:rPr>
              <w:t>.</w:t>
            </w:r>
          </w:p>
        </w:tc>
        <w:tc>
          <w:tcPr>
            <w:tcW w:w="4167" w:type="dxa"/>
            <w:shd w:val="clear" w:color="auto" w:fill="auto"/>
            <w:vAlign w:val="center"/>
          </w:tcPr>
          <w:p w14:paraId="2E5F8667" w14:textId="77777777" w:rsidR="00EA51C4" w:rsidRPr="0025795B" w:rsidRDefault="00EA51C4" w:rsidP="00BA499D">
            <w:pPr>
              <w:spacing w:line="276" w:lineRule="auto"/>
              <w:rPr>
                <w:color w:val="1A1A1A"/>
                <w:sz w:val="18"/>
                <w:szCs w:val="18"/>
              </w:rPr>
            </w:pPr>
            <w:r w:rsidRPr="0025795B">
              <w:rPr>
                <w:color w:val="1A1A1A"/>
                <w:sz w:val="18"/>
                <w:szCs w:val="18"/>
              </w:rPr>
              <w:t>Mononacionalni - dio I.+II.</w:t>
            </w:r>
          </w:p>
        </w:tc>
        <w:tc>
          <w:tcPr>
            <w:tcW w:w="1417" w:type="dxa"/>
            <w:shd w:val="clear" w:color="auto" w:fill="auto"/>
            <w:noWrap/>
            <w:vAlign w:val="center"/>
          </w:tcPr>
          <w:p w14:paraId="21B3E4E7" w14:textId="77777777" w:rsidR="00EA51C4" w:rsidRPr="00424D85" w:rsidRDefault="00EA51C4" w:rsidP="00BA499D">
            <w:pPr>
              <w:spacing w:line="276" w:lineRule="auto"/>
              <w:jc w:val="center"/>
              <w:rPr>
                <w:bCs/>
                <w:sz w:val="18"/>
                <w:szCs w:val="18"/>
              </w:rPr>
            </w:pPr>
            <w:r w:rsidRPr="00220101">
              <w:rPr>
                <w:bCs/>
                <w:sz w:val="20"/>
                <w:szCs w:val="20"/>
              </w:rPr>
              <w:t>2</w:t>
            </w:r>
          </w:p>
        </w:tc>
        <w:tc>
          <w:tcPr>
            <w:tcW w:w="1504" w:type="dxa"/>
            <w:tcBorders>
              <w:top w:val="nil"/>
              <w:left w:val="single" w:sz="4" w:space="0" w:color="auto"/>
              <w:bottom w:val="single" w:sz="4" w:space="0" w:color="auto"/>
              <w:right w:val="single" w:sz="4" w:space="0" w:color="auto"/>
            </w:tcBorders>
            <w:shd w:val="clear" w:color="auto" w:fill="auto"/>
            <w:noWrap/>
            <w:vAlign w:val="center"/>
          </w:tcPr>
          <w:p w14:paraId="0D613056" w14:textId="77777777" w:rsidR="00EA51C4" w:rsidRPr="0040415C" w:rsidRDefault="00EA51C4" w:rsidP="00BA499D">
            <w:pPr>
              <w:spacing w:line="276" w:lineRule="auto"/>
              <w:jc w:val="center"/>
              <w:rPr>
                <w:bCs/>
                <w:sz w:val="18"/>
                <w:szCs w:val="18"/>
              </w:rPr>
            </w:pPr>
            <w:r w:rsidRPr="007437E7">
              <w:rPr>
                <w:bCs/>
                <w:sz w:val="20"/>
                <w:szCs w:val="20"/>
              </w:rPr>
              <w:t>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488127B" w14:textId="77777777" w:rsidR="00EA51C4" w:rsidRPr="0040415C" w:rsidRDefault="00EA51C4" w:rsidP="00BA499D">
            <w:pPr>
              <w:spacing w:line="276" w:lineRule="auto"/>
              <w:jc w:val="center"/>
              <w:rPr>
                <w:sz w:val="18"/>
                <w:szCs w:val="18"/>
              </w:rPr>
            </w:pPr>
            <w:r w:rsidRPr="0040415C">
              <w:rPr>
                <w:sz w:val="20"/>
                <w:szCs w:val="20"/>
              </w:rPr>
              <w:t>0%</w:t>
            </w:r>
          </w:p>
        </w:tc>
      </w:tr>
      <w:tr w:rsidR="00EA51C4" w:rsidRPr="003E695F" w14:paraId="7314DFA0" w14:textId="77777777" w:rsidTr="00BA499D">
        <w:trPr>
          <w:trHeight w:val="142"/>
        </w:trPr>
        <w:tc>
          <w:tcPr>
            <w:tcW w:w="719" w:type="dxa"/>
            <w:shd w:val="clear" w:color="auto" w:fill="auto"/>
            <w:noWrap/>
            <w:vAlign w:val="center"/>
          </w:tcPr>
          <w:p w14:paraId="6E0E9C2D" w14:textId="77777777" w:rsidR="00EA51C4" w:rsidRPr="008C3579" w:rsidRDefault="00EA51C4" w:rsidP="00BA499D">
            <w:pPr>
              <w:spacing w:line="276" w:lineRule="auto"/>
              <w:jc w:val="center"/>
              <w:rPr>
                <w:sz w:val="18"/>
                <w:szCs w:val="18"/>
              </w:rPr>
            </w:pPr>
            <w:r w:rsidRPr="008C3579">
              <w:rPr>
                <w:sz w:val="18"/>
                <w:szCs w:val="18"/>
              </w:rPr>
              <w:t>4</w:t>
            </w:r>
            <w:r>
              <w:rPr>
                <w:sz w:val="18"/>
                <w:szCs w:val="18"/>
              </w:rPr>
              <w:t>.</w:t>
            </w:r>
          </w:p>
        </w:tc>
        <w:tc>
          <w:tcPr>
            <w:tcW w:w="4167" w:type="dxa"/>
            <w:shd w:val="clear" w:color="auto" w:fill="auto"/>
            <w:vAlign w:val="center"/>
          </w:tcPr>
          <w:p w14:paraId="418A4D07" w14:textId="77777777" w:rsidR="00EA51C4" w:rsidRPr="0025795B" w:rsidRDefault="00EA51C4" w:rsidP="00BA499D">
            <w:pPr>
              <w:spacing w:line="276" w:lineRule="auto"/>
              <w:rPr>
                <w:color w:val="1A1A1A"/>
                <w:sz w:val="18"/>
                <w:szCs w:val="18"/>
              </w:rPr>
            </w:pPr>
            <w:r w:rsidRPr="0025795B">
              <w:rPr>
                <w:color w:val="1A1A1A"/>
                <w:sz w:val="18"/>
                <w:szCs w:val="18"/>
              </w:rPr>
              <w:t>Multinacionalni - Hrvatska RMS - dio I.</w:t>
            </w:r>
          </w:p>
        </w:tc>
        <w:tc>
          <w:tcPr>
            <w:tcW w:w="1417" w:type="dxa"/>
            <w:shd w:val="clear" w:color="auto" w:fill="auto"/>
            <w:noWrap/>
            <w:vAlign w:val="center"/>
          </w:tcPr>
          <w:p w14:paraId="71B9E7EC" w14:textId="77777777" w:rsidR="00EA51C4" w:rsidRPr="00424D85" w:rsidRDefault="00EA51C4" w:rsidP="00BA499D">
            <w:pPr>
              <w:spacing w:line="276" w:lineRule="auto"/>
              <w:jc w:val="center"/>
              <w:rPr>
                <w:bCs/>
                <w:sz w:val="18"/>
                <w:szCs w:val="18"/>
              </w:rPr>
            </w:pPr>
            <w:r w:rsidRPr="00220101">
              <w:rPr>
                <w:bCs/>
                <w:sz w:val="20"/>
                <w:szCs w:val="20"/>
              </w:rPr>
              <w:t>0</w:t>
            </w:r>
          </w:p>
        </w:tc>
        <w:tc>
          <w:tcPr>
            <w:tcW w:w="1504" w:type="dxa"/>
            <w:tcBorders>
              <w:top w:val="nil"/>
              <w:left w:val="single" w:sz="4" w:space="0" w:color="auto"/>
              <w:bottom w:val="single" w:sz="4" w:space="0" w:color="auto"/>
              <w:right w:val="single" w:sz="4" w:space="0" w:color="auto"/>
            </w:tcBorders>
            <w:shd w:val="clear" w:color="auto" w:fill="auto"/>
            <w:noWrap/>
            <w:vAlign w:val="center"/>
          </w:tcPr>
          <w:p w14:paraId="04033589" w14:textId="77777777" w:rsidR="00EA51C4" w:rsidRPr="0040415C" w:rsidRDefault="00EA51C4" w:rsidP="00BA499D">
            <w:pPr>
              <w:spacing w:line="276" w:lineRule="auto"/>
              <w:jc w:val="center"/>
              <w:rPr>
                <w:bCs/>
                <w:sz w:val="18"/>
                <w:szCs w:val="18"/>
              </w:rPr>
            </w:pPr>
            <w:r w:rsidRPr="007437E7">
              <w:rPr>
                <w:bCs/>
                <w:sz w:val="20"/>
                <w:szCs w:val="20"/>
              </w:rPr>
              <w:t>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A29725C" w14:textId="77777777" w:rsidR="00EA51C4" w:rsidRPr="0040415C" w:rsidRDefault="00EA51C4" w:rsidP="00BA499D">
            <w:pPr>
              <w:spacing w:line="276" w:lineRule="auto"/>
              <w:jc w:val="center"/>
              <w:rPr>
                <w:sz w:val="18"/>
                <w:szCs w:val="18"/>
              </w:rPr>
            </w:pPr>
            <w:r>
              <w:rPr>
                <w:sz w:val="20"/>
                <w:szCs w:val="20"/>
              </w:rPr>
              <w:t>-</w:t>
            </w:r>
          </w:p>
        </w:tc>
      </w:tr>
      <w:tr w:rsidR="00EA51C4" w:rsidRPr="003E695F" w14:paraId="442B7987" w14:textId="77777777" w:rsidTr="00BA499D">
        <w:trPr>
          <w:trHeight w:val="142"/>
        </w:trPr>
        <w:tc>
          <w:tcPr>
            <w:tcW w:w="719" w:type="dxa"/>
            <w:shd w:val="clear" w:color="auto" w:fill="auto"/>
            <w:noWrap/>
            <w:vAlign w:val="center"/>
          </w:tcPr>
          <w:p w14:paraId="02D403C6" w14:textId="77777777" w:rsidR="00EA51C4" w:rsidRPr="008C3579" w:rsidRDefault="00EA51C4" w:rsidP="00BA499D">
            <w:pPr>
              <w:spacing w:line="276" w:lineRule="auto"/>
              <w:jc w:val="center"/>
              <w:rPr>
                <w:sz w:val="18"/>
                <w:szCs w:val="18"/>
              </w:rPr>
            </w:pPr>
            <w:r w:rsidRPr="008C3579">
              <w:rPr>
                <w:sz w:val="18"/>
                <w:szCs w:val="18"/>
              </w:rPr>
              <w:t>5</w:t>
            </w:r>
            <w:r>
              <w:rPr>
                <w:sz w:val="18"/>
                <w:szCs w:val="18"/>
              </w:rPr>
              <w:t>.</w:t>
            </w:r>
          </w:p>
        </w:tc>
        <w:tc>
          <w:tcPr>
            <w:tcW w:w="4167" w:type="dxa"/>
            <w:shd w:val="clear" w:color="auto" w:fill="auto"/>
            <w:vAlign w:val="center"/>
          </w:tcPr>
          <w:p w14:paraId="1AA18625" w14:textId="77777777" w:rsidR="00EA51C4" w:rsidRPr="0025795B" w:rsidRDefault="00EA51C4" w:rsidP="00BA499D">
            <w:pPr>
              <w:spacing w:line="276" w:lineRule="auto"/>
              <w:rPr>
                <w:color w:val="1A1A1A"/>
                <w:sz w:val="18"/>
                <w:szCs w:val="18"/>
              </w:rPr>
            </w:pPr>
            <w:r w:rsidRPr="0025795B">
              <w:rPr>
                <w:color w:val="1A1A1A"/>
                <w:sz w:val="18"/>
                <w:szCs w:val="18"/>
              </w:rPr>
              <w:t>Multinacionalni - Hrvatska RMS - dio II.</w:t>
            </w:r>
          </w:p>
        </w:tc>
        <w:tc>
          <w:tcPr>
            <w:tcW w:w="1417" w:type="dxa"/>
            <w:shd w:val="clear" w:color="auto" w:fill="auto"/>
            <w:noWrap/>
            <w:vAlign w:val="center"/>
          </w:tcPr>
          <w:p w14:paraId="41A3EA4C" w14:textId="77777777" w:rsidR="00EA51C4" w:rsidRPr="00424D85" w:rsidRDefault="00EA51C4" w:rsidP="00BA499D">
            <w:pPr>
              <w:spacing w:line="276" w:lineRule="auto"/>
              <w:jc w:val="center"/>
              <w:rPr>
                <w:bCs/>
                <w:sz w:val="18"/>
                <w:szCs w:val="18"/>
              </w:rPr>
            </w:pPr>
            <w:r w:rsidRPr="00220101">
              <w:rPr>
                <w:bCs/>
                <w:sz w:val="20"/>
                <w:szCs w:val="20"/>
              </w:rPr>
              <w:t>0</w:t>
            </w:r>
          </w:p>
        </w:tc>
        <w:tc>
          <w:tcPr>
            <w:tcW w:w="1504" w:type="dxa"/>
            <w:tcBorders>
              <w:top w:val="nil"/>
              <w:left w:val="single" w:sz="4" w:space="0" w:color="auto"/>
              <w:bottom w:val="single" w:sz="4" w:space="0" w:color="auto"/>
              <w:right w:val="single" w:sz="4" w:space="0" w:color="auto"/>
            </w:tcBorders>
            <w:shd w:val="clear" w:color="auto" w:fill="auto"/>
            <w:noWrap/>
            <w:vAlign w:val="center"/>
          </w:tcPr>
          <w:p w14:paraId="48604092" w14:textId="77777777" w:rsidR="00EA51C4" w:rsidRPr="0040415C" w:rsidRDefault="00EA51C4" w:rsidP="00BA499D">
            <w:pPr>
              <w:spacing w:line="276" w:lineRule="auto"/>
              <w:jc w:val="center"/>
              <w:rPr>
                <w:bCs/>
                <w:sz w:val="18"/>
                <w:szCs w:val="18"/>
              </w:rPr>
            </w:pPr>
            <w:r w:rsidRPr="007437E7">
              <w:rPr>
                <w:bCs/>
                <w:sz w:val="20"/>
                <w:szCs w:val="20"/>
              </w:rPr>
              <w:t>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F9A0E83" w14:textId="77777777" w:rsidR="00EA51C4" w:rsidRPr="0040415C" w:rsidRDefault="00EA51C4" w:rsidP="00BA499D">
            <w:pPr>
              <w:spacing w:line="276" w:lineRule="auto"/>
              <w:jc w:val="center"/>
              <w:rPr>
                <w:sz w:val="18"/>
                <w:szCs w:val="18"/>
              </w:rPr>
            </w:pPr>
            <w:r>
              <w:rPr>
                <w:sz w:val="20"/>
                <w:szCs w:val="20"/>
              </w:rPr>
              <w:t>-</w:t>
            </w:r>
          </w:p>
        </w:tc>
      </w:tr>
      <w:tr w:rsidR="00EA51C4" w:rsidRPr="003E695F" w14:paraId="11882AB8" w14:textId="77777777" w:rsidTr="00BA499D">
        <w:trPr>
          <w:trHeight w:val="142"/>
        </w:trPr>
        <w:tc>
          <w:tcPr>
            <w:tcW w:w="719" w:type="dxa"/>
            <w:shd w:val="clear" w:color="auto" w:fill="auto"/>
            <w:noWrap/>
            <w:vAlign w:val="center"/>
          </w:tcPr>
          <w:p w14:paraId="52E203E3" w14:textId="77777777" w:rsidR="00EA51C4" w:rsidRPr="008C3579" w:rsidRDefault="00EA51C4" w:rsidP="00BA499D">
            <w:pPr>
              <w:spacing w:line="276" w:lineRule="auto"/>
              <w:jc w:val="center"/>
              <w:rPr>
                <w:sz w:val="18"/>
                <w:szCs w:val="18"/>
              </w:rPr>
            </w:pPr>
            <w:r w:rsidRPr="008C3579">
              <w:rPr>
                <w:sz w:val="18"/>
                <w:szCs w:val="18"/>
              </w:rPr>
              <w:t>6</w:t>
            </w:r>
            <w:r>
              <w:rPr>
                <w:sz w:val="18"/>
                <w:szCs w:val="18"/>
              </w:rPr>
              <w:t>.</w:t>
            </w:r>
          </w:p>
        </w:tc>
        <w:tc>
          <w:tcPr>
            <w:tcW w:w="4167" w:type="dxa"/>
            <w:shd w:val="clear" w:color="auto" w:fill="auto"/>
            <w:vAlign w:val="center"/>
          </w:tcPr>
          <w:p w14:paraId="43BBFF1F" w14:textId="77777777" w:rsidR="00EA51C4" w:rsidRPr="0025795B" w:rsidRDefault="00EA51C4" w:rsidP="00BA499D">
            <w:pPr>
              <w:spacing w:line="276" w:lineRule="auto"/>
              <w:rPr>
                <w:color w:val="1A1A1A"/>
                <w:sz w:val="18"/>
                <w:szCs w:val="18"/>
              </w:rPr>
            </w:pPr>
            <w:r w:rsidRPr="0025795B">
              <w:rPr>
                <w:color w:val="1A1A1A"/>
                <w:sz w:val="18"/>
                <w:szCs w:val="18"/>
              </w:rPr>
              <w:t>Multinacionalni - Hrvatska RMS - dio I.+II.</w:t>
            </w:r>
          </w:p>
        </w:tc>
        <w:tc>
          <w:tcPr>
            <w:tcW w:w="1417" w:type="dxa"/>
            <w:shd w:val="clear" w:color="auto" w:fill="auto"/>
            <w:noWrap/>
            <w:vAlign w:val="center"/>
          </w:tcPr>
          <w:p w14:paraId="1E371212" w14:textId="77777777" w:rsidR="00EA51C4" w:rsidRPr="00424D85" w:rsidRDefault="00EA51C4" w:rsidP="00BA499D">
            <w:pPr>
              <w:spacing w:line="276" w:lineRule="auto"/>
              <w:jc w:val="center"/>
              <w:rPr>
                <w:bCs/>
                <w:sz w:val="18"/>
                <w:szCs w:val="18"/>
              </w:rPr>
            </w:pPr>
            <w:r w:rsidRPr="00220101">
              <w:rPr>
                <w:bCs/>
                <w:sz w:val="20"/>
                <w:szCs w:val="20"/>
              </w:rPr>
              <w:t>1</w:t>
            </w:r>
          </w:p>
        </w:tc>
        <w:tc>
          <w:tcPr>
            <w:tcW w:w="1504" w:type="dxa"/>
            <w:tcBorders>
              <w:top w:val="nil"/>
              <w:left w:val="single" w:sz="4" w:space="0" w:color="auto"/>
              <w:bottom w:val="single" w:sz="4" w:space="0" w:color="auto"/>
              <w:right w:val="single" w:sz="4" w:space="0" w:color="auto"/>
            </w:tcBorders>
            <w:shd w:val="clear" w:color="auto" w:fill="auto"/>
            <w:noWrap/>
            <w:vAlign w:val="center"/>
          </w:tcPr>
          <w:p w14:paraId="41BCECCB" w14:textId="77777777" w:rsidR="00EA51C4" w:rsidRPr="0040415C" w:rsidRDefault="00EA51C4" w:rsidP="00BA499D">
            <w:pPr>
              <w:spacing w:line="276" w:lineRule="auto"/>
              <w:jc w:val="center"/>
              <w:rPr>
                <w:bCs/>
                <w:sz w:val="18"/>
                <w:szCs w:val="18"/>
              </w:rPr>
            </w:pPr>
            <w:r w:rsidRPr="007437E7">
              <w:rPr>
                <w:bCs/>
                <w:sz w:val="20"/>
                <w:szCs w:val="20"/>
              </w:rPr>
              <w:t>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7D500B1" w14:textId="77777777" w:rsidR="00EA51C4" w:rsidRPr="0040415C" w:rsidRDefault="00EA51C4" w:rsidP="00BA499D">
            <w:pPr>
              <w:spacing w:line="276" w:lineRule="auto"/>
              <w:jc w:val="center"/>
              <w:rPr>
                <w:sz w:val="18"/>
                <w:szCs w:val="18"/>
              </w:rPr>
            </w:pPr>
            <w:r w:rsidRPr="0040415C">
              <w:rPr>
                <w:sz w:val="20"/>
                <w:szCs w:val="20"/>
              </w:rPr>
              <w:t>0%</w:t>
            </w:r>
          </w:p>
        </w:tc>
      </w:tr>
      <w:tr w:rsidR="00EA51C4" w:rsidRPr="003E695F" w14:paraId="06303D61" w14:textId="77777777" w:rsidTr="00BA499D">
        <w:trPr>
          <w:trHeight w:val="142"/>
        </w:trPr>
        <w:tc>
          <w:tcPr>
            <w:tcW w:w="719" w:type="dxa"/>
            <w:shd w:val="clear" w:color="auto" w:fill="auto"/>
            <w:noWrap/>
            <w:vAlign w:val="center"/>
          </w:tcPr>
          <w:p w14:paraId="2FDB92F6" w14:textId="77777777" w:rsidR="00EA51C4" w:rsidRPr="008C3579" w:rsidRDefault="00EA51C4" w:rsidP="00BA499D">
            <w:pPr>
              <w:spacing w:line="276" w:lineRule="auto"/>
              <w:jc w:val="center"/>
              <w:rPr>
                <w:sz w:val="18"/>
                <w:szCs w:val="18"/>
              </w:rPr>
            </w:pPr>
            <w:r w:rsidRPr="008C3579">
              <w:rPr>
                <w:sz w:val="18"/>
                <w:szCs w:val="18"/>
              </w:rPr>
              <w:t>7</w:t>
            </w:r>
            <w:r>
              <w:rPr>
                <w:sz w:val="18"/>
                <w:szCs w:val="18"/>
              </w:rPr>
              <w:t>.</w:t>
            </w:r>
          </w:p>
        </w:tc>
        <w:tc>
          <w:tcPr>
            <w:tcW w:w="4167" w:type="dxa"/>
            <w:shd w:val="clear" w:color="auto" w:fill="auto"/>
            <w:vAlign w:val="center"/>
          </w:tcPr>
          <w:p w14:paraId="15A1B119" w14:textId="77777777" w:rsidR="00EA51C4" w:rsidRPr="0025795B" w:rsidRDefault="00EA51C4" w:rsidP="00BA499D">
            <w:pPr>
              <w:spacing w:line="276" w:lineRule="auto"/>
              <w:rPr>
                <w:color w:val="1A1A1A"/>
                <w:sz w:val="18"/>
                <w:szCs w:val="18"/>
              </w:rPr>
            </w:pPr>
            <w:r w:rsidRPr="0025795B">
              <w:rPr>
                <w:color w:val="1A1A1A"/>
                <w:sz w:val="18"/>
                <w:szCs w:val="18"/>
              </w:rPr>
              <w:t>Multinacionalni - Hrvatska MSC - dio I.</w:t>
            </w:r>
          </w:p>
        </w:tc>
        <w:tc>
          <w:tcPr>
            <w:tcW w:w="1417" w:type="dxa"/>
            <w:shd w:val="clear" w:color="auto" w:fill="auto"/>
            <w:noWrap/>
            <w:vAlign w:val="center"/>
          </w:tcPr>
          <w:p w14:paraId="7713DBBA" w14:textId="77777777" w:rsidR="00EA51C4" w:rsidRPr="00424D85" w:rsidRDefault="00EA51C4" w:rsidP="00BA499D">
            <w:pPr>
              <w:spacing w:line="276" w:lineRule="auto"/>
              <w:jc w:val="center"/>
              <w:rPr>
                <w:bCs/>
                <w:sz w:val="18"/>
                <w:szCs w:val="18"/>
              </w:rPr>
            </w:pPr>
            <w:r w:rsidRPr="00220101">
              <w:rPr>
                <w:bCs/>
                <w:sz w:val="20"/>
                <w:szCs w:val="20"/>
              </w:rPr>
              <w:t>0</w:t>
            </w:r>
          </w:p>
        </w:tc>
        <w:tc>
          <w:tcPr>
            <w:tcW w:w="1504" w:type="dxa"/>
            <w:tcBorders>
              <w:top w:val="nil"/>
              <w:left w:val="single" w:sz="4" w:space="0" w:color="auto"/>
              <w:bottom w:val="single" w:sz="4" w:space="0" w:color="auto"/>
              <w:right w:val="single" w:sz="4" w:space="0" w:color="auto"/>
            </w:tcBorders>
            <w:shd w:val="clear" w:color="auto" w:fill="auto"/>
            <w:noWrap/>
            <w:vAlign w:val="center"/>
          </w:tcPr>
          <w:p w14:paraId="4FE171FE" w14:textId="77777777" w:rsidR="00EA51C4" w:rsidRPr="0040415C" w:rsidRDefault="00EA51C4" w:rsidP="00BA499D">
            <w:pPr>
              <w:spacing w:line="276" w:lineRule="auto"/>
              <w:jc w:val="center"/>
              <w:rPr>
                <w:bCs/>
                <w:sz w:val="18"/>
                <w:szCs w:val="18"/>
              </w:rPr>
            </w:pPr>
            <w:r w:rsidRPr="007437E7">
              <w:rPr>
                <w:bCs/>
                <w:sz w:val="20"/>
                <w:szCs w:val="20"/>
              </w:rPr>
              <w:t>1</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6DF0E31" w14:textId="77777777" w:rsidR="00EA51C4" w:rsidRPr="0040415C" w:rsidRDefault="00EA51C4" w:rsidP="00BA499D">
            <w:pPr>
              <w:spacing w:line="276" w:lineRule="auto"/>
              <w:jc w:val="center"/>
              <w:rPr>
                <w:sz w:val="18"/>
                <w:szCs w:val="18"/>
              </w:rPr>
            </w:pPr>
            <w:r>
              <w:rPr>
                <w:sz w:val="20"/>
                <w:szCs w:val="20"/>
              </w:rPr>
              <w:t>-</w:t>
            </w:r>
          </w:p>
        </w:tc>
      </w:tr>
      <w:tr w:rsidR="00EA51C4" w:rsidRPr="003E695F" w14:paraId="791EDBFD" w14:textId="77777777" w:rsidTr="00BA499D">
        <w:trPr>
          <w:trHeight w:val="142"/>
        </w:trPr>
        <w:tc>
          <w:tcPr>
            <w:tcW w:w="719" w:type="dxa"/>
            <w:shd w:val="clear" w:color="auto" w:fill="auto"/>
            <w:noWrap/>
            <w:vAlign w:val="center"/>
          </w:tcPr>
          <w:p w14:paraId="03AF61F9" w14:textId="77777777" w:rsidR="00EA51C4" w:rsidRPr="008C3579" w:rsidRDefault="00EA51C4" w:rsidP="00BA499D">
            <w:pPr>
              <w:spacing w:line="276" w:lineRule="auto"/>
              <w:jc w:val="center"/>
              <w:rPr>
                <w:sz w:val="18"/>
                <w:szCs w:val="18"/>
              </w:rPr>
            </w:pPr>
            <w:r w:rsidRPr="008C3579">
              <w:rPr>
                <w:sz w:val="18"/>
                <w:szCs w:val="18"/>
              </w:rPr>
              <w:t>8</w:t>
            </w:r>
            <w:r>
              <w:rPr>
                <w:sz w:val="18"/>
                <w:szCs w:val="18"/>
              </w:rPr>
              <w:t>.</w:t>
            </w:r>
          </w:p>
        </w:tc>
        <w:tc>
          <w:tcPr>
            <w:tcW w:w="4167" w:type="dxa"/>
            <w:shd w:val="clear" w:color="auto" w:fill="auto"/>
            <w:vAlign w:val="center"/>
          </w:tcPr>
          <w:p w14:paraId="7A4E359E" w14:textId="77777777" w:rsidR="00EA51C4" w:rsidRPr="0025795B" w:rsidRDefault="00EA51C4" w:rsidP="00BA499D">
            <w:pPr>
              <w:spacing w:line="276" w:lineRule="auto"/>
              <w:rPr>
                <w:color w:val="1A1A1A"/>
                <w:sz w:val="18"/>
                <w:szCs w:val="18"/>
              </w:rPr>
            </w:pPr>
            <w:r w:rsidRPr="0025795B">
              <w:rPr>
                <w:color w:val="1A1A1A"/>
                <w:sz w:val="18"/>
                <w:szCs w:val="18"/>
              </w:rPr>
              <w:t>Multinacionalni - Hrvatska MSC - dio II.</w:t>
            </w:r>
          </w:p>
        </w:tc>
        <w:tc>
          <w:tcPr>
            <w:tcW w:w="1417" w:type="dxa"/>
            <w:shd w:val="clear" w:color="auto" w:fill="auto"/>
            <w:noWrap/>
            <w:vAlign w:val="center"/>
          </w:tcPr>
          <w:p w14:paraId="256BD607" w14:textId="77777777" w:rsidR="00EA51C4" w:rsidRPr="00424D85" w:rsidRDefault="00EA51C4" w:rsidP="00BA499D">
            <w:pPr>
              <w:spacing w:line="276" w:lineRule="auto"/>
              <w:jc w:val="center"/>
              <w:rPr>
                <w:bCs/>
                <w:sz w:val="18"/>
                <w:szCs w:val="18"/>
              </w:rPr>
            </w:pPr>
            <w:r w:rsidRPr="00220101">
              <w:rPr>
                <w:bCs/>
                <w:sz w:val="20"/>
                <w:szCs w:val="20"/>
              </w:rPr>
              <w:t>1</w:t>
            </w:r>
          </w:p>
        </w:tc>
        <w:tc>
          <w:tcPr>
            <w:tcW w:w="1504" w:type="dxa"/>
            <w:tcBorders>
              <w:top w:val="nil"/>
              <w:left w:val="single" w:sz="4" w:space="0" w:color="auto"/>
              <w:bottom w:val="single" w:sz="4" w:space="0" w:color="auto"/>
              <w:right w:val="single" w:sz="4" w:space="0" w:color="auto"/>
            </w:tcBorders>
            <w:shd w:val="clear" w:color="auto" w:fill="auto"/>
            <w:noWrap/>
            <w:vAlign w:val="center"/>
          </w:tcPr>
          <w:p w14:paraId="34FE861D" w14:textId="77777777" w:rsidR="00EA51C4" w:rsidRPr="0040415C" w:rsidRDefault="00EA51C4" w:rsidP="00BA499D">
            <w:pPr>
              <w:spacing w:line="276" w:lineRule="auto"/>
              <w:jc w:val="center"/>
              <w:rPr>
                <w:bCs/>
                <w:sz w:val="18"/>
                <w:szCs w:val="18"/>
              </w:rPr>
            </w:pPr>
            <w:r w:rsidRPr="007437E7">
              <w:rPr>
                <w:bCs/>
                <w:sz w:val="20"/>
                <w:szCs w:val="20"/>
              </w:rPr>
              <w:t>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36BC986" w14:textId="77777777" w:rsidR="00EA51C4" w:rsidRPr="0040415C" w:rsidRDefault="00EA51C4" w:rsidP="00BA499D">
            <w:pPr>
              <w:spacing w:line="276" w:lineRule="auto"/>
              <w:jc w:val="center"/>
              <w:rPr>
                <w:sz w:val="18"/>
                <w:szCs w:val="18"/>
              </w:rPr>
            </w:pPr>
            <w:r w:rsidRPr="0040415C">
              <w:rPr>
                <w:sz w:val="20"/>
                <w:szCs w:val="20"/>
              </w:rPr>
              <w:t>0%</w:t>
            </w:r>
          </w:p>
        </w:tc>
      </w:tr>
      <w:tr w:rsidR="00EA51C4" w:rsidRPr="003E695F" w14:paraId="2E5A2FBD" w14:textId="77777777" w:rsidTr="00BA499D">
        <w:trPr>
          <w:trHeight w:val="142"/>
        </w:trPr>
        <w:tc>
          <w:tcPr>
            <w:tcW w:w="719" w:type="dxa"/>
            <w:shd w:val="clear" w:color="auto" w:fill="auto"/>
            <w:noWrap/>
            <w:vAlign w:val="center"/>
          </w:tcPr>
          <w:p w14:paraId="2FEA6F99" w14:textId="77777777" w:rsidR="00EA51C4" w:rsidRPr="008C3579" w:rsidRDefault="00EA51C4" w:rsidP="00BA499D">
            <w:pPr>
              <w:spacing w:line="276" w:lineRule="auto"/>
              <w:jc w:val="center"/>
              <w:rPr>
                <w:sz w:val="18"/>
                <w:szCs w:val="18"/>
              </w:rPr>
            </w:pPr>
            <w:r w:rsidRPr="008C3579">
              <w:rPr>
                <w:sz w:val="18"/>
                <w:szCs w:val="18"/>
              </w:rPr>
              <w:t>9</w:t>
            </w:r>
            <w:r>
              <w:rPr>
                <w:sz w:val="18"/>
                <w:szCs w:val="18"/>
              </w:rPr>
              <w:t>.</w:t>
            </w:r>
          </w:p>
        </w:tc>
        <w:tc>
          <w:tcPr>
            <w:tcW w:w="4167" w:type="dxa"/>
            <w:shd w:val="clear" w:color="auto" w:fill="auto"/>
            <w:vAlign w:val="center"/>
          </w:tcPr>
          <w:p w14:paraId="4FC80FA1" w14:textId="77777777" w:rsidR="00EA51C4" w:rsidRPr="0025795B" w:rsidRDefault="00EA51C4" w:rsidP="00BA499D">
            <w:pPr>
              <w:spacing w:line="276" w:lineRule="auto"/>
              <w:rPr>
                <w:color w:val="1A1A1A"/>
                <w:sz w:val="18"/>
                <w:szCs w:val="18"/>
              </w:rPr>
            </w:pPr>
            <w:r w:rsidRPr="0025795B">
              <w:rPr>
                <w:color w:val="1A1A1A"/>
                <w:sz w:val="18"/>
                <w:szCs w:val="18"/>
              </w:rPr>
              <w:t>Multinacionalni - Hrvatska MSC - dio I.+II.</w:t>
            </w:r>
          </w:p>
        </w:tc>
        <w:tc>
          <w:tcPr>
            <w:tcW w:w="1417" w:type="dxa"/>
            <w:shd w:val="clear" w:color="auto" w:fill="auto"/>
            <w:noWrap/>
            <w:vAlign w:val="center"/>
          </w:tcPr>
          <w:p w14:paraId="490C8587" w14:textId="77777777" w:rsidR="00EA51C4" w:rsidRPr="00424D85" w:rsidRDefault="00EA51C4" w:rsidP="00BA499D">
            <w:pPr>
              <w:spacing w:line="276" w:lineRule="auto"/>
              <w:jc w:val="center"/>
              <w:rPr>
                <w:bCs/>
                <w:sz w:val="18"/>
                <w:szCs w:val="18"/>
              </w:rPr>
            </w:pPr>
            <w:r w:rsidRPr="00220101">
              <w:rPr>
                <w:bCs/>
                <w:sz w:val="20"/>
                <w:szCs w:val="20"/>
              </w:rPr>
              <w:t>25</w:t>
            </w:r>
          </w:p>
        </w:tc>
        <w:tc>
          <w:tcPr>
            <w:tcW w:w="1504" w:type="dxa"/>
            <w:tcBorders>
              <w:top w:val="nil"/>
              <w:left w:val="single" w:sz="4" w:space="0" w:color="auto"/>
              <w:bottom w:val="single" w:sz="4" w:space="0" w:color="auto"/>
              <w:right w:val="single" w:sz="4" w:space="0" w:color="auto"/>
            </w:tcBorders>
            <w:shd w:val="clear" w:color="auto" w:fill="auto"/>
            <w:noWrap/>
            <w:vAlign w:val="center"/>
          </w:tcPr>
          <w:p w14:paraId="006B776B" w14:textId="77777777" w:rsidR="00EA51C4" w:rsidRPr="0040415C" w:rsidRDefault="00EA51C4" w:rsidP="00BA499D">
            <w:pPr>
              <w:spacing w:line="276" w:lineRule="auto"/>
              <w:jc w:val="center"/>
              <w:rPr>
                <w:bCs/>
                <w:sz w:val="18"/>
                <w:szCs w:val="18"/>
              </w:rPr>
            </w:pPr>
            <w:r w:rsidRPr="007437E7">
              <w:rPr>
                <w:bCs/>
                <w:sz w:val="20"/>
                <w:szCs w:val="20"/>
              </w:rPr>
              <w:t>2</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5D10283" w14:textId="77777777" w:rsidR="00EA51C4" w:rsidRPr="0040415C" w:rsidRDefault="00EA51C4" w:rsidP="00BA499D">
            <w:pPr>
              <w:spacing w:line="276" w:lineRule="auto"/>
              <w:jc w:val="center"/>
              <w:rPr>
                <w:sz w:val="18"/>
                <w:szCs w:val="18"/>
              </w:rPr>
            </w:pPr>
            <w:r w:rsidRPr="0040415C">
              <w:rPr>
                <w:sz w:val="20"/>
                <w:szCs w:val="20"/>
              </w:rPr>
              <w:t>8%</w:t>
            </w:r>
          </w:p>
        </w:tc>
      </w:tr>
      <w:tr w:rsidR="00EA51C4" w:rsidRPr="003E695F" w14:paraId="23269103" w14:textId="77777777" w:rsidTr="00BA499D">
        <w:trPr>
          <w:trHeight w:val="142"/>
        </w:trPr>
        <w:tc>
          <w:tcPr>
            <w:tcW w:w="719" w:type="dxa"/>
            <w:shd w:val="clear" w:color="auto" w:fill="auto"/>
            <w:noWrap/>
            <w:vAlign w:val="center"/>
          </w:tcPr>
          <w:p w14:paraId="54E623ED" w14:textId="77777777" w:rsidR="00EA51C4" w:rsidRPr="008C3579" w:rsidRDefault="00EA51C4" w:rsidP="00BA499D">
            <w:pPr>
              <w:spacing w:line="276" w:lineRule="auto"/>
              <w:jc w:val="center"/>
              <w:rPr>
                <w:sz w:val="18"/>
                <w:szCs w:val="18"/>
              </w:rPr>
            </w:pPr>
            <w:r w:rsidRPr="008C3579">
              <w:rPr>
                <w:sz w:val="18"/>
                <w:szCs w:val="18"/>
              </w:rPr>
              <w:t>10</w:t>
            </w:r>
            <w:r>
              <w:rPr>
                <w:sz w:val="18"/>
                <w:szCs w:val="18"/>
              </w:rPr>
              <w:t>.</w:t>
            </w:r>
          </w:p>
        </w:tc>
        <w:tc>
          <w:tcPr>
            <w:tcW w:w="4167" w:type="dxa"/>
            <w:shd w:val="clear" w:color="auto" w:fill="auto"/>
            <w:vAlign w:val="center"/>
          </w:tcPr>
          <w:p w14:paraId="1BFD12C4" w14:textId="77777777" w:rsidR="00EA51C4" w:rsidRPr="0025795B" w:rsidRDefault="00EA51C4" w:rsidP="00BA499D">
            <w:pPr>
              <w:spacing w:line="276" w:lineRule="auto"/>
              <w:rPr>
                <w:color w:val="1A1A1A"/>
                <w:sz w:val="18"/>
                <w:szCs w:val="18"/>
              </w:rPr>
            </w:pPr>
            <w:r w:rsidRPr="0025795B">
              <w:rPr>
                <w:color w:val="1A1A1A"/>
                <w:sz w:val="18"/>
                <w:szCs w:val="18"/>
              </w:rPr>
              <w:t>Zahtjev za AdMSC Hrvatsku - dio I.+II.</w:t>
            </w:r>
          </w:p>
        </w:tc>
        <w:tc>
          <w:tcPr>
            <w:tcW w:w="1417" w:type="dxa"/>
            <w:shd w:val="clear" w:color="auto" w:fill="auto"/>
            <w:noWrap/>
            <w:vAlign w:val="center"/>
          </w:tcPr>
          <w:p w14:paraId="56C5B09C" w14:textId="77777777" w:rsidR="00EA51C4" w:rsidRPr="00424D85" w:rsidRDefault="00EA51C4" w:rsidP="00BA499D">
            <w:pPr>
              <w:spacing w:line="276" w:lineRule="auto"/>
              <w:jc w:val="center"/>
              <w:rPr>
                <w:bCs/>
                <w:sz w:val="18"/>
                <w:szCs w:val="18"/>
              </w:rPr>
            </w:pPr>
            <w:r w:rsidRPr="00220101">
              <w:rPr>
                <w:bCs/>
                <w:sz w:val="20"/>
                <w:szCs w:val="20"/>
              </w:rPr>
              <w:t>2</w:t>
            </w:r>
          </w:p>
        </w:tc>
        <w:tc>
          <w:tcPr>
            <w:tcW w:w="1504" w:type="dxa"/>
            <w:tcBorders>
              <w:top w:val="nil"/>
              <w:left w:val="single" w:sz="4" w:space="0" w:color="auto"/>
              <w:bottom w:val="single" w:sz="4" w:space="0" w:color="auto"/>
              <w:right w:val="single" w:sz="4" w:space="0" w:color="auto"/>
            </w:tcBorders>
            <w:shd w:val="clear" w:color="auto" w:fill="auto"/>
            <w:noWrap/>
            <w:vAlign w:val="center"/>
          </w:tcPr>
          <w:p w14:paraId="79152E7B" w14:textId="77777777" w:rsidR="00EA51C4" w:rsidRPr="0040415C" w:rsidRDefault="00EA51C4" w:rsidP="00BA499D">
            <w:pPr>
              <w:spacing w:line="276" w:lineRule="auto"/>
              <w:jc w:val="center"/>
              <w:rPr>
                <w:bCs/>
                <w:sz w:val="18"/>
                <w:szCs w:val="18"/>
              </w:rPr>
            </w:pPr>
            <w:r w:rsidRPr="007437E7">
              <w:rPr>
                <w:bCs/>
                <w:sz w:val="20"/>
                <w:szCs w:val="20"/>
              </w:rPr>
              <w:t>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CA50E68" w14:textId="77777777" w:rsidR="00EA51C4" w:rsidRPr="0040415C" w:rsidRDefault="00EA51C4" w:rsidP="00BA499D">
            <w:pPr>
              <w:spacing w:line="276" w:lineRule="auto"/>
              <w:jc w:val="center"/>
              <w:rPr>
                <w:sz w:val="18"/>
                <w:szCs w:val="18"/>
              </w:rPr>
            </w:pPr>
            <w:r w:rsidRPr="0040415C">
              <w:rPr>
                <w:sz w:val="20"/>
                <w:szCs w:val="20"/>
              </w:rPr>
              <w:t>0%</w:t>
            </w:r>
          </w:p>
        </w:tc>
      </w:tr>
      <w:tr w:rsidR="00EA51C4" w:rsidRPr="003E695F" w14:paraId="29AEAE87" w14:textId="77777777" w:rsidTr="00BA499D">
        <w:trPr>
          <w:trHeight w:val="142"/>
        </w:trPr>
        <w:tc>
          <w:tcPr>
            <w:tcW w:w="719" w:type="dxa"/>
            <w:shd w:val="clear" w:color="auto" w:fill="auto"/>
            <w:noWrap/>
            <w:vAlign w:val="center"/>
          </w:tcPr>
          <w:p w14:paraId="1995E2C7" w14:textId="77777777" w:rsidR="00EA51C4" w:rsidRPr="0025795B" w:rsidRDefault="00EA51C4" w:rsidP="00BA499D">
            <w:pPr>
              <w:spacing w:line="276" w:lineRule="auto"/>
              <w:rPr>
                <w:bCs/>
                <w:sz w:val="18"/>
                <w:szCs w:val="18"/>
              </w:rPr>
            </w:pPr>
            <w:r>
              <w:rPr>
                <w:bCs/>
                <w:sz w:val="18"/>
                <w:szCs w:val="18"/>
              </w:rPr>
              <w:t xml:space="preserve">    </w:t>
            </w:r>
            <w:r w:rsidRPr="0025795B">
              <w:rPr>
                <w:bCs/>
                <w:sz w:val="18"/>
                <w:szCs w:val="18"/>
              </w:rPr>
              <w:t>9.</w:t>
            </w:r>
          </w:p>
        </w:tc>
        <w:tc>
          <w:tcPr>
            <w:tcW w:w="8363" w:type="dxa"/>
            <w:gridSpan w:val="4"/>
            <w:tcBorders>
              <w:right w:val="single" w:sz="4" w:space="0" w:color="auto"/>
            </w:tcBorders>
            <w:shd w:val="clear" w:color="auto" w:fill="auto"/>
            <w:vAlign w:val="center"/>
          </w:tcPr>
          <w:p w14:paraId="2629B919" w14:textId="77777777" w:rsidR="00EA51C4" w:rsidRPr="0025795B" w:rsidRDefault="00EA51C4" w:rsidP="00BA499D">
            <w:pPr>
              <w:spacing w:line="276" w:lineRule="auto"/>
              <w:rPr>
                <w:color w:val="1A1A1A"/>
                <w:sz w:val="18"/>
                <w:szCs w:val="18"/>
              </w:rPr>
            </w:pPr>
            <w:r w:rsidRPr="0025795B">
              <w:rPr>
                <w:color w:val="1A1A1A"/>
                <w:sz w:val="18"/>
                <w:szCs w:val="18"/>
              </w:rPr>
              <w:t>Zahtjevi za značajnu izmjenu</w:t>
            </w:r>
          </w:p>
        </w:tc>
      </w:tr>
      <w:tr w:rsidR="00EA51C4" w:rsidRPr="003E695F" w14:paraId="1B145C41" w14:textId="77777777" w:rsidTr="00BA499D">
        <w:trPr>
          <w:trHeight w:val="142"/>
        </w:trPr>
        <w:tc>
          <w:tcPr>
            <w:tcW w:w="719" w:type="dxa"/>
            <w:shd w:val="clear" w:color="auto" w:fill="auto"/>
            <w:noWrap/>
            <w:vAlign w:val="center"/>
          </w:tcPr>
          <w:p w14:paraId="2D6A3E98" w14:textId="77777777" w:rsidR="00EA51C4" w:rsidRPr="0025795B" w:rsidRDefault="00EA51C4" w:rsidP="00BA499D">
            <w:pPr>
              <w:spacing w:line="276" w:lineRule="auto"/>
              <w:rPr>
                <w:bCs/>
                <w:sz w:val="18"/>
                <w:szCs w:val="18"/>
              </w:rPr>
            </w:pPr>
            <w:r w:rsidRPr="0025795B">
              <w:rPr>
                <w:bCs/>
                <w:sz w:val="18"/>
                <w:szCs w:val="18"/>
              </w:rPr>
              <w:t>9.1.</w:t>
            </w:r>
          </w:p>
        </w:tc>
        <w:tc>
          <w:tcPr>
            <w:tcW w:w="8363" w:type="dxa"/>
            <w:gridSpan w:val="4"/>
            <w:tcBorders>
              <w:right w:val="single" w:sz="4" w:space="0" w:color="auto"/>
            </w:tcBorders>
            <w:shd w:val="clear" w:color="auto" w:fill="auto"/>
            <w:vAlign w:val="center"/>
          </w:tcPr>
          <w:p w14:paraId="5FF026FB" w14:textId="77777777" w:rsidR="00EA51C4" w:rsidRPr="0025795B" w:rsidRDefault="00EA51C4" w:rsidP="00BA499D">
            <w:pPr>
              <w:spacing w:line="276" w:lineRule="auto"/>
              <w:rPr>
                <w:color w:val="1A1A1A"/>
                <w:sz w:val="18"/>
                <w:szCs w:val="18"/>
              </w:rPr>
            </w:pPr>
            <w:r w:rsidRPr="0025795B">
              <w:rPr>
                <w:color w:val="1A1A1A"/>
                <w:sz w:val="18"/>
                <w:szCs w:val="18"/>
              </w:rPr>
              <w:t>Ispitivanje neodobrenog lijeka</w:t>
            </w:r>
          </w:p>
        </w:tc>
      </w:tr>
      <w:tr w:rsidR="00EA51C4" w:rsidRPr="003E695F" w14:paraId="7B6DA5EA" w14:textId="77777777" w:rsidTr="00BA499D">
        <w:trPr>
          <w:trHeight w:val="142"/>
        </w:trPr>
        <w:tc>
          <w:tcPr>
            <w:tcW w:w="719" w:type="dxa"/>
            <w:shd w:val="clear" w:color="auto" w:fill="auto"/>
            <w:noWrap/>
            <w:vAlign w:val="center"/>
          </w:tcPr>
          <w:p w14:paraId="7723E0C2" w14:textId="77777777" w:rsidR="00EA51C4" w:rsidRPr="0025795B" w:rsidRDefault="00EA51C4" w:rsidP="00BA499D">
            <w:pPr>
              <w:spacing w:line="276" w:lineRule="auto"/>
              <w:jc w:val="center"/>
              <w:rPr>
                <w:sz w:val="18"/>
                <w:szCs w:val="18"/>
              </w:rPr>
            </w:pPr>
            <w:r w:rsidRPr="0025795B">
              <w:rPr>
                <w:sz w:val="18"/>
                <w:szCs w:val="18"/>
              </w:rPr>
              <w:t>1</w:t>
            </w:r>
            <w:r>
              <w:rPr>
                <w:sz w:val="18"/>
                <w:szCs w:val="18"/>
              </w:rPr>
              <w:t>.</w:t>
            </w:r>
          </w:p>
        </w:tc>
        <w:tc>
          <w:tcPr>
            <w:tcW w:w="4167" w:type="dxa"/>
            <w:shd w:val="clear" w:color="auto" w:fill="auto"/>
            <w:vAlign w:val="center"/>
          </w:tcPr>
          <w:p w14:paraId="367266B1" w14:textId="77777777" w:rsidR="00EA51C4" w:rsidRPr="0025795B" w:rsidRDefault="00EA51C4" w:rsidP="00BA499D">
            <w:pPr>
              <w:spacing w:line="276" w:lineRule="auto"/>
              <w:rPr>
                <w:color w:val="1A1A1A"/>
                <w:sz w:val="18"/>
                <w:szCs w:val="18"/>
              </w:rPr>
            </w:pPr>
            <w:r w:rsidRPr="0025795B">
              <w:rPr>
                <w:color w:val="1A1A1A"/>
                <w:sz w:val="18"/>
                <w:szCs w:val="18"/>
              </w:rPr>
              <w:t>Mononacionalno ispitivanje - dio I.</w:t>
            </w:r>
          </w:p>
        </w:tc>
        <w:tc>
          <w:tcPr>
            <w:tcW w:w="1417" w:type="dxa"/>
            <w:shd w:val="clear" w:color="auto" w:fill="auto"/>
            <w:noWrap/>
            <w:vAlign w:val="center"/>
          </w:tcPr>
          <w:p w14:paraId="5DDA63A6" w14:textId="77777777" w:rsidR="00EA51C4" w:rsidRPr="00424D85" w:rsidRDefault="00EA51C4" w:rsidP="00BA499D">
            <w:pPr>
              <w:spacing w:line="276" w:lineRule="auto"/>
              <w:jc w:val="center"/>
              <w:rPr>
                <w:bCs/>
                <w:sz w:val="18"/>
                <w:szCs w:val="18"/>
              </w:rPr>
            </w:pPr>
            <w:r w:rsidRPr="00220101">
              <w:rPr>
                <w:bCs/>
                <w:sz w:val="20"/>
                <w:szCs w:val="20"/>
              </w:rPr>
              <w:t>0</w:t>
            </w:r>
          </w:p>
        </w:tc>
        <w:tc>
          <w:tcPr>
            <w:tcW w:w="1504" w:type="dxa"/>
            <w:tcBorders>
              <w:top w:val="nil"/>
              <w:left w:val="single" w:sz="4" w:space="0" w:color="auto"/>
              <w:bottom w:val="single" w:sz="4" w:space="0" w:color="auto"/>
              <w:right w:val="single" w:sz="4" w:space="0" w:color="auto"/>
            </w:tcBorders>
            <w:shd w:val="clear" w:color="auto" w:fill="auto"/>
            <w:noWrap/>
            <w:vAlign w:val="center"/>
          </w:tcPr>
          <w:p w14:paraId="1E2DBEDC" w14:textId="77777777" w:rsidR="00EA51C4" w:rsidRPr="0040415C" w:rsidRDefault="00EA51C4" w:rsidP="00BA499D">
            <w:pPr>
              <w:spacing w:line="276" w:lineRule="auto"/>
              <w:jc w:val="center"/>
              <w:rPr>
                <w:bCs/>
                <w:sz w:val="18"/>
                <w:szCs w:val="18"/>
              </w:rPr>
            </w:pPr>
            <w:r w:rsidRPr="007437E7">
              <w:rPr>
                <w:bCs/>
                <w:sz w:val="20"/>
                <w:szCs w:val="20"/>
              </w:rPr>
              <w:t>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BFFB272" w14:textId="77777777" w:rsidR="00EA51C4" w:rsidRPr="0040415C" w:rsidRDefault="00EA51C4" w:rsidP="00BA499D">
            <w:pPr>
              <w:spacing w:line="276" w:lineRule="auto"/>
              <w:jc w:val="center"/>
              <w:rPr>
                <w:sz w:val="18"/>
                <w:szCs w:val="18"/>
              </w:rPr>
            </w:pPr>
            <w:r>
              <w:rPr>
                <w:sz w:val="20"/>
                <w:szCs w:val="20"/>
              </w:rPr>
              <w:t>-</w:t>
            </w:r>
          </w:p>
        </w:tc>
      </w:tr>
      <w:tr w:rsidR="00EA51C4" w:rsidRPr="003E695F" w14:paraId="78248110" w14:textId="77777777" w:rsidTr="00BA499D">
        <w:trPr>
          <w:trHeight w:val="142"/>
        </w:trPr>
        <w:tc>
          <w:tcPr>
            <w:tcW w:w="719" w:type="dxa"/>
            <w:shd w:val="clear" w:color="auto" w:fill="auto"/>
            <w:noWrap/>
            <w:vAlign w:val="center"/>
          </w:tcPr>
          <w:p w14:paraId="3882EE6E" w14:textId="77777777" w:rsidR="00EA51C4" w:rsidRPr="0025795B" w:rsidRDefault="00EA51C4" w:rsidP="00BA499D">
            <w:pPr>
              <w:spacing w:line="276" w:lineRule="auto"/>
              <w:jc w:val="center"/>
              <w:rPr>
                <w:sz w:val="18"/>
                <w:szCs w:val="18"/>
              </w:rPr>
            </w:pPr>
            <w:r w:rsidRPr="0025795B">
              <w:rPr>
                <w:sz w:val="18"/>
                <w:szCs w:val="18"/>
              </w:rPr>
              <w:t>2</w:t>
            </w:r>
            <w:r>
              <w:rPr>
                <w:sz w:val="18"/>
                <w:szCs w:val="18"/>
              </w:rPr>
              <w:t>.</w:t>
            </w:r>
          </w:p>
        </w:tc>
        <w:tc>
          <w:tcPr>
            <w:tcW w:w="4167" w:type="dxa"/>
            <w:shd w:val="clear" w:color="auto" w:fill="auto"/>
            <w:vAlign w:val="center"/>
          </w:tcPr>
          <w:p w14:paraId="1201C582" w14:textId="77777777" w:rsidR="00EA51C4" w:rsidRPr="0025795B" w:rsidRDefault="00EA51C4" w:rsidP="00BA499D">
            <w:pPr>
              <w:spacing w:line="276" w:lineRule="auto"/>
              <w:rPr>
                <w:color w:val="1A1A1A"/>
                <w:sz w:val="18"/>
                <w:szCs w:val="18"/>
              </w:rPr>
            </w:pPr>
            <w:r w:rsidRPr="0025795B">
              <w:rPr>
                <w:color w:val="1A1A1A"/>
                <w:sz w:val="18"/>
                <w:szCs w:val="18"/>
              </w:rPr>
              <w:t>Mononacionalno ispitivanje - dio II.</w:t>
            </w:r>
          </w:p>
        </w:tc>
        <w:tc>
          <w:tcPr>
            <w:tcW w:w="1417" w:type="dxa"/>
            <w:shd w:val="clear" w:color="auto" w:fill="auto"/>
            <w:noWrap/>
            <w:vAlign w:val="center"/>
          </w:tcPr>
          <w:p w14:paraId="6902D401" w14:textId="77777777" w:rsidR="00EA51C4" w:rsidRPr="00424D85" w:rsidRDefault="00EA51C4" w:rsidP="00BA499D">
            <w:pPr>
              <w:spacing w:line="276" w:lineRule="auto"/>
              <w:jc w:val="center"/>
              <w:rPr>
                <w:bCs/>
                <w:sz w:val="18"/>
                <w:szCs w:val="18"/>
              </w:rPr>
            </w:pPr>
            <w:r w:rsidRPr="00220101">
              <w:rPr>
                <w:bCs/>
                <w:sz w:val="20"/>
                <w:szCs w:val="20"/>
              </w:rPr>
              <w:t>0</w:t>
            </w:r>
          </w:p>
        </w:tc>
        <w:tc>
          <w:tcPr>
            <w:tcW w:w="1504" w:type="dxa"/>
            <w:tcBorders>
              <w:top w:val="nil"/>
              <w:left w:val="single" w:sz="4" w:space="0" w:color="auto"/>
              <w:bottom w:val="single" w:sz="4" w:space="0" w:color="auto"/>
              <w:right w:val="single" w:sz="4" w:space="0" w:color="auto"/>
            </w:tcBorders>
            <w:shd w:val="clear" w:color="auto" w:fill="auto"/>
            <w:noWrap/>
            <w:vAlign w:val="center"/>
          </w:tcPr>
          <w:p w14:paraId="2C8C2B04" w14:textId="77777777" w:rsidR="00EA51C4" w:rsidRPr="0040415C" w:rsidRDefault="00EA51C4" w:rsidP="00BA499D">
            <w:pPr>
              <w:spacing w:line="276" w:lineRule="auto"/>
              <w:jc w:val="center"/>
              <w:rPr>
                <w:bCs/>
                <w:sz w:val="18"/>
                <w:szCs w:val="18"/>
              </w:rPr>
            </w:pPr>
            <w:r w:rsidRPr="007437E7">
              <w:rPr>
                <w:bCs/>
                <w:sz w:val="20"/>
                <w:szCs w:val="20"/>
              </w:rPr>
              <w:t>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85B0D93" w14:textId="77777777" w:rsidR="00EA51C4" w:rsidRPr="0040415C" w:rsidRDefault="00EA51C4" w:rsidP="00BA499D">
            <w:pPr>
              <w:spacing w:line="276" w:lineRule="auto"/>
              <w:jc w:val="center"/>
              <w:rPr>
                <w:sz w:val="18"/>
                <w:szCs w:val="18"/>
              </w:rPr>
            </w:pPr>
            <w:r>
              <w:rPr>
                <w:sz w:val="20"/>
                <w:szCs w:val="20"/>
              </w:rPr>
              <w:t>-</w:t>
            </w:r>
          </w:p>
        </w:tc>
      </w:tr>
      <w:tr w:rsidR="00EA51C4" w:rsidRPr="003E695F" w14:paraId="30F6D303" w14:textId="77777777" w:rsidTr="00BA499D">
        <w:trPr>
          <w:trHeight w:val="142"/>
        </w:trPr>
        <w:tc>
          <w:tcPr>
            <w:tcW w:w="719" w:type="dxa"/>
            <w:shd w:val="clear" w:color="auto" w:fill="auto"/>
            <w:noWrap/>
            <w:vAlign w:val="center"/>
          </w:tcPr>
          <w:p w14:paraId="2B7839A6" w14:textId="77777777" w:rsidR="00EA51C4" w:rsidRPr="0025795B" w:rsidRDefault="00EA51C4" w:rsidP="00BA499D">
            <w:pPr>
              <w:spacing w:line="276" w:lineRule="auto"/>
              <w:jc w:val="center"/>
              <w:rPr>
                <w:sz w:val="18"/>
                <w:szCs w:val="18"/>
              </w:rPr>
            </w:pPr>
            <w:r w:rsidRPr="0025795B">
              <w:rPr>
                <w:sz w:val="18"/>
                <w:szCs w:val="18"/>
              </w:rPr>
              <w:lastRenderedPageBreak/>
              <w:t>3</w:t>
            </w:r>
            <w:r>
              <w:rPr>
                <w:sz w:val="18"/>
                <w:szCs w:val="18"/>
              </w:rPr>
              <w:t>.</w:t>
            </w:r>
          </w:p>
        </w:tc>
        <w:tc>
          <w:tcPr>
            <w:tcW w:w="4167" w:type="dxa"/>
            <w:shd w:val="clear" w:color="auto" w:fill="auto"/>
            <w:vAlign w:val="center"/>
          </w:tcPr>
          <w:p w14:paraId="3E487271" w14:textId="77777777" w:rsidR="00EA51C4" w:rsidRPr="0025795B" w:rsidRDefault="00EA51C4" w:rsidP="00BA499D">
            <w:pPr>
              <w:spacing w:line="276" w:lineRule="auto"/>
              <w:rPr>
                <w:color w:val="1A1A1A"/>
                <w:sz w:val="18"/>
                <w:szCs w:val="18"/>
              </w:rPr>
            </w:pPr>
            <w:r w:rsidRPr="0025795B">
              <w:rPr>
                <w:color w:val="1A1A1A"/>
                <w:sz w:val="18"/>
                <w:szCs w:val="18"/>
              </w:rPr>
              <w:t>Mononacionalno ispitivanje - dio I.+II.</w:t>
            </w:r>
          </w:p>
        </w:tc>
        <w:tc>
          <w:tcPr>
            <w:tcW w:w="1417" w:type="dxa"/>
            <w:shd w:val="clear" w:color="auto" w:fill="auto"/>
            <w:noWrap/>
            <w:vAlign w:val="center"/>
          </w:tcPr>
          <w:p w14:paraId="7C5B2A6B" w14:textId="77777777" w:rsidR="00EA51C4" w:rsidRPr="00424D85" w:rsidRDefault="00EA51C4" w:rsidP="00BA499D">
            <w:pPr>
              <w:spacing w:line="276" w:lineRule="auto"/>
              <w:jc w:val="center"/>
              <w:rPr>
                <w:bCs/>
                <w:sz w:val="18"/>
                <w:szCs w:val="18"/>
              </w:rPr>
            </w:pPr>
            <w:r w:rsidRPr="00220101">
              <w:rPr>
                <w:bCs/>
                <w:sz w:val="20"/>
                <w:szCs w:val="20"/>
              </w:rPr>
              <w:t>2</w:t>
            </w:r>
          </w:p>
        </w:tc>
        <w:tc>
          <w:tcPr>
            <w:tcW w:w="1504" w:type="dxa"/>
            <w:tcBorders>
              <w:top w:val="nil"/>
              <w:left w:val="single" w:sz="4" w:space="0" w:color="auto"/>
              <w:bottom w:val="single" w:sz="4" w:space="0" w:color="auto"/>
              <w:right w:val="single" w:sz="4" w:space="0" w:color="auto"/>
            </w:tcBorders>
            <w:shd w:val="clear" w:color="auto" w:fill="auto"/>
            <w:noWrap/>
            <w:vAlign w:val="center"/>
          </w:tcPr>
          <w:p w14:paraId="5077551D" w14:textId="77777777" w:rsidR="00EA51C4" w:rsidRPr="0040415C" w:rsidRDefault="00EA51C4" w:rsidP="00BA499D">
            <w:pPr>
              <w:spacing w:line="276" w:lineRule="auto"/>
              <w:jc w:val="center"/>
              <w:rPr>
                <w:bCs/>
                <w:sz w:val="18"/>
                <w:szCs w:val="18"/>
              </w:rPr>
            </w:pPr>
            <w:r w:rsidRPr="007437E7">
              <w:rPr>
                <w:bCs/>
                <w:sz w:val="20"/>
                <w:szCs w:val="20"/>
              </w:rPr>
              <w:t>1</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D091853" w14:textId="77777777" w:rsidR="00EA51C4" w:rsidRPr="0040415C" w:rsidRDefault="00EA51C4" w:rsidP="00BA499D">
            <w:pPr>
              <w:spacing w:line="276" w:lineRule="auto"/>
              <w:jc w:val="center"/>
              <w:rPr>
                <w:sz w:val="18"/>
                <w:szCs w:val="18"/>
              </w:rPr>
            </w:pPr>
            <w:r w:rsidRPr="0040415C">
              <w:rPr>
                <w:sz w:val="20"/>
                <w:szCs w:val="20"/>
              </w:rPr>
              <w:t>50%</w:t>
            </w:r>
          </w:p>
        </w:tc>
      </w:tr>
      <w:tr w:rsidR="00EA51C4" w:rsidRPr="003E695F" w14:paraId="24DBE061" w14:textId="77777777" w:rsidTr="00BA499D">
        <w:trPr>
          <w:trHeight w:val="142"/>
        </w:trPr>
        <w:tc>
          <w:tcPr>
            <w:tcW w:w="719" w:type="dxa"/>
            <w:shd w:val="clear" w:color="auto" w:fill="auto"/>
            <w:noWrap/>
            <w:vAlign w:val="center"/>
          </w:tcPr>
          <w:p w14:paraId="0809F009" w14:textId="77777777" w:rsidR="00EA51C4" w:rsidRPr="0025795B" w:rsidRDefault="00EA51C4" w:rsidP="00BA499D">
            <w:pPr>
              <w:spacing w:line="276" w:lineRule="auto"/>
              <w:jc w:val="center"/>
              <w:rPr>
                <w:sz w:val="18"/>
                <w:szCs w:val="18"/>
              </w:rPr>
            </w:pPr>
            <w:r w:rsidRPr="0025795B">
              <w:rPr>
                <w:sz w:val="18"/>
                <w:szCs w:val="18"/>
              </w:rPr>
              <w:t>4</w:t>
            </w:r>
            <w:r>
              <w:rPr>
                <w:sz w:val="18"/>
                <w:szCs w:val="18"/>
              </w:rPr>
              <w:t>.</w:t>
            </w:r>
          </w:p>
        </w:tc>
        <w:tc>
          <w:tcPr>
            <w:tcW w:w="4167" w:type="dxa"/>
            <w:shd w:val="clear" w:color="auto" w:fill="auto"/>
            <w:vAlign w:val="center"/>
          </w:tcPr>
          <w:p w14:paraId="004A49DD" w14:textId="77777777" w:rsidR="00EA51C4" w:rsidRPr="0025795B" w:rsidRDefault="00EA51C4" w:rsidP="00BA499D">
            <w:pPr>
              <w:spacing w:line="276" w:lineRule="auto"/>
              <w:rPr>
                <w:color w:val="1A1A1A"/>
                <w:sz w:val="18"/>
                <w:szCs w:val="18"/>
              </w:rPr>
            </w:pPr>
            <w:r w:rsidRPr="0025795B">
              <w:rPr>
                <w:color w:val="1A1A1A"/>
                <w:sz w:val="18"/>
                <w:szCs w:val="18"/>
              </w:rPr>
              <w:t>Multinacionalno ispitivanje - Hrvatska RMS - dio I.</w:t>
            </w:r>
          </w:p>
        </w:tc>
        <w:tc>
          <w:tcPr>
            <w:tcW w:w="1417" w:type="dxa"/>
            <w:shd w:val="clear" w:color="auto" w:fill="auto"/>
            <w:noWrap/>
            <w:vAlign w:val="center"/>
          </w:tcPr>
          <w:p w14:paraId="3D00466D" w14:textId="77777777" w:rsidR="00EA51C4" w:rsidRPr="00424D85" w:rsidRDefault="00EA51C4" w:rsidP="00BA499D">
            <w:pPr>
              <w:spacing w:line="276" w:lineRule="auto"/>
              <w:jc w:val="center"/>
              <w:rPr>
                <w:bCs/>
                <w:sz w:val="18"/>
                <w:szCs w:val="18"/>
              </w:rPr>
            </w:pPr>
            <w:r w:rsidRPr="00220101">
              <w:rPr>
                <w:bCs/>
                <w:sz w:val="20"/>
                <w:szCs w:val="20"/>
              </w:rPr>
              <w:t>0</w:t>
            </w:r>
          </w:p>
        </w:tc>
        <w:tc>
          <w:tcPr>
            <w:tcW w:w="1504" w:type="dxa"/>
            <w:tcBorders>
              <w:top w:val="nil"/>
              <w:left w:val="single" w:sz="4" w:space="0" w:color="auto"/>
              <w:bottom w:val="single" w:sz="4" w:space="0" w:color="auto"/>
              <w:right w:val="single" w:sz="4" w:space="0" w:color="auto"/>
            </w:tcBorders>
            <w:shd w:val="clear" w:color="auto" w:fill="auto"/>
            <w:noWrap/>
            <w:vAlign w:val="center"/>
          </w:tcPr>
          <w:p w14:paraId="4E9AA4B5" w14:textId="77777777" w:rsidR="00EA51C4" w:rsidRPr="0040415C" w:rsidRDefault="00EA51C4" w:rsidP="00BA499D">
            <w:pPr>
              <w:spacing w:line="276" w:lineRule="auto"/>
              <w:jc w:val="center"/>
              <w:rPr>
                <w:bCs/>
                <w:sz w:val="18"/>
                <w:szCs w:val="18"/>
              </w:rPr>
            </w:pPr>
            <w:r w:rsidRPr="007437E7">
              <w:rPr>
                <w:bCs/>
                <w:sz w:val="20"/>
                <w:szCs w:val="20"/>
              </w:rPr>
              <w:t>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DAD8534" w14:textId="77777777" w:rsidR="00EA51C4" w:rsidRPr="0040415C" w:rsidRDefault="00EA51C4" w:rsidP="00BA499D">
            <w:pPr>
              <w:spacing w:line="276" w:lineRule="auto"/>
              <w:jc w:val="center"/>
              <w:rPr>
                <w:sz w:val="18"/>
                <w:szCs w:val="18"/>
              </w:rPr>
            </w:pPr>
            <w:r>
              <w:rPr>
                <w:sz w:val="20"/>
                <w:szCs w:val="20"/>
              </w:rPr>
              <w:t>-</w:t>
            </w:r>
          </w:p>
        </w:tc>
      </w:tr>
      <w:tr w:rsidR="00EA51C4" w:rsidRPr="003E695F" w14:paraId="25030B90" w14:textId="77777777" w:rsidTr="00BA499D">
        <w:trPr>
          <w:trHeight w:val="142"/>
        </w:trPr>
        <w:tc>
          <w:tcPr>
            <w:tcW w:w="719" w:type="dxa"/>
            <w:shd w:val="clear" w:color="auto" w:fill="auto"/>
            <w:noWrap/>
            <w:vAlign w:val="center"/>
          </w:tcPr>
          <w:p w14:paraId="223B9D77" w14:textId="77777777" w:rsidR="00EA51C4" w:rsidRPr="0025795B" w:rsidRDefault="00EA51C4" w:rsidP="00BA499D">
            <w:pPr>
              <w:spacing w:line="276" w:lineRule="auto"/>
              <w:jc w:val="center"/>
              <w:rPr>
                <w:sz w:val="18"/>
                <w:szCs w:val="18"/>
              </w:rPr>
            </w:pPr>
            <w:r w:rsidRPr="0025795B">
              <w:rPr>
                <w:sz w:val="18"/>
                <w:szCs w:val="18"/>
              </w:rPr>
              <w:t>5</w:t>
            </w:r>
            <w:r>
              <w:rPr>
                <w:sz w:val="18"/>
                <w:szCs w:val="18"/>
              </w:rPr>
              <w:t>.</w:t>
            </w:r>
          </w:p>
        </w:tc>
        <w:tc>
          <w:tcPr>
            <w:tcW w:w="4167" w:type="dxa"/>
            <w:shd w:val="clear" w:color="auto" w:fill="auto"/>
            <w:vAlign w:val="center"/>
          </w:tcPr>
          <w:p w14:paraId="6414A8DB" w14:textId="77777777" w:rsidR="00EA51C4" w:rsidRPr="0025795B" w:rsidRDefault="00EA51C4" w:rsidP="00BA499D">
            <w:pPr>
              <w:spacing w:line="276" w:lineRule="auto"/>
              <w:rPr>
                <w:color w:val="1A1A1A"/>
                <w:sz w:val="18"/>
                <w:szCs w:val="18"/>
              </w:rPr>
            </w:pPr>
            <w:r w:rsidRPr="0025795B">
              <w:rPr>
                <w:color w:val="1A1A1A"/>
                <w:sz w:val="18"/>
                <w:szCs w:val="18"/>
              </w:rPr>
              <w:t>Multinacionalno ispitivanje - Hrvatska RMS - dio II.</w:t>
            </w:r>
          </w:p>
        </w:tc>
        <w:tc>
          <w:tcPr>
            <w:tcW w:w="1417" w:type="dxa"/>
            <w:shd w:val="clear" w:color="auto" w:fill="auto"/>
            <w:noWrap/>
            <w:vAlign w:val="center"/>
          </w:tcPr>
          <w:p w14:paraId="079ED678" w14:textId="77777777" w:rsidR="00EA51C4" w:rsidRPr="00424D85" w:rsidRDefault="00EA51C4" w:rsidP="00BA499D">
            <w:pPr>
              <w:spacing w:line="276" w:lineRule="auto"/>
              <w:jc w:val="center"/>
              <w:rPr>
                <w:bCs/>
                <w:sz w:val="18"/>
                <w:szCs w:val="18"/>
              </w:rPr>
            </w:pPr>
            <w:r w:rsidRPr="00220101">
              <w:rPr>
                <w:bCs/>
                <w:sz w:val="20"/>
                <w:szCs w:val="20"/>
              </w:rPr>
              <w:t>0</w:t>
            </w:r>
          </w:p>
        </w:tc>
        <w:tc>
          <w:tcPr>
            <w:tcW w:w="1504" w:type="dxa"/>
            <w:tcBorders>
              <w:top w:val="nil"/>
              <w:left w:val="single" w:sz="4" w:space="0" w:color="auto"/>
              <w:bottom w:val="single" w:sz="4" w:space="0" w:color="auto"/>
              <w:right w:val="single" w:sz="4" w:space="0" w:color="auto"/>
            </w:tcBorders>
            <w:shd w:val="clear" w:color="auto" w:fill="auto"/>
            <w:noWrap/>
            <w:vAlign w:val="center"/>
          </w:tcPr>
          <w:p w14:paraId="73966533" w14:textId="77777777" w:rsidR="00EA51C4" w:rsidRPr="0040415C" w:rsidRDefault="00EA51C4" w:rsidP="00BA499D">
            <w:pPr>
              <w:spacing w:line="276" w:lineRule="auto"/>
              <w:jc w:val="center"/>
              <w:rPr>
                <w:bCs/>
                <w:sz w:val="18"/>
                <w:szCs w:val="18"/>
              </w:rPr>
            </w:pPr>
            <w:r w:rsidRPr="007437E7">
              <w:rPr>
                <w:bCs/>
                <w:sz w:val="20"/>
                <w:szCs w:val="20"/>
              </w:rPr>
              <w:t>1</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BB54ACA" w14:textId="77777777" w:rsidR="00EA51C4" w:rsidRPr="0040415C" w:rsidRDefault="00EA51C4" w:rsidP="00BA499D">
            <w:pPr>
              <w:spacing w:line="276" w:lineRule="auto"/>
              <w:jc w:val="center"/>
              <w:rPr>
                <w:sz w:val="18"/>
                <w:szCs w:val="18"/>
              </w:rPr>
            </w:pPr>
            <w:r>
              <w:rPr>
                <w:sz w:val="20"/>
                <w:szCs w:val="20"/>
              </w:rPr>
              <w:t>-</w:t>
            </w:r>
          </w:p>
        </w:tc>
      </w:tr>
      <w:tr w:rsidR="00EA51C4" w:rsidRPr="003E695F" w14:paraId="09865D52" w14:textId="77777777" w:rsidTr="00BA499D">
        <w:trPr>
          <w:trHeight w:val="142"/>
        </w:trPr>
        <w:tc>
          <w:tcPr>
            <w:tcW w:w="719" w:type="dxa"/>
            <w:shd w:val="clear" w:color="auto" w:fill="auto"/>
            <w:noWrap/>
            <w:vAlign w:val="center"/>
          </w:tcPr>
          <w:p w14:paraId="00DF679C" w14:textId="77777777" w:rsidR="00EA51C4" w:rsidRPr="0025795B" w:rsidRDefault="00EA51C4" w:rsidP="00BA499D">
            <w:pPr>
              <w:spacing w:line="276" w:lineRule="auto"/>
              <w:jc w:val="center"/>
              <w:rPr>
                <w:sz w:val="18"/>
                <w:szCs w:val="18"/>
              </w:rPr>
            </w:pPr>
            <w:r w:rsidRPr="0025795B">
              <w:rPr>
                <w:sz w:val="18"/>
                <w:szCs w:val="18"/>
              </w:rPr>
              <w:t>6</w:t>
            </w:r>
            <w:r>
              <w:rPr>
                <w:sz w:val="18"/>
                <w:szCs w:val="18"/>
              </w:rPr>
              <w:t>.</w:t>
            </w:r>
          </w:p>
        </w:tc>
        <w:tc>
          <w:tcPr>
            <w:tcW w:w="4167" w:type="dxa"/>
            <w:shd w:val="clear" w:color="auto" w:fill="auto"/>
            <w:vAlign w:val="center"/>
          </w:tcPr>
          <w:p w14:paraId="15968C6A" w14:textId="77777777" w:rsidR="00EA51C4" w:rsidRPr="0025795B" w:rsidRDefault="00EA51C4" w:rsidP="00BA499D">
            <w:pPr>
              <w:spacing w:line="276" w:lineRule="auto"/>
              <w:rPr>
                <w:color w:val="1A1A1A"/>
                <w:sz w:val="18"/>
                <w:szCs w:val="18"/>
              </w:rPr>
            </w:pPr>
            <w:r w:rsidRPr="0025795B">
              <w:rPr>
                <w:color w:val="1A1A1A"/>
                <w:sz w:val="18"/>
                <w:szCs w:val="18"/>
              </w:rPr>
              <w:t>Multinacionalno ispitivanje - Hrvatska RMS - dio I.+II.</w:t>
            </w:r>
          </w:p>
        </w:tc>
        <w:tc>
          <w:tcPr>
            <w:tcW w:w="1417" w:type="dxa"/>
            <w:shd w:val="clear" w:color="auto" w:fill="auto"/>
            <w:noWrap/>
            <w:vAlign w:val="center"/>
          </w:tcPr>
          <w:p w14:paraId="4B956F96" w14:textId="77777777" w:rsidR="00EA51C4" w:rsidRPr="00424D85" w:rsidRDefault="00EA51C4" w:rsidP="00BA499D">
            <w:pPr>
              <w:spacing w:line="276" w:lineRule="auto"/>
              <w:jc w:val="center"/>
              <w:rPr>
                <w:bCs/>
                <w:sz w:val="18"/>
                <w:szCs w:val="18"/>
              </w:rPr>
            </w:pPr>
            <w:r w:rsidRPr="00220101">
              <w:rPr>
                <w:bCs/>
                <w:sz w:val="20"/>
                <w:szCs w:val="20"/>
              </w:rPr>
              <w:t>0</w:t>
            </w:r>
          </w:p>
        </w:tc>
        <w:tc>
          <w:tcPr>
            <w:tcW w:w="1504" w:type="dxa"/>
            <w:tcBorders>
              <w:top w:val="nil"/>
              <w:left w:val="single" w:sz="4" w:space="0" w:color="auto"/>
              <w:bottom w:val="single" w:sz="4" w:space="0" w:color="auto"/>
              <w:right w:val="single" w:sz="4" w:space="0" w:color="auto"/>
            </w:tcBorders>
            <w:shd w:val="clear" w:color="auto" w:fill="auto"/>
            <w:noWrap/>
            <w:vAlign w:val="center"/>
          </w:tcPr>
          <w:p w14:paraId="3EE6B1DC" w14:textId="77777777" w:rsidR="00EA51C4" w:rsidRPr="0040415C" w:rsidRDefault="00EA51C4" w:rsidP="00BA499D">
            <w:pPr>
              <w:spacing w:line="276" w:lineRule="auto"/>
              <w:jc w:val="center"/>
              <w:rPr>
                <w:bCs/>
                <w:sz w:val="18"/>
                <w:szCs w:val="18"/>
              </w:rPr>
            </w:pPr>
            <w:r w:rsidRPr="007437E7">
              <w:rPr>
                <w:bCs/>
                <w:sz w:val="20"/>
                <w:szCs w:val="20"/>
              </w:rPr>
              <w:t>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3421758" w14:textId="77777777" w:rsidR="00EA51C4" w:rsidRPr="0040415C" w:rsidRDefault="00EA51C4" w:rsidP="00BA499D">
            <w:pPr>
              <w:spacing w:line="276" w:lineRule="auto"/>
              <w:jc w:val="center"/>
              <w:rPr>
                <w:sz w:val="18"/>
                <w:szCs w:val="18"/>
              </w:rPr>
            </w:pPr>
            <w:r>
              <w:rPr>
                <w:sz w:val="20"/>
                <w:szCs w:val="20"/>
              </w:rPr>
              <w:t>-</w:t>
            </w:r>
          </w:p>
        </w:tc>
      </w:tr>
      <w:tr w:rsidR="00EA51C4" w:rsidRPr="003E695F" w14:paraId="49BBFD73" w14:textId="77777777" w:rsidTr="00BA499D">
        <w:trPr>
          <w:trHeight w:val="142"/>
        </w:trPr>
        <w:tc>
          <w:tcPr>
            <w:tcW w:w="719" w:type="dxa"/>
            <w:shd w:val="clear" w:color="auto" w:fill="auto"/>
            <w:noWrap/>
            <w:vAlign w:val="center"/>
          </w:tcPr>
          <w:p w14:paraId="02B6B7CF" w14:textId="77777777" w:rsidR="00EA51C4" w:rsidRPr="0025795B" w:rsidRDefault="00EA51C4" w:rsidP="00BA499D">
            <w:pPr>
              <w:spacing w:line="276" w:lineRule="auto"/>
              <w:jc w:val="center"/>
              <w:rPr>
                <w:sz w:val="18"/>
                <w:szCs w:val="18"/>
              </w:rPr>
            </w:pPr>
            <w:r w:rsidRPr="0025795B">
              <w:rPr>
                <w:sz w:val="18"/>
                <w:szCs w:val="18"/>
              </w:rPr>
              <w:t>7</w:t>
            </w:r>
            <w:r>
              <w:rPr>
                <w:sz w:val="18"/>
                <w:szCs w:val="18"/>
              </w:rPr>
              <w:t>.</w:t>
            </w:r>
          </w:p>
        </w:tc>
        <w:tc>
          <w:tcPr>
            <w:tcW w:w="4167" w:type="dxa"/>
            <w:shd w:val="clear" w:color="auto" w:fill="auto"/>
            <w:vAlign w:val="center"/>
          </w:tcPr>
          <w:p w14:paraId="36B62956" w14:textId="77777777" w:rsidR="00EA51C4" w:rsidRPr="0025795B" w:rsidRDefault="00EA51C4" w:rsidP="00BA499D">
            <w:pPr>
              <w:spacing w:line="276" w:lineRule="auto"/>
              <w:rPr>
                <w:color w:val="1A1A1A"/>
                <w:sz w:val="18"/>
                <w:szCs w:val="18"/>
              </w:rPr>
            </w:pPr>
            <w:r w:rsidRPr="0025795B">
              <w:rPr>
                <w:color w:val="1A1A1A"/>
                <w:sz w:val="18"/>
                <w:szCs w:val="18"/>
              </w:rPr>
              <w:t>Multinacionalno ispitivanje - Hrvatska MSC - dio I.</w:t>
            </w:r>
          </w:p>
        </w:tc>
        <w:tc>
          <w:tcPr>
            <w:tcW w:w="1417" w:type="dxa"/>
            <w:shd w:val="clear" w:color="auto" w:fill="auto"/>
            <w:noWrap/>
            <w:vAlign w:val="center"/>
          </w:tcPr>
          <w:p w14:paraId="055C975F" w14:textId="77777777" w:rsidR="00EA51C4" w:rsidRPr="00424D85" w:rsidRDefault="00EA51C4" w:rsidP="00BA499D">
            <w:pPr>
              <w:spacing w:line="276" w:lineRule="auto"/>
              <w:jc w:val="center"/>
              <w:rPr>
                <w:bCs/>
                <w:sz w:val="18"/>
                <w:szCs w:val="18"/>
              </w:rPr>
            </w:pPr>
            <w:r w:rsidRPr="00220101">
              <w:rPr>
                <w:bCs/>
                <w:sz w:val="20"/>
                <w:szCs w:val="20"/>
              </w:rPr>
              <w:t>0</w:t>
            </w:r>
          </w:p>
        </w:tc>
        <w:tc>
          <w:tcPr>
            <w:tcW w:w="1504" w:type="dxa"/>
            <w:tcBorders>
              <w:top w:val="nil"/>
              <w:left w:val="single" w:sz="4" w:space="0" w:color="auto"/>
              <w:bottom w:val="single" w:sz="4" w:space="0" w:color="auto"/>
              <w:right w:val="single" w:sz="4" w:space="0" w:color="auto"/>
            </w:tcBorders>
            <w:shd w:val="clear" w:color="auto" w:fill="auto"/>
            <w:noWrap/>
            <w:vAlign w:val="center"/>
          </w:tcPr>
          <w:p w14:paraId="4C27DACC" w14:textId="77777777" w:rsidR="00EA51C4" w:rsidRPr="0040415C" w:rsidRDefault="00EA51C4" w:rsidP="00BA499D">
            <w:pPr>
              <w:spacing w:line="276" w:lineRule="auto"/>
              <w:jc w:val="center"/>
              <w:rPr>
                <w:bCs/>
                <w:sz w:val="18"/>
                <w:szCs w:val="18"/>
              </w:rPr>
            </w:pPr>
            <w:r w:rsidRPr="007437E7">
              <w:rPr>
                <w:bCs/>
                <w:sz w:val="20"/>
                <w:szCs w:val="20"/>
              </w:rPr>
              <w:t>1</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001A24C" w14:textId="77777777" w:rsidR="00EA51C4" w:rsidRPr="0040415C" w:rsidRDefault="00EA51C4" w:rsidP="00BA499D">
            <w:pPr>
              <w:spacing w:line="276" w:lineRule="auto"/>
              <w:jc w:val="center"/>
              <w:rPr>
                <w:sz w:val="18"/>
                <w:szCs w:val="18"/>
              </w:rPr>
            </w:pPr>
            <w:r>
              <w:rPr>
                <w:sz w:val="20"/>
                <w:szCs w:val="20"/>
              </w:rPr>
              <w:t>-</w:t>
            </w:r>
          </w:p>
        </w:tc>
      </w:tr>
      <w:tr w:rsidR="00EA51C4" w:rsidRPr="003E695F" w14:paraId="2FDD4CF5" w14:textId="77777777" w:rsidTr="00BA499D">
        <w:trPr>
          <w:trHeight w:val="142"/>
        </w:trPr>
        <w:tc>
          <w:tcPr>
            <w:tcW w:w="719" w:type="dxa"/>
            <w:shd w:val="clear" w:color="auto" w:fill="auto"/>
            <w:noWrap/>
            <w:vAlign w:val="center"/>
          </w:tcPr>
          <w:p w14:paraId="4BF6F553" w14:textId="77777777" w:rsidR="00EA51C4" w:rsidRPr="0025795B" w:rsidRDefault="00EA51C4" w:rsidP="00BA499D">
            <w:pPr>
              <w:spacing w:line="276" w:lineRule="auto"/>
              <w:jc w:val="center"/>
              <w:rPr>
                <w:sz w:val="18"/>
                <w:szCs w:val="18"/>
              </w:rPr>
            </w:pPr>
            <w:r w:rsidRPr="0025795B">
              <w:rPr>
                <w:sz w:val="18"/>
                <w:szCs w:val="18"/>
              </w:rPr>
              <w:t>8</w:t>
            </w:r>
            <w:r>
              <w:rPr>
                <w:sz w:val="18"/>
                <w:szCs w:val="18"/>
              </w:rPr>
              <w:t>.</w:t>
            </w:r>
          </w:p>
        </w:tc>
        <w:tc>
          <w:tcPr>
            <w:tcW w:w="4167" w:type="dxa"/>
            <w:shd w:val="clear" w:color="auto" w:fill="auto"/>
            <w:vAlign w:val="center"/>
          </w:tcPr>
          <w:p w14:paraId="5C2E551B" w14:textId="77777777" w:rsidR="00EA51C4" w:rsidRPr="0025795B" w:rsidRDefault="00EA51C4" w:rsidP="00BA499D">
            <w:pPr>
              <w:spacing w:line="276" w:lineRule="auto"/>
              <w:rPr>
                <w:color w:val="1A1A1A"/>
                <w:sz w:val="18"/>
                <w:szCs w:val="18"/>
              </w:rPr>
            </w:pPr>
            <w:r w:rsidRPr="0025795B">
              <w:rPr>
                <w:color w:val="1A1A1A"/>
                <w:sz w:val="18"/>
                <w:szCs w:val="18"/>
              </w:rPr>
              <w:t>Multinacionalno ispitivanje - Hrvatska MSC - dio II.</w:t>
            </w:r>
          </w:p>
        </w:tc>
        <w:tc>
          <w:tcPr>
            <w:tcW w:w="1417" w:type="dxa"/>
            <w:shd w:val="clear" w:color="auto" w:fill="auto"/>
            <w:noWrap/>
            <w:vAlign w:val="center"/>
          </w:tcPr>
          <w:p w14:paraId="7883D27C" w14:textId="77777777" w:rsidR="00EA51C4" w:rsidRPr="00424D85" w:rsidRDefault="00EA51C4" w:rsidP="00BA499D">
            <w:pPr>
              <w:spacing w:line="276" w:lineRule="auto"/>
              <w:jc w:val="center"/>
              <w:rPr>
                <w:bCs/>
                <w:sz w:val="18"/>
                <w:szCs w:val="18"/>
              </w:rPr>
            </w:pPr>
            <w:r w:rsidRPr="00220101">
              <w:rPr>
                <w:bCs/>
                <w:sz w:val="20"/>
                <w:szCs w:val="20"/>
              </w:rPr>
              <w:t>13</w:t>
            </w:r>
          </w:p>
        </w:tc>
        <w:tc>
          <w:tcPr>
            <w:tcW w:w="1504" w:type="dxa"/>
            <w:tcBorders>
              <w:top w:val="nil"/>
              <w:left w:val="single" w:sz="4" w:space="0" w:color="auto"/>
              <w:bottom w:val="single" w:sz="4" w:space="0" w:color="auto"/>
              <w:right w:val="single" w:sz="4" w:space="0" w:color="auto"/>
            </w:tcBorders>
            <w:shd w:val="clear" w:color="auto" w:fill="auto"/>
            <w:noWrap/>
            <w:vAlign w:val="center"/>
          </w:tcPr>
          <w:p w14:paraId="742ECB8A" w14:textId="77777777" w:rsidR="00EA51C4" w:rsidRPr="0040415C" w:rsidRDefault="00EA51C4" w:rsidP="00BA499D">
            <w:pPr>
              <w:spacing w:line="276" w:lineRule="auto"/>
              <w:jc w:val="center"/>
              <w:rPr>
                <w:bCs/>
                <w:sz w:val="18"/>
                <w:szCs w:val="18"/>
              </w:rPr>
            </w:pPr>
            <w:r w:rsidRPr="007437E7">
              <w:rPr>
                <w:bCs/>
                <w:sz w:val="20"/>
                <w:szCs w:val="20"/>
              </w:rPr>
              <w:t>3</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2436DEF" w14:textId="77777777" w:rsidR="00EA51C4" w:rsidRPr="0040415C" w:rsidRDefault="00EA51C4" w:rsidP="00BA499D">
            <w:pPr>
              <w:spacing w:line="276" w:lineRule="auto"/>
              <w:jc w:val="center"/>
              <w:rPr>
                <w:sz w:val="18"/>
                <w:szCs w:val="18"/>
              </w:rPr>
            </w:pPr>
            <w:r w:rsidRPr="0040415C">
              <w:rPr>
                <w:sz w:val="20"/>
                <w:szCs w:val="20"/>
              </w:rPr>
              <w:t>23%</w:t>
            </w:r>
          </w:p>
        </w:tc>
      </w:tr>
      <w:tr w:rsidR="00EA51C4" w:rsidRPr="003E695F" w14:paraId="5CCAB6DE" w14:textId="77777777" w:rsidTr="00BA499D">
        <w:trPr>
          <w:trHeight w:val="142"/>
        </w:trPr>
        <w:tc>
          <w:tcPr>
            <w:tcW w:w="719" w:type="dxa"/>
            <w:shd w:val="clear" w:color="auto" w:fill="auto"/>
            <w:noWrap/>
            <w:vAlign w:val="center"/>
          </w:tcPr>
          <w:p w14:paraId="57DE1264" w14:textId="77777777" w:rsidR="00EA51C4" w:rsidRPr="0025795B" w:rsidRDefault="00EA51C4" w:rsidP="00BA499D">
            <w:pPr>
              <w:spacing w:line="276" w:lineRule="auto"/>
              <w:jc w:val="center"/>
              <w:rPr>
                <w:sz w:val="18"/>
                <w:szCs w:val="18"/>
              </w:rPr>
            </w:pPr>
            <w:r w:rsidRPr="0025795B">
              <w:rPr>
                <w:sz w:val="18"/>
                <w:szCs w:val="18"/>
              </w:rPr>
              <w:t>9</w:t>
            </w:r>
            <w:r>
              <w:rPr>
                <w:sz w:val="18"/>
                <w:szCs w:val="18"/>
              </w:rPr>
              <w:t>.</w:t>
            </w:r>
          </w:p>
        </w:tc>
        <w:tc>
          <w:tcPr>
            <w:tcW w:w="4167" w:type="dxa"/>
            <w:shd w:val="clear" w:color="auto" w:fill="auto"/>
            <w:vAlign w:val="center"/>
          </w:tcPr>
          <w:p w14:paraId="7D7479CA" w14:textId="77777777" w:rsidR="00EA51C4" w:rsidRPr="0025795B" w:rsidRDefault="00EA51C4" w:rsidP="00BA499D">
            <w:pPr>
              <w:spacing w:line="276" w:lineRule="auto"/>
              <w:rPr>
                <w:color w:val="1A1A1A"/>
                <w:sz w:val="18"/>
                <w:szCs w:val="18"/>
              </w:rPr>
            </w:pPr>
            <w:r w:rsidRPr="0025795B">
              <w:rPr>
                <w:color w:val="1A1A1A"/>
                <w:sz w:val="18"/>
                <w:szCs w:val="18"/>
              </w:rPr>
              <w:t>Multinacionalno ispitivanje - Hrvatska MSC - dio I.+II.</w:t>
            </w:r>
          </w:p>
        </w:tc>
        <w:tc>
          <w:tcPr>
            <w:tcW w:w="1417" w:type="dxa"/>
            <w:shd w:val="clear" w:color="auto" w:fill="auto"/>
            <w:noWrap/>
            <w:vAlign w:val="center"/>
          </w:tcPr>
          <w:p w14:paraId="7871370F" w14:textId="77777777" w:rsidR="00EA51C4" w:rsidRPr="00424D85" w:rsidRDefault="00EA51C4" w:rsidP="00BA499D">
            <w:pPr>
              <w:spacing w:line="276" w:lineRule="auto"/>
              <w:jc w:val="center"/>
              <w:rPr>
                <w:bCs/>
                <w:sz w:val="18"/>
                <w:szCs w:val="18"/>
              </w:rPr>
            </w:pPr>
            <w:r w:rsidRPr="00220101">
              <w:rPr>
                <w:bCs/>
                <w:sz w:val="20"/>
                <w:szCs w:val="20"/>
              </w:rPr>
              <w:t>0</w:t>
            </w:r>
          </w:p>
        </w:tc>
        <w:tc>
          <w:tcPr>
            <w:tcW w:w="1504" w:type="dxa"/>
            <w:tcBorders>
              <w:top w:val="nil"/>
              <w:left w:val="single" w:sz="4" w:space="0" w:color="auto"/>
              <w:bottom w:val="single" w:sz="4" w:space="0" w:color="auto"/>
              <w:right w:val="single" w:sz="4" w:space="0" w:color="auto"/>
            </w:tcBorders>
            <w:shd w:val="clear" w:color="auto" w:fill="auto"/>
            <w:noWrap/>
            <w:vAlign w:val="center"/>
          </w:tcPr>
          <w:p w14:paraId="2A5A443E" w14:textId="77777777" w:rsidR="00EA51C4" w:rsidRPr="0040415C" w:rsidRDefault="00EA51C4" w:rsidP="00BA499D">
            <w:pPr>
              <w:spacing w:line="276" w:lineRule="auto"/>
              <w:jc w:val="center"/>
              <w:rPr>
                <w:bCs/>
                <w:sz w:val="18"/>
                <w:szCs w:val="18"/>
              </w:rPr>
            </w:pPr>
            <w:r w:rsidRPr="007437E7">
              <w:rPr>
                <w:bCs/>
                <w:sz w:val="20"/>
                <w:szCs w:val="20"/>
              </w:rPr>
              <w:t>7</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3F8D9DC" w14:textId="77777777" w:rsidR="00EA51C4" w:rsidRPr="0040415C" w:rsidRDefault="00EA51C4" w:rsidP="00BA499D">
            <w:pPr>
              <w:spacing w:line="276" w:lineRule="auto"/>
              <w:jc w:val="center"/>
              <w:rPr>
                <w:sz w:val="18"/>
                <w:szCs w:val="18"/>
              </w:rPr>
            </w:pPr>
            <w:r>
              <w:rPr>
                <w:sz w:val="20"/>
                <w:szCs w:val="20"/>
              </w:rPr>
              <w:t>-</w:t>
            </w:r>
          </w:p>
        </w:tc>
      </w:tr>
      <w:tr w:rsidR="00EA51C4" w:rsidRPr="003E695F" w14:paraId="543B3101" w14:textId="77777777" w:rsidTr="00BA499D">
        <w:trPr>
          <w:trHeight w:val="142"/>
        </w:trPr>
        <w:tc>
          <w:tcPr>
            <w:tcW w:w="719" w:type="dxa"/>
            <w:tcBorders>
              <w:bottom w:val="single" w:sz="4" w:space="0" w:color="auto"/>
            </w:tcBorders>
            <w:shd w:val="clear" w:color="auto" w:fill="auto"/>
            <w:noWrap/>
            <w:vAlign w:val="center"/>
          </w:tcPr>
          <w:p w14:paraId="67D65CB4" w14:textId="77777777" w:rsidR="00EA51C4" w:rsidRPr="0025795B" w:rsidRDefault="00EA51C4" w:rsidP="00BA499D">
            <w:pPr>
              <w:spacing w:line="276" w:lineRule="auto"/>
              <w:jc w:val="center"/>
              <w:rPr>
                <w:bCs/>
                <w:sz w:val="18"/>
                <w:szCs w:val="18"/>
              </w:rPr>
            </w:pPr>
            <w:r w:rsidRPr="0025795B">
              <w:rPr>
                <w:bCs/>
                <w:sz w:val="18"/>
                <w:szCs w:val="18"/>
              </w:rPr>
              <w:t>9.2</w:t>
            </w:r>
            <w:r>
              <w:rPr>
                <w:bCs/>
                <w:sz w:val="18"/>
                <w:szCs w:val="18"/>
              </w:rPr>
              <w:t>.</w:t>
            </w:r>
          </w:p>
        </w:tc>
        <w:tc>
          <w:tcPr>
            <w:tcW w:w="8363" w:type="dxa"/>
            <w:gridSpan w:val="4"/>
            <w:tcBorders>
              <w:bottom w:val="single" w:sz="4" w:space="0" w:color="auto"/>
              <w:right w:val="single" w:sz="4" w:space="0" w:color="auto"/>
            </w:tcBorders>
            <w:shd w:val="clear" w:color="auto" w:fill="auto"/>
            <w:vAlign w:val="center"/>
          </w:tcPr>
          <w:p w14:paraId="25AF6179" w14:textId="77777777" w:rsidR="00EA51C4" w:rsidRPr="0025795B" w:rsidRDefault="00EA51C4" w:rsidP="00BA499D">
            <w:pPr>
              <w:spacing w:line="276" w:lineRule="auto"/>
              <w:rPr>
                <w:sz w:val="18"/>
                <w:szCs w:val="18"/>
              </w:rPr>
            </w:pPr>
          </w:p>
        </w:tc>
      </w:tr>
      <w:tr w:rsidR="00EA51C4" w:rsidRPr="003E695F" w14:paraId="189B944F" w14:textId="77777777" w:rsidTr="00BA499D">
        <w:trPr>
          <w:trHeight w:val="142"/>
        </w:trPr>
        <w:tc>
          <w:tcPr>
            <w:tcW w:w="719" w:type="dxa"/>
            <w:tcBorders>
              <w:top w:val="single" w:sz="4" w:space="0" w:color="auto"/>
              <w:bottom w:val="single" w:sz="4" w:space="0" w:color="auto"/>
            </w:tcBorders>
            <w:shd w:val="clear" w:color="auto" w:fill="auto"/>
            <w:noWrap/>
            <w:vAlign w:val="center"/>
          </w:tcPr>
          <w:p w14:paraId="7DD3C93A" w14:textId="77777777" w:rsidR="00EA51C4" w:rsidRPr="0025795B" w:rsidRDefault="00EA51C4" w:rsidP="00BA499D">
            <w:pPr>
              <w:spacing w:line="276" w:lineRule="auto"/>
              <w:jc w:val="center"/>
              <w:rPr>
                <w:sz w:val="18"/>
                <w:szCs w:val="18"/>
              </w:rPr>
            </w:pPr>
            <w:r w:rsidRPr="0025795B">
              <w:rPr>
                <w:sz w:val="18"/>
                <w:szCs w:val="18"/>
              </w:rPr>
              <w:t>1</w:t>
            </w:r>
            <w:r>
              <w:rPr>
                <w:sz w:val="18"/>
                <w:szCs w:val="18"/>
              </w:rPr>
              <w:t>.</w:t>
            </w:r>
          </w:p>
        </w:tc>
        <w:tc>
          <w:tcPr>
            <w:tcW w:w="4167" w:type="dxa"/>
            <w:tcBorders>
              <w:top w:val="single" w:sz="4" w:space="0" w:color="auto"/>
              <w:bottom w:val="single" w:sz="4" w:space="0" w:color="auto"/>
            </w:tcBorders>
            <w:shd w:val="clear" w:color="auto" w:fill="auto"/>
            <w:vAlign w:val="center"/>
          </w:tcPr>
          <w:p w14:paraId="40DBBC6B" w14:textId="77777777" w:rsidR="00EA51C4" w:rsidRPr="0025795B" w:rsidRDefault="00EA51C4" w:rsidP="00BA499D">
            <w:pPr>
              <w:spacing w:line="276" w:lineRule="auto"/>
              <w:rPr>
                <w:sz w:val="18"/>
                <w:szCs w:val="18"/>
              </w:rPr>
            </w:pPr>
            <w:r w:rsidRPr="0025795B">
              <w:rPr>
                <w:sz w:val="18"/>
                <w:szCs w:val="18"/>
              </w:rPr>
              <w:t>Mononacionalno ispitivanje - dio I.</w:t>
            </w:r>
          </w:p>
        </w:tc>
        <w:tc>
          <w:tcPr>
            <w:tcW w:w="1417" w:type="dxa"/>
            <w:tcBorders>
              <w:top w:val="single" w:sz="4" w:space="0" w:color="auto"/>
              <w:bottom w:val="single" w:sz="4" w:space="0" w:color="auto"/>
            </w:tcBorders>
            <w:shd w:val="clear" w:color="auto" w:fill="auto"/>
            <w:noWrap/>
            <w:vAlign w:val="center"/>
          </w:tcPr>
          <w:p w14:paraId="48D82292" w14:textId="77777777" w:rsidR="00EA51C4" w:rsidRPr="00424D85" w:rsidRDefault="00EA51C4" w:rsidP="00BA499D">
            <w:pPr>
              <w:spacing w:line="276" w:lineRule="auto"/>
              <w:jc w:val="center"/>
              <w:rPr>
                <w:bCs/>
                <w:sz w:val="18"/>
                <w:szCs w:val="18"/>
              </w:rPr>
            </w:pPr>
            <w:r w:rsidRPr="00220101">
              <w:rPr>
                <w:bCs/>
                <w:sz w:val="20"/>
                <w:szCs w:val="20"/>
              </w:rPr>
              <w:t>3</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B322BE" w14:textId="77777777" w:rsidR="00EA51C4" w:rsidRPr="0040415C" w:rsidRDefault="00EA51C4" w:rsidP="00BA499D">
            <w:pPr>
              <w:spacing w:line="276" w:lineRule="auto"/>
              <w:jc w:val="center"/>
              <w:rPr>
                <w:bCs/>
                <w:sz w:val="18"/>
                <w:szCs w:val="18"/>
              </w:rPr>
            </w:pPr>
            <w:r w:rsidRPr="007437E7">
              <w:rPr>
                <w:bCs/>
                <w:sz w:val="20"/>
                <w:szCs w:val="20"/>
              </w:rPr>
              <w:t>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148957C" w14:textId="77777777" w:rsidR="00EA51C4" w:rsidRPr="0040415C" w:rsidRDefault="00EA51C4" w:rsidP="00BA499D">
            <w:pPr>
              <w:spacing w:line="276" w:lineRule="auto"/>
              <w:jc w:val="center"/>
              <w:rPr>
                <w:sz w:val="18"/>
                <w:szCs w:val="18"/>
              </w:rPr>
            </w:pPr>
            <w:r w:rsidRPr="0040415C">
              <w:rPr>
                <w:sz w:val="20"/>
                <w:szCs w:val="20"/>
              </w:rPr>
              <w:t>0%</w:t>
            </w:r>
          </w:p>
        </w:tc>
      </w:tr>
      <w:tr w:rsidR="00EA51C4" w:rsidRPr="003E695F" w14:paraId="7AA3CE86" w14:textId="77777777" w:rsidTr="00BA499D">
        <w:trPr>
          <w:trHeight w:val="142"/>
        </w:trPr>
        <w:tc>
          <w:tcPr>
            <w:tcW w:w="719" w:type="dxa"/>
            <w:tcBorders>
              <w:top w:val="single" w:sz="4" w:space="0" w:color="auto"/>
            </w:tcBorders>
            <w:shd w:val="clear" w:color="auto" w:fill="auto"/>
            <w:noWrap/>
            <w:vAlign w:val="center"/>
          </w:tcPr>
          <w:p w14:paraId="23956182" w14:textId="77777777" w:rsidR="00EA51C4" w:rsidRPr="0025795B" w:rsidRDefault="00EA51C4" w:rsidP="00BA499D">
            <w:pPr>
              <w:spacing w:line="276" w:lineRule="auto"/>
              <w:jc w:val="center"/>
              <w:rPr>
                <w:sz w:val="18"/>
                <w:szCs w:val="18"/>
              </w:rPr>
            </w:pPr>
            <w:r w:rsidRPr="0025795B">
              <w:rPr>
                <w:sz w:val="18"/>
                <w:szCs w:val="18"/>
              </w:rPr>
              <w:t>2</w:t>
            </w:r>
            <w:r>
              <w:rPr>
                <w:sz w:val="18"/>
                <w:szCs w:val="18"/>
              </w:rPr>
              <w:t>.</w:t>
            </w:r>
          </w:p>
        </w:tc>
        <w:tc>
          <w:tcPr>
            <w:tcW w:w="4167" w:type="dxa"/>
            <w:tcBorders>
              <w:top w:val="single" w:sz="4" w:space="0" w:color="auto"/>
            </w:tcBorders>
            <w:shd w:val="clear" w:color="auto" w:fill="auto"/>
            <w:vAlign w:val="center"/>
          </w:tcPr>
          <w:p w14:paraId="34CA84A8" w14:textId="77777777" w:rsidR="00EA51C4" w:rsidRPr="0025795B" w:rsidRDefault="00EA51C4" w:rsidP="00BA499D">
            <w:pPr>
              <w:spacing w:line="276" w:lineRule="auto"/>
              <w:rPr>
                <w:sz w:val="18"/>
                <w:szCs w:val="18"/>
              </w:rPr>
            </w:pPr>
            <w:r w:rsidRPr="0025795B">
              <w:rPr>
                <w:sz w:val="18"/>
                <w:szCs w:val="18"/>
              </w:rPr>
              <w:t>Mononacionalno ispitivanje - dio II.</w:t>
            </w:r>
          </w:p>
        </w:tc>
        <w:tc>
          <w:tcPr>
            <w:tcW w:w="1417" w:type="dxa"/>
            <w:tcBorders>
              <w:top w:val="single" w:sz="4" w:space="0" w:color="auto"/>
            </w:tcBorders>
            <w:shd w:val="clear" w:color="auto" w:fill="auto"/>
            <w:noWrap/>
            <w:vAlign w:val="center"/>
          </w:tcPr>
          <w:p w14:paraId="584FDEFF" w14:textId="77777777" w:rsidR="00EA51C4" w:rsidRPr="00424D85" w:rsidRDefault="00EA51C4" w:rsidP="00BA499D">
            <w:pPr>
              <w:spacing w:line="276" w:lineRule="auto"/>
              <w:jc w:val="center"/>
              <w:rPr>
                <w:bCs/>
                <w:sz w:val="18"/>
                <w:szCs w:val="18"/>
              </w:rPr>
            </w:pPr>
            <w:r w:rsidRPr="00220101">
              <w:rPr>
                <w:bCs/>
                <w:sz w:val="20"/>
                <w:szCs w:val="20"/>
              </w:rPr>
              <w:t>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2ABECC" w14:textId="77777777" w:rsidR="00EA51C4" w:rsidRPr="0040415C" w:rsidRDefault="00EA51C4" w:rsidP="00BA499D">
            <w:pPr>
              <w:spacing w:line="276" w:lineRule="auto"/>
              <w:jc w:val="center"/>
              <w:rPr>
                <w:bCs/>
                <w:sz w:val="18"/>
                <w:szCs w:val="18"/>
              </w:rPr>
            </w:pPr>
            <w:r w:rsidRPr="007437E7">
              <w:rPr>
                <w:bCs/>
                <w:sz w:val="20"/>
                <w:szCs w:val="20"/>
              </w:rPr>
              <w:t>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1E649A4" w14:textId="77777777" w:rsidR="00EA51C4" w:rsidRPr="0040415C" w:rsidRDefault="00EA51C4" w:rsidP="00BA499D">
            <w:pPr>
              <w:spacing w:line="276" w:lineRule="auto"/>
              <w:jc w:val="center"/>
              <w:rPr>
                <w:sz w:val="18"/>
                <w:szCs w:val="18"/>
              </w:rPr>
            </w:pPr>
            <w:r>
              <w:rPr>
                <w:sz w:val="20"/>
                <w:szCs w:val="20"/>
              </w:rPr>
              <w:t>-</w:t>
            </w:r>
          </w:p>
        </w:tc>
      </w:tr>
      <w:tr w:rsidR="00EA51C4" w:rsidRPr="003E695F" w14:paraId="3ABEB132" w14:textId="77777777" w:rsidTr="00BA499D">
        <w:trPr>
          <w:trHeight w:val="142"/>
        </w:trPr>
        <w:tc>
          <w:tcPr>
            <w:tcW w:w="719" w:type="dxa"/>
            <w:tcBorders>
              <w:top w:val="single" w:sz="4" w:space="0" w:color="auto"/>
            </w:tcBorders>
            <w:shd w:val="clear" w:color="auto" w:fill="auto"/>
            <w:noWrap/>
            <w:vAlign w:val="center"/>
          </w:tcPr>
          <w:p w14:paraId="7936E27D" w14:textId="77777777" w:rsidR="00EA51C4" w:rsidRPr="0025795B" w:rsidRDefault="00EA51C4" w:rsidP="00BA499D">
            <w:pPr>
              <w:spacing w:line="276" w:lineRule="auto"/>
              <w:jc w:val="center"/>
              <w:rPr>
                <w:sz w:val="18"/>
                <w:szCs w:val="18"/>
              </w:rPr>
            </w:pPr>
            <w:r w:rsidRPr="0025795B">
              <w:rPr>
                <w:sz w:val="18"/>
                <w:szCs w:val="18"/>
              </w:rPr>
              <w:t>3</w:t>
            </w:r>
            <w:r>
              <w:rPr>
                <w:sz w:val="18"/>
                <w:szCs w:val="18"/>
              </w:rPr>
              <w:t>.</w:t>
            </w:r>
          </w:p>
        </w:tc>
        <w:tc>
          <w:tcPr>
            <w:tcW w:w="4167" w:type="dxa"/>
            <w:tcBorders>
              <w:top w:val="single" w:sz="4" w:space="0" w:color="auto"/>
            </w:tcBorders>
            <w:shd w:val="clear" w:color="auto" w:fill="auto"/>
            <w:vAlign w:val="center"/>
          </w:tcPr>
          <w:p w14:paraId="499BD743" w14:textId="77777777" w:rsidR="00EA51C4" w:rsidRPr="0025795B" w:rsidRDefault="00EA51C4" w:rsidP="00BA499D">
            <w:pPr>
              <w:spacing w:line="276" w:lineRule="auto"/>
              <w:rPr>
                <w:sz w:val="18"/>
                <w:szCs w:val="18"/>
              </w:rPr>
            </w:pPr>
            <w:r w:rsidRPr="0025795B">
              <w:rPr>
                <w:sz w:val="18"/>
                <w:szCs w:val="18"/>
              </w:rPr>
              <w:t>Mononacionalno ispitivanje - dio I.+II.</w:t>
            </w:r>
          </w:p>
        </w:tc>
        <w:tc>
          <w:tcPr>
            <w:tcW w:w="1417" w:type="dxa"/>
            <w:tcBorders>
              <w:top w:val="single" w:sz="4" w:space="0" w:color="auto"/>
            </w:tcBorders>
            <w:shd w:val="clear" w:color="auto" w:fill="auto"/>
            <w:noWrap/>
            <w:vAlign w:val="center"/>
          </w:tcPr>
          <w:p w14:paraId="7A9DF6EF" w14:textId="77777777" w:rsidR="00EA51C4" w:rsidRPr="00424D85" w:rsidRDefault="00EA51C4" w:rsidP="00BA499D">
            <w:pPr>
              <w:spacing w:line="276" w:lineRule="auto"/>
              <w:jc w:val="center"/>
              <w:rPr>
                <w:bCs/>
                <w:sz w:val="18"/>
                <w:szCs w:val="18"/>
              </w:rPr>
            </w:pPr>
            <w:r w:rsidRPr="00220101">
              <w:rPr>
                <w:bCs/>
                <w:sz w:val="20"/>
                <w:szCs w:val="20"/>
              </w:rPr>
              <w:t>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17279C" w14:textId="77777777" w:rsidR="00EA51C4" w:rsidRPr="0040415C" w:rsidRDefault="00EA51C4" w:rsidP="00BA499D">
            <w:pPr>
              <w:spacing w:line="276" w:lineRule="auto"/>
              <w:jc w:val="center"/>
              <w:rPr>
                <w:bCs/>
                <w:sz w:val="18"/>
                <w:szCs w:val="18"/>
              </w:rPr>
            </w:pPr>
            <w:r w:rsidRPr="007437E7">
              <w:rPr>
                <w:bCs/>
                <w:sz w:val="20"/>
                <w:szCs w:val="20"/>
              </w:rPr>
              <w:t>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8575E05" w14:textId="77777777" w:rsidR="00EA51C4" w:rsidRPr="0040415C" w:rsidRDefault="00EA51C4" w:rsidP="00BA499D">
            <w:pPr>
              <w:spacing w:line="276" w:lineRule="auto"/>
              <w:jc w:val="center"/>
              <w:rPr>
                <w:sz w:val="18"/>
                <w:szCs w:val="18"/>
              </w:rPr>
            </w:pPr>
            <w:r>
              <w:rPr>
                <w:sz w:val="20"/>
                <w:szCs w:val="20"/>
              </w:rPr>
              <w:t>-</w:t>
            </w:r>
          </w:p>
        </w:tc>
      </w:tr>
      <w:tr w:rsidR="00EA51C4" w:rsidRPr="003E695F" w14:paraId="7A15CBBB" w14:textId="77777777" w:rsidTr="00BA499D">
        <w:trPr>
          <w:trHeight w:val="142"/>
        </w:trPr>
        <w:tc>
          <w:tcPr>
            <w:tcW w:w="719" w:type="dxa"/>
            <w:tcBorders>
              <w:top w:val="single" w:sz="4" w:space="0" w:color="auto"/>
            </w:tcBorders>
            <w:shd w:val="clear" w:color="auto" w:fill="auto"/>
            <w:noWrap/>
            <w:vAlign w:val="center"/>
          </w:tcPr>
          <w:p w14:paraId="40A09AAA" w14:textId="77777777" w:rsidR="00EA51C4" w:rsidRPr="0025795B" w:rsidRDefault="00EA51C4" w:rsidP="00BA499D">
            <w:pPr>
              <w:spacing w:line="276" w:lineRule="auto"/>
              <w:jc w:val="center"/>
              <w:rPr>
                <w:sz w:val="18"/>
                <w:szCs w:val="18"/>
              </w:rPr>
            </w:pPr>
            <w:r w:rsidRPr="0025795B">
              <w:rPr>
                <w:sz w:val="18"/>
                <w:szCs w:val="18"/>
              </w:rPr>
              <w:t>4</w:t>
            </w:r>
            <w:r>
              <w:rPr>
                <w:sz w:val="18"/>
                <w:szCs w:val="18"/>
              </w:rPr>
              <w:t>.</w:t>
            </w:r>
          </w:p>
        </w:tc>
        <w:tc>
          <w:tcPr>
            <w:tcW w:w="4167" w:type="dxa"/>
            <w:tcBorders>
              <w:top w:val="single" w:sz="4" w:space="0" w:color="auto"/>
            </w:tcBorders>
            <w:shd w:val="clear" w:color="auto" w:fill="auto"/>
            <w:vAlign w:val="center"/>
          </w:tcPr>
          <w:p w14:paraId="6C5A3AE1" w14:textId="77777777" w:rsidR="00EA51C4" w:rsidRPr="0025795B" w:rsidRDefault="00EA51C4" w:rsidP="00BA499D">
            <w:pPr>
              <w:spacing w:line="276" w:lineRule="auto"/>
              <w:rPr>
                <w:sz w:val="18"/>
                <w:szCs w:val="18"/>
              </w:rPr>
            </w:pPr>
            <w:r w:rsidRPr="0025795B">
              <w:rPr>
                <w:sz w:val="18"/>
                <w:szCs w:val="18"/>
              </w:rPr>
              <w:t>Multinacionalno ispitivanje - Hrvatska RMS - dio I.</w:t>
            </w:r>
          </w:p>
        </w:tc>
        <w:tc>
          <w:tcPr>
            <w:tcW w:w="1417" w:type="dxa"/>
            <w:tcBorders>
              <w:top w:val="single" w:sz="4" w:space="0" w:color="auto"/>
            </w:tcBorders>
            <w:shd w:val="clear" w:color="auto" w:fill="auto"/>
            <w:noWrap/>
            <w:vAlign w:val="center"/>
          </w:tcPr>
          <w:p w14:paraId="5C91C2BF" w14:textId="77777777" w:rsidR="00EA51C4" w:rsidRPr="00424D85" w:rsidRDefault="00EA51C4" w:rsidP="00BA499D">
            <w:pPr>
              <w:spacing w:line="276" w:lineRule="auto"/>
              <w:jc w:val="center"/>
              <w:rPr>
                <w:bCs/>
                <w:sz w:val="18"/>
                <w:szCs w:val="18"/>
              </w:rPr>
            </w:pPr>
            <w:r w:rsidRPr="00220101">
              <w:rPr>
                <w:bCs/>
                <w:sz w:val="20"/>
                <w:szCs w:val="20"/>
              </w:rPr>
              <w:t>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E900B6" w14:textId="77777777" w:rsidR="00EA51C4" w:rsidRPr="0040415C" w:rsidRDefault="00EA51C4" w:rsidP="00BA499D">
            <w:pPr>
              <w:spacing w:line="276" w:lineRule="auto"/>
              <w:jc w:val="center"/>
              <w:rPr>
                <w:bCs/>
                <w:sz w:val="18"/>
                <w:szCs w:val="18"/>
              </w:rPr>
            </w:pPr>
            <w:r w:rsidRPr="007437E7">
              <w:rPr>
                <w:bCs/>
                <w:sz w:val="20"/>
                <w:szCs w:val="20"/>
              </w:rPr>
              <w:t>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BCD3277" w14:textId="77777777" w:rsidR="00EA51C4" w:rsidRPr="0040415C" w:rsidRDefault="00EA51C4" w:rsidP="00BA499D">
            <w:pPr>
              <w:spacing w:line="276" w:lineRule="auto"/>
              <w:jc w:val="center"/>
              <w:rPr>
                <w:sz w:val="18"/>
                <w:szCs w:val="18"/>
              </w:rPr>
            </w:pPr>
            <w:r>
              <w:rPr>
                <w:sz w:val="20"/>
                <w:szCs w:val="20"/>
              </w:rPr>
              <w:t>-</w:t>
            </w:r>
          </w:p>
        </w:tc>
      </w:tr>
      <w:tr w:rsidR="00EA51C4" w:rsidRPr="003E695F" w14:paraId="3ECD134B" w14:textId="77777777" w:rsidTr="00BA499D">
        <w:trPr>
          <w:trHeight w:val="142"/>
        </w:trPr>
        <w:tc>
          <w:tcPr>
            <w:tcW w:w="719" w:type="dxa"/>
            <w:tcBorders>
              <w:top w:val="single" w:sz="4" w:space="0" w:color="auto"/>
            </w:tcBorders>
            <w:shd w:val="clear" w:color="auto" w:fill="auto"/>
            <w:noWrap/>
            <w:vAlign w:val="center"/>
          </w:tcPr>
          <w:p w14:paraId="3135B03B" w14:textId="77777777" w:rsidR="00EA51C4" w:rsidRPr="0025795B" w:rsidRDefault="00EA51C4" w:rsidP="00BA499D">
            <w:pPr>
              <w:spacing w:line="276" w:lineRule="auto"/>
              <w:jc w:val="center"/>
              <w:rPr>
                <w:sz w:val="18"/>
                <w:szCs w:val="18"/>
              </w:rPr>
            </w:pPr>
            <w:r w:rsidRPr="0025795B">
              <w:rPr>
                <w:sz w:val="18"/>
                <w:szCs w:val="18"/>
              </w:rPr>
              <w:t>5</w:t>
            </w:r>
            <w:r>
              <w:rPr>
                <w:sz w:val="18"/>
                <w:szCs w:val="18"/>
              </w:rPr>
              <w:t>.</w:t>
            </w:r>
          </w:p>
        </w:tc>
        <w:tc>
          <w:tcPr>
            <w:tcW w:w="4167" w:type="dxa"/>
            <w:tcBorders>
              <w:top w:val="single" w:sz="4" w:space="0" w:color="auto"/>
            </w:tcBorders>
            <w:shd w:val="clear" w:color="auto" w:fill="auto"/>
            <w:vAlign w:val="center"/>
          </w:tcPr>
          <w:p w14:paraId="73B6A577" w14:textId="77777777" w:rsidR="00EA51C4" w:rsidRPr="0025795B" w:rsidRDefault="00EA51C4" w:rsidP="00BA499D">
            <w:pPr>
              <w:spacing w:line="276" w:lineRule="auto"/>
              <w:rPr>
                <w:sz w:val="18"/>
                <w:szCs w:val="18"/>
              </w:rPr>
            </w:pPr>
            <w:r w:rsidRPr="0025795B">
              <w:rPr>
                <w:sz w:val="18"/>
                <w:szCs w:val="18"/>
              </w:rPr>
              <w:t>Multinacionalno ispitivanje - Hrvatska RMS - dio II.</w:t>
            </w:r>
          </w:p>
        </w:tc>
        <w:tc>
          <w:tcPr>
            <w:tcW w:w="1417" w:type="dxa"/>
            <w:tcBorders>
              <w:top w:val="single" w:sz="4" w:space="0" w:color="auto"/>
            </w:tcBorders>
            <w:shd w:val="clear" w:color="auto" w:fill="auto"/>
            <w:noWrap/>
            <w:vAlign w:val="center"/>
          </w:tcPr>
          <w:p w14:paraId="40F6C4DC" w14:textId="77777777" w:rsidR="00EA51C4" w:rsidRPr="00424D85" w:rsidRDefault="00EA51C4" w:rsidP="00BA499D">
            <w:pPr>
              <w:spacing w:line="276" w:lineRule="auto"/>
              <w:jc w:val="center"/>
              <w:rPr>
                <w:bCs/>
                <w:sz w:val="18"/>
                <w:szCs w:val="18"/>
              </w:rPr>
            </w:pPr>
            <w:r w:rsidRPr="00220101">
              <w:rPr>
                <w:bCs/>
                <w:sz w:val="20"/>
                <w:szCs w:val="20"/>
              </w:rPr>
              <w:t>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EB04DC" w14:textId="77777777" w:rsidR="00EA51C4" w:rsidRPr="0040415C" w:rsidRDefault="00EA51C4" w:rsidP="00BA499D">
            <w:pPr>
              <w:spacing w:line="276" w:lineRule="auto"/>
              <w:jc w:val="center"/>
              <w:rPr>
                <w:bCs/>
                <w:sz w:val="18"/>
                <w:szCs w:val="18"/>
              </w:rPr>
            </w:pPr>
            <w:r w:rsidRPr="007437E7">
              <w:rPr>
                <w:bCs/>
                <w:sz w:val="20"/>
                <w:szCs w:val="20"/>
              </w:rPr>
              <w:t>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4265D11" w14:textId="77777777" w:rsidR="00EA51C4" w:rsidRPr="0040415C" w:rsidRDefault="00EA51C4" w:rsidP="00BA499D">
            <w:pPr>
              <w:spacing w:line="276" w:lineRule="auto"/>
              <w:jc w:val="center"/>
              <w:rPr>
                <w:sz w:val="18"/>
                <w:szCs w:val="18"/>
              </w:rPr>
            </w:pPr>
            <w:r>
              <w:rPr>
                <w:sz w:val="20"/>
                <w:szCs w:val="20"/>
              </w:rPr>
              <w:t>-</w:t>
            </w:r>
          </w:p>
        </w:tc>
      </w:tr>
      <w:tr w:rsidR="00EA51C4" w:rsidRPr="003E695F" w14:paraId="3D26267D" w14:textId="77777777" w:rsidTr="00BA499D">
        <w:trPr>
          <w:trHeight w:val="142"/>
        </w:trPr>
        <w:tc>
          <w:tcPr>
            <w:tcW w:w="719" w:type="dxa"/>
            <w:tcBorders>
              <w:top w:val="single" w:sz="4" w:space="0" w:color="auto"/>
            </w:tcBorders>
            <w:shd w:val="clear" w:color="auto" w:fill="auto"/>
            <w:noWrap/>
            <w:vAlign w:val="center"/>
          </w:tcPr>
          <w:p w14:paraId="5C69EDF9" w14:textId="77777777" w:rsidR="00EA51C4" w:rsidRPr="0025795B" w:rsidRDefault="00EA51C4" w:rsidP="00BA499D">
            <w:pPr>
              <w:spacing w:line="276" w:lineRule="auto"/>
              <w:jc w:val="center"/>
              <w:rPr>
                <w:sz w:val="18"/>
                <w:szCs w:val="18"/>
              </w:rPr>
            </w:pPr>
            <w:r w:rsidRPr="0025795B">
              <w:rPr>
                <w:sz w:val="18"/>
                <w:szCs w:val="18"/>
              </w:rPr>
              <w:t>6</w:t>
            </w:r>
            <w:r>
              <w:rPr>
                <w:sz w:val="18"/>
                <w:szCs w:val="18"/>
              </w:rPr>
              <w:t>.</w:t>
            </w:r>
          </w:p>
        </w:tc>
        <w:tc>
          <w:tcPr>
            <w:tcW w:w="4167" w:type="dxa"/>
            <w:tcBorders>
              <w:top w:val="single" w:sz="4" w:space="0" w:color="auto"/>
            </w:tcBorders>
            <w:shd w:val="clear" w:color="auto" w:fill="auto"/>
            <w:vAlign w:val="center"/>
          </w:tcPr>
          <w:p w14:paraId="66DB5F78" w14:textId="77777777" w:rsidR="00EA51C4" w:rsidRPr="0025795B" w:rsidRDefault="00EA51C4" w:rsidP="00BA499D">
            <w:pPr>
              <w:spacing w:line="276" w:lineRule="auto"/>
              <w:rPr>
                <w:sz w:val="18"/>
                <w:szCs w:val="18"/>
              </w:rPr>
            </w:pPr>
            <w:r w:rsidRPr="0025795B">
              <w:rPr>
                <w:sz w:val="18"/>
                <w:szCs w:val="18"/>
              </w:rPr>
              <w:t>Multinacionalno ispitivanje - Hrvatska RMS - dio I.+II.</w:t>
            </w:r>
          </w:p>
        </w:tc>
        <w:tc>
          <w:tcPr>
            <w:tcW w:w="1417" w:type="dxa"/>
            <w:tcBorders>
              <w:top w:val="single" w:sz="4" w:space="0" w:color="auto"/>
            </w:tcBorders>
            <w:shd w:val="clear" w:color="auto" w:fill="auto"/>
            <w:noWrap/>
            <w:vAlign w:val="center"/>
          </w:tcPr>
          <w:p w14:paraId="08EA5BA9" w14:textId="77777777" w:rsidR="00EA51C4" w:rsidRPr="00424D85" w:rsidRDefault="00EA51C4" w:rsidP="00BA499D">
            <w:pPr>
              <w:spacing w:line="276" w:lineRule="auto"/>
              <w:jc w:val="center"/>
              <w:rPr>
                <w:bCs/>
                <w:sz w:val="18"/>
                <w:szCs w:val="18"/>
              </w:rPr>
            </w:pPr>
            <w:r w:rsidRPr="00220101">
              <w:rPr>
                <w:bCs/>
                <w:sz w:val="20"/>
                <w:szCs w:val="20"/>
              </w:rPr>
              <w:t>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CB0670" w14:textId="77777777" w:rsidR="00EA51C4" w:rsidRPr="0040415C" w:rsidRDefault="00EA51C4" w:rsidP="00BA499D">
            <w:pPr>
              <w:spacing w:line="276" w:lineRule="auto"/>
              <w:jc w:val="center"/>
              <w:rPr>
                <w:bCs/>
                <w:sz w:val="18"/>
                <w:szCs w:val="18"/>
              </w:rPr>
            </w:pPr>
            <w:r w:rsidRPr="007437E7">
              <w:rPr>
                <w:bCs/>
                <w:sz w:val="20"/>
                <w:szCs w:val="20"/>
              </w:rPr>
              <w:t>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4C2B854" w14:textId="77777777" w:rsidR="00EA51C4" w:rsidRPr="0040415C" w:rsidRDefault="00EA51C4" w:rsidP="00BA499D">
            <w:pPr>
              <w:spacing w:line="276" w:lineRule="auto"/>
              <w:jc w:val="center"/>
              <w:rPr>
                <w:sz w:val="18"/>
                <w:szCs w:val="18"/>
              </w:rPr>
            </w:pPr>
            <w:r>
              <w:rPr>
                <w:sz w:val="20"/>
                <w:szCs w:val="20"/>
              </w:rPr>
              <w:t>-</w:t>
            </w:r>
          </w:p>
        </w:tc>
      </w:tr>
      <w:tr w:rsidR="00EA51C4" w:rsidRPr="003E695F" w14:paraId="0D4A1386" w14:textId="77777777" w:rsidTr="00BA499D">
        <w:trPr>
          <w:trHeight w:val="142"/>
        </w:trPr>
        <w:tc>
          <w:tcPr>
            <w:tcW w:w="719" w:type="dxa"/>
            <w:tcBorders>
              <w:top w:val="single" w:sz="4" w:space="0" w:color="auto"/>
            </w:tcBorders>
            <w:shd w:val="clear" w:color="auto" w:fill="auto"/>
            <w:noWrap/>
            <w:vAlign w:val="center"/>
          </w:tcPr>
          <w:p w14:paraId="7B9F572F" w14:textId="77777777" w:rsidR="00EA51C4" w:rsidRPr="0025795B" w:rsidRDefault="00EA51C4" w:rsidP="00BA499D">
            <w:pPr>
              <w:spacing w:line="276" w:lineRule="auto"/>
              <w:jc w:val="center"/>
              <w:rPr>
                <w:sz w:val="18"/>
                <w:szCs w:val="18"/>
              </w:rPr>
            </w:pPr>
            <w:r w:rsidRPr="0025795B">
              <w:rPr>
                <w:sz w:val="18"/>
                <w:szCs w:val="18"/>
              </w:rPr>
              <w:t>7</w:t>
            </w:r>
            <w:r>
              <w:rPr>
                <w:sz w:val="18"/>
                <w:szCs w:val="18"/>
              </w:rPr>
              <w:t>.</w:t>
            </w:r>
          </w:p>
        </w:tc>
        <w:tc>
          <w:tcPr>
            <w:tcW w:w="4167" w:type="dxa"/>
            <w:tcBorders>
              <w:top w:val="single" w:sz="4" w:space="0" w:color="auto"/>
            </w:tcBorders>
            <w:shd w:val="clear" w:color="auto" w:fill="auto"/>
            <w:vAlign w:val="center"/>
          </w:tcPr>
          <w:p w14:paraId="2AE094BF" w14:textId="77777777" w:rsidR="00EA51C4" w:rsidRPr="0025795B" w:rsidRDefault="00EA51C4" w:rsidP="00BA499D">
            <w:pPr>
              <w:spacing w:line="276" w:lineRule="auto"/>
              <w:rPr>
                <w:sz w:val="18"/>
                <w:szCs w:val="18"/>
              </w:rPr>
            </w:pPr>
            <w:r w:rsidRPr="0025795B">
              <w:rPr>
                <w:sz w:val="18"/>
                <w:szCs w:val="18"/>
              </w:rPr>
              <w:t>Multinacionalno ispitivanje - Hrvatska MSC - dio I.</w:t>
            </w:r>
          </w:p>
        </w:tc>
        <w:tc>
          <w:tcPr>
            <w:tcW w:w="1417" w:type="dxa"/>
            <w:tcBorders>
              <w:top w:val="single" w:sz="4" w:space="0" w:color="auto"/>
            </w:tcBorders>
            <w:shd w:val="clear" w:color="auto" w:fill="auto"/>
            <w:noWrap/>
            <w:vAlign w:val="center"/>
          </w:tcPr>
          <w:p w14:paraId="04B721CE" w14:textId="77777777" w:rsidR="00EA51C4" w:rsidRPr="00424D85" w:rsidRDefault="00EA51C4" w:rsidP="00BA499D">
            <w:pPr>
              <w:spacing w:line="276" w:lineRule="auto"/>
              <w:jc w:val="center"/>
              <w:rPr>
                <w:bCs/>
                <w:sz w:val="18"/>
                <w:szCs w:val="18"/>
              </w:rPr>
            </w:pPr>
            <w:r w:rsidRPr="00220101">
              <w:rPr>
                <w:bCs/>
                <w:sz w:val="20"/>
                <w:szCs w:val="20"/>
              </w:rPr>
              <w:t>0</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989B14" w14:textId="77777777" w:rsidR="00EA51C4" w:rsidRPr="0040415C" w:rsidRDefault="00EA51C4" w:rsidP="00BA499D">
            <w:pPr>
              <w:spacing w:line="276" w:lineRule="auto"/>
              <w:jc w:val="center"/>
              <w:rPr>
                <w:bCs/>
                <w:sz w:val="18"/>
                <w:szCs w:val="18"/>
              </w:rPr>
            </w:pPr>
            <w:r w:rsidRPr="007437E7">
              <w:rPr>
                <w:bCs/>
                <w:sz w:val="20"/>
                <w:szCs w:val="20"/>
              </w:rPr>
              <w:t>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9820D6D" w14:textId="77777777" w:rsidR="00EA51C4" w:rsidRPr="0040415C" w:rsidRDefault="00EA51C4" w:rsidP="00BA499D">
            <w:pPr>
              <w:spacing w:line="276" w:lineRule="auto"/>
              <w:jc w:val="center"/>
              <w:rPr>
                <w:sz w:val="18"/>
                <w:szCs w:val="18"/>
              </w:rPr>
            </w:pPr>
            <w:r>
              <w:rPr>
                <w:sz w:val="20"/>
                <w:szCs w:val="20"/>
              </w:rPr>
              <w:t>-</w:t>
            </w:r>
          </w:p>
        </w:tc>
      </w:tr>
      <w:tr w:rsidR="00EA51C4" w:rsidRPr="003E695F" w14:paraId="0ECE33FF" w14:textId="77777777" w:rsidTr="00BA499D">
        <w:trPr>
          <w:trHeight w:val="142"/>
        </w:trPr>
        <w:tc>
          <w:tcPr>
            <w:tcW w:w="719" w:type="dxa"/>
            <w:tcBorders>
              <w:top w:val="single" w:sz="4" w:space="0" w:color="auto"/>
            </w:tcBorders>
            <w:shd w:val="clear" w:color="auto" w:fill="auto"/>
            <w:noWrap/>
            <w:vAlign w:val="center"/>
          </w:tcPr>
          <w:p w14:paraId="6DDBC389" w14:textId="77777777" w:rsidR="00EA51C4" w:rsidRPr="0025795B" w:rsidRDefault="00EA51C4" w:rsidP="00BA499D">
            <w:pPr>
              <w:spacing w:line="276" w:lineRule="auto"/>
              <w:jc w:val="center"/>
              <w:rPr>
                <w:sz w:val="18"/>
                <w:szCs w:val="18"/>
              </w:rPr>
            </w:pPr>
            <w:r w:rsidRPr="0025795B">
              <w:rPr>
                <w:sz w:val="18"/>
                <w:szCs w:val="18"/>
              </w:rPr>
              <w:t>8</w:t>
            </w:r>
            <w:r>
              <w:rPr>
                <w:sz w:val="18"/>
                <w:szCs w:val="18"/>
              </w:rPr>
              <w:t>.</w:t>
            </w:r>
          </w:p>
        </w:tc>
        <w:tc>
          <w:tcPr>
            <w:tcW w:w="4167" w:type="dxa"/>
            <w:tcBorders>
              <w:top w:val="single" w:sz="4" w:space="0" w:color="auto"/>
            </w:tcBorders>
            <w:shd w:val="clear" w:color="auto" w:fill="auto"/>
            <w:vAlign w:val="center"/>
          </w:tcPr>
          <w:p w14:paraId="22E94007" w14:textId="77777777" w:rsidR="00EA51C4" w:rsidRPr="0025795B" w:rsidRDefault="00EA51C4" w:rsidP="00BA499D">
            <w:pPr>
              <w:spacing w:line="276" w:lineRule="auto"/>
              <w:rPr>
                <w:sz w:val="18"/>
                <w:szCs w:val="18"/>
              </w:rPr>
            </w:pPr>
            <w:r w:rsidRPr="0025795B">
              <w:rPr>
                <w:sz w:val="18"/>
                <w:szCs w:val="18"/>
              </w:rPr>
              <w:t>Multinacionalno ispitivanje - Hrvatska MSC - dio II.</w:t>
            </w:r>
          </w:p>
        </w:tc>
        <w:tc>
          <w:tcPr>
            <w:tcW w:w="1417" w:type="dxa"/>
            <w:tcBorders>
              <w:top w:val="single" w:sz="4" w:space="0" w:color="auto"/>
            </w:tcBorders>
            <w:shd w:val="clear" w:color="auto" w:fill="auto"/>
            <w:noWrap/>
            <w:vAlign w:val="center"/>
          </w:tcPr>
          <w:p w14:paraId="694A1DB0" w14:textId="77777777" w:rsidR="00EA51C4" w:rsidRPr="00424D85" w:rsidRDefault="00EA51C4" w:rsidP="00BA499D">
            <w:pPr>
              <w:spacing w:line="276" w:lineRule="auto"/>
              <w:jc w:val="center"/>
              <w:rPr>
                <w:bCs/>
                <w:sz w:val="18"/>
                <w:szCs w:val="18"/>
              </w:rPr>
            </w:pPr>
            <w:r w:rsidRPr="00220101">
              <w:rPr>
                <w:bCs/>
                <w:sz w:val="20"/>
                <w:szCs w:val="20"/>
              </w:rPr>
              <w:t>12</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61DE46" w14:textId="77777777" w:rsidR="00EA51C4" w:rsidRPr="0040415C" w:rsidRDefault="00EA51C4" w:rsidP="00BA499D">
            <w:pPr>
              <w:spacing w:line="276" w:lineRule="auto"/>
              <w:jc w:val="center"/>
              <w:rPr>
                <w:bCs/>
                <w:sz w:val="18"/>
                <w:szCs w:val="18"/>
              </w:rPr>
            </w:pPr>
            <w:r w:rsidRPr="007437E7">
              <w:rPr>
                <w:bCs/>
                <w:sz w:val="20"/>
                <w:szCs w:val="20"/>
              </w:rPr>
              <w:t>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4990E80" w14:textId="77777777" w:rsidR="00EA51C4" w:rsidRPr="0040415C" w:rsidRDefault="00EA51C4" w:rsidP="00BA499D">
            <w:pPr>
              <w:spacing w:line="276" w:lineRule="auto"/>
              <w:jc w:val="center"/>
              <w:rPr>
                <w:sz w:val="18"/>
                <w:szCs w:val="18"/>
              </w:rPr>
            </w:pPr>
            <w:r w:rsidRPr="0040415C">
              <w:rPr>
                <w:sz w:val="20"/>
                <w:szCs w:val="20"/>
              </w:rPr>
              <w:t>0%</w:t>
            </w:r>
          </w:p>
        </w:tc>
      </w:tr>
      <w:tr w:rsidR="00EA51C4" w:rsidRPr="003E695F" w14:paraId="0E83E525" w14:textId="77777777" w:rsidTr="00BA499D">
        <w:trPr>
          <w:trHeight w:val="142"/>
        </w:trPr>
        <w:tc>
          <w:tcPr>
            <w:tcW w:w="719" w:type="dxa"/>
            <w:shd w:val="clear" w:color="auto" w:fill="auto"/>
            <w:noWrap/>
            <w:vAlign w:val="center"/>
          </w:tcPr>
          <w:p w14:paraId="17AD7BE8" w14:textId="77777777" w:rsidR="00EA51C4" w:rsidRPr="0025795B" w:rsidRDefault="00EA51C4" w:rsidP="00BA499D">
            <w:pPr>
              <w:spacing w:line="276" w:lineRule="auto"/>
              <w:jc w:val="center"/>
              <w:rPr>
                <w:sz w:val="18"/>
                <w:szCs w:val="18"/>
              </w:rPr>
            </w:pPr>
            <w:r w:rsidRPr="0025795B">
              <w:rPr>
                <w:sz w:val="18"/>
                <w:szCs w:val="18"/>
              </w:rPr>
              <w:t>9</w:t>
            </w:r>
            <w:r>
              <w:rPr>
                <w:sz w:val="18"/>
                <w:szCs w:val="18"/>
              </w:rPr>
              <w:t>.</w:t>
            </w:r>
          </w:p>
        </w:tc>
        <w:tc>
          <w:tcPr>
            <w:tcW w:w="4167" w:type="dxa"/>
            <w:shd w:val="clear" w:color="auto" w:fill="auto"/>
            <w:vAlign w:val="center"/>
          </w:tcPr>
          <w:p w14:paraId="75772495" w14:textId="77777777" w:rsidR="00EA51C4" w:rsidRPr="0025795B" w:rsidRDefault="00EA51C4" w:rsidP="00BA499D">
            <w:pPr>
              <w:spacing w:line="276" w:lineRule="auto"/>
              <w:rPr>
                <w:sz w:val="18"/>
                <w:szCs w:val="18"/>
              </w:rPr>
            </w:pPr>
            <w:r w:rsidRPr="0025795B">
              <w:rPr>
                <w:sz w:val="18"/>
                <w:szCs w:val="18"/>
              </w:rPr>
              <w:t>Multinacionalno ispitivanje - Hrvatska MSC - dio I.+II.</w:t>
            </w:r>
          </w:p>
        </w:tc>
        <w:tc>
          <w:tcPr>
            <w:tcW w:w="1417" w:type="dxa"/>
            <w:shd w:val="clear" w:color="auto" w:fill="auto"/>
            <w:noWrap/>
            <w:vAlign w:val="center"/>
          </w:tcPr>
          <w:p w14:paraId="76C355E5" w14:textId="77777777" w:rsidR="00EA51C4" w:rsidRPr="00424D85" w:rsidRDefault="00EA51C4" w:rsidP="00BA499D">
            <w:pPr>
              <w:spacing w:line="276" w:lineRule="auto"/>
              <w:jc w:val="center"/>
              <w:rPr>
                <w:bCs/>
                <w:sz w:val="18"/>
                <w:szCs w:val="18"/>
              </w:rPr>
            </w:pPr>
            <w:r w:rsidRPr="00220101">
              <w:rPr>
                <w:bCs/>
                <w:sz w:val="20"/>
                <w:szCs w:val="20"/>
              </w:rPr>
              <w:t>1</w:t>
            </w:r>
          </w:p>
        </w:tc>
        <w:tc>
          <w:tcPr>
            <w:tcW w:w="1504" w:type="dxa"/>
            <w:tcBorders>
              <w:top w:val="nil"/>
              <w:left w:val="single" w:sz="4" w:space="0" w:color="auto"/>
              <w:bottom w:val="single" w:sz="4" w:space="0" w:color="auto"/>
              <w:right w:val="single" w:sz="4" w:space="0" w:color="auto"/>
            </w:tcBorders>
            <w:shd w:val="clear" w:color="auto" w:fill="auto"/>
            <w:noWrap/>
            <w:vAlign w:val="center"/>
          </w:tcPr>
          <w:p w14:paraId="3EC33671" w14:textId="77777777" w:rsidR="00EA51C4" w:rsidRPr="0040415C" w:rsidRDefault="00EA51C4" w:rsidP="00BA499D">
            <w:pPr>
              <w:spacing w:line="276" w:lineRule="auto"/>
              <w:jc w:val="center"/>
              <w:rPr>
                <w:bCs/>
                <w:sz w:val="18"/>
                <w:szCs w:val="18"/>
              </w:rPr>
            </w:pPr>
            <w:r w:rsidRPr="007437E7">
              <w:rPr>
                <w:bCs/>
                <w:sz w:val="20"/>
                <w:szCs w:val="20"/>
              </w:rPr>
              <w:t>1</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20C5774" w14:textId="77777777" w:rsidR="00EA51C4" w:rsidRPr="0040415C" w:rsidRDefault="00EA51C4" w:rsidP="00BA499D">
            <w:pPr>
              <w:spacing w:line="276" w:lineRule="auto"/>
              <w:jc w:val="center"/>
              <w:rPr>
                <w:sz w:val="18"/>
                <w:szCs w:val="18"/>
              </w:rPr>
            </w:pPr>
            <w:r w:rsidRPr="0040415C">
              <w:rPr>
                <w:sz w:val="20"/>
                <w:szCs w:val="20"/>
              </w:rPr>
              <w:t>100%</w:t>
            </w:r>
          </w:p>
        </w:tc>
      </w:tr>
      <w:tr w:rsidR="00EA51C4" w:rsidRPr="003E695F" w14:paraId="48F0887A" w14:textId="77777777" w:rsidTr="00BA499D">
        <w:trPr>
          <w:trHeight w:val="284"/>
        </w:trPr>
        <w:tc>
          <w:tcPr>
            <w:tcW w:w="4886" w:type="dxa"/>
            <w:gridSpan w:val="2"/>
            <w:shd w:val="clear" w:color="auto" w:fill="BFBFBF"/>
            <w:vAlign w:val="center"/>
            <w:hideMark/>
          </w:tcPr>
          <w:p w14:paraId="74FA7469" w14:textId="77777777" w:rsidR="00EA51C4" w:rsidRPr="003E695F" w:rsidRDefault="00EA51C4" w:rsidP="00BA499D">
            <w:pPr>
              <w:spacing w:line="276" w:lineRule="auto"/>
              <w:rPr>
                <w:rFonts w:eastAsia="Times New Roman" w:cstheme="minorHAnsi"/>
                <w:b/>
                <w:bCs/>
                <w:color w:val="1A1A1A"/>
                <w:sz w:val="20"/>
                <w:szCs w:val="20"/>
                <w:lang w:eastAsia="hr-HR"/>
              </w:rPr>
            </w:pPr>
            <w:r w:rsidRPr="003E695F">
              <w:rPr>
                <w:rFonts w:eastAsia="Times New Roman" w:cstheme="minorHAnsi"/>
                <w:b/>
                <w:bCs/>
                <w:color w:val="1A1A1A"/>
                <w:sz w:val="20"/>
                <w:szCs w:val="20"/>
                <w:lang w:eastAsia="hr-HR"/>
              </w:rPr>
              <w:t>UKUPNO:</w:t>
            </w:r>
          </w:p>
        </w:tc>
        <w:tc>
          <w:tcPr>
            <w:tcW w:w="1417" w:type="dxa"/>
            <w:shd w:val="clear" w:color="auto" w:fill="BFBFBF"/>
            <w:noWrap/>
            <w:vAlign w:val="center"/>
          </w:tcPr>
          <w:p w14:paraId="4750D449" w14:textId="77777777" w:rsidR="00EA51C4" w:rsidRPr="00444E4B" w:rsidRDefault="00EA51C4" w:rsidP="00BA499D">
            <w:pPr>
              <w:spacing w:line="276" w:lineRule="auto"/>
              <w:jc w:val="center"/>
              <w:rPr>
                <w:b/>
                <w:bCs/>
                <w:sz w:val="20"/>
                <w:szCs w:val="20"/>
              </w:rPr>
            </w:pPr>
            <w:r w:rsidRPr="00444E4B">
              <w:rPr>
                <w:b/>
                <w:bCs/>
                <w:sz w:val="20"/>
                <w:szCs w:val="20"/>
              </w:rPr>
              <w:t>379</w:t>
            </w:r>
          </w:p>
        </w:tc>
        <w:tc>
          <w:tcPr>
            <w:tcW w:w="1504" w:type="dxa"/>
            <w:shd w:val="clear" w:color="auto" w:fill="BFBFBF"/>
            <w:noWrap/>
            <w:vAlign w:val="center"/>
          </w:tcPr>
          <w:p w14:paraId="02ECBCFB" w14:textId="77777777" w:rsidR="00EA51C4" w:rsidRPr="0040415C" w:rsidRDefault="00EA51C4" w:rsidP="00BA499D">
            <w:pPr>
              <w:spacing w:line="276" w:lineRule="auto"/>
              <w:jc w:val="center"/>
              <w:rPr>
                <w:b/>
                <w:bCs/>
                <w:sz w:val="20"/>
                <w:szCs w:val="20"/>
              </w:rPr>
            </w:pPr>
            <w:r w:rsidRPr="0040415C">
              <w:rPr>
                <w:b/>
                <w:bCs/>
                <w:sz w:val="20"/>
                <w:szCs w:val="20"/>
              </w:rPr>
              <w:t>386</w:t>
            </w:r>
          </w:p>
        </w:tc>
        <w:tc>
          <w:tcPr>
            <w:tcW w:w="1275" w:type="dxa"/>
            <w:tcBorders>
              <w:top w:val="single" w:sz="4" w:space="0" w:color="auto"/>
              <w:left w:val="single" w:sz="4" w:space="0" w:color="auto"/>
              <w:bottom w:val="single" w:sz="4" w:space="0" w:color="auto"/>
              <w:right w:val="single" w:sz="4" w:space="0" w:color="auto"/>
            </w:tcBorders>
            <w:shd w:val="clear" w:color="auto" w:fill="BFBFBF"/>
            <w:noWrap/>
            <w:vAlign w:val="center"/>
          </w:tcPr>
          <w:p w14:paraId="4F1A8F19" w14:textId="77777777" w:rsidR="00EA51C4" w:rsidRPr="0040415C" w:rsidRDefault="00EA51C4" w:rsidP="00BA499D">
            <w:pPr>
              <w:spacing w:line="276" w:lineRule="auto"/>
              <w:jc w:val="center"/>
              <w:rPr>
                <w:b/>
                <w:sz w:val="20"/>
                <w:szCs w:val="20"/>
              </w:rPr>
            </w:pPr>
            <w:r w:rsidRPr="007437E7">
              <w:rPr>
                <w:b/>
                <w:sz w:val="20"/>
                <w:szCs w:val="20"/>
              </w:rPr>
              <w:t>102%</w:t>
            </w:r>
          </w:p>
        </w:tc>
      </w:tr>
    </w:tbl>
    <w:p w14:paraId="4EB08B5C" w14:textId="77777777" w:rsidR="00EA51C4" w:rsidRPr="003E695F" w:rsidRDefault="00EA51C4" w:rsidP="00EA51C4">
      <w:pPr>
        <w:spacing w:line="276" w:lineRule="auto"/>
        <w:rPr>
          <w:rFonts w:ascii="Calibri" w:eastAsia="Times New Roman" w:hAnsi="Calibri" w:cs="Times New Roman"/>
          <w:bCs/>
          <w:color w:val="000000"/>
          <w:lang w:eastAsia="hr-HR"/>
        </w:rPr>
      </w:pPr>
    </w:p>
    <w:p w14:paraId="65DF167F" w14:textId="77777777" w:rsidR="00EA51C4" w:rsidRDefault="00EA51C4" w:rsidP="00EA51C4">
      <w:pPr>
        <w:spacing w:line="276" w:lineRule="auto"/>
      </w:pPr>
    </w:p>
    <w:p w14:paraId="4094C75C" w14:textId="4AAE994C" w:rsidR="008F7E91" w:rsidRDefault="008F7E91">
      <w:r>
        <w:br w:type="page"/>
      </w:r>
    </w:p>
    <w:p w14:paraId="7D8C1DD0" w14:textId="77777777" w:rsidR="008F7E91" w:rsidRDefault="008F7E91" w:rsidP="004C0219">
      <w:pPr>
        <w:pStyle w:val="Heading2"/>
        <w:spacing w:before="0" w:after="0" w:line="276" w:lineRule="auto"/>
        <w:jc w:val="both"/>
      </w:pPr>
      <w:bookmarkStart w:id="283" w:name="_Toc165035529"/>
      <w:bookmarkStart w:id="284" w:name="_Toc514930200"/>
      <w:bookmarkStart w:id="285" w:name="_Toc530140592"/>
      <w:bookmarkStart w:id="286" w:name="_Toc26534704"/>
      <w:bookmarkStart w:id="287" w:name="_Toc466277952"/>
      <w:bookmarkStart w:id="288" w:name="_Toc514930205"/>
      <w:bookmarkStart w:id="289" w:name="_Toc530140597"/>
      <w:r>
        <w:lastRenderedPageBreak/>
        <w:t>2.10</w:t>
      </w:r>
      <w:r w:rsidRPr="00665C84">
        <w:t>. Informiranje, edukacije i pružanje stručnih savjeta iz područja djelatnosti</w:t>
      </w:r>
      <w:bookmarkEnd w:id="283"/>
      <w:r w:rsidRPr="00665C84">
        <w:t xml:space="preserve"> </w:t>
      </w:r>
    </w:p>
    <w:p w14:paraId="0360A496" w14:textId="77777777" w:rsidR="008F7E91" w:rsidRPr="001617F5" w:rsidRDefault="008F7E91" w:rsidP="008F7E91">
      <w:pPr>
        <w:spacing w:line="276" w:lineRule="auto"/>
        <w:jc w:val="both"/>
      </w:pPr>
    </w:p>
    <w:p w14:paraId="2D96B0E3" w14:textId="77777777" w:rsidR="008F7E91" w:rsidRDefault="008F7E91" w:rsidP="00702551">
      <w:pPr>
        <w:spacing w:line="276" w:lineRule="auto"/>
        <w:jc w:val="both"/>
        <w:rPr>
          <w:rFonts w:cstheme="minorHAnsi"/>
        </w:rPr>
      </w:pPr>
      <w:r>
        <w:rPr>
          <w:rFonts w:cstheme="minorHAnsi"/>
        </w:rPr>
        <w:t xml:space="preserve">HALMED je u izvještajnom razdoblju nastavio kontinuirano informirati pacijente, zdravstvene radnike, predstavnike industrije i ostale interesne skupine o novostima na području sigurnosti primjene lijekova i medicinskih proizvoda i drugih djelatnosti u nadležnosti HALMED-a, u skladu sa Zakonom o lijekovima, Zakonom o medicinskim proizvodima i Zakonom o pravu na pristup informacijama (Narodne novine, br. 25/13., 85/15. i </w:t>
      </w:r>
      <w:r w:rsidRPr="007B60DF">
        <w:rPr>
          <w:rFonts w:cstheme="minorHAnsi"/>
        </w:rPr>
        <w:t>69/22</w:t>
      </w:r>
      <w:r>
        <w:rPr>
          <w:rFonts w:cstheme="minorHAnsi"/>
        </w:rPr>
        <w:t>.).</w:t>
      </w:r>
    </w:p>
    <w:p w14:paraId="090CB641" w14:textId="77777777" w:rsidR="008F7E91" w:rsidRDefault="008F7E91" w:rsidP="00702551">
      <w:pPr>
        <w:spacing w:line="276" w:lineRule="auto"/>
        <w:jc w:val="both"/>
        <w:rPr>
          <w:rFonts w:cstheme="minorHAnsi"/>
        </w:rPr>
      </w:pPr>
      <w:r>
        <w:rPr>
          <w:rFonts w:cstheme="minorHAnsi"/>
        </w:rPr>
        <w:t xml:space="preserve">HALMED objavljuje novosti iz svog djelokruga rada putem internetske stranice, u stručnim časopisima namijenjenima zdravstvenim radnicima te putem drugih dostupnih komunikacijskih kanala. Redovito odgovara na velik broj upita koji se zaprimaju od strane pacijenata, zdravstvenih radnika i ostalih interesnih skupina te u zakonskom roku odgovara na zaprimljene zahtjeve za pristup informacijama. Dodatno, putem sredstava javnog priopćavanja osigurava se da šira javnost bude što bolje upoznata s informacijama od njihovog interesa iz djelokruga rada HALMED-a. </w:t>
      </w:r>
    </w:p>
    <w:p w14:paraId="47B8A185" w14:textId="77777777" w:rsidR="008F7E91" w:rsidRPr="00F570D6" w:rsidRDefault="008F7E91" w:rsidP="004C0219">
      <w:pPr>
        <w:pStyle w:val="Heading3"/>
        <w:jc w:val="both"/>
      </w:pPr>
      <w:bookmarkStart w:id="290" w:name="_Toc165035530"/>
      <w:r>
        <w:t>2.10</w:t>
      </w:r>
      <w:r w:rsidRPr="00F570D6">
        <w:t>.1. Poslovi informiranja javnosti</w:t>
      </w:r>
      <w:bookmarkEnd w:id="290"/>
    </w:p>
    <w:p w14:paraId="11195737" w14:textId="77777777" w:rsidR="008F7E91" w:rsidRDefault="008F7E91" w:rsidP="00702551">
      <w:pPr>
        <w:spacing w:after="240"/>
        <w:jc w:val="both"/>
        <w:rPr>
          <w:b/>
        </w:rPr>
      </w:pPr>
      <w:r w:rsidRPr="00E209E9">
        <w:rPr>
          <w:b/>
        </w:rPr>
        <w:t xml:space="preserve">A) INTERNETSKA STRANICA </w:t>
      </w:r>
    </w:p>
    <w:p w14:paraId="1433A20A" w14:textId="77777777" w:rsidR="008F7E91" w:rsidRDefault="008F7E91" w:rsidP="00702551">
      <w:pPr>
        <w:spacing w:after="240" w:line="276" w:lineRule="auto"/>
        <w:jc w:val="both"/>
        <w:rPr>
          <w:rFonts w:cstheme="minorHAnsi"/>
        </w:rPr>
      </w:pPr>
      <w:r>
        <w:rPr>
          <w:rFonts w:cstheme="minorHAnsi"/>
        </w:rPr>
        <w:t xml:space="preserve">Internetska stranica HALMED-a je od strane interesnih skupina HALMED-a prepoznata kao središnje odredište za pronalaženje pouzdanih i cjelovitih informacija o lijekovima i medicinskim proizvodima u Republici Hrvatskoj. </w:t>
      </w:r>
    </w:p>
    <w:p w14:paraId="1BDC10EF" w14:textId="77777777" w:rsidR="008F7E91" w:rsidRDefault="008F7E91" w:rsidP="00702551">
      <w:pPr>
        <w:spacing w:after="240" w:line="276" w:lineRule="auto"/>
        <w:jc w:val="both"/>
        <w:rPr>
          <w:rFonts w:cstheme="minorHAnsi"/>
        </w:rPr>
      </w:pPr>
      <w:r>
        <w:rPr>
          <w:rFonts w:cstheme="minorHAnsi"/>
        </w:rPr>
        <w:t>Intenzivno ažuriranje</w:t>
      </w:r>
      <w:r w:rsidRPr="003F49EB">
        <w:rPr>
          <w:rFonts w:cstheme="minorHAnsi"/>
        </w:rPr>
        <w:t xml:space="preserve"> </w:t>
      </w:r>
      <w:r>
        <w:rPr>
          <w:rFonts w:cstheme="minorHAnsi"/>
        </w:rPr>
        <w:t>baze lijekova, baze medicinskih proizvoda i baze</w:t>
      </w:r>
      <w:r w:rsidRPr="003F49EB">
        <w:rPr>
          <w:rFonts w:cstheme="minorHAnsi"/>
        </w:rPr>
        <w:t xml:space="preserve"> </w:t>
      </w:r>
      <w:r>
        <w:rPr>
          <w:rFonts w:cstheme="minorHAnsi"/>
        </w:rPr>
        <w:t xml:space="preserve">dozvola za proizvodnju i </w:t>
      </w:r>
      <w:r w:rsidRPr="003F49EB">
        <w:rPr>
          <w:rFonts w:cstheme="minorHAnsi"/>
        </w:rPr>
        <w:t>promet</w:t>
      </w:r>
      <w:r>
        <w:rPr>
          <w:rFonts w:cstheme="minorHAnsi"/>
        </w:rPr>
        <w:t xml:space="preserve"> </w:t>
      </w:r>
      <w:r w:rsidRPr="003F49EB">
        <w:rPr>
          <w:rFonts w:cstheme="minorHAnsi"/>
        </w:rPr>
        <w:t>koje su korisnicima dostupne putem internetsk</w:t>
      </w:r>
      <w:r>
        <w:rPr>
          <w:rFonts w:cstheme="minorHAnsi"/>
        </w:rPr>
        <w:t>e</w:t>
      </w:r>
      <w:r w:rsidRPr="003F49EB">
        <w:rPr>
          <w:rFonts w:cstheme="minorHAnsi"/>
        </w:rPr>
        <w:t xml:space="preserve"> stranic</w:t>
      </w:r>
      <w:r>
        <w:rPr>
          <w:rFonts w:cstheme="minorHAnsi"/>
        </w:rPr>
        <w:t>e</w:t>
      </w:r>
      <w:r w:rsidRPr="003F49EB">
        <w:rPr>
          <w:rFonts w:cstheme="minorHAnsi"/>
        </w:rPr>
        <w:t xml:space="preserve"> HALMED-a</w:t>
      </w:r>
      <w:r>
        <w:rPr>
          <w:rFonts w:cstheme="minorHAnsi"/>
        </w:rPr>
        <w:t xml:space="preserve"> nastavljeno je i </w:t>
      </w:r>
      <w:r w:rsidRPr="003F49EB">
        <w:rPr>
          <w:rFonts w:cstheme="minorHAnsi"/>
        </w:rPr>
        <w:t>u 20</w:t>
      </w:r>
      <w:r>
        <w:rPr>
          <w:rFonts w:cstheme="minorHAnsi"/>
        </w:rPr>
        <w:t>23</w:t>
      </w:r>
      <w:r w:rsidRPr="003F49EB">
        <w:rPr>
          <w:rFonts w:cstheme="minorHAnsi"/>
        </w:rPr>
        <w:t xml:space="preserve">. godini. </w:t>
      </w:r>
      <w:r>
        <w:rPr>
          <w:rFonts w:cstheme="minorHAnsi"/>
        </w:rPr>
        <w:t xml:space="preserve">Također, redovito se objavljuju i ažuriraju </w:t>
      </w:r>
      <w:r>
        <w:t>informacije o dostupnosti lijekova u prometu</w:t>
      </w:r>
      <w:r>
        <w:rPr>
          <w:rFonts w:cstheme="minorHAnsi"/>
        </w:rPr>
        <w:t>, kao i dnevni redovi, zapisnici i rasporedi održavanja sjednica HALMED-ovih stručnih povjerenstava, životopisi i izjave o povezanosti članova povjerenstava, ishodi natječaja koje HALMED provodi i sl. Jednako tako, i s</w:t>
      </w:r>
      <w:r w:rsidRPr="003F49EB">
        <w:rPr>
          <w:rFonts w:cstheme="minorHAnsi"/>
        </w:rPr>
        <w:t xml:space="preserve">vi drugi dijelovi internetskih stranica </w:t>
      </w:r>
      <w:r>
        <w:rPr>
          <w:rFonts w:cstheme="minorHAnsi"/>
        </w:rPr>
        <w:t xml:space="preserve">mijenjaju se i nadopunjavaju </w:t>
      </w:r>
      <w:r w:rsidRPr="003F49EB">
        <w:rPr>
          <w:rFonts w:cstheme="minorHAnsi"/>
        </w:rPr>
        <w:t>sukladno promjenama u poslovanju HALMED-a i zakonskim i podzakonskim propisima</w:t>
      </w:r>
      <w:r w:rsidRPr="00574DF1">
        <w:rPr>
          <w:rFonts w:cstheme="minorHAnsi"/>
        </w:rPr>
        <w:t xml:space="preserve">. </w:t>
      </w:r>
      <w:r>
        <w:rPr>
          <w:rFonts w:cstheme="minorHAnsi"/>
        </w:rPr>
        <w:t>U promatranom razdoblju nastavljeno je objavljivanje informacija i obavijesti iz djelokruga rada HALMED-a vezanih uz epidemijsko i pandemijsko širenje bolesti COVID-19 u rubrici „COVID-19“. HALMED je također objavio inicijalni Popis međusobno zamjenjivih lijekova te nastavio s objavom .</w:t>
      </w:r>
    </w:p>
    <w:p w14:paraId="6482563F" w14:textId="77777777" w:rsidR="008F7E91" w:rsidRDefault="008F7E91" w:rsidP="00702551">
      <w:pPr>
        <w:spacing w:line="276" w:lineRule="auto"/>
        <w:jc w:val="both"/>
        <w:rPr>
          <w:rFonts w:cstheme="minorHAnsi"/>
          <w:b/>
        </w:rPr>
      </w:pPr>
      <w:r>
        <w:rPr>
          <w:rFonts w:cstheme="minorHAnsi"/>
        </w:rPr>
        <w:t>Novosti iz područja lijekova i medicinskih proizvoda redovito se objavljuju u rubrikama</w:t>
      </w:r>
      <w:r w:rsidRPr="00691729">
        <w:rPr>
          <w:rFonts w:cstheme="minorHAnsi"/>
        </w:rPr>
        <w:t xml:space="preserve"> „Novo</w:t>
      </w:r>
      <w:r>
        <w:rPr>
          <w:rFonts w:cstheme="minorHAnsi"/>
        </w:rPr>
        <w:t xml:space="preserve">sti“ i „Predavanja i radionice“, u kojima su dostupne i </w:t>
      </w:r>
      <w:r w:rsidRPr="00691729">
        <w:rPr>
          <w:rFonts w:cstheme="minorHAnsi"/>
        </w:rPr>
        <w:t xml:space="preserve">informacije o međunarodnim posjetima i drugim aktivnostima, </w:t>
      </w:r>
      <w:r>
        <w:rPr>
          <w:rFonts w:cstheme="minorHAnsi"/>
        </w:rPr>
        <w:t>poput</w:t>
      </w:r>
      <w:r w:rsidRPr="00691729">
        <w:rPr>
          <w:rFonts w:cstheme="minorHAnsi"/>
        </w:rPr>
        <w:t xml:space="preserve"> predavanja i stručni</w:t>
      </w:r>
      <w:r>
        <w:rPr>
          <w:rFonts w:cstheme="minorHAnsi"/>
        </w:rPr>
        <w:t>h skupova</w:t>
      </w:r>
      <w:r w:rsidRPr="00691729">
        <w:rPr>
          <w:rFonts w:cstheme="minorHAnsi"/>
        </w:rPr>
        <w:t xml:space="preserve"> u koje s</w:t>
      </w:r>
      <w:r>
        <w:rPr>
          <w:rFonts w:cstheme="minorHAnsi"/>
        </w:rPr>
        <w:t>u uključeni djelatnici HALMED-a</w:t>
      </w:r>
      <w:r w:rsidRPr="00691729">
        <w:rPr>
          <w:rFonts w:cstheme="minorHAnsi"/>
        </w:rPr>
        <w:t>. U</w:t>
      </w:r>
      <w:r>
        <w:rPr>
          <w:rFonts w:cstheme="minorHAnsi"/>
        </w:rPr>
        <w:t xml:space="preserve"> izvještajnom razdoblju</w:t>
      </w:r>
      <w:r w:rsidRPr="00691729">
        <w:rPr>
          <w:rFonts w:cstheme="minorHAnsi"/>
        </w:rPr>
        <w:t xml:space="preserve"> </w:t>
      </w:r>
      <w:r>
        <w:rPr>
          <w:rFonts w:cstheme="minorHAnsi"/>
        </w:rPr>
        <w:t xml:space="preserve">u rubrici „Novosti“ </w:t>
      </w:r>
      <w:r w:rsidRPr="00691729">
        <w:rPr>
          <w:rFonts w:cstheme="minorHAnsi"/>
        </w:rPr>
        <w:t>objavljen</w:t>
      </w:r>
      <w:r>
        <w:rPr>
          <w:rFonts w:cstheme="minorHAnsi"/>
        </w:rPr>
        <w:t xml:space="preserve">o je 197 </w:t>
      </w:r>
      <w:r w:rsidRPr="00691729">
        <w:rPr>
          <w:rFonts w:cstheme="minorHAnsi"/>
        </w:rPr>
        <w:t>obavijest</w:t>
      </w:r>
      <w:r>
        <w:rPr>
          <w:rFonts w:cstheme="minorHAnsi"/>
        </w:rPr>
        <w:t xml:space="preserve">i, pri čemu </w:t>
      </w:r>
      <w:r w:rsidRPr="00F8341A">
        <w:rPr>
          <w:rFonts w:cstheme="minorHAnsi"/>
        </w:rPr>
        <w:t xml:space="preserve">se </w:t>
      </w:r>
      <w:r>
        <w:rPr>
          <w:rFonts w:cstheme="minorHAnsi"/>
        </w:rPr>
        <w:t xml:space="preserve">30 obavijesti </w:t>
      </w:r>
      <w:r w:rsidRPr="00F8341A">
        <w:rPr>
          <w:rFonts w:cstheme="minorHAnsi"/>
        </w:rPr>
        <w:t>odnosil</w:t>
      </w:r>
      <w:r>
        <w:rPr>
          <w:rFonts w:cstheme="minorHAnsi"/>
        </w:rPr>
        <w:t>o</w:t>
      </w:r>
      <w:r w:rsidRPr="00F8341A">
        <w:rPr>
          <w:rFonts w:cstheme="minorHAnsi"/>
        </w:rPr>
        <w:t xml:space="preserve"> na </w:t>
      </w:r>
      <w:r>
        <w:rPr>
          <w:rFonts w:cstheme="minorHAnsi"/>
        </w:rPr>
        <w:t>nove sigurnosne informacije o lijekovima</w:t>
      </w:r>
      <w:r w:rsidRPr="00F8341A">
        <w:rPr>
          <w:rFonts w:cstheme="minorHAnsi"/>
        </w:rPr>
        <w:t>,</w:t>
      </w:r>
      <w:r>
        <w:rPr>
          <w:rFonts w:cstheme="minorHAnsi"/>
        </w:rPr>
        <w:t xml:space="preserve"> 17 obavijesti odnosilo se na izdvojene pojedinačne obavijesti i mjesečne preglede zaprimljenih sigurnosnih obavijesti o medicinskim proizvodima, 23 </w:t>
      </w:r>
      <w:r w:rsidRPr="00F8341A">
        <w:rPr>
          <w:rFonts w:cstheme="minorHAnsi"/>
        </w:rPr>
        <w:t>obavijesti odnosil</w:t>
      </w:r>
      <w:r>
        <w:rPr>
          <w:rFonts w:cstheme="minorHAnsi"/>
        </w:rPr>
        <w:t xml:space="preserve">o se </w:t>
      </w:r>
      <w:r w:rsidRPr="00F8341A">
        <w:rPr>
          <w:rFonts w:cstheme="minorHAnsi"/>
        </w:rPr>
        <w:t xml:space="preserve">na povlačenje </w:t>
      </w:r>
      <w:r>
        <w:rPr>
          <w:rFonts w:cstheme="minorHAnsi"/>
        </w:rPr>
        <w:t xml:space="preserve">ili obustavu </w:t>
      </w:r>
      <w:r w:rsidRPr="00F8341A">
        <w:rPr>
          <w:rFonts w:cstheme="minorHAnsi"/>
        </w:rPr>
        <w:t>određenih serija lijeka</w:t>
      </w:r>
      <w:r>
        <w:rPr>
          <w:rFonts w:cstheme="minorHAnsi"/>
        </w:rPr>
        <w:t xml:space="preserve"> ili medicinskog proizvoda, a sa 127</w:t>
      </w:r>
      <w:r w:rsidRPr="002144DF">
        <w:rPr>
          <w:rFonts w:cstheme="minorHAnsi"/>
          <w:color w:val="FF0000"/>
        </w:rPr>
        <w:t xml:space="preserve"> </w:t>
      </w:r>
      <w:r>
        <w:rPr>
          <w:rFonts w:cstheme="minorHAnsi"/>
        </w:rPr>
        <w:t>obavijesti zastupljene su druge novosti iz djelokruga rada HALMED-a</w:t>
      </w:r>
    </w:p>
    <w:p w14:paraId="77339C47" w14:textId="77777777" w:rsidR="008F7E91" w:rsidRDefault="008F7E91" w:rsidP="00702551">
      <w:pPr>
        <w:jc w:val="both"/>
        <w:rPr>
          <w:rFonts w:cstheme="minorHAnsi"/>
          <w:b/>
        </w:rPr>
      </w:pPr>
    </w:p>
    <w:p w14:paraId="11FF577E" w14:textId="77777777" w:rsidR="008F7E91" w:rsidRDefault="008F7E91" w:rsidP="00702551">
      <w:pPr>
        <w:jc w:val="both"/>
        <w:rPr>
          <w:rFonts w:cstheme="minorHAnsi"/>
          <w:b/>
        </w:rPr>
      </w:pPr>
    </w:p>
    <w:p w14:paraId="0BCC2E74" w14:textId="77777777" w:rsidR="008F7E91" w:rsidRDefault="008F7E91" w:rsidP="008F7E91">
      <w:pPr>
        <w:ind w:left="708"/>
        <w:jc w:val="both"/>
        <w:rPr>
          <w:rFonts w:cstheme="minorHAnsi"/>
          <w:b/>
        </w:rPr>
      </w:pPr>
    </w:p>
    <w:p w14:paraId="0C74A7FD" w14:textId="53836FE1" w:rsidR="008F7E91" w:rsidRDefault="008F7E91" w:rsidP="00702551">
      <w:pPr>
        <w:jc w:val="both"/>
        <w:rPr>
          <w:rFonts w:cstheme="minorHAnsi"/>
          <w:b/>
        </w:rPr>
      </w:pPr>
      <w:r w:rsidRPr="00E209E9">
        <w:rPr>
          <w:rFonts w:cstheme="minorHAnsi"/>
          <w:b/>
        </w:rPr>
        <w:t>B) PISMA ZDRAVSTVENIM RADNICIMA</w:t>
      </w:r>
    </w:p>
    <w:p w14:paraId="7467E2DA" w14:textId="77777777" w:rsidR="004C0219" w:rsidRDefault="004C0219" w:rsidP="00702551">
      <w:pPr>
        <w:jc w:val="both"/>
        <w:rPr>
          <w:rFonts w:cstheme="minorHAnsi"/>
        </w:rPr>
      </w:pPr>
    </w:p>
    <w:p w14:paraId="725D4217" w14:textId="77777777" w:rsidR="008F7E91" w:rsidRDefault="008F7E91" w:rsidP="00702551">
      <w:pPr>
        <w:spacing w:after="240" w:line="276" w:lineRule="auto"/>
        <w:jc w:val="both"/>
        <w:rPr>
          <w:rFonts w:cstheme="minorHAnsi"/>
        </w:rPr>
      </w:pPr>
      <w:r>
        <w:rPr>
          <w:rFonts w:cstheme="minorHAnsi"/>
        </w:rPr>
        <w:t>P</w:t>
      </w:r>
      <w:r w:rsidRPr="003F49EB">
        <w:rPr>
          <w:rFonts w:cstheme="minorHAnsi"/>
        </w:rPr>
        <w:t>isma zdravstvenim radni</w:t>
      </w:r>
      <w:r>
        <w:rPr>
          <w:rFonts w:cstheme="minorHAnsi"/>
        </w:rPr>
        <w:t>cima u kojima ih se izvještava</w:t>
      </w:r>
      <w:r w:rsidRPr="003F49EB">
        <w:rPr>
          <w:rFonts w:cstheme="minorHAnsi"/>
        </w:rPr>
        <w:t xml:space="preserve"> o novim podacima o sigurnosti primjene lijekova</w:t>
      </w:r>
      <w:r>
        <w:rPr>
          <w:rFonts w:cstheme="minorHAnsi"/>
        </w:rPr>
        <w:t xml:space="preserve"> kontinuirano su se nastavila upućivati i u 2023. godini</w:t>
      </w:r>
      <w:r w:rsidRPr="003F49EB">
        <w:rPr>
          <w:rFonts w:cstheme="minorHAnsi"/>
        </w:rPr>
        <w:t xml:space="preserve">. </w:t>
      </w:r>
      <w:r>
        <w:rPr>
          <w:rFonts w:cstheme="minorHAnsi"/>
        </w:rPr>
        <w:t xml:space="preserve">U izvještajnom razdoblju upućeno je 17 </w:t>
      </w:r>
      <w:r w:rsidRPr="003F49EB">
        <w:rPr>
          <w:rFonts w:cstheme="minorHAnsi"/>
        </w:rPr>
        <w:t>pis</w:t>
      </w:r>
      <w:r>
        <w:rPr>
          <w:rFonts w:cstheme="minorHAnsi"/>
        </w:rPr>
        <w:t>ama, koja su bila vezana uz: izmjenu</w:t>
      </w:r>
      <w:r w:rsidRPr="000A1F63">
        <w:rPr>
          <w:rFonts w:cstheme="minorHAnsi"/>
        </w:rPr>
        <w:t xml:space="preserve"> formulacije lijeka Letrox tablete</w:t>
      </w:r>
      <w:r>
        <w:rPr>
          <w:rFonts w:cstheme="minorHAnsi"/>
        </w:rPr>
        <w:t xml:space="preserve"> (levotiroksinnatrij) i praćenje</w:t>
      </w:r>
      <w:r w:rsidRPr="000A1F63">
        <w:rPr>
          <w:rFonts w:cstheme="minorHAnsi"/>
        </w:rPr>
        <w:t xml:space="preserve"> bolesnika koji prelaze na tablete s novom formulacijom</w:t>
      </w:r>
      <w:r>
        <w:rPr>
          <w:rFonts w:cstheme="minorHAnsi"/>
        </w:rPr>
        <w:t>; potencijalni rizik</w:t>
      </w:r>
      <w:r w:rsidRPr="000A1F63">
        <w:rPr>
          <w:rFonts w:cstheme="minorHAnsi"/>
        </w:rPr>
        <w:t xml:space="preserve"> od aritmije i reproduktivne toksičnosti zbog izloženosti pomoćnoj tvari klorobutanol u lijeku Min</w:t>
      </w:r>
      <w:r>
        <w:rPr>
          <w:rFonts w:cstheme="minorHAnsi"/>
        </w:rPr>
        <w:t>u</w:t>
      </w:r>
      <w:r w:rsidRPr="000A1F63">
        <w:rPr>
          <w:rFonts w:cstheme="minorHAnsi"/>
        </w:rPr>
        <w:t>rin sprej za nos (dezmopresin)</w:t>
      </w:r>
      <w:r>
        <w:rPr>
          <w:rFonts w:cstheme="minorHAnsi"/>
        </w:rPr>
        <w:t>; fatalne ishode</w:t>
      </w:r>
      <w:r w:rsidRPr="000A1F63">
        <w:rPr>
          <w:rFonts w:cstheme="minorHAnsi"/>
        </w:rPr>
        <w:t xml:space="preserve"> uslijed akutnog zatajenja jetre prilikom primjene lijeka Zolgensma (onasem</w:t>
      </w:r>
      <w:r>
        <w:rPr>
          <w:rFonts w:cstheme="minorHAnsi"/>
        </w:rPr>
        <w:t xml:space="preserve">nogen abeparvovek) prijavljene izvan RH; ažuriranje pisma o </w:t>
      </w:r>
      <w:r w:rsidRPr="000823D5">
        <w:rPr>
          <w:rFonts w:cstheme="minorHAnsi"/>
        </w:rPr>
        <w:t>ograničenju indikacije za lijek Caprelsa (vandetanib)</w:t>
      </w:r>
      <w:r>
        <w:rPr>
          <w:rFonts w:cstheme="minorHAnsi"/>
        </w:rPr>
        <w:t>; ažurirane</w:t>
      </w:r>
      <w:r w:rsidRPr="000823D5">
        <w:rPr>
          <w:rFonts w:cstheme="minorHAnsi"/>
        </w:rPr>
        <w:t xml:space="preserve"> prepo</w:t>
      </w:r>
      <w:r>
        <w:rPr>
          <w:rFonts w:cstheme="minorHAnsi"/>
        </w:rPr>
        <w:t>ruke</w:t>
      </w:r>
      <w:r w:rsidRPr="000823D5">
        <w:rPr>
          <w:rFonts w:cstheme="minorHAnsi"/>
        </w:rPr>
        <w:t xml:space="preserve"> za minimizaciju rizika povezanih s primjenom inhibitora Janus kinaze</w:t>
      </w:r>
      <w:r>
        <w:rPr>
          <w:rFonts w:cstheme="minorHAnsi"/>
        </w:rPr>
        <w:t>;</w:t>
      </w:r>
      <w:r w:rsidRPr="00AA0671">
        <w:t xml:space="preserve"> </w:t>
      </w:r>
      <w:r>
        <w:rPr>
          <w:rFonts w:cstheme="minorHAnsi"/>
        </w:rPr>
        <w:t>povećani rizik od tuberkuloze i mjere</w:t>
      </w:r>
      <w:r w:rsidRPr="00AA0671">
        <w:rPr>
          <w:rFonts w:cstheme="minorHAnsi"/>
        </w:rPr>
        <w:t xml:space="preserve"> za minimizaciju predmetnog rizika za lijek Gavreto (pralsetinib)</w:t>
      </w:r>
      <w:r>
        <w:rPr>
          <w:rFonts w:cstheme="minorHAnsi"/>
        </w:rPr>
        <w:t>; podsjetnik</w:t>
      </w:r>
      <w:r w:rsidRPr="00AA0671">
        <w:rPr>
          <w:rFonts w:cstheme="minorHAnsi"/>
        </w:rPr>
        <w:t xml:space="preserve"> na ograničenu primjenu fluorokinolonskih antibiotika zbog dugotrajnih, onesposobljavajućih i potencijalno ireverzibilnih nuspojava</w:t>
      </w:r>
      <w:r>
        <w:rPr>
          <w:rFonts w:cstheme="minorHAnsi"/>
        </w:rPr>
        <w:t>; uvođenje</w:t>
      </w:r>
      <w:r w:rsidRPr="00AA0671">
        <w:rPr>
          <w:rFonts w:cstheme="minorHAnsi"/>
        </w:rPr>
        <w:t xml:space="preserve"> kartice s upozorenjima za bolesnika za lijek BCG-medac prašak i otapalo za intravezikalnu suspenziju (Bacillus Calmette-Guérin bakterija, živa, atenuirana)</w:t>
      </w:r>
      <w:r>
        <w:rPr>
          <w:rFonts w:cstheme="minorHAnsi"/>
        </w:rPr>
        <w:t>; nekorištenje</w:t>
      </w:r>
      <w:r w:rsidRPr="00AA0671">
        <w:rPr>
          <w:rFonts w:cstheme="minorHAnsi"/>
        </w:rPr>
        <w:t xml:space="preserve"> ampula vode za injekcije pakiranih uz bočice lijeka Simulect 20 mg (basiliksimab)</w:t>
      </w:r>
      <w:r>
        <w:rPr>
          <w:rFonts w:cstheme="minorHAnsi"/>
        </w:rPr>
        <w:t xml:space="preserve">; </w:t>
      </w:r>
      <w:r w:rsidRPr="00AA0671">
        <w:rPr>
          <w:rFonts w:cstheme="minorHAnsi"/>
        </w:rPr>
        <w:t>ukidanj</w:t>
      </w:r>
      <w:r>
        <w:rPr>
          <w:rFonts w:cstheme="minorHAnsi"/>
        </w:rPr>
        <w:t>e</w:t>
      </w:r>
      <w:r w:rsidRPr="00AA0671">
        <w:rPr>
          <w:rFonts w:cstheme="minorHAnsi"/>
        </w:rPr>
        <w:t xml:space="preserve"> odobrenja za lijekove k</w:t>
      </w:r>
      <w:r>
        <w:rPr>
          <w:rFonts w:cstheme="minorHAnsi"/>
        </w:rPr>
        <w:t>oji sadrže folkodin i povlačenje</w:t>
      </w:r>
      <w:r w:rsidRPr="00AA0671">
        <w:rPr>
          <w:rFonts w:cstheme="minorHAnsi"/>
        </w:rPr>
        <w:t xml:space="preserve"> s tržišta EU-a</w:t>
      </w:r>
      <w:r>
        <w:rPr>
          <w:rFonts w:cstheme="minorHAnsi"/>
        </w:rPr>
        <w:t>;</w:t>
      </w:r>
      <w:r w:rsidRPr="00AC61E7">
        <w:t xml:space="preserve"> </w:t>
      </w:r>
      <w:r>
        <w:rPr>
          <w:rFonts w:cstheme="minorHAnsi"/>
        </w:rPr>
        <w:t>važne izmjene</w:t>
      </w:r>
      <w:r w:rsidRPr="00AC61E7">
        <w:rPr>
          <w:rFonts w:cstheme="minorHAnsi"/>
        </w:rPr>
        <w:t xml:space="preserve"> uputa za ubrizgavanje brizgalicom SmartJect napunjenom lijekom Simponi (golimumab)</w:t>
      </w:r>
      <w:r>
        <w:rPr>
          <w:rFonts w:cstheme="minorHAnsi"/>
        </w:rPr>
        <w:t>; zamjenu</w:t>
      </w:r>
      <w:r w:rsidRPr="00AC61E7">
        <w:rPr>
          <w:rFonts w:cstheme="minorHAnsi"/>
        </w:rPr>
        <w:t xml:space="preserve"> uređaja za rekonstituciju BAXJECT II / BAXJECT II Hi-Flow priloženog uz lijek Advate (ljudski koagulacijski faktor VIII (rDNA), oktokog alfa)</w:t>
      </w:r>
      <w:r>
        <w:rPr>
          <w:rFonts w:cstheme="minorHAnsi"/>
        </w:rPr>
        <w:t>; mogući nedostatak</w:t>
      </w:r>
      <w:r w:rsidRPr="00AC61E7">
        <w:rPr>
          <w:rFonts w:cstheme="minorHAnsi"/>
        </w:rPr>
        <w:t xml:space="preserve"> upute o lijeku u kutijama lijeka Phesgo (pertuzumab/trastuzumab</w:t>
      </w:r>
      <w:r>
        <w:rPr>
          <w:rFonts w:cstheme="minorHAnsi"/>
        </w:rPr>
        <w:t>); nova ograničenj</w:t>
      </w:r>
      <w:r w:rsidRPr="00A12590">
        <w:rPr>
          <w:rFonts w:cstheme="minorHAnsi"/>
        </w:rPr>
        <w:t>a za sprječavanje izlaganja tijekom trudnoće lijekovima koji sadrže topiramat</w:t>
      </w:r>
      <w:r>
        <w:rPr>
          <w:rFonts w:cstheme="minorHAnsi"/>
        </w:rPr>
        <w:t>; rizik</w:t>
      </w:r>
      <w:r w:rsidRPr="00A12590">
        <w:rPr>
          <w:rFonts w:cstheme="minorHAnsi"/>
        </w:rPr>
        <w:t xml:space="preserve"> o</w:t>
      </w:r>
      <w:r>
        <w:rPr>
          <w:rFonts w:cstheme="minorHAnsi"/>
        </w:rPr>
        <w:t>d atrijske fibrilacije povezan</w:t>
      </w:r>
      <w:r w:rsidRPr="00A12590">
        <w:rPr>
          <w:rFonts w:cstheme="minorHAnsi"/>
        </w:rPr>
        <w:t xml:space="preserve"> s primjenom lijekova koji sadrže etilne estere omega-3 kiselina</w:t>
      </w:r>
      <w:r>
        <w:rPr>
          <w:rFonts w:cstheme="minorHAnsi"/>
        </w:rPr>
        <w:t>; isporuku</w:t>
      </w:r>
      <w:r w:rsidRPr="00A12590">
        <w:rPr>
          <w:rFonts w:cstheme="minorHAnsi"/>
        </w:rPr>
        <w:t xml:space="preserve"> pakiranja lijeka Simulect 20 mg (basiliksimab) koja sadrže samo bočicu s praškom basiliksimaba bez ampule vode za injekcije</w:t>
      </w:r>
      <w:r>
        <w:rPr>
          <w:rFonts w:cstheme="minorHAnsi"/>
        </w:rPr>
        <w:t>; važne informacije</w:t>
      </w:r>
      <w:r w:rsidRPr="00A12590">
        <w:rPr>
          <w:rFonts w:cstheme="minorHAnsi"/>
        </w:rPr>
        <w:t xml:space="preserve"> za pravilnu uporabu prije ubrizgavanja lijeka Leqvio (inklisiran) 284 mg otopina za injekciju u napunjenoj štrcaljki</w:t>
      </w:r>
      <w:r w:rsidRPr="00C76ABD">
        <w:rPr>
          <w:rFonts w:cstheme="minorHAnsi"/>
        </w:rPr>
        <w:t>.</w:t>
      </w:r>
    </w:p>
    <w:p w14:paraId="7EBD5A7F" w14:textId="77777777" w:rsidR="008F7E91" w:rsidRDefault="008F7E91" w:rsidP="00702551">
      <w:pPr>
        <w:spacing w:after="240" w:line="276" w:lineRule="auto"/>
        <w:jc w:val="both"/>
        <w:rPr>
          <w:rFonts w:cstheme="minorHAnsi"/>
        </w:rPr>
      </w:pPr>
      <w:r>
        <w:rPr>
          <w:rFonts w:cstheme="minorHAnsi"/>
        </w:rPr>
        <w:t xml:space="preserve">Navedena pisma objavljena su i na internetskoj stranici HALMED-a u rubrikama </w:t>
      </w:r>
      <w:r w:rsidRPr="00691729">
        <w:rPr>
          <w:rFonts w:cstheme="minorHAnsi"/>
        </w:rPr>
        <w:t>„Farmakovigilancija“ i „Novosti“</w:t>
      </w:r>
      <w:r>
        <w:rPr>
          <w:rFonts w:cstheme="minorHAnsi"/>
        </w:rPr>
        <w:t xml:space="preserve"> te su dodatno postavljena u bazu lijekova HALMED-a. </w:t>
      </w:r>
    </w:p>
    <w:p w14:paraId="4145BAF0" w14:textId="77777777" w:rsidR="008F7E91" w:rsidRPr="00371797" w:rsidRDefault="008F7E91" w:rsidP="00702551">
      <w:pPr>
        <w:spacing w:after="240"/>
        <w:jc w:val="both"/>
        <w:rPr>
          <w:rFonts w:cstheme="minorHAnsi"/>
          <w:b/>
        </w:rPr>
      </w:pPr>
      <w:r w:rsidRPr="00371797">
        <w:rPr>
          <w:rFonts w:cstheme="minorHAnsi"/>
          <w:b/>
        </w:rPr>
        <w:t>C) STRUČNI ČASOPISI</w:t>
      </w:r>
      <w:r>
        <w:rPr>
          <w:rFonts w:cstheme="minorHAnsi"/>
          <w:b/>
        </w:rPr>
        <w:t xml:space="preserve"> I KOMUNIKACIJSKI KANALI STRUKOVNIH KOMORA I UDRUŽENJA</w:t>
      </w:r>
    </w:p>
    <w:p w14:paraId="2B216C52" w14:textId="77777777" w:rsidR="008F7E91" w:rsidRDefault="008F7E91" w:rsidP="00702551">
      <w:pPr>
        <w:spacing w:after="240" w:line="276" w:lineRule="auto"/>
        <w:jc w:val="both"/>
        <w:rPr>
          <w:rFonts w:cstheme="minorHAnsi"/>
        </w:rPr>
      </w:pPr>
      <w:r>
        <w:rPr>
          <w:rFonts w:cstheme="minorHAnsi"/>
        </w:rPr>
        <w:t>U</w:t>
      </w:r>
      <w:r w:rsidRPr="00691729">
        <w:rPr>
          <w:rFonts w:cstheme="minorHAnsi"/>
        </w:rPr>
        <w:t xml:space="preserve"> 20</w:t>
      </w:r>
      <w:r>
        <w:rPr>
          <w:rFonts w:cstheme="minorHAnsi"/>
        </w:rPr>
        <w:t>23</w:t>
      </w:r>
      <w:r w:rsidRPr="00691729">
        <w:rPr>
          <w:rFonts w:cstheme="minorHAnsi"/>
        </w:rPr>
        <w:t xml:space="preserve">. godini nastavljena je suradnja sa stručnim časopisima namijenjenima zdravstvenim radnicima putem kojih HALMED čitatelje informira o novostima s područja zakonodavstva za lijekove i medicinske proizvode, sigurnosnim informacijama o lijekovima i medicinskim proizvodima te novoodobrenim lijekovima i medicinskim proizvodima u Hrvatskoj. </w:t>
      </w:r>
    </w:p>
    <w:p w14:paraId="3C45452E" w14:textId="77777777" w:rsidR="008F7E91" w:rsidRDefault="008F7E91" w:rsidP="00702551">
      <w:pPr>
        <w:spacing w:after="240" w:line="276" w:lineRule="auto"/>
        <w:jc w:val="both"/>
        <w:rPr>
          <w:rFonts w:cstheme="minorHAnsi"/>
        </w:rPr>
      </w:pPr>
      <w:r w:rsidRPr="00BB334C">
        <w:rPr>
          <w:rFonts w:cstheme="minorHAnsi"/>
        </w:rPr>
        <w:t>U Farmaceutskom glasniku, u stalnoj rubrici „Novosti iz HALMED-a“, objavljivale su se nove sigurnosne informacije o lijekovima i medicinskim proizvodima. Također, periodički su objavljivani popisi lijekova s novim djelatnim tvarima i popisi novih registriranih lijekova</w:t>
      </w:r>
      <w:r>
        <w:rPr>
          <w:rFonts w:cstheme="minorHAnsi"/>
        </w:rPr>
        <w:t xml:space="preserve">. </w:t>
      </w:r>
    </w:p>
    <w:p w14:paraId="487BC2D0" w14:textId="77777777" w:rsidR="008F7E91" w:rsidRPr="00691729" w:rsidRDefault="008F7E91" w:rsidP="00702551">
      <w:pPr>
        <w:spacing w:after="240" w:line="276" w:lineRule="auto"/>
        <w:jc w:val="both"/>
        <w:rPr>
          <w:rFonts w:cstheme="minorHAnsi"/>
        </w:rPr>
      </w:pPr>
      <w:r w:rsidRPr="00BB334C">
        <w:rPr>
          <w:rFonts w:cstheme="minorHAnsi"/>
        </w:rPr>
        <w:t>Na internetskim stranicama</w:t>
      </w:r>
      <w:r w:rsidRPr="008104DC">
        <w:rPr>
          <w:rFonts w:cstheme="minorHAnsi"/>
        </w:rPr>
        <w:t xml:space="preserve"> Hrvatsk</w:t>
      </w:r>
      <w:r w:rsidRPr="00BB334C">
        <w:rPr>
          <w:rFonts w:cstheme="minorHAnsi"/>
        </w:rPr>
        <w:t>e</w:t>
      </w:r>
      <w:r w:rsidRPr="008104DC">
        <w:rPr>
          <w:rFonts w:cstheme="minorHAnsi"/>
        </w:rPr>
        <w:t xml:space="preserve"> ljekarničk</w:t>
      </w:r>
      <w:r w:rsidRPr="00BB334C">
        <w:rPr>
          <w:rFonts w:cstheme="minorHAnsi"/>
        </w:rPr>
        <w:t>e</w:t>
      </w:r>
      <w:r w:rsidRPr="008104DC">
        <w:rPr>
          <w:rFonts w:cstheme="minorHAnsi"/>
        </w:rPr>
        <w:t xml:space="preserve"> komor</w:t>
      </w:r>
      <w:r w:rsidRPr="00BB334C">
        <w:rPr>
          <w:rFonts w:cstheme="minorHAnsi"/>
        </w:rPr>
        <w:t>e</w:t>
      </w:r>
      <w:r w:rsidRPr="008104DC">
        <w:rPr>
          <w:rFonts w:cstheme="minorHAnsi"/>
        </w:rPr>
        <w:t xml:space="preserve"> </w:t>
      </w:r>
      <w:r>
        <w:rPr>
          <w:rFonts w:cstheme="minorHAnsi"/>
        </w:rPr>
        <w:t xml:space="preserve">(HLJK) </w:t>
      </w:r>
      <w:r w:rsidRPr="008104DC">
        <w:rPr>
          <w:rFonts w:cstheme="minorHAnsi"/>
        </w:rPr>
        <w:t>i Hrvatsk</w:t>
      </w:r>
      <w:r w:rsidRPr="00BB334C">
        <w:rPr>
          <w:rFonts w:cstheme="minorHAnsi"/>
        </w:rPr>
        <w:t>og</w:t>
      </w:r>
      <w:r w:rsidRPr="008104DC">
        <w:rPr>
          <w:rFonts w:cstheme="minorHAnsi"/>
        </w:rPr>
        <w:t xml:space="preserve"> farmaceutsk</w:t>
      </w:r>
      <w:r w:rsidRPr="00BB334C">
        <w:rPr>
          <w:rFonts w:cstheme="minorHAnsi"/>
        </w:rPr>
        <w:t>og</w:t>
      </w:r>
      <w:r w:rsidRPr="008104DC">
        <w:rPr>
          <w:rFonts w:cstheme="minorHAnsi"/>
        </w:rPr>
        <w:t xml:space="preserve"> društv</w:t>
      </w:r>
      <w:r w:rsidRPr="00BB334C">
        <w:rPr>
          <w:rFonts w:cstheme="minorHAnsi"/>
        </w:rPr>
        <w:t>a</w:t>
      </w:r>
      <w:r>
        <w:rPr>
          <w:rFonts w:cstheme="minorHAnsi"/>
        </w:rPr>
        <w:t xml:space="preserve"> (HFD)</w:t>
      </w:r>
      <w:r w:rsidRPr="00BB334C">
        <w:rPr>
          <w:rFonts w:cstheme="minorHAnsi"/>
        </w:rPr>
        <w:t xml:space="preserve"> objavljuju se novosti prilikom objavljivanja novih izdanja/dodataka Hrvatske farmakopeje.</w:t>
      </w:r>
      <w:r>
        <w:rPr>
          <w:rFonts w:cstheme="minorHAnsi"/>
        </w:rPr>
        <w:t xml:space="preserve"> </w:t>
      </w:r>
    </w:p>
    <w:p w14:paraId="4EED7BE1" w14:textId="77777777" w:rsidR="008F7E91" w:rsidRPr="00371797" w:rsidRDefault="008F7E91" w:rsidP="00702551">
      <w:pPr>
        <w:spacing w:after="240"/>
        <w:jc w:val="both"/>
        <w:rPr>
          <w:rFonts w:cstheme="minorHAnsi"/>
          <w:b/>
        </w:rPr>
      </w:pPr>
      <w:r w:rsidRPr="00C53201">
        <w:rPr>
          <w:rFonts w:cstheme="minorHAnsi"/>
          <w:b/>
        </w:rPr>
        <w:t>D) UPITI INTERESNIH SKUPINA</w:t>
      </w:r>
    </w:p>
    <w:p w14:paraId="07B64A2C" w14:textId="072176D0" w:rsidR="008F7E91" w:rsidRDefault="008F7E91" w:rsidP="00702551">
      <w:pPr>
        <w:spacing w:after="240" w:line="276" w:lineRule="auto"/>
        <w:jc w:val="both"/>
      </w:pPr>
      <w:r w:rsidRPr="00155769">
        <w:t>HALMED iz godine u godinu zaprima sve veći broj upita od strane predstavnika svojih interesnih skupina</w:t>
      </w:r>
      <w:r>
        <w:t xml:space="preserve">, što je izrazito pojačano </w:t>
      </w:r>
      <w:r w:rsidRPr="00702551">
        <w:t xml:space="preserve">zbog </w:t>
      </w:r>
      <w:r w:rsidR="00524EC5">
        <w:t>nestašica</w:t>
      </w:r>
      <w:r>
        <w:t xml:space="preserve"> lijekova.</w:t>
      </w:r>
      <w:r w:rsidRPr="00155769">
        <w:t xml:space="preserve"> </w:t>
      </w:r>
      <w:r w:rsidRPr="00516F91">
        <w:t xml:space="preserve">U </w:t>
      </w:r>
      <w:r>
        <w:t xml:space="preserve">izvještajnom razdoblju </w:t>
      </w:r>
      <w:r w:rsidRPr="00516F91">
        <w:t xml:space="preserve">odgovoreno je </w:t>
      </w:r>
      <w:r w:rsidRPr="00875E13">
        <w:t xml:space="preserve">na </w:t>
      </w:r>
      <w:r>
        <w:t>približno</w:t>
      </w:r>
      <w:r w:rsidRPr="007B19EF">
        <w:t xml:space="preserve"> </w:t>
      </w:r>
      <w:r>
        <w:t xml:space="preserve">1810 </w:t>
      </w:r>
      <w:r>
        <w:lastRenderedPageBreak/>
        <w:t>upita na hrvatskom i engleskom jeziku koje su zdravstveni radnici, pacijenti i drugi predstavnici</w:t>
      </w:r>
      <w:r w:rsidRPr="00516F91">
        <w:t xml:space="preserve"> civilnog društva</w:t>
      </w:r>
      <w:r>
        <w:t xml:space="preserve"> uputili Uredu za odnose s javnošću HALMED-a </w:t>
      </w:r>
      <w:r w:rsidRPr="00516F91">
        <w:t xml:space="preserve">putem </w:t>
      </w:r>
      <w:r>
        <w:t xml:space="preserve">telefona, </w:t>
      </w:r>
      <w:r w:rsidRPr="00516F91">
        <w:t>službene e-adrese</w:t>
      </w:r>
      <w:r>
        <w:t xml:space="preserve"> te obrasca </w:t>
      </w:r>
      <w:r w:rsidRPr="00516F91">
        <w:t xml:space="preserve">„Pišite nam“ </w:t>
      </w:r>
      <w:r>
        <w:t>na internetskoj stranici</w:t>
      </w:r>
      <w:r w:rsidRPr="00516F91">
        <w:t xml:space="preserve"> HALMED-a. </w:t>
      </w:r>
    </w:p>
    <w:p w14:paraId="77482EE1" w14:textId="77777777" w:rsidR="008F7E91" w:rsidRDefault="008F7E91" w:rsidP="00702551">
      <w:pPr>
        <w:spacing w:after="240" w:line="276" w:lineRule="auto"/>
        <w:jc w:val="both"/>
      </w:pPr>
      <w:r w:rsidRPr="00FA1038">
        <w:t>U izvještajnom razdoblju HALMED je zaprimio i odgovorio na ukupno 170 novinarskih upita i zahtjeva za izjavom, od čega je 105 upita zaprimljeno od strane tiskovnih medija i internetskih portala, a njih 65 od strane televizijskih i radijskih postaja.</w:t>
      </w:r>
    </w:p>
    <w:p w14:paraId="273B7715" w14:textId="77777777" w:rsidR="008F7E91" w:rsidRDefault="008F7E91" w:rsidP="00702551">
      <w:pPr>
        <w:spacing w:after="240" w:line="276" w:lineRule="auto"/>
        <w:jc w:val="both"/>
      </w:pPr>
      <w:r w:rsidRPr="0023237F">
        <w:t>Hrvatskoj izvještajnoj novinskoj agenciji i ostalim sredstvima javnog priopćavanja</w:t>
      </w:r>
      <w:r w:rsidRPr="000D64EF">
        <w:t xml:space="preserve"> </w:t>
      </w:r>
      <w:r>
        <w:t xml:space="preserve">nisu upućivana </w:t>
      </w:r>
      <w:r w:rsidRPr="0023237F">
        <w:t>priopćenja za javnost</w:t>
      </w:r>
      <w:r>
        <w:t xml:space="preserve"> o temama iz djelokruga rada HALMED-a</w:t>
      </w:r>
      <w:r w:rsidRPr="0023237F">
        <w:t>.</w:t>
      </w:r>
      <w:r>
        <w:t xml:space="preserve"> Upućen je jedan zahtjev za ispravkom slijedom netočnog izvještavanja o nestašicama lijekova.</w:t>
      </w:r>
    </w:p>
    <w:p w14:paraId="2F543885" w14:textId="77777777" w:rsidR="008F7E91" w:rsidRDefault="008F7E91" w:rsidP="00702551">
      <w:pPr>
        <w:spacing w:after="240" w:line="276" w:lineRule="auto"/>
        <w:jc w:val="both"/>
      </w:pPr>
      <w:r w:rsidRPr="008C53BC">
        <w:t>Nastavljena je suradnja sa zdravstvenim portalima, vodičima i časopisima u pripremi tekstova o temama iz djelokruga rada HALMED-a.</w:t>
      </w:r>
    </w:p>
    <w:p w14:paraId="4D0922A1" w14:textId="77777777" w:rsidR="008F7E91" w:rsidRDefault="008F7E91" w:rsidP="00702551">
      <w:pPr>
        <w:spacing w:after="240" w:line="276" w:lineRule="auto"/>
        <w:jc w:val="both"/>
      </w:pPr>
      <w:r w:rsidRPr="00516F91">
        <w:t xml:space="preserve">HALMED je </w:t>
      </w:r>
      <w:r>
        <w:t xml:space="preserve">sve </w:t>
      </w:r>
      <w:r w:rsidRPr="00492C25">
        <w:t>zahtjev</w:t>
      </w:r>
      <w:r>
        <w:t>e</w:t>
      </w:r>
      <w:r w:rsidRPr="00492C25">
        <w:t xml:space="preserve"> </w:t>
      </w:r>
      <w:r>
        <w:t>zaprimljene temeljem Zakona</w:t>
      </w:r>
      <w:r w:rsidRPr="0063548A">
        <w:t xml:space="preserve"> o pravu na pristup informacijama</w:t>
      </w:r>
      <w:r>
        <w:t xml:space="preserve"> riješio</w:t>
      </w:r>
      <w:r w:rsidRPr="0063548A">
        <w:t xml:space="preserve"> u </w:t>
      </w:r>
      <w:r>
        <w:t xml:space="preserve">zakonski propisanom </w:t>
      </w:r>
      <w:r w:rsidRPr="0063548A">
        <w:t xml:space="preserve">roku te su podnositeljima zahtjeva dostavljene tražene informacije. </w:t>
      </w:r>
    </w:p>
    <w:p w14:paraId="72824BEF" w14:textId="77777777" w:rsidR="008F7E91" w:rsidRDefault="008F7E91" w:rsidP="00702551">
      <w:pPr>
        <w:spacing w:after="240" w:line="276" w:lineRule="auto"/>
        <w:jc w:val="both"/>
      </w:pPr>
      <w:r w:rsidRPr="0063548A">
        <w:t>Također,</w:t>
      </w:r>
      <w:r>
        <w:t xml:space="preserve"> godišnje</w:t>
      </w:r>
      <w:r w:rsidRPr="0063548A">
        <w:t xml:space="preserve"> Izvješće o provedbi Zakona o pravu na pristup informacijama dostavljeno je Povjereni</w:t>
      </w:r>
      <w:r>
        <w:t>ku</w:t>
      </w:r>
      <w:r w:rsidRPr="0063548A">
        <w:t xml:space="preserve"> za info</w:t>
      </w:r>
      <w:r>
        <w:t>rmiranje u roku propisanom Z</w:t>
      </w:r>
      <w:r w:rsidRPr="0063548A">
        <w:t>akonom.</w:t>
      </w:r>
      <w:r>
        <w:t xml:space="preserve"> </w:t>
      </w:r>
      <w:r w:rsidRPr="00AA2E14">
        <w:t>Jednako tako, HALMED je dostavljao publikacije, zapisnike i ostale relevantne dokumente za objavu u Središnjem katalogu službenih dokumenata Republike Hrvatske.</w:t>
      </w:r>
    </w:p>
    <w:p w14:paraId="0BA7FAAD" w14:textId="77777777" w:rsidR="008F7E91" w:rsidRDefault="008F7E91" w:rsidP="00702551">
      <w:pPr>
        <w:spacing w:after="240"/>
        <w:jc w:val="both"/>
        <w:rPr>
          <w:b/>
        </w:rPr>
      </w:pPr>
      <w:r>
        <w:rPr>
          <w:b/>
        </w:rPr>
        <w:t>E) JAVNOEDUKATIVNE KAMPANJE</w:t>
      </w:r>
    </w:p>
    <w:p w14:paraId="46487339" w14:textId="77777777" w:rsidR="008F7E91" w:rsidRPr="00FA1038" w:rsidRDefault="008F7E91" w:rsidP="00702551">
      <w:pPr>
        <w:spacing w:after="240" w:line="276" w:lineRule="auto"/>
        <w:jc w:val="both"/>
      </w:pPr>
      <w:r>
        <w:t>HALMED je u suradnji s HFD-om putem društvenih mreža proveo javnoedukativnu kampanju o važnosti prijavljivanja sumnji na nuspojave lijekova. Kampanja je u ovoj godini bila fokusirana na ulogu svih zdravstvenih radnika i pacijenata koji prijavljuju sumnje na nuspojave i time pridonose sigurnoj primjeni lijekova. U provedbi ove globalne kampanje popraćene kao #MedSafetyWeek sudjelovala su regulatorna tijela i drugi dionici iz 88 država Europske unije i svijeta.</w:t>
      </w:r>
    </w:p>
    <w:p w14:paraId="64792A45" w14:textId="77777777" w:rsidR="008F7E91" w:rsidRPr="00F570D6" w:rsidRDefault="008F7E91" w:rsidP="00702551">
      <w:pPr>
        <w:pStyle w:val="Heading3"/>
        <w:jc w:val="both"/>
      </w:pPr>
      <w:bookmarkStart w:id="291" w:name="_Toc165035531"/>
      <w:r>
        <w:t>2.10</w:t>
      </w:r>
      <w:r w:rsidRPr="00F570D6">
        <w:t>.2. Poslovi interne komunikacije</w:t>
      </w:r>
      <w:bookmarkEnd w:id="291"/>
    </w:p>
    <w:p w14:paraId="17578DBC" w14:textId="77777777" w:rsidR="008F7E91" w:rsidRPr="00A6428D" w:rsidRDefault="008F7E91" w:rsidP="00702551">
      <w:pPr>
        <w:spacing w:after="240" w:line="276" w:lineRule="auto"/>
        <w:jc w:val="both"/>
        <w:rPr>
          <w:rFonts w:cstheme="minorHAnsi"/>
        </w:rPr>
      </w:pPr>
      <w:r w:rsidRPr="003F7D3D">
        <w:rPr>
          <w:rFonts w:cstheme="minorHAnsi"/>
        </w:rPr>
        <w:t>U 20</w:t>
      </w:r>
      <w:r>
        <w:rPr>
          <w:rFonts w:cstheme="minorHAnsi"/>
        </w:rPr>
        <w:t>23</w:t>
      </w:r>
      <w:r w:rsidRPr="003F7D3D">
        <w:rPr>
          <w:rFonts w:cstheme="minorHAnsi"/>
        </w:rPr>
        <w:t>. godini nastavljeno je interno informiranje zaposlenika HALMED-a o temama iz djelokruga rada HALMED-a</w:t>
      </w:r>
      <w:r>
        <w:rPr>
          <w:rFonts w:cstheme="minorHAnsi"/>
        </w:rPr>
        <w:t>.</w:t>
      </w:r>
      <w:r w:rsidRPr="003F7D3D">
        <w:rPr>
          <w:rFonts w:cstheme="minorHAnsi"/>
        </w:rPr>
        <w:t xml:space="preserve"> </w:t>
      </w:r>
      <w:r w:rsidRPr="00516F91">
        <w:rPr>
          <w:rFonts w:eastAsiaTheme="majorEastAsia"/>
        </w:rPr>
        <w:t xml:space="preserve">U </w:t>
      </w:r>
      <w:r>
        <w:rPr>
          <w:rFonts w:eastAsiaTheme="majorEastAsia"/>
        </w:rPr>
        <w:t xml:space="preserve">izvještajnom razdoblju </w:t>
      </w:r>
      <w:r w:rsidRPr="00516F91">
        <w:rPr>
          <w:rFonts w:eastAsiaTheme="majorEastAsia"/>
        </w:rPr>
        <w:t>objavljen</w:t>
      </w:r>
      <w:r>
        <w:rPr>
          <w:rFonts w:eastAsiaTheme="majorEastAsia"/>
        </w:rPr>
        <w:t xml:space="preserve">e su 247 </w:t>
      </w:r>
      <w:r w:rsidRPr="00516F91">
        <w:rPr>
          <w:rFonts w:eastAsiaTheme="majorEastAsia"/>
        </w:rPr>
        <w:t xml:space="preserve">obavijesti na </w:t>
      </w:r>
      <w:r>
        <w:rPr>
          <w:rFonts w:eastAsiaTheme="majorEastAsia"/>
        </w:rPr>
        <w:t>i</w:t>
      </w:r>
      <w:r w:rsidRPr="00516F91">
        <w:rPr>
          <w:rFonts w:eastAsiaTheme="majorEastAsia"/>
        </w:rPr>
        <w:t xml:space="preserve">ntranetu </w:t>
      </w:r>
      <w:r>
        <w:rPr>
          <w:rFonts w:eastAsiaTheme="majorEastAsia"/>
        </w:rPr>
        <w:t xml:space="preserve">i monitorima postavljenima u prostorijama </w:t>
      </w:r>
      <w:r w:rsidRPr="00516F91">
        <w:rPr>
          <w:rFonts w:eastAsiaTheme="majorEastAsia"/>
        </w:rPr>
        <w:t>HALMED-a. Putem navedenih komunikacijskih kanala objavljuju se novosti vezane uz op</w:t>
      </w:r>
      <w:r w:rsidRPr="00516F91">
        <w:rPr>
          <w:rFonts w:eastAsia="Gulim" w:cs="Gulim"/>
        </w:rPr>
        <w:t>ć</w:t>
      </w:r>
      <w:r w:rsidRPr="00516F91">
        <w:rPr>
          <w:rFonts w:eastAsiaTheme="majorEastAsia"/>
        </w:rPr>
        <w:t>e poslovanje HALMED-a</w:t>
      </w:r>
      <w:r>
        <w:rPr>
          <w:rFonts w:eastAsiaTheme="majorEastAsia"/>
        </w:rPr>
        <w:t>.</w:t>
      </w:r>
      <w:r w:rsidRPr="00516F91">
        <w:rPr>
          <w:rFonts w:eastAsiaTheme="majorEastAsia"/>
        </w:rPr>
        <w:t xml:space="preserve"> </w:t>
      </w:r>
      <w:r w:rsidRPr="00F54DF9">
        <w:t>Dodatno</w:t>
      </w:r>
      <w:r>
        <w:rPr>
          <w:rFonts w:cstheme="minorHAnsi"/>
        </w:rPr>
        <w:t>,</w:t>
      </w:r>
      <w:r w:rsidRPr="003F7D3D">
        <w:rPr>
          <w:rFonts w:cstheme="minorHAnsi"/>
        </w:rPr>
        <w:t xml:space="preserve"> za potrebe internog informiranja redovito se prate izvadci iz tisk</w:t>
      </w:r>
      <w:r>
        <w:rPr>
          <w:rFonts w:cstheme="minorHAnsi"/>
        </w:rPr>
        <w:t xml:space="preserve">ovina koji su </w:t>
      </w:r>
      <w:r w:rsidRPr="003F7D3D">
        <w:rPr>
          <w:rFonts w:cstheme="minorHAnsi"/>
        </w:rPr>
        <w:t>vezan</w:t>
      </w:r>
      <w:r>
        <w:rPr>
          <w:rFonts w:cstheme="minorHAnsi"/>
        </w:rPr>
        <w:t>i</w:t>
      </w:r>
      <w:r w:rsidRPr="003F7D3D">
        <w:rPr>
          <w:rFonts w:cstheme="minorHAnsi"/>
        </w:rPr>
        <w:t xml:space="preserve"> </w:t>
      </w:r>
      <w:r>
        <w:rPr>
          <w:rFonts w:cstheme="minorHAnsi"/>
        </w:rPr>
        <w:t>uz</w:t>
      </w:r>
      <w:r w:rsidRPr="003F7D3D">
        <w:rPr>
          <w:rFonts w:cstheme="minorHAnsi"/>
        </w:rPr>
        <w:t xml:space="preserve"> djelokrug rada HALMED-a.</w:t>
      </w:r>
      <w:r>
        <w:rPr>
          <w:rFonts w:cstheme="minorHAnsi"/>
        </w:rPr>
        <w:t xml:space="preserve"> </w:t>
      </w:r>
    </w:p>
    <w:p w14:paraId="14E511A8" w14:textId="77777777" w:rsidR="008F7E91" w:rsidRPr="00F570D6" w:rsidRDefault="008F7E91" w:rsidP="00702551">
      <w:pPr>
        <w:pStyle w:val="Heading3"/>
        <w:jc w:val="both"/>
      </w:pPr>
      <w:bookmarkStart w:id="292" w:name="_Toc165035532"/>
      <w:r>
        <w:t>2.10</w:t>
      </w:r>
      <w:r w:rsidRPr="00F570D6">
        <w:t>.3. Stručna događanja i edukacije koje provodi HALMED</w:t>
      </w:r>
      <w:bookmarkEnd w:id="292"/>
    </w:p>
    <w:p w14:paraId="32E321E3" w14:textId="77777777" w:rsidR="008F7E91" w:rsidRDefault="008F7E91" w:rsidP="00702551">
      <w:pPr>
        <w:tabs>
          <w:tab w:val="left" w:pos="709"/>
          <w:tab w:val="center" w:pos="858"/>
          <w:tab w:val="right" w:pos="8306"/>
        </w:tabs>
        <w:spacing w:after="240" w:line="276" w:lineRule="auto"/>
        <w:jc w:val="both"/>
        <w:rPr>
          <w:rFonts w:cstheme="minorHAnsi"/>
        </w:rPr>
      </w:pPr>
      <w:r w:rsidRPr="003F49EB">
        <w:rPr>
          <w:rFonts w:cstheme="minorHAnsi"/>
          <w:bCs/>
          <w:color w:val="1D1B11"/>
        </w:rPr>
        <w:t xml:space="preserve">HALMED </w:t>
      </w:r>
      <w:r>
        <w:rPr>
          <w:rFonts w:cstheme="minorHAnsi"/>
          <w:bCs/>
          <w:color w:val="1D1B11"/>
        </w:rPr>
        <w:t>organizira skupove iz područja regulatornog okvira i sigurnosti primjene lijekova i medicinskih proizvoda te provodi</w:t>
      </w:r>
      <w:r w:rsidRPr="003F49EB">
        <w:rPr>
          <w:rFonts w:cstheme="minorHAnsi"/>
          <w:bCs/>
          <w:color w:val="1D1B11"/>
        </w:rPr>
        <w:t xml:space="preserve"> edukaciju </w:t>
      </w:r>
      <w:r>
        <w:rPr>
          <w:rFonts w:cstheme="minorHAnsi"/>
          <w:bCs/>
          <w:color w:val="1D1B11"/>
        </w:rPr>
        <w:t xml:space="preserve">proizvođača, </w:t>
      </w:r>
      <w:r w:rsidRPr="003F49EB">
        <w:rPr>
          <w:rFonts w:cstheme="minorHAnsi"/>
          <w:bCs/>
          <w:color w:val="1D1B11"/>
        </w:rPr>
        <w:t xml:space="preserve">nositelja odobrenja, veleprodaja, maloprodaja </w:t>
      </w:r>
      <w:r>
        <w:rPr>
          <w:rFonts w:cstheme="minorHAnsi"/>
          <w:bCs/>
          <w:color w:val="1D1B11"/>
        </w:rPr>
        <w:t>i</w:t>
      </w:r>
      <w:r w:rsidRPr="003F49EB">
        <w:rPr>
          <w:rFonts w:cstheme="minorHAnsi"/>
          <w:bCs/>
          <w:color w:val="1D1B11"/>
        </w:rPr>
        <w:t xml:space="preserve"> zdravstvenih radnika</w:t>
      </w:r>
      <w:r>
        <w:rPr>
          <w:rFonts w:cstheme="minorHAnsi"/>
        </w:rPr>
        <w:t xml:space="preserve">. Redovito se održavaju </w:t>
      </w:r>
      <w:r w:rsidRPr="00691729">
        <w:rPr>
          <w:rFonts w:cstheme="minorHAnsi"/>
        </w:rPr>
        <w:t xml:space="preserve">radionice </w:t>
      </w:r>
      <w:r>
        <w:rPr>
          <w:rFonts w:cstheme="minorHAnsi"/>
        </w:rPr>
        <w:t>i edukacijski tečajevi na teme iz djelokruga rada HALMED-a kao što su promet lijekovima, prijavljivanje sumnji na nuspojave lijekova, mjere</w:t>
      </w:r>
      <w:r w:rsidRPr="00691729">
        <w:rPr>
          <w:rFonts w:cstheme="minorHAnsi"/>
        </w:rPr>
        <w:t xml:space="preserve"> </w:t>
      </w:r>
      <w:r>
        <w:rPr>
          <w:rFonts w:cstheme="minorHAnsi"/>
        </w:rPr>
        <w:t>minimizacije rizika, Hrvatska farmakopeja te promet</w:t>
      </w:r>
      <w:r w:rsidRPr="00691729">
        <w:rPr>
          <w:rFonts w:cstheme="minorHAnsi"/>
        </w:rPr>
        <w:t xml:space="preserve"> </w:t>
      </w:r>
      <w:r>
        <w:rPr>
          <w:rFonts w:cstheme="minorHAnsi"/>
        </w:rPr>
        <w:t>i vigilancija medicinskih proizvoda. Jednako tako, organiziraju</w:t>
      </w:r>
      <w:r w:rsidRPr="00691729">
        <w:rPr>
          <w:rFonts w:cstheme="minorHAnsi"/>
        </w:rPr>
        <w:t xml:space="preserve"> </w:t>
      </w:r>
      <w:r>
        <w:rPr>
          <w:rFonts w:cstheme="minorHAnsi"/>
        </w:rPr>
        <w:t xml:space="preserve">se </w:t>
      </w:r>
      <w:r w:rsidRPr="00691729">
        <w:rPr>
          <w:rFonts w:cstheme="minorHAnsi"/>
        </w:rPr>
        <w:t>predavanja u suradnji s Hrvatskim farmaceutskim društvom (HFD</w:t>
      </w:r>
      <w:r>
        <w:rPr>
          <w:rFonts w:cstheme="minorHAnsi"/>
        </w:rPr>
        <w:t>).</w:t>
      </w:r>
      <w:r w:rsidRPr="00F8341A">
        <w:rPr>
          <w:rFonts w:cstheme="minorHAnsi"/>
        </w:rPr>
        <w:t xml:space="preserve"> </w:t>
      </w:r>
      <w:r>
        <w:rPr>
          <w:rFonts w:cstheme="minorHAnsi"/>
        </w:rPr>
        <w:t xml:space="preserve">Stručnjaci HALMED-a su primarno kroz medijske </w:t>
      </w:r>
      <w:r>
        <w:rPr>
          <w:rFonts w:cstheme="minorHAnsi"/>
        </w:rPr>
        <w:lastRenderedPageBreak/>
        <w:t>nastupe i sudjelovanje na tribinama i drugim događajima intenzivno provodili edukaciju i informiranje o temama iz djelokruga rada Agencije.</w:t>
      </w:r>
      <w:r w:rsidRPr="005D476A">
        <w:rPr>
          <w:rFonts w:cstheme="minorHAnsi"/>
        </w:rPr>
        <w:t xml:space="preserve"> </w:t>
      </w:r>
      <w:r w:rsidRPr="00F8341A">
        <w:rPr>
          <w:rFonts w:cstheme="minorHAnsi"/>
        </w:rPr>
        <w:t xml:space="preserve">HALMED sudjeluje </w:t>
      </w:r>
      <w:r>
        <w:rPr>
          <w:rFonts w:cstheme="minorHAnsi"/>
        </w:rPr>
        <w:t xml:space="preserve">i </w:t>
      </w:r>
      <w:r w:rsidRPr="00F8341A">
        <w:rPr>
          <w:rFonts w:cstheme="minorHAnsi"/>
        </w:rPr>
        <w:t xml:space="preserve">u stručnom usavršavanju zdravstvenih radnika u sklopu specijalističkih programa odobrenih </w:t>
      </w:r>
      <w:r>
        <w:rPr>
          <w:rFonts w:cstheme="minorHAnsi"/>
        </w:rPr>
        <w:t>od strane Ministarstva zdravstva.</w:t>
      </w:r>
    </w:p>
    <w:p w14:paraId="4E97E2B9" w14:textId="77777777" w:rsidR="008F7E91" w:rsidRDefault="008F7E91" w:rsidP="00702551">
      <w:pPr>
        <w:tabs>
          <w:tab w:val="left" w:pos="709"/>
          <w:tab w:val="center" w:pos="858"/>
          <w:tab w:val="right" w:pos="8306"/>
        </w:tabs>
        <w:spacing w:after="240"/>
        <w:jc w:val="both"/>
        <w:rPr>
          <w:b/>
        </w:rPr>
      </w:pPr>
      <w:r w:rsidRPr="00CE0773">
        <w:rPr>
          <w:b/>
        </w:rPr>
        <w:t xml:space="preserve">A) </w:t>
      </w:r>
      <w:r>
        <w:rPr>
          <w:b/>
        </w:rPr>
        <w:t>STRUČNE K</w:t>
      </w:r>
      <w:r w:rsidRPr="00CE0773">
        <w:rPr>
          <w:b/>
        </w:rPr>
        <w:t>ONFERENCIJ</w:t>
      </w:r>
      <w:r>
        <w:rPr>
          <w:b/>
        </w:rPr>
        <w:t>E, KONGRESI I MEĐUNARODNI SASTANCI</w:t>
      </w:r>
    </w:p>
    <w:p w14:paraId="33E1A435" w14:textId="77777777" w:rsidR="008F7E91" w:rsidRDefault="008F7E91" w:rsidP="00702551">
      <w:pPr>
        <w:tabs>
          <w:tab w:val="left" w:pos="709"/>
          <w:tab w:val="center" w:pos="858"/>
          <w:tab w:val="right" w:pos="8306"/>
        </w:tabs>
        <w:spacing w:after="240" w:line="276" w:lineRule="auto"/>
        <w:jc w:val="both"/>
      </w:pPr>
      <w:r>
        <w:t>HALMED</w:t>
      </w:r>
      <w:r w:rsidRPr="0077139B">
        <w:t xml:space="preserve"> je</w:t>
      </w:r>
      <w:r>
        <w:t xml:space="preserve"> u izvještajnom razdoblju </w:t>
      </w:r>
      <w:r w:rsidRPr="00510707">
        <w:t>konferencijom</w:t>
      </w:r>
      <w:r>
        <w:t xml:space="preserve"> </w:t>
      </w:r>
      <w:r w:rsidRPr="00510707">
        <w:t>"20 godina HALMED-a: zajedno u izazovima, zajedno u rješenjima"</w:t>
      </w:r>
      <w:r>
        <w:t>, koja je održana 23. i 24. studenog 2023. godine u Dubrovniku,</w:t>
      </w:r>
      <w:r w:rsidRPr="00510707">
        <w:t xml:space="preserve"> obilježio 20 godina postojanja i 10 godina sudjelovanja u EU regulatornim postupcima</w:t>
      </w:r>
      <w:r>
        <w:t xml:space="preserve">. </w:t>
      </w:r>
      <w:r w:rsidRPr="00A8496E">
        <w:t>Konferencija je organizirana u svrhu informiranja svih dionika na području lijekova o novostima na području odobravanja i praćenja sigurnosti primjene lijekova. Konferenciji je prisustvovalo oko 260 sudionika; zdravstvenih radnika, predstavnika hrvatskih javnozdravstvenih tijela, strukovnih udruženja zdravstvenih radnika i farmaceutske industrije, pacijenata te regulatornih tijela za lijekove iz Europske unije i zemalja u okruženju.</w:t>
      </w:r>
      <w:r>
        <w:t xml:space="preserve"> </w:t>
      </w:r>
      <w:r w:rsidRPr="00510707">
        <w:t>Skup je, uime ministra zdravstva, izv. prof. dr. sc. Vilija Beroša, dr. med., otvorio posebni savjetnik ministra, Tonći Buble, dr. med.</w:t>
      </w:r>
      <w:r>
        <w:t xml:space="preserve"> </w:t>
      </w:r>
      <w:r w:rsidRPr="00A8496E">
        <w:t>Ravnatelj HALMED-a, prof. Siniša Tomić uvodnim govorom je predstavio javnozdravstvenu zadaću HALMED-a te planove za daljnji razvoj i projekte u budućnosti.</w:t>
      </w:r>
      <w:r>
        <w:t xml:space="preserve"> </w:t>
      </w:r>
      <w:r w:rsidRPr="00A8496E">
        <w:t>Sudionike je u ime Grada Dubrovnika i gradonačelnika Mata Frankovića pozdravio go</w:t>
      </w:r>
      <w:r>
        <w:t xml:space="preserve">spodin Dživo Brčić. </w:t>
      </w:r>
      <w:r w:rsidRPr="00A8496E">
        <w:t>HALMED je na ovoj konferenciji kao predavače ugostio predstavnike nacionalnih agencija iz europske regulatorne mreže, odnosno iz nacionalnih agencija za lijekove i medicinske proizvode članica Europske unije te iz zemalja u okruženju.</w:t>
      </w:r>
      <w:r>
        <w:t xml:space="preserve"> </w:t>
      </w:r>
      <w:r w:rsidRPr="00A8496E">
        <w:t>Niz predavanja održali su stručnjaci HALMED-a koji su pritom predstavili aktualne teme iz europske regulative lijekova te teme vezane uz pružanje znanstvenih savjeta i rad znanstvenih povjerenstava Europske agencije za lijekove, međusobnu zamjenjivost lijekova, praćenje opskrbe tržišta i nestašica lijekova u Republici Hrvatskoj i na razini EU-a, sustav određivanja najviših dozvoljenih cijena lijekova, aktualnosti na području praćenja sigurnosti primjene lijekova, upravljanje informacijama u zdravstvu, zahtjeve na području GMP i GVP inspekcija, Hrvatsku farmakopeju, provjere kakvoće lijekova i krivotvorine te aktualnosti na području regulative medicinskih proizvoda kao i EU projekte i inicijative.</w:t>
      </w:r>
    </w:p>
    <w:p w14:paraId="7265464A" w14:textId="77777777" w:rsidR="008F7E91" w:rsidRDefault="008F7E91" w:rsidP="00702551">
      <w:pPr>
        <w:tabs>
          <w:tab w:val="left" w:pos="709"/>
          <w:tab w:val="center" w:pos="858"/>
          <w:tab w:val="right" w:pos="8306"/>
        </w:tabs>
        <w:spacing w:after="240" w:line="276" w:lineRule="auto"/>
        <w:jc w:val="both"/>
        <w:rPr>
          <w:b/>
        </w:rPr>
      </w:pPr>
      <w:r>
        <w:t xml:space="preserve">HALMED je također bio </w:t>
      </w:r>
      <w:r w:rsidRPr="0077139B">
        <w:t>domaćin sastanka dviju radnih grupa u sklopu projekta UNICOM - </w:t>
      </w:r>
      <w:r w:rsidRPr="0077139B">
        <w:rPr>
          <w:i/>
          <w:iCs/>
        </w:rPr>
        <w:t>Up-scaling the global univocal identification of medicines</w:t>
      </w:r>
      <w:r>
        <w:rPr>
          <w:iCs/>
        </w:rPr>
        <w:t>,</w:t>
      </w:r>
      <w:r w:rsidRPr="0077139B">
        <w:t> koji je održan u hotelu Zonar u Zagrebu, 12. i 13 lipnja 2023. godine.</w:t>
      </w:r>
      <w:r>
        <w:t xml:space="preserve"> </w:t>
      </w:r>
      <w:r w:rsidRPr="00F01D9F">
        <w:t>Sastanku je prisustvovalo više od 20 stručnjaka za informatičke poslove i analizu podataka iz nacionalnih agencija za lijekove i medicinske proizvode zemalja članica Europske unije.</w:t>
      </w:r>
      <w:r>
        <w:t xml:space="preserve"> </w:t>
      </w:r>
      <w:r w:rsidRPr="00F01D9F">
        <w:t>Tijekom sastanka obrađena su područja rada radnih grupa WP3 i WP4 projekta UNICOM u kojem aktivno sudjeluju stručnjaci HALMED-a. Radna grupa WP3 raspravljala je o promjenama koje je potrebno provesti u europskom elektroničkom obrascu za podnošenje prijave, kao i procesu davanja odobrenja za stavljanje lijeka u promet kako bi se struktura podataka o lijeku prilagodila ISO IDMP standardu. U radu radne grupe WP4 sudjeluje 11 europskih nacionalnih agencija, uključujući HALMED, koje prilagođavaju svoje informatičke sustave i baze podataka o lijekovima implementirajući predmetne standarde u cilju interoperabilnosti te mogućnosti povezivanja i razmjene podataka o lijekovima među zemljama EU-a. Na sastanku se raspravljalo o mogućnostima uključivanja drugih nacionalnih nadležnih tijela za lijekove te o eventualnom pokretanju dodatnog projekta za standardizaciju podataka o lijekovima.</w:t>
      </w:r>
    </w:p>
    <w:p w14:paraId="32467833" w14:textId="77777777" w:rsidR="008F7E91" w:rsidRDefault="008F7E91" w:rsidP="00702551">
      <w:pPr>
        <w:spacing w:before="240" w:after="240"/>
        <w:jc w:val="both"/>
        <w:rPr>
          <w:b/>
        </w:rPr>
      </w:pPr>
      <w:r w:rsidRPr="00363696">
        <w:rPr>
          <w:b/>
        </w:rPr>
        <w:t>B) RADIONICE I EDUKACIJSKI TEČAJEVI</w:t>
      </w:r>
    </w:p>
    <w:p w14:paraId="547E04FB" w14:textId="77777777" w:rsidR="008F7E91" w:rsidRDefault="008F7E91" w:rsidP="00702551">
      <w:pPr>
        <w:spacing w:before="240" w:after="120" w:line="276" w:lineRule="auto"/>
        <w:jc w:val="both"/>
        <w:rPr>
          <w:color w:val="000000" w:themeColor="text1"/>
        </w:rPr>
      </w:pPr>
      <w:r w:rsidRPr="00363696">
        <w:rPr>
          <w:color w:val="000000" w:themeColor="text1"/>
        </w:rPr>
        <w:t xml:space="preserve">U </w:t>
      </w:r>
      <w:r>
        <w:rPr>
          <w:color w:val="000000" w:themeColor="text1"/>
        </w:rPr>
        <w:t>izvještajnom</w:t>
      </w:r>
      <w:r w:rsidRPr="00363696">
        <w:rPr>
          <w:color w:val="000000" w:themeColor="text1"/>
        </w:rPr>
        <w:t xml:space="preserve"> razdoblju </w:t>
      </w:r>
      <w:r>
        <w:rPr>
          <w:color w:val="000000" w:themeColor="text1"/>
        </w:rPr>
        <w:t>HALMED je održao dvije</w:t>
      </w:r>
      <w:r w:rsidRPr="004D15EB">
        <w:rPr>
          <w:color w:val="000000" w:themeColor="text1"/>
        </w:rPr>
        <w:t xml:space="preserve"> cjelodnevne regulatorne radionice za nositelje odobrenja </w:t>
      </w:r>
      <w:r>
        <w:rPr>
          <w:color w:val="000000" w:themeColor="text1"/>
        </w:rPr>
        <w:t>o odabranim temama iz regulative lijekova te edukacijske tečaje o vigilanciji medicinskih proizvoda.</w:t>
      </w:r>
    </w:p>
    <w:p w14:paraId="019203D4" w14:textId="77777777" w:rsidR="008F7E91" w:rsidRDefault="008F7E91" w:rsidP="00702551">
      <w:pPr>
        <w:spacing w:before="240" w:after="120" w:line="276" w:lineRule="auto"/>
        <w:jc w:val="both"/>
        <w:rPr>
          <w:b/>
        </w:rPr>
      </w:pPr>
      <w:r w:rsidRPr="00F94AF7">
        <w:rPr>
          <w:b/>
        </w:rPr>
        <w:lastRenderedPageBreak/>
        <w:t>C) PREDAVANJA U SURADNJI S HRVATSKIM FARMACEUTSKIM DRUŠTVOM (HFD)</w:t>
      </w:r>
    </w:p>
    <w:p w14:paraId="59A98C0B" w14:textId="77777777" w:rsidR="008F7E91" w:rsidRPr="009F6124" w:rsidRDefault="008F7E91" w:rsidP="00702551">
      <w:pPr>
        <w:spacing w:before="240" w:after="240" w:line="276" w:lineRule="auto"/>
        <w:jc w:val="both"/>
        <w:rPr>
          <w:color w:val="000000" w:themeColor="text1"/>
        </w:rPr>
      </w:pPr>
      <w:r>
        <w:rPr>
          <w:bCs/>
          <w:color w:val="000000"/>
        </w:rPr>
        <w:t>U izvještajnom razdoblju</w:t>
      </w:r>
      <w:r w:rsidRPr="00363696">
        <w:rPr>
          <w:bCs/>
          <w:color w:val="000000"/>
        </w:rPr>
        <w:t xml:space="preserve"> </w:t>
      </w:r>
      <w:r>
        <w:rPr>
          <w:bCs/>
          <w:color w:val="000000"/>
        </w:rPr>
        <w:t xml:space="preserve">djelatnice </w:t>
      </w:r>
      <w:r w:rsidRPr="00363696">
        <w:rPr>
          <w:bCs/>
          <w:color w:val="000000"/>
        </w:rPr>
        <w:t>HALMED</w:t>
      </w:r>
      <w:r>
        <w:rPr>
          <w:bCs/>
          <w:color w:val="000000"/>
        </w:rPr>
        <w:t>-a</w:t>
      </w:r>
      <w:r w:rsidRPr="00363696">
        <w:rPr>
          <w:bCs/>
          <w:color w:val="000000"/>
        </w:rPr>
        <w:t xml:space="preserve"> </w:t>
      </w:r>
      <w:r>
        <w:rPr>
          <w:bCs/>
          <w:color w:val="000000"/>
        </w:rPr>
        <w:t>održale su predavanje „Nestašice lijekova“</w:t>
      </w:r>
      <w:r w:rsidRPr="00363696">
        <w:rPr>
          <w:bCs/>
          <w:color w:val="000000"/>
        </w:rPr>
        <w:t xml:space="preserve"> u suradnji s HFD-om</w:t>
      </w:r>
      <w:r>
        <w:rPr>
          <w:bCs/>
          <w:color w:val="000000"/>
        </w:rPr>
        <w:t xml:space="preserve">. Također, djelatnica HALMED-a održala je predavanje na temu </w:t>
      </w:r>
      <w:r w:rsidRPr="00D37C02">
        <w:rPr>
          <w:bCs/>
          <w:color w:val="000000"/>
        </w:rPr>
        <w:t>"Međusobna zamjenjivost lijekova"</w:t>
      </w:r>
      <w:r>
        <w:rPr>
          <w:bCs/>
          <w:color w:val="000000"/>
        </w:rPr>
        <w:t xml:space="preserve">. </w:t>
      </w:r>
    </w:p>
    <w:p w14:paraId="586E6C65" w14:textId="77777777" w:rsidR="008F7E91" w:rsidRDefault="008F7E91" w:rsidP="00702551">
      <w:pPr>
        <w:spacing w:before="240" w:after="240" w:line="276" w:lineRule="auto"/>
        <w:jc w:val="both"/>
        <w:rPr>
          <w:rFonts w:cstheme="minorHAnsi"/>
          <w:b/>
        </w:rPr>
      </w:pPr>
      <w:r>
        <w:rPr>
          <w:rFonts w:cstheme="minorHAnsi"/>
          <w:b/>
        </w:rPr>
        <w:t>D</w:t>
      </w:r>
      <w:r w:rsidRPr="00CE0773">
        <w:rPr>
          <w:rFonts w:cstheme="minorHAnsi"/>
          <w:b/>
        </w:rPr>
        <w:t>)</w:t>
      </w:r>
      <w:r>
        <w:rPr>
          <w:rFonts w:cstheme="minorHAnsi"/>
          <w:b/>
        </w:rPr>
        <w:t xml:space="preserve"> </w:t>
      </w:r>
      <w:r w:rsidRPr="00CE0773">
        <w:rPr>
          <w:rFonts w:cstheme="minorHAnsi"/>
          <w:b/>
        </w:rPr>
        <w:t>POSLIJEDIPLOMSKO USAVRŠAVANJE ZDRAVSTVENIH DJELATNIKA</w:t>
      </w:r>
    </w:p>
    <w:p w14:paraId="1F41414D" w14:textId="77777777" w:rsidR="008F7E91" w:rsidRPr="008F1705" w:rsidRDefault="008F7E91" w:rsidP="00702551">
      <w:pPr>
        <w:spacing w:before="240" w:after="240" w:line="276" w:lineRule="auto"/>
        <w:jc w:val="both"/>
        <w:rPr>
          <w:rFonts w:cstheme="minorHAnsi"/>
          <w:b/>
        </w:rPr>
      </w:pPr>
      <w:r>
        <w:rPr>
          <w:rFonts w:cstheme="minorHAnsi"/>
          <w:color w:val="000000"/>
        </w:rPr>
        <w:t>U izvještajnom razdoblju u HALMED-u se usavršavalo 12 specijalizanata u sklopu specijalističkog programa iz kliničke farmacije – bolničkog ljekarništva, javnog ljekarništva, epidemiologije, ispitivanja i kontrole lijekova te farmaceutske tehnologije.</w:t>
      </w:r>
    </w:p>
    <w:p w14:paraId="2572DBF3" w14:textId="77777777" w:rsidR="008F7E91" w:rsidRDefault="008F7E91" w:rsidP="00702551">
      <w:pPr>
        <w:pStyle w:val="Heading3"/>
        <w:spacing w:line="276" w:lineRule="auto"/>
        <w:jc w:val="both"/>
      </w:pPr>
      <w:bookmarkStart w:id="293" w:name="_Toc165035533"/>
      <w:r w:rsidRPr="00F570D6">
        <w:t>2.</w:t>
      </w:r>
      <w:r>
        <w:t>10</w:t>
      </w:r>
      <w:r w:rsidRPr="00F570D6">
        <w:t>.4. Europski poslovi</w:t>
      </w:r>
      <w:bookmarkEnd w:id="293"/>
    </w:p>
    <w:p w14:paraId="426CBCDD" w14:textId="77777777" w:rsidR="008F7E91" w:rsidRDefault="008F7E91" w:rsidP="00702551">
      <w:pPr>
        <w:spacing w:after="240" w:line="276" w:lineRule="auto"/>
        <w:jc w:val="both"/>
      </w:pPr>
      <w:r>
        <w:t xml:space="preserve">Djelatnice HALMED-a sudjeluju kao hrvatski predstavnici u radu Radne skupine komunikacijskih stručnjaka (WGCP) HMA-a, koja okuplja komunikacijske stručnjake nacionalnih regulatornih tijela za lijekove. U izvještajnom razdoblju </w:t>
      </w:r>
      <w:r w:rsidRPr="00AA3D45">
        <w:t>djelatnice HALMED-a sud</w:t>
      </w:r>
      <w:r>
        <w:t>jelovale su na na telekonferencijama radne skupine i EMA-e koje su se u predmetnom razdoblju zbog pitanja iz djelokruga agencija za lijekove i druge aktualne teme održavale na tjednoj razini.</w:t>
      </w:r>
    </w:p>
    <w:p w14:paraId="7ED49BE6" w14:textId="7474136B" w:rsidR="008F7E91" w:rsidRDefault="008F7E91" w:rsidP="00702551">
      <w:pPr>
        <w:spacing w:after="240" w:line="276" w:lineRule="auto"/>
        <w:jc w:val="both"/>
      </w:pPr>
      <w:r>
        <w:t xml:space="preserve">Djelatnica HALMED-a aktivno sudjeluje </w:t>
      </w:r>
      <w:r w:rsidRPr="00335250">
        <w:t xml:space="preserve">u </w:t>
      </w:r>
      <w:r>
        <w:t xml:space="preserve">radu platforme </w:t>
      </w:r>
      <w:r w:rsidRPr="00D16FBD">
        <w:rPr>
          <w:i/>
        </w:rPr>
        <w:t>European Medicines Network International Cooperation Platform</w:t>
      </w:r>
      <w:r w:rsidRPr="00335250">
        <w:t xml:space="preserve"> (IntCoP)</w:t>
      </w:r>
      <w:r>
        <w:t>, kojom koordinira EMA</w:t>
      </w:r>
      <w:r w:rsidRPr="00335250">
        <w:t>.</w:t>
      </w:r>
      <w:r>
        <w:t xml:space="preserve"> Djelatnica HALMED-a sudjeluje u radu </w:t>
      </w:r>
      <w:r w:rsidRPr="000A4A1C">
        <w:rPr>
          <w:i/>
        </w:rPr>
        <w:t>Technical Advisory Group on risk communication, community engagement and infodemic management</w:t>
      </w:r>
      <w:r>
        <w:t xml:space="preserve"> pri WHO European Region. </w:t>
      </w:r>
      <w:bookmarkEnd w:id="284"/>
      <w:bookmarkEnd w:id="285"/>
      <w:bookmarkEnd w:id="286"/>
      <w:bookmarkEnd w:id="287"/>
      <w:bookmarkEnd w:id="288"/>
      <w:bookmarkEnd w:id="289"/>
    </w:p>
    <w:p w14:paraId="3D6DBEF7" w14:textId="77777777" w:rsidR="008F7E91" w:rsidRPr="00F570D6" w:rsidRDefault="008F7E91" w:rsidP="00702551">
      <w:pPr>
        <w:pStyle w:val="Heading3"/>
        <w:spacing w:line="276" w:lineRule="auto"/>
      </w:pPr>
      <w:bookmarkStart w:id="294" w:name="_Toc165035534"/>
      <w:r w:rsidRPr="00F570D6">
        <w:t>2.</w:t>
      </w:r>
      <w:r>
        <w:t>10</w:t>
      </w:r>
      <w:r w:rsidRPr="00F570D6">
        <w:t>.5.Izvršenje prihodovnih usluga</w:t>
      </w:r>
      <w:bookmarkEnd w:id="294"/>
    </w:p>
    <w:p w14:paraId="3643DFAD" w14:textId="77777777" w:rsidR="008F7E91" w:rsidRPr="00B64114" w:rsidRDefault="008F7E91" w:rsidP="00702551">
      <w:pPr>
        <w:spacing w:after="120"/>
        <w:jc w:val="both"/>
        <w:rPr>
          <w:b/>
          <w:lang w:eastAsia="hr-HR"/>
        </w:rPr>
      </w:pPr>
      <w:r w:rsidRPr="00B64114">
        <w:rPr>
          <w:b/>
          <w:lang w:eastAsia="hr-HR"/>
        </w:rPr>
        <w:t xml:space="preserve">Tablica </w:t>
      </w:r>
      <w:r>
        <w:rPr>
          <w:b/>
          <w:lang w:eastAsia="hr-HR"/>
        </w:rPr>
        <w:t>34</w:t>
      </w:r>
      <w:r w:rsidRPr="00B64114">
        <w:rPr>
          <w:b/>
          <w:lang w:eastAsia="hr-HR"/>
        </w:rPr>
        <w:t xml:space="preserve">. </w:t>
      </w:r>
      <w:r>
        <w:rPr>
          <w:b/>
          <w:lang w:eastAsia="hr-HR"/>
        </w:rPr>
        <w:t>I</w:t>
      </w:r>
      <w:r w:rsidRPr="00B64114">
        <w:rPr>
          <w:b/>
          <w:lang w:eastAsia="hr-HR"/>
        </w:rPr>
        <w:t>zvršenj</w:t>
      </w:r>
      <w:r>
        <w:rPr>
          <w:b/>
          <w:lang w:eastAsia="hr-HR"/>
        </w:rPr>
        <w:t>e</w:t>
      </w:r>
      <w:r w:rsidRPr="00B64114">
        <w:rPr>
          <w:b/>
          <w:lang w:eastAsia="hr-HR"/>
        </w:rPr>
        <w:t xml:space="preserve"> edukacijskih tečajeva i d</w:t>
      </w:r>
      <w:r>
        <w:rPr>
          <w:b/>
          <w:lang w:eastAsia="hr-HR"/>
        </w:rPr>
        <w:t xml:space="preserve">avanja stručnih savjeta </w:t>
      </w:r>
    </w:p>
    <w:tbl>
      <w:tblPr>
        <w:tblW w:w="9355" w:type="dxa"/>
        <w:tblInd w:w="-4" w:type="dxa"/>
        <w:tblLook w:val="04A0" w:firstRow="1" w:lastRow="0" w:firstColumn="1" w:lastColumn="0" w:noHBand="0" w:noVBand="1"/>
      </w:tblPr>
      <w:tblGrid>
        <w:gridCol w:w="1067"/>
        <w:gridCol w:w="3327"/>
        <w:gridCol w:w="1701"/>
        <w:gridCol w:w="1701"/>
        <w:gridCol w:w="1559"/>
      </w:tblGrid>
      <w:tr w:rsidR="008F7E91" w:rsidRPr="005E5465" w14:paraId="2C8CC675" w14:textId="77777777" w:rsidTr="004C0219">
        <w:trPr>
          <w:trHeight w:val="575"/>
        </w:trPr>
        <w:tc>
          <w:tcPr>
            <w:tcW w:w="1067" w:type="dxa"/>
            <w:tcBorders>
              <w:top w:val="single" w:sz="4" w:space="0" w:color="auto"/>
              <w:left w:val="single" w:sz="4" w:space="0" w:color="auto"/>
              <w:bottom w:val="single" w:sz="4" w:space="0" w:color="auto"/>
              <w:right w:val="single" w:sz="4" w:space="0" w:color="auto"/>
            </w:tcBorders>
            <w:shd w:val="clear" w:color="000000" w:fill="A3E7FF"/>
            <w:vAlign w:val="center"/>
            <w:hideMark/>
          </w:tcPr>
          <w:p w14:paraId="64E8B06F" w14:textId="77777777" w:rsidR="008F7E91" w:rsidRPr="00F61A20" w:rsidRDefault="008F7E91" w:rsidP="00BA499D">
            <w:pPr>
              <w:jc w:val="center"/>
              <w:rPr>
                <w:rFonts w:eastAsia="Times New Roman" w:cs="Calibri"/>
                <w:b/>
                <w:bCs/>
                <w:color w:val="000000"/>
                <w:sz w:val="18"/>
                <w:szCs w:val="18"/>
                <w:lang w:eastAsia="hr-HR"/>
              </w:rPr>
            </w:pPr>
            <w:r w:rsidRPr="00F61A20">
              <w:rPr>
                <w:rFonts w:eastAsia="Times New Roman" w:cs="Calibri"/>
                <w:b/>
                <w:bCs/>
                <w:color w:val="000000"/>
                <w:sz w:val="18"/>
                <w:szCs w:val="18"/>
                <w:lang w:eastAsia="hr-HR"/>
              </w:rPr>
              <w:t>R.br.</w:t>
            </w:r>
          </w:p>
        </w:tc>
        <w:tc>
          <w:tcPr>
            <w:tcW w:w="3327" w:type="dxa"/>
            <w:tcBorders>
              <w:top w:val="single" w:sz="4" w:space="0" w:color="auto"/>
              <w:left w:val="single" w:sz="4" w:space="0" w:color="auto"/>
              <w:bottom w:val="single" w:sz="4" w:space="0" w:color="auto"/>
              <w:right w:val="single" w:sz="4" w:space="0" w:color="auto"/>
            </w:tcBorders>
            <w:shd w:val="clear" w:color="000000" w:fill="A3E7FF"/>
            <w:vAlign w:val="center"/>
            <w:hideMark/>
          </w:tcPr>
          <w:p w14:paraId="4DC58231" w14:textId="77777777" w:rsidR="008F7E91" w:rsidRPr="00F61A20" w:rsidRDefault="008F7E91" w:rsidP="00BA499D">
            <w:pPr>
              <w:rPr>
                <w:rFonts w:eastAsia="Times New Roman" w:cs="Calibri"/>
                <w:b/>
                <w:bCs/>
                <w:color w:val="000000"/>
                <w:sz w:val="18"/>
                <w:szCs w:val="18"/>
                <w:lang w:eastAsia="hr-HR"/>
              </w:rPr>
            </w:pPr>
            <w:r w:rsidRPr="00F61A20">
              <w:rPr>
                <w:rFonts w:eastAsia="Times New Roman" w:cs="Calibri"/>
                <w:b/>
                <w:bCs/>
                <w:color w:val="000000"/>
                <w:sz w:val="18"/>
                <w:szCs w:val="18"/>
                <w:lang w:eastAsia="hr-HR"/>
              </w:rPr>
              <w:t>Naziv usluge</w:t>
            </w:r>
          </w:p>
        </w:tc>
        <w:tc>
          <w:tcPr>
            <w:tcW w:w="1701" w:type="dxa"/>
            <w:tcBorders>
              <w:top w:val="single" w:sz="4" w:space="0" w:color="auto"/>
              <w:left w:val="single" w:sz="4" w:space="0" w:color="auto"/>
              <w:bottom w:val="single" w:sz="4" w:space="0" w:color="auto"/>
              <w:right w:val="single" w:sz="4" w:space="0" w:color="auto"/>
            </w:tcBorders>
            <w:shd w:val="clear" w:color="000000" w:fill="A3E7FF"/>
            <w:vAlign w:val="center"/>
            <w:hideMark/>
          </w:tcPr>
          <w:p w14:paraId="2D2072E9" w14:textId="77777777" w:rsidR="008F7E91" w:rsidRPr="00F61A20" w:rsidRDefault="008F7E91" w:rsidP="00BA499D">
            <w:pPr>
              <w:jc w:val="center"/>
              <w:rPr>
                <w:rFonts w:eastAsia="Times New Roman" w:cs="Calibri"/>
                <w:b/>
                <w:bCs/>
                <w:color w:val="000000"/>
                <w:sz w:val="18"/>
                <w:szCs w:val="18"/>
                <w:lang w:eastAsia="hr-HR"/>
              </w:rPr>
            </w:pPr>
            <w:r>
              <w:rPr>
                <w:rFonts w:eastAsia="Times New Roman" w:cs="Calibri"/>
                <w:b/>
                <w:bCs/>
                <w:color w:val="000000"/>
                <w:sz w:val="18"/>
                <w:szCs w:val="18"/>
                <w:lang w:eastAsia="hr-HR"/>
              </w:rPr>
              <w:t>Plan za 2023</w:t>
            </w:r>
            <w:r w:rsidRPr="00F61A20">
              <w:rPr>
                <w:rFonts w:eastAsia="Times New Roman" w:cs="Calibri"/>
                <w:b/>
                <w:bCs/>
                <w:color w:val="000000"/>
                <w:sz w:val="18"/>
                <w:szCs w:val="18"/>
                <w:lang w:eastAsia="hr-HR"/>
              </w:rPr>
              <w:t>. godinu</w:t>
            </w:r>
          </w:p>
        </w:tc>
        <w:tc>
          <w:tcPr>
            <w:tcW w:w="1701" w:type="dxa"/>
            <w:tcBorders>
              <w:top w:val="single" w:sz="4" w:space="0" w:color="auto"/>
              <w:left w:val="nil"/>
              <w:bottom w:val="single" w:sz="4" w:space="0" w:color="auto"/>
              <w:right w:val="single" w:sz="4" w:space="0" w:color="auto"/>
            </w:tcBorders>
            <w:shd w:val="clear" w:color="000000" w:fill="A3E7FF"/>
            <w:vAlign w:val="center"/>
            <w:hideMark/>
          </w:tcPr>
          <w:p w14:paraId="50E517B4" w14:textId="77777777" w:rsidR="008F7E91" w:rsidRPr="00F61A20" w:rsidRDefault="008F7E91" w:rsidP="00BA499D">
            <w:pPr>
              <w:jc w:val="center"/>
              <w:rPr>
                <w:rFonts w:eastAsia="Times New Roman" w:cs="Calibri"/>
                <w:b/>
                <w:bCs/>
                <w:color w:val="000000"/>
                <w:sz w:val="18"/>
                <w:szCs w:val="18"/>
                <w:lang w:eastAsia="hr-HR"/>
              </w:rPr>
            </w:pPr>
            <w:r w:rsidRPr="00F61A20">
              <w:rPr>
                <w:rFonts w:eastAsia="Times New Roman" w:cs="Calibri"/>
                <w:b/>
                <w:bCs/>
                <w:color w:val="000000"/>
                <w:sz w:val="18"/>
                <w:szCs w:val="18"/>
                <w:lang w:eastAsia="hr-HR"/>
              </w:rPr>
              <w:t>Izvršenje</w:t>
            </w:r>
          </w:p>
          <w:p w14:paraId="7FCB4408" w14:textId="77777777" w:rsidR="008F7E91" w:rsidRPr="00F61A20" w:rsidRDefault="008F7E91" w:rsidP="00BA499D">
            <w:pPr>
              <w:jc w:val="center"/>
              <w:rPr>
                <w:rFonts w:eastAsia="Times New Roman" w:cs="Calibri"/>
                <w:b/>
                <w:bCs/>
                <w:color w:val="000000"/>
                <w:sz w:val="18"/>
                <w:szCs w:val="18"/>
                <w:lang w:eastAsia="hr-HR"/>
              </w:rPr>
            </w:pPr>
            <w:r>
              <w:rPr>
                <w:rFonts w:eastAsia="Times New Roman" w:cs="Calibri"/>
                <w:b/>
                <w:bCs/>
                <w:color w:val="000000"/>
                <w:sz w:val="18"/>
                <w:szCs w:val="18"/>
                <w:lang w:eastAsia="hr-HR"/>
              </w:rPr>
              <w:t>01.01.-31.12.2023</w:t>
            </w:r>
            <w:r w:rsidRPr="00F61A20">
              <w:rPr>
                <w:rFonts w:eastAsia="Times New Roman" w:cs="Calibri"/>
                <w:b/>
                <w:bCs/>
                <w:color w:val="000000"/>
                <w:sz w:val="18"/>
                <w:szCs w:val="18"/>
                <w:lang w:eastAsia="hr-HR"/>
              </w:rPr>
              <w:t>. g.</w:t>
            </w:r>
          </w:p>
        </w:tc>
        <w:tc>
          <w:tcPr>
            <w:tcW w:w="1559" w:type="dxa"/>
            <w:tcBorders>
              <w:top w:val="single" w:sz="4" w:space="0" w:color="auto"/>
              <w:left w:val="single" w:sz="4" w:space="0" w:color="auto"/>
              <w:bottom w:val="single" w:sz="4" w:space="0" w:color="auto"/>
              <w:right w:val="single" w:sz="4" w:space="0" w:color="auto"/>
            </w:tcBorders>
            <w:shd w:val="clear" w:color="000000" w:fill="A3E7FF"/>
            <w:vAlign w:val="center"/>
            <w:hideMark/>
          </w:tcPr>
          <w:p w14:paraId="33FDD979" w14:textId="77777777" w:rsidR="008F7E91" w:rsidRPr="00F61A20" w:rsidRDefault="008F7E91" w:rsidP="00BA499D">
            <w:pPr>
              <w:jc w:val="center"/>
              <w:rPr>
                <w:rFonts w:eastAsia="Times New Roman" w:cs="Calibri"/>
                <w:b/>
                <w:bCs/>
                <w:color w:val="000000"/>
                <w:sz w:val="18"/>
                <w:szCs w:val="18"/>
                <w:lang w:eastAsia="hr-HR"/>
              </w:rPr>
            </w:pPr>
            <w:r w:rsidRPr="00F61A20">
              <w:rPr>
                <w:rFonts w:eastAsia="Times New Roman" w:cs="Calibri"/>
                <w:b/>
                <w:bCs/>
                <w:color w:val="000000"/>
                <w:sz w:val="18"/>
                <w:szCs w:val="18"/>
                <w:lang w:eastAsia="hr-HR"/>
              </w:rPr>
              <w:t>% izvršenja</w:t>
            </w:r>
          </w:p>
        </w:tc>
      </w:tr>
      <w:tr w:rsidR="008F7E91" w:rsidRPr="005E5465" w14:paraId="200596DB" w14:textId="77777777" w:rsidTr="004C0219">
        <w:trPr>
          <w:trHeight w:val="142"/>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14:paraId="2FA645A1" w14:textId="77777777" w:rsidR="008F7E91" w:rsidRPr="005E5465" w:rsidRDefault="008F7E91" w:rsidP="00BA499D">
            <w:pPr>
              <w:jc w:val="center"/>
              <w:rPr>
                <w:rFonts w:ascii="Calibri" w:eastAsia="Times New Roman" w:hAnsi="Calibri" w:cs="Calibri"/>
                <w:color w:val="000000"/>
                <w:sz w:val="18"/>
                <w:szCs w:val="18"/>
                <w:lang w:eastAsia="hr-HR"/>
              </w:rPr>
            </w:pPr>
            <w:r w:rsidRPr="005E5465">
              <w:rPr>
                <w:rFonts w:ascii="Calibri" w:eastAsia="Times New Roman" w:hAnsi="Calibri" w:cs="Calibri"/>
                <w:color w:val="000000"/>
                <w:sz w:val="18"/>
                <w:szCs w:val="18"/>
                <w:lang w:eastAsia="hr-HR"/>
              </w:rPr>
              <w:t>1.</w:t>
            </w:r>
          </w:p>
        </w:tc>
        <w:tc>
          <w:tcPr>
            <w:tcW w:w="3327" w:type="dxa"/>
            <w:tcBorders>
              <w:top w:val="nil"/>
              <w:left w:val="nil"/>
              <w:bottom w:val="single" w:sz="4" w:space="0" w:color="auto"/>
              <w:right w:val="single" w:sz="4" w:space="0" w:color="auto"/>
            </w:tcBorders>
            <w:shd w:val="clear" w:color="auto" w:fill="auto"/>
            <w:vAlign w:val="center"/>
            <w:hideMark/>
          </w:tcPr>
          <w:p w14:paraId="18CA0423" w14:textId="77777777" w:rsidR="008F7E91" w:rsidRPr="004810F9" w:rsidRDefault="008F7E91" w:rsidP="00BA499D">
            <w:pPr>
              <w:rPr>
                <w:rFonts w:ascii="Calibri" w:eastAsia="Times New Roman" w:hAnsi="Calibri" w:cs="Calibri"/>
                <w:color w:val="000000"/>
                <w:sz w:val="18"/>
                <w:szCs w:val="18"/>
                <w:lang w:eastAsia="hr-HR"/>
              </w:rPr>
            </w:pPr>
            <w:r w:rsidRPr="004810F9">
              <w:rPr>
                <w:rFonts w:ascii="Calibri" w:eastAsia="Times New Roman" w:hAnsi="Calibri" w:cs="Calibri"/>
                <w:color w:val="000000"/>
                <w:sz w:val="18"/>
                <w:szCs w:val="18"/>
                <w:lang w:eastAsia="hr-HR"/>
              </w:rPr>
              <w:t>Poludnevna edukacija</w:t>
            </w:r>
          </w:p>
        </w:tc>
        <w:tc>
          <w:tcPr>
            <w:tcW w:w="1701" w:type="dxa"/>
            <w:tcBorders>
              <w:top w:val="nil"/>
              <w:left w:val="nil"/>
              <w:bottom w:val="single" w:sz="4" w:space="0" w:color="auto"/>
              <w:right w:val="single" w:sz="4" w:space="0" w:color="auto"/>
            </w:tcBorders>
            <w:shd w:val="clear" w:color="auto" w:fill="auto"/>
            <w:noWrap/>
            <w:vAlign w:val="center"/>
          </w:tcPr>
          <w:p w14:paraId="190D739B" w14:textId="77777777" w:rsidR="008F7E91" w:rsidRPr="007E3043" w:rsidRDefault="008F7E91" w:rsidP="00BA499D">
            <w:pPr>
              <w:jc w:val="center"/>
              <w:rPr>
                <w:sz w:val="18"/>
                <w:szCs w:val="18"/>
              </w:rPr>
            </w:pPr>
            <w:r w:rsidRPr="00CF73B9">
              <w:rPr>
                <w:bCs/>
                <w:sz w:val="18"/>
                <w:szCs w:val="18"/>
              </w:rPr>
              <w:t>290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418C053" w14:textId="77777777" w:rsidR="008F7E91" w:rsidRPr="00377461" w:rsidRDefault="008F7E91" w:rsidP="00BA499D">
            <w:pPr>
              <w:jc w:val="center"/>
              <w:rPr>
                <w:bCs/>
                <w:sz w:val="18"/>
                <w:szCs w:val="18"/>
              </w:rPr>
            </w:pPr>
            <w:r w:rsidRPr="000B035F">
              <w:rPr>
                <w:bCs/>
                <w:sz w:val="20"/>
                <w:szCs w:val="20"/>
              </w:rPr>
              <w:t>11</w:t>
            </w:r>
          </w:p>
        </w:tc>
        <w:tc>
          <w:tcPr>
            <w:tcW w:w="1559" w:type="dxa"/>
            <w:tcBorders>
              <w:top w:val="nil"/>
              <w:left w:val="nil"/>
              <w:bottom w:val="single" w:sz="4" w:space="0" w:color="auto"/>
              <w:right w:val="single" w:sz="4" w:space="0" w:color="auto"/>
            </w:tcBorders>
            <w:shd w:val="clear" w:color="auto" w:fill="auto"/>
            <w:noWrap/>
            <w:vAlign w:val="center"/>
          </w:tcPr>
          <w:p w14:paraId="349700C7" w14:textId="77777777" w:rsidR="008F7E91" w:rsidRPr="00377461" w:rsidRDefault="008F7E91" w:rsidP="00BA499D">
            <w:pPr>
              <w:jc w:val="center"/>
              <w:rPr>
                <w:sz w:val="18"/>
                <w:szCs w:val="18"/>
              </w:rPr>
            </w:pPr>
            <w:r w:rsidRPr="00377461">
              <w:rPr>
                <w:sz w:val="20"/>
                <w:szCs w:val="20"/>
              </w:rPr>
              <w:t>4%</w:t>
            </w:r>
          </w:p>
        </w:tc>
      </w:tr>
      <w:tr w:rsidR="008F7E91" w:rsidRPr="005E5465" w14:paraId="62E14BD9" w14:textId="77777777" w:rsidTr="004C0219">
        <w:trPr>
          <w:trHeight w:val="142"/>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14:paraId="11790AC1" w14:textId="77777777" w:rsidR="008F7E91" w:rsidRPr="005E5465" w:rsidRDefault="008F7E91" w:rsidP="00BA499D">
            <w:pPr>
              <w:jc w:val="center"/>
              <w:rPr>
                <w:rFonts w:ascii="Calibri" w:eastAsia="Times New Roman" w:hAnsi="Calibri" w:cs="Calibri"/>
                <w:color w:val="000000"/>
                <w:sz w:val="18"/>
                <w:szCs w:val="18"/>
                <w:lang w:eastAsia="hr-HR"/>
              </w:rPr>
            </w:pPr>
            <w:r w:rsidRPr="005E5465">
              <w:rPr>
                <w:rFonts w:ascii="Calibri" w:eastAsia="Times New Roman" w:hAnsi="Calibri" w:cs="Calibri"/>
                <w:color w:val="000000"/>
                <w:sz w:val="18"/>
                <w:szCs w:val="18"/>
                <w:lang w:eastAsia="hr-HR"/>
              </w:rPr>
              <w:t>2.</w:t>
            </w:r>
          </w:p>
        </w:tc>
        <w:tc>
          <w:tcPr>
            <w:tcW w:w="3327" w:type="dxa"/>
            <w:tcBorders>
              <w:top w:val="nil"/>
              <w:left w:val="nil"/>
              <w:bottom w:val="single" w:sz="4" w:space="0" w:color="auto"/>
              <w:right w:val="single" w:sz="4" w:space="0" w:color="auto"/>
            </w:tcBorders>
            <w:shd w:val="clear" w:color="auto" w:fill="auto"/>
            <w:vAlign w:val="center"/>
            <w:hideMark/>
          </w:tcPr>
          <w:p w14:paraId="6B9E549E" w14:textId="77777777" w:rsidR="008F7E91" w:rsidRPr="004810F9" w:rsidRDefault="008F7E91" w:rsidP="00BA499D">
            <w:pPr>
              <w:rPr>
                <w:rFonts w:ascii="Calibri" w:eastAsia="Times New Roman" w:hAnsi="Calibri" w:cs="Calibri"/>
                <w:color w:val="000000"/>
                <w:sz w:val="18"/>
                <w:szCs w:val="18"/>
                <w:lang w:eastAsia="hr-HR"/>
              </w:rPr>
            </w:pPr>
            <w:r w:rsidRPr="004810F9">
              <w:rPr>
                <w:rFonts w:ascii="Calibri" w:eastAsia="Times New Roman" w:hAnsi="Calibri" w:cs="Calibri"/>
                <w:color w:val="000000"/>
                <w:sz w:val="18"/>
                <w:szCs w:val="18"/>
                <w:lang w:eastAsia="hr-HR"/>
              </w:rPr>
              <w:t>Edukacija do 3 dana</w:t>
            </w:r>
          </w:p>
        </w:tc>
        <w:tc>
          <w:tcPr>
            <w:tcW w:w="1701" w:type="dxa"/>
            <w:tcBorders>
              <w:top w:val="nil"/>
              <w:left w:val="nil"/>
              <w:bottom w:val="single" w:sz="4" w:space="0" w:color="auto"/>
              <w:right w:val="single" w:sz="4" w:space="0" w:color="auto"/>
            </w:tcBorders>
            <w:shd w:val="clear" w:color="auto" w:fill="auto"/>
            <w:noWrap/>
            <w:vAlign w:val="center"/>
          </w:tcPr>
          <w:p w14:paraId="34212EAE" w14:textId="77777777" w:rsidR="008F7E91" w:rsidRPr="007E3043" w:rsidRDefault="008F7E91" w:rsidP="00BA499D">
            <w:pPr>
              <w:jc w:val="center"/>
              <w:rPr>
                <w:bCs/>
                <w:sz w:val="18"/>
                <w:szCs w:val="18"/>
              </w:rPr>
            </w:pPr>
            <w:r w:rsidRPr="007E3043">
              <w:rPr>
                <w:bCs/>
                <w:sz w:val="18"/>
                <w:szCs w:val="18"/>
              </w:rPr>
              <w:t>200</w:t>
            </w:r>
          </w:p>
        </w:tc>
        <w:tc>
          <w:tcPr>
            <w:tcW w:w="1701" w:type="dxa"/>
            <w:tcBorders>
              <w:top w:val="nil"/>
              <w:left w:val="nil"/>
              <w:bottom w:val="single" w:sz="4" w:space="0" w:color="auto"/>
              <w:right w:val="single" w:sz="4" w:space="0" w:color="auto"/>
            </w:tcBorders>
            <w:shd w:val="clear" w:color="auto" w:fill="auto"/>
            <w:noWrap/>
            <w:vAlign w:val="center"/>
          </w:tcPr>
          <w:p w14:paraId="780897A8" w14:textId="77777777" w:rsidR="008F7E91" w:rsidRPr="007E3043" w:rsidRDefault="008F7E91" w:rsidP="00BA499D">
            <w:pPr>
              <w:jc w:val="center"/>
              <w:rPr>
                <w:bCs/>
                <w:sz w:val="18"/>
                <w:szCs w:val="18"/>
              </w:rPr>
            </w:pPr>
            <w:r>
              <w:rPr>
                <w:sz w:val="20"/>
                <w:szCs w:val="20"/>
              </w:rPr>
              <w:t>322</w:t>
            </w:r>
          </w:p>
        </w:tc>
        <w:tc>
          <w:tcPr>
            <w:tcW w:w="1559" w:type="dxa"/>
            <w:tcBorders>
              <w:top w:val="nil"/>
              <w:left w:val="nil"/>
              <w:bottom w:val="single" w:sz="4" w:space="0" w:color="auto"/>
              <w:right w:val="single" w:sz="4" w:space="0" w:color="auto"/>
            </w:tcBorders>
            <w:shd w:val="clear" w:color="auto" w:fill="auto"/>
            <w:noWrap/>
            <w:vAlign w:val="center"/>
          </w:tcPr>
          <w:p w14:paraId="7CAF0F0C" w14:textId="77777777" w:rsidR="008F7E91" w:rsidRPr="007E3043" w:rsidRDefault="008F7E91" w:rsidP="00BA499D">
            <w:pPr>
              <w:jc w:val="center"/>
              <w:rPr>
                <w:bCs/>
                <w:sz w:val="18"/>
                <w:szCs w:val="18"/>
              </w:rPr>
            </w:pPr>
            <w:r>
              <w:rPr>
                <w:sz w:val="20"/>
                <w:szCs w:val="20"/>
              </w:rPr>
              <w:t>161%</w:t>
            </w:r>
          </w:p>
        </w:tc>
      </w:tr>
      <w:tr w:rsidR="008F7E91" w:rsidRPr="005E5465" w14:paraId="4596F9C4" w14:textId="77777777" w:rsidTr="004C0219">
        <w:trPr>
          <w:trHeight w:val="142"/>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14:paraId="7827B3D9" w14:textId="77777777" w:rsidR="008F7E91" w:rsidRPr="005E5465" w:rsidRDefault="008F7E91" w:rsidP="00BA499D">
            <w:pPr>
              <w:jc w:val="center"/>
              <w:rPr>
                <w:rFonts w:ascii="Calibri" w:eastAsia="Times New Roman" w:hAnsi="Calibri" w:cs="Calibri"/>
                <w:color w:val="000000"/>
                <w:sz w:val="18"/>
                <w:szCs w:val="18"/>
                <w:lang w:eastAsia="hr-HR"/>
              </w:rPr>
            </w:pPr>
            <w:r w:rsidRPr="005E5465">
              <w:rPr>
                <w:rFonts w:ascii="Calibri" w:eastAsia="Times New Roman" w:hAnsi="Calibri" w:cs="Calibri"/>
                <w:color w:val="000000"/>
                <w:sz w:val="18"/>
                <w:szCs w:val="18"/>
                <w:lang w:eastAsia="hr-HR"/>
              </w:rPr>
              <w:t>3.</w:t>
            </w:r>
          </w:p>
        </w:tc>
        <w:tc>
          <w:tcPr>
            <w:tcW w:w="3327" w:type="dxa"/>
            <w:tcBorders>
              <w:top w:val="nil"/>
              <w:left w:val="nil"/>
              <w:bottom w:val="single" w:sz="4" w:space="0" w:color="auto"/>
              <w:right w:val="single" w:sz="4" w:space="0" w:color="auto"/>
            </w:tcBorders>
            <w:shd w:val="clear" w:color="auto" w:fill="auto"/>
            <w:vAlign w:val="center"/>
            <w:hideMark/>
          </w:tcPr>
          <w:p w14:paraId="262B7AE1" w14:textId="77777777" w:rsidR="008F7E91" w:rsidRPr="004810F9" w:rsidRDefault="008F7E91" w:rsidP="00BA499D">
            <w:pPr>
              <w:rPr>
                <w:rFonts w:ascii="Calibri" w:eastAsia="Times New Roman" w:hAnsi="Calibri" w:cs="Calibri"/>
                <w:color w:val="000000"/>
                <w:sz w:val="18"/>
                <w:szCs w:val="18"/>
                <w:lang w:eastAsia="hr-HR"/>
              </w:rPr>
            </w:pPr>
            <w:r w:rsidRPr="004810F9">
              <w:rPr>
                <w:rFonts w:ascii="Calibri" w:eastAsia="Times New Roman" w:hAnsi="Calibri" w:cs="Calibri"/>
                <w:color w:val="000000"/>
                <w:sz w:val="18"/>
                <w:szCs w:val="18"/>
                <w:lang w:eastAsia="hr-HR"/>
              </w:rPr>
              <w:t>Edukacija s međunarodnim sudjelovanjem</w:t>
            </w:r>
          </w:p>
        </w:tc>
        <w:tc>
          <w:tcPr>
            <w:tcW w:w="1701" w:type="dxa"/>
            <w:tcBorders>
              <w:top w:val="nil"/>
              <w:left w:val="nil"/>
              <w:bottom w:val="single" w:sz="4" w:space="0" w:color="auto"/>
              <w:right w:val="single" w:sz="4" w:space="0" w:color="auto"/>
            </w:tcBorders>
            <w:shd w:val="clear" w:color="auto" w:fill="auto"/>
            <w:noWrap/>
            <w:vAlign w:val="center"/>
          </w:tcPr>
          <w:p w14:paraId="6D15C4B4" w14:textId="77777777" w:rsidR="008F7E91" w:rsidRPr="007E3043" w:rsidRDefault="008F7E91" w:rsidP="00BA499D">
            <w:pPr>
              <w:jc w:val="center"/>
              <w:rPr>
                <w:bCs/>
                <w:sz w:val="18"/>
                <w:szCs w:val="18"/>
              </w:rPr>
            </w:pPr>
            <w:r w:rsidRPr="007E3043">
              <w:rPr>
                <w:bCs/>
                <w:sz w:val="18"/>
                <w:szCs w:val="18"/>
              </w:rPr>
              <w:t>0</w:t>
            </w:r>
          </w:p>
        </w:tc>
        <w:tc>
          <w:tcPr>
            <w:tcW w:w="1701" w:type="dxa"/>
            <w:tcBorders>
              <w:top w:val="nil"/>
              <w:left w:val="nil"/>
              <w:bottom w:val="single" w:sz="4" w:space="0" w:color="auto"/>
              <w:right w:val="single" w:sz="4" w:space="0" w:color="auto"/>
            </w:tcBorders>
            <w:shd w:val="clear" w:color="auto" w:fill="auto"/>
            <w:noWrap/>
            <w:vAlign w:val="center"/>
          </w:tcPr>
          <w:p w14:paraId="77282BB7" w14:textId="77777777" w:rsidR="008F7E91" w:rsidRPr="007E3043" w:rsidRDefault="008F7E91" w:rsidP="00BA499D">
            <w:pPr>
              <w:jc w:val="center"/>
              <w:rPr>
                <w:bCs/>
                <w:sz w:val="18"/>
                <w:szCs w:val="18"/>
              </w:rPr>
            </w:pPr>
            <w:r>
              <w:rPr>
                <w:bCs/>
                <w:sz w:val="18"/>
                <w:szCs w:val="18"/>
              </w:rPr>
              <w:t>0</w:t>
            </w:r>
          </w:p>
        </w:tc>
        <w:tc>
          <w:tcPr>
            <w:tcW w:w="1559" w:type="dxa"/>
            <w:tcBorders>
              <w:top w:val="nil"/>
              <w:left w:val="nil"/>
              <w:bottom w:val="single" w:sz="4" w:space="0" w:color="auto"/>
              <w:right w:val="single" w:sz="4" w:space="0" w:color="auto"/>
            </w:tcBorders>
            <w:shd w:val="clear" w:color="auto" w:fill="auto"/>
            <w:noWrap/>
            <w:vAlign w:val="center"/>
          </w:tcPr>
          <w:p w14:paraId="5B221546" w14:textId="77777777" w:rsidR="008F7E91" w:rsidRPr="007E3043" w:rsidRDefault="008F7E91" w:rsidP="00BA499D">
            <w:pPr>
              <w:jc w:val="center"/>
              <w:rPr>
                <w:bCs/>
                <w:sz w:val="18"/>
                <w:szCs w:val="18"/>
              </w:rPr>
            </w:pPr>
            <w:r>
              <w:rPr>
                <w:bCs/>
                <w:sz w:val="18"/>
                <w:szCs w:val="18"/>
              </w:rPr>
              <w:t>-</w:t>
            </w:r>
          </w:p>
        </w:tc>
      </w:tr>
      <w:tr w:rsidR="008F7E91" w:rsidRPr="005E5465" w14:paraId="36C15A13" w14:textId="77777777" w:rsidTr="004C0219">
        <w:trPr>
          <w:trHeight w:val="142"/>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14:paraId="4BF8BE27" w14:textId="77777777" w:rsidR="008F7E91" w:rsidRPr="005E5465" w:rsidRDefault="008F7E91" w:rsidP="00BA499D">
            <w:pPr>
              <w:jc w:val="center"/>
              <w:rPr>
                <w:rFonts w:ascii="Calibri" w:eastAsia="Times New Roman" w:hAnsi="Calibri" w:cs="Calibri"/>
                <w:color w:val="000000"/>
                <w:sz w:val="18"/>
                <w:szCs w:val="18"/>
                <w:lang w:eastAsia="hr-HR"/>
              </w:rPr>
            </w:pPr>
            <w:r w:rsidRPr="005E5465">
              <w:rPr>
                <w:rFonts w:ascii="Calibri" w:eastAsia="Times New Roman" w:hAnsi="Calibri" w:cs="Calibri"/>
                <w:color w:val="000000"/>
                <w:sz w:val="18"/>
                <w:szCs w:val="18"/>
                <w:lang w:eastAsia="hr-HR"/>
              </w:rPr>
              <w:t>4.</w:t>
            </w:r>
          </w:p>
        </w:tc>
        <w:tc>
          <w:tcPr>
            <w:tcW w:w="3327" w:type="dxa"/>
            <w:tcBorders>
              <w:top w:val="nil"/>
              <w:left w:val="nil"/>
              <w:bottom w:val="single" w:sz="4" w:space="0" w:color="auto"/>
              <w:right w:val="single" w:sz="4" w:space="0" w:color="auto"/>
            </w:tcBorders>
            <w:shd w:val="clear" w:color="auto" w:fill="auto"/>
            <w:vAlign w:val="center"/>
            <w:hideMark/>
          </w:tcPr>
          <w:p w14:paraId="20A3B1DD" w14:textId="77777777" w:rsidR="008F7E91" w:rsidRPr="004810F9" w:rsidRDefault="008F7E91" w:rsidP="00BA499D">
            <w:pPr>
              <w:rPr>
                <w:rFonts w:ascii="Calibri" w:eastAsia="Times New Roman" w:hAnsi="Calibri" w:cs="Calibri"/>
                <w:color w:val="000000"/>
                <w:sz w:val="18"/>
                <w:szCs w:val="18"/>
                <w:lang w:eastAsia="hr-HR"/>
              </w:rPr>
            </w:pPr>
            <w:r w:rsidRPr="004810F9">
              <w:rPr>
                <w:rFonts w:ascii="Calibri" w:eastAsia="Times New Roman" w:hAnsi="Calibri" w:cs="Calibri"/>
                <w:color w:val="000000"/>
                <w:sz w:val="18"/>
                <w:szCs w:val="18"/>
                <w:lang w:eastAsia="hr-HR"/>
              </w:rPr>
              <w:t>Stručni savjet prije pokretanja postupka iz nadležnosti rada HALMED-a</w:t>
            </w:r>
          </w:p>
        </w:tc>
        <w:tc>
          <w:tcPr>
            <w:tcW w:w="1701" w:type="dxa"/>
            <w:tcBorders>
              <w:top w:val="nil"/>
              <w:left w:val="nil"/>
              <w:bottom w:val="single" w:sz="4" w:space="0" w:color="auto"/>
              <w:right w:val="single" w:sz="4" w:space="0" w:color="auto"/>
            </w:tcBorders>
            <w:shd w:val="clear" w:color="auto" w:fill="auto"/>
            <w:noWrap/>
            <w:vAlign w:val="center"/>
          </w:tcPr>
          <w:p w14:paraId="42EB4101" w14:textId="77777777" w:rsidR="008F7E91" w:rsidRPr="007E3043" w:rsidRDefault="008F7E91" w:rsidP="00BA499D">
            <w:pPr>
              <w:jc w:val="center"/>
              <w:rPr>
                <w:sz w:val="18"/>
                <w:szCs w:val="18"/>
              </w:rPr>
            </w:pPr>
            <w:r w:rsidRPr="007E3043">
              <w:rPr>
                <w:sz w:val="18"/>
                <w:szCs w:val="18"/>
              </w:rPr>
              <w:t>9</w:t>
            </w:r>
          </w:p>
        </w:tc>
        <w:tc>
          <w:tcPr>
            <w:tcW w:w="1701" w:type="dxa"/>
            <w:tcBorders>
              <w:top w:val="nil"/>
              <w:left w:val="nil"/>
              <w:bottom w:val="single" w:sz="4" w:space="0" w:color="auto"/>
              <w:right w:val="single" w:sz="4" w:space="0" w:color="auto"/>
            </w:tcBorders>
            <w:shd w:val="clear" w:color="auto" w:fill="auto"/>
            <w:noWrap/>
            <w:vAlign w:val="center"/>
          </w:tcPr>
          <w:p w14:paraId="56299569" w14:textId="77777777" w:rsidR="008F7E91" w:rsidRPr="007E3043" w:rsidRDefault="008F7E91" w:rsidP="00BA499D">
            <w:pPr>
              <w:jc w:val="center"/>
              <w:rPr>
                <w:sz w:val="18"/>
                <w:szCs w:val="18"/>
              </w:rPr>
            </w:pPr>
            <w:r>
              <w:rPr>
                <w:sz w:val="20"/>
                <w:szCs w:val="20"/>
              </w:rPr>
              <w:t>14</w:t>
            </w:r>
          </w:p>
        </w:tc>
        <w:tc>
          <w:tcPr>
            <w:tcW w:w="1559" w:type="dxa"/>
            <w:tcBorders>
              <w:top w:val="nil"/>
              <w:left w:val="nil"/>
              <w:bottom w:val="single" w:sz="4" w:space="0" w:color="auto"/>
              <w:right w:val="single" w:sz="4" w:space="0" w:color="auto"/>
            </w:tcBorders>
            <w:shd w:val="clear" w:color="auto" w:fill="auto"/>
            <w:noWrap/>
            <w:vAlign w:val="center"/>
          </w:tcPr>
          <w:p w14:paraId="1455B304" w14:textId="77777777" w:rsidR="008F7E91" w:rsidRPr="007E3043" w:rsidRDefault="008F7E91" w:rsidP="00BA499D">
            <w:pPr>
              <w:jc w:val="center"/>
              <w:rPr>
                <w:sz w:val="18"/>
                <w:szCs w:val="18"/>
              </w:rPr>
            </w:pPr>
            <w:r>
              <w:rPr>
                <w:sz w:val="20"/>
                <w:szCs w:val="20"/>
              </w:rPr>
              <w:t>156%</w:t>
            </w:r>
          </w:p>
        </w:tc>
      </w:tr>
      <w:tr w:rsidR="008F7E91" w:rsidRPr="005E5465" w14:paraId="327EDEAB" w14:textId="77777777" w:rsidTr="004C0219">
        <w:trPr>
          <w:trHeight w:val="300"/>
        </w:trPr>
        <w:tc>
          <w:tcPr>
            <w:tcW w:w="4394"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2A95887" w14:textId="77777777" w:rsidR="008F7E91" w:rsidRPr="004859AA" w:rsidRDefault="008F7E91" w:rsidP="00BA499D">
            <w:pPr>
              <w:rPr>
                <w:rFonts w:ascii="Calibri" w:eastAsia="Times New Roman" w:hAnsi="Calibri" w:cs="Calibri"/>
                <w:b/>
                <w:bCs/>
                <w:color w:val="000000"/>
                <w:sz w:val="20"/>
                <w:szCs w:val="20"/>
                <w:lang w:eastAsia="hr-HR"/>
              </w:rPr>
            </w:pPr>
            <w:r w:rsidRPr="004859AA">
              <w:rPr>
                <w:rFonts w:ascii="Calibri" w:eastAsia="Times New Roman" w:hAnsi="Calibri" w:cs="Calibri"/>
                <w:b/>
                <w:bCs/>
                <w:color w:val="000000"/>
                <w:sz w:val="20"/>
                <w:szCs w:val="20"/>
                <w:lang w:eastAsia="hr-HR"/>
              </w:rPr>
              <w:t>UKUPNO:</w:t>
            </w:r>
          </w:p>
        </w:tc>
        <w:tc>
          <w:tcPr>
            <w:tcW w:w="1701" w:type="dxa"/>
            <w:tcBorders>
              <w:top w:val="nil"/>
              <w:left w:val="nil"/>
              <w:bottom w:val="single" w:sz="4" w:space="0" w:color="auto"/>
              <w:right w:val="single" w:sz="4" w:space="0" w:color="auto"/>
            </w:tcBorders>
            <w:shd w:val="clear" w:color="auto" w:fill="BFBFBF"/>
            <w:noWrap/>
            <w:vAlign w:val="center"/>
          </w:tcPr>
          <w:p w14:paraId="25B613C7" w14:textId="77777777" w:rsidR="008F7E91" w:rsidRPr="000E5121" w:rsidRDefault="008F7E91" w:rsidP="00BA499D">
            <w:pPr>
              <w:jc w:val="center"/>
              <w:rPr>
                <w:b/>
                <w:bCs/>
                <w:sz w:val="20"/>
                <w:szCs w:val="20"/>
              </w:rPr>
            </w:pPr>
            <w:r>
              <w:rPr>
                <w:b/>
                <w:bCs/>
                <w:sz w:val="20"/>
                <w:szCs w:val="20"/>
              </w:rPr>
              <w:t>499</w:t>
            </w:r>
          </w:p>
        </w:tc>
        <w:tc>
          <w:tcPr>
            <w:tcW w:w="1701" w:type="dxa"/>
            <w:tcBorders>
              <w:top w:val="nil"/>
              <w:left w:val="nil"/>
              <w:bottom w:val="single" w:sz="4" w:space="0" w:color="auto"/>
              <w:right w:val="single" w:sz="4" w:space="0" w:color="auto"/>
            </w:tcBorders>
            <w:shd w:val="clear" w:color="auto" w:fill="BFBFBF"/>
            <w:noWrap/>
            <w:vAlign w:val="center"/>
          </w:tcPr>
          <w:p w14:paraId="55217FE0" w14:textId="77777777" w:rsidR="008F7E91" w:rsidRPr="00377461" w:rsidRDefault="008F7E91" w:rsidP="00BA499D">
            <w:pPr>
              <w:jc w:val="center"/>
              <w:rPr>
                <w:b/>
                <w:bCs/>
                <w:sz w:val="20"/>
                <w:szCs w:val="20"/>
              </w:rPr>
            </w:pPr>
            <w:r w:rsidRPr="00377461">
              <w:rPr>
                <w:b/>
                <w:bCs/>
                <w:sz w:val="20"/>
                <w:szCs w:val="20"/>
              </w:rPr>
              <w:t>347</w:t>
            </w:r>
          </w:p>
        </w:tc>
        <w:tc>
          <w:tcPr>
            <w:tcW w:w="1559" w:type="dxa"/>
            <w:tcBorders>
              <w:top w:val="nil"/>
              <w:left w:val="nil"/>
              <w:bottom w:val="single" w:sz="4" w:space="0" w:color="auto"/>
              <w:right w:val="single" w:sz="4" w:space="0" w:color="auto"/>
            </w:tcBorders>
            <w:shd w:val="clear" w:color="auto" w:fill="BFBFBF"/>
            <w:noWrap/>
            <w:vAlign w:val="center"/>
          </w:tcPr>
          <w:p w14:paraId="01339244" w14:textId="77777777" w:rsidR="008F7E91" w:rsidRPr="00377461" w:rsidRDefault="008F7E91" w:rsidP="00BA499D">
            <w:pPr>
              <w:jc w:val="center"/>
              <w:rPr>
                <w:b/>
                <w:sz w:val="20"/>
                <w:szCs w:val="20"/>
              </w:rPr>
            </w:pPr>
            <w:r w:rsidRPr="000B035F">
              <w:rPr>
                <w:b/>
                <w:sz w:val="20"/>
                <w:szCs w:val="20"/>
              </w:rPr>
              <w:t>70%</w:t>
            </w:r>
          </w:p>
        </w:tc>
      </w:tr>
    </w:tbl>
    <w:p w14:paraId="48312727" w14:textId="77777777" w:rsidR="008F7E91" w:rsidRDefault="008F7E91" w:rsidP="00702551"/>
    <w:p w14:paraId="4BAA34A3" w14:textId="2792E8AC" w:rsidR="008F7E91" w:rsidRDefault="008F7E91" w:rsidP="00702551"/>
    <w:p w14:paraId="49F4D8AA" w14:textId="6BF9A1C9" w:rsidR="004C0219" w:rsidRDefault="004C0219" w:rsidP="00702551"/>
    <w:p w14:paraId="62C08538" w14:textId="7A51CC14" w:rsidR="004C0219" w:rsidRDefault="004C0219" w:rsidP="00702551"/>
    <w:p w14:paraId="2F0F2582" w14:textId="713083E3" w:rsidR="004C0219" w:rsidRDefault="004C0219" w:rsidP="00702551"/>
    <w:p w14:paraId="6D408436" w14:textId="51108C96" w:rsidR="004C0219" w:rsidRDefault="004C0219" w:rsidP="00702551"/>
    <w:p w14:paraId="02EE471D" w14:textId="3A29B906" w:rsidR="004C0219" w:rsidRDefault="004C0219" w:rsidP="00702551"/>
    <w:p w14:paraId="6DABFB4F" w14:textId="002B877E" w:rsidR="004C0219" w:rsidRDefault="004C0219" w:rsidP="00702551"/>
    <w:p w14:paraId="20F99B75" w14:textId="77777777" w:rsidR="004C0219" w:rsidRDefault="004C0219" w:rsidP="00702551"/>
    <w:p w14:paraId="744B626A" w14:textId="77777777" w:rsidR="00F60C53" w:rsidRPr="006635A4" w:rsidRDefault="00F60C53" w:rsidP="00F60C53">
      <w:pPr>
        <w:keepNext/>
        <w:keepLines/>
        <w:spacing w:before="240" w:after="240"/>
        <w:outlineLvl w:val="1"/>
        <w:rPr>
          <w:rFonts w:eastAsiaTheme="majorEastAsia" w:cstheme="minorHAnsi"/>
          <w:bCs/>
          <w:color w:val="4472C4" w:themeColor="accent5"/>
          <w:sz w:val="32"/>
          <w:szCs w:val="32"/>
        </w:rPr>
      </w:pPr>
      <w:bookmarkStart w:id="295" w:name="_Toc165035535"/>
      <w:r w:rsidRPr="006635A4">
        <w:rPr>
          <w:rFonts w:eastAsiaTheme="majorEastAsia" w:cstheme="minorHAnsi"/>
          <w:bCs/>
          <w:color w:val="4472C4" w:themeColor="accent5"/>
          <w:sz w:val="32"/>
          <w:szCs w:val="32"/>
        </w:rPr>
        <w:lastRenderedPageBreak/>
        <w:t>2.1</w:t>
      </w:r>
      <w:r>
        <w:rPr>
          <w:rFonts w:eastAsiaTheme="majorEastAsia" w:cstheme="minorHAnsi"/>
          <w:bCs/>
          <w:color w:val="4472C4" w:themeColor="accent5"/>
          <w:sz w:val="32"/>
          <w:szCs w:val="32"/>
        </w:rPr>
        <w:t>1</w:t>
      </w:r>
      <w:r w:rsidRPr="006635A4">
        <w:rPr>
          <w:rFonts w:eastAsiaTheme="majorEastAsia" w:cstheme="minorHAnsi"/>
          <w:bCs/>
          <w:color w:val="4472C4" w:themeColor="accent5"/>
          <w:sz w:val="32"/>
          <w:szCs w:val="32"/>
        </w:rPr>
        <w:t>. Godišnje pristojbe</w:t>
      </w:r>
      <w:bookmarkEnd w:id="295"/>
    </w:p>
    <w:p w14:paraId="0B0B68B5" w14:textId="77777777" w:rsidR="00F60C53" w:rsidRPr="006635A4" w:rsidRDefault="00F60C53" w:rsidP="00F60C53">
      <w:pPr>
        <w:spacing w:after="240" w:line="276" w:lineRule="auto"/>
        <w:jc w:val="both"/>
        <w:rPr>
          <w:rFonts w:eastAsia="Times New Roman" w:cstheme="minorHAnsi"/>
          <w:bCs/>
          <w:color w:val="000000"/>
          <w:lang w:eastAsia="hr-HR"/>
        </w:rPr>
      </w:pPr>
      <w:r w:rsidRPr="006635A4">
        <w:rPr>
          <w:rFonts w:eastAsia="Times New Roman" w:cstheme="minorHAnsi"/>
          <w:bCs/>
          <w:color w:val="000000"/>
          <w:lang w:eastAsia="hr-HR"/>
        </w:rPr>
        <w:t xml:space="preserve">Sukladno Zakonu o lijekovima i važećem cjeniku usluga odobrenom od strane ministra nadležnog za zdravstvo, HALMED naplaćuje godišnje pristojbe navedene u Tablici 30. Iz prihoda ostvarenog naplatom godišnjih pristojbi financiraju se zakonom propisane aktivnosti HALMED-a koje nisu obuhvaćene cijenama pojedinih usluga HALMED-a. </w:t>
      </w:r>
    </w:p>
    <w:p w14:paraId="4FBCA652" w14:textId="77777777" w:rsidR="00F60C53" w:rsidRPr="006635A4" w:rsidRDefault="00F60C53" w:rsidP="00F60C53">
      <w:pPr>
        <w:spacing w:after="240" w:line="276" w:lineRule="auto"/>
        <w:jc w:val="both"/>
        <w:rPr>
          <w:rFonts w:eastAsia="Times New Roman" w:cstheme="minorHAnsi"/>
          <w:bCs/>
          <w:color w:val="000000"/>
          <w:lang w:eastAsia="hr-HR"/>
        </w:rPr>
      </w:pPr>
      <w:r w:rsidRPr="006635A4">
        <w:rPr>
          <w:rFonts w:eastAsia="Times New Roman" w:cstheme="minorHAnsi"/>
          <w:bCs/>
          <w:color w:val="000000"/>
          <w:lang w:eastAsia="hr-HR"/>
        </w:rPr>
        <w:t>Iz godišnjih pristojbi koje se naplaćuju za lijek odnosno homeopatski lijek financiraju se:</w:t>
      </w:r>
    </w:p>
    <w:p w14:paraId="134564F8" w14:textId="77777777" w:rsidR="00F60C53" w:rsidRPr="006635A4" w:rsidRDefault="00F60C53" w:rsidP="00AC375F">
      <w:pPr>
        <w:numPr>
          <w:ilvl w:val="0"/>
          <w:numId w:val="21"/>
        </w:numPr>
        <w:spacing w:after="240" w:line="276" w:lineRule="auto"/>
        <w:ind w:hanging="357"/>
        <w:contextualSpacing/>
        <w:jc w:val="both"/>
        <w:rPr>
          <w:rFonts w:eastAsia="Times New Roman" w:cstheme="minorHAnsi"/>
          <w:bCs/>
          <w:color w:val="000000"/>
          <w:lang w:eastAsia="hr-HR"/>
        </w:rPr>
      </w:pPr>
      <w:r w:rsidRPr="006635A4">
        <w:rPr>
          <w:rFonts w:eastAsia="Times New Roman" w:cstheme="minorHAnsi"/>
          <w:bCs/>
          <w:color w:val="000000"/>
          <w:lang w:eastAsia="hr-HR"/>
        </w:rPr>
        <w:t>sudjelovanje predstavnika HALMED-a u radu europskih institucija nadležnih za odobravanje i praćenje sigurnosti primjene lijekov</w:t>
      </w:r>
      <w:r>
        <w:rPr>
          <w:rFonts w:eastAsia="Times New Roman" w:cstheme="minorHAnsi"/>
          <w:bCs/>
          <w:color w:val="000000"/>
          <w:lang w:eastAsia="hr-HR"/>
        </w:rPr>
        <w:t>a</w:t>
      </w:r>
      <w:r w:rsidRPr="006635A4">
        <w:rPr>
          <w:rFonts w:eastAsia="Times New Roman" w:cstheme="minorHAnsi"/>
          <w:bCs/>
          <w:color w:val="000000"/>
          <w:lang w:eastAsia="hr-HR"/>
        </w:rPr>
        <w:t xml:space="preserve"> (EK, EMA, HMA, EDQM, Europska farmakopeja) </w:t>
      </w:r>
    </w:p>
    <w:p w14:paraId="683F3504" w14:textId="77777777" w:rsidR="00F60C53" w:rsidRPr="006635A4" w:rsidRDefault="00F60C53" w:rsidP="00AC375F">
      <w:pPr>
        <w:numPr>
          <w:ilvl w:val="0"/>
          <w:numId w:val="21"/>
        </w:numPr>
        <w:spacing w:after="240" w:line="276" w:lineRule="auto"/>
        <w:ind w:hanging="357"/>
        <w:contextualSpacing/>
        <w:jc w:val="both"/>
        <w:rPr>
          <w:rFonts w:eastAsia="Times New Roman" w:cstheme="minorHAnsi"/>
          <w:bCs/>
          <w:color w:val="000000"/>
          <w:lang w:eastAsia="hr-HR"/>
        </w:rPr>
      </w:pPr>
      <w:r w:rsidRPr="006635A4">
        <w:rPr>
          <w:rFonts w:eastAsia="Times New Roman" w:cstheme="minorHAnsi"/>
          <w:bCs/>
          <w:color w:val="000000"/>
          <w:lang w:eastAsia="hr-HR"/>
        </w:rPr>
        <w:t>sudjelovanje predstavnika HALMED-a u radu međunarodnih tijela nadležnih za lijekove i praćenje sigurnosti lijekova (Program međunarodnog praćenja lijekova Svjetske zdravstvene organizacije i dr.)</w:t>
      </w:r>
    </w:p>
    <w:p w14:paraId="5BE1B9C3" w14:textId="77777777" w:rsidR="00F60C53" w:rsidRPr="006635A4" w:rsidRDefault="00F60C53" w:rsidP="00AC375F">
      <w:pPr>
        <w:numPr>
          <w:ilvl w:val="0"/>
          <w:numId w:val="21"/>
        </w:numPr>
        <w:spacing w:after="240" w:line="276" w:lineRule="auto"/>
        <w:ind w:hanging="357"/>
        <w:contextualSpacing/>
        <w:jc w:val="both"/>
        <w:rPr>
          <w:rFonts w:eastAsia="Times New Roman" w:cstheme="minorHAnsi"/>
          <w:bCs/>
          <w:color w:val="000000"/>
          <w:lang w:eastAsia="hr-HR"/>
        </w:rPr>
      </w:pPr>
      <w:r w:rsidRPr="006635A4">
        <w:rPr>
          <w:rFonts w:eastAsia="Times New Roman" w:cstheme="minorHAnsi"/>
          <w:bCs/>
          <w:color w:val="000000"/>
          <w:lang w:eastAsia="hr-HR"/>
        </w:rPr>
        <w:t xml:space="preserve">nabava stručne i znanstvene literature </w:t>
      </w:r>
    </w:p>
    <w:p w14:paraId="7DA04979" w14:textId="77777777" w:rsidR="00F60C53" w:rsidRPr="006635A4" w:rsidRDefault="00F60C53" w:rsidP="00AC375F">
      <w:pPr>
        <w:numPr>
          <w:ilvl w:val="0"/>
          <w:numId w:val="21"/>
        </w:numPr>
        <w:spacing w:after="240" w:line="276" w:lineRule="auto"/>
        <w:ind w:hanging="357"/>
        <w:contextualSpacing/>
        <w:jc w:val="both"/>
        <w:rPr>
          <w:rFonts w:eastAsia="Times New Roman" w:cstheme="minorHAnsi"/>
          <w:bCs/>
          <w:color w:val="000000"/>
          <w:lang w:eastAsia="hr-HR"/>
        </w:rPr>
      </w:pPr>
      <w:r w:rsidRPr="006635A4">
        <w:rPr>
          <w:rFonts w:eastAsia="Times New Roman" w:cstheme="minorHAnsi"/>
          <w:bCs/>
          <w:color w:val="000000"/>
          <w:lang w:eastAsia="hr-HR"/>
        </w:rPr>
        <w:t>pristup znanstvenim bazama podataka i aplikacijama potrebnim za postupke odobravanja lijekova/homeopatskih lijekova</w:t>
      </w:r>
    </w:p>
    <w:p w14:paraId="092FACC8" w14:textId="77777777" w:rsidR="00F60C53" w:rsidRPr="006635A4" w:rsidRDefault="00F60C53" w:rsidP="00AC375F">
      <w:pPr>
        <w:numPr>
          <w:ilvl w:val="0"/>
          <w:numId w:val="21"/>
        </w:numPr>
        <w:spacing w:after="240" w:line="276" w:lineRule="auto"/>
        <w:ind w:hanging="357"/>
        <w:contextualSpacing/>
        <w:jc w:val="both"/>
        <w:rPr>
          <w:rFonts w:eastAsia="Times New Roman" w:cstheme="minorHAnsi"/>
          <w:bCs/>
          <w:color w:val="000000"/>
          <w:lang w:eastAsia="hr-HR"/>
        </w:rPr>
      </w:pPr>
      <w:r w:rsidRPr="006635A4">
        <w:rPr>
          <w:rFonts w:eastAsia="Times New Roman" w:cstheme="minorHAnsi"/>
          <w:bCs/>
          <w:color w:val="000000"/>
          <w:lang w:eastAsia="hr-HR"/>
        </w:rPr>
        <w:t>stručno obrazovanje i usavršavanj</w:t>
      </w:r>
      <w:r>
        <w:rPr>
          <w:rFonts w:eastAsia="Times New Roman" w:cstheme="minorHAnsi"/>
          <w:bCs/>
          <w:color w:val="000000"/>
          <w:lang w:eastAsia="hr-HR"/>
        </w:rPr>
        <w:t>e</w:t>
      </w:r>
      <w:r w:rsidRPr="006635A4">
        <w:rPr>
          <w:rFonts w:eastAsia="Times New Roman" w:cstheme="minorHAnsi"/>
          <w:bCs/>
          <w:color w:val="000000"/>
          <w:lang w:eastAsia="hr-HR"/>
        </w:rPr>
        <w:t xml:space="preserve"> zaposlenika u cilju praćenja najnovijih tehničkih i znanstvenih dostignuća u razvoju lijekova</w:t>
      </w:r>
    </w:p>
    <w:p w14:paraId="05043805" w14:textId="77777777" w:rsidR="00F60C53" w:rsidRPr="006635A4" w:rsidRDefault="00F60C53" w:rsidP="00AC375F">
      <w:pPr>
        <w:numPr>
          <w:ilvl w:val="0"/>
          <w:numId w:val="21"/>
        </w:numPr>
        <w:spacing w:after="240" w:line="276" w:lineRule="auto"/>
        <w:ind w:hanging="357"/>
        <w:contextualSpacing/>
        <w:jc w:val="both"/>
        <w:rPr>
          <w:rFonts w:eastAsia="Times New Roman" w:cstheme="minorHAnsi"/>
          <w:bCs/>
          <w:color w:val="000000"/>
          <w:lang w:eastAsia="hr-HR"/>
        </w:rPr>
      </w:pPr>
      <w:r w:rsidRPr="006635A4">
        <w:rPr>
          <w:rFonts w:eastAsia="Times New Roman" w:cstheme="minorHAnsi"/>
          <w:bCs/>
          <w:color w:val="000000"/>
          <w:lang w:eastAsia="hr-HR"/>
        </w:rPr>
        <w:t>održavanje i razvoj informatičkog sustava HALMED-a u svrhu obrade i praćenja zahtjeva, što uključuje aplikaciju za praćenje statusa i informacija o zahtjevu (Nacionalni registar lijekova), aplikaciju za obradu elektroničke dokumentacije o lijeku (</w:t>
      </w:r>
      <w:r>
        <w:rPr>
          <w:rFonts w:eastAsia="Times New Roman" w:cstheme="minorHAnsi"/>
          <w:bCs/>
          <w:i/>
          <w:color w:val="000000"/>
          <w:lang w:eastAsia="hr-HR"/>
        </w:rPr>
        <w:t>EURS</w:t>
      </w:r>
      <w:r w:rsidRPr="006635A4">
        <w:rPr>
          <w:rFonts w:eastAsia="Times New Roman" w:cstheme="minorHAnsi"/>
          <w:bCs/>
          <w:color w:val="000000"/>
          <w:lang w:eastAsia="hr-HR"/>
        </w:rPr>
        <w:t>), aplikaciju za rad na elektroničkim verzijama dokumenata u postupku obrade zaprimljenih zahtjeva i njihovu pohranu (</w:t>
      </w:r>
      <w:r w:rsidRPr="006635A4">
        <w:rPr>
          <w:rFonts w:eastAsia="Times New Roman" w:cstheme="minorHAnsi"/>
          <w:bCs/>
          <w:i/>
          <w:color w:val="000000"/>
          <w:lang w:eastAsia="hr-HR"/>
        </w:rPr>
        <w:t>Digital archival information system</w:t>
      </w:r>
      <w:r w:rsidRPr="006635A4">
        <w:rPr>
          <w:rFonts w:eastAsia="Times New Roman" w:cstheme="minorHAnsi"/>
          <w:bCs/>
          <w:color w:val="000000"/>
          <w:lang w:eastAsia="hr-HR"/>
        </w:rPr>
        <w:t>), kao i ostale prateće IT aplikacije (Centrix, Pismohrana)</w:t>
      </w:r>
    </w:p>
    <w:p w14:paraId="0DE5D69C" w14:textId="77777777" w:rsidR="00F60C53" w:rsidRDefault="00F60C53" w:rsidP="00AC375F">
      <w:pPr>
        <w:numPr>
          <w:ilvl w:val="0"/>
          <w:numId w:val="21"/>
        </w:numPr>
        <w:spacing w:after="240" w:line="276" w:lineRule="auto"/>
        <w:ind w:hanging="357"/>
        <w:contextualSpacing/>
        <w:jc w:val="both"/>
        <w:rPr>
          <w:rFonts w:eastAsia="Times New Roman" w:cstheme="minorHAnsi"/>
          <w:bCs/>
          <w:color w:val="000000"/>
          <w:lang w:eastAsia="hr-HR"/>
        </w:rPr>
      </w:pPr>
      <w:r w:rsidRPr="006635A4">
        <w:rPr>
          <w:rFonts w:eastAsia="Times New Roman" w:cstheme="minorHAnsi"/>
          <w:bCs/>
          <w:color w:val="000000"/>
          <w:lang w:eastAsia="hr-HR"/>
        </w:rPr>
        <w:t xml:space="preserve">pristojba za održavanje </w:t>
      </w:r>
      <w:r w:rsidRPr="00ED36B7">
        <w:rPr>
          <w:rFonts w:eastAsia="Times New Roman" w:cstheme="minorHAnsi"/>
          <w:bCs/>
          <w:color w:val="000000"/>
          <w:lang w:eastAsia="hr-HR"/>
        </w:rPr>
        <w:t>zajedničkog europskog portala za podnošenje zahtjeva i dokumentacije o lijeku (</w:t>
      </w:r>
      <w:r w:rsidRPr="00ED36B7">
        <w:rPr>
          <w:rFonts w:eastAsia="Times New Roman" w:cstheme="minorHAnsi"/>
          <w:bCs/>
          <w:i/>
          <w:color w:val="000000"/>
          <w:lang w:eastAsia="hr-HR"/>
        </w:rPr>
        <w:t>Common European Submission Platform</w:t>
      </w:r>
      <w:r w:rsidRPr="00ED36B7">
        <w:rPr>
          <w:rFonts w:eastAsia="Times New Roman" w:cstheme="minorHAnsi"/>
          <w:bCs/>
          <w:color w:val="000000"/>
          <w:lang w:eastAsia="hr-HR"/>
        </w:rPr>
        <w:t>)</w:t>
      </w:r>
    </w:p>
    <w:p w14:paraId="4566DA64" w14:textId="77777777" w:rsidR="00F60C53" w:rsidRPr="006635A4" w:rsidRDefault="00F60C53" w:rsidP="00AC375F">
      <w:pPr>
        <w:numPr>
          <w:ilvl w:val="0"/>
          <w:numId w:val="21"/>
        </w:numPr>
        <w:spacing w:after="240" w:line="276" w:lineRule="auto"/>
        <w:ind w:hanging="357"/>
        <w:contextualSpacing/>
        <w:jc w:val="both"/>
        <w:rPr>
          <w:rFonts w:eastAsia="Times New Roman" w:cstheme="minorHAnsi"/>
          <w:bCs/>
          <w:color w:val="000000"/>
          <w:lang w:eastAsia="hr-HR"/>
        </w:rPr>
      </w:pPr>
      <w:r>
        <w:rPr>
          <w:rFonts w:eastAsia="Times New Roman" w:cstheme="minorHAnsi"/>
          <w:bCs/>
          <w:color w:val="000000"/>
          <w:lang w:eastAsia="hr-HR"/>
        </w:rPr>
        <w:t>izrada popisa međusobno zamjenjivih lijekova</w:t>
      </w:r>
    </w:p>
    <w:p w14:paraId="15D4FF41" w14:textId="77777777" w:rsidR="00F60C53" w:rsidRPr="006635A4" w:rsidRDefault="00F60C53" w:rsidP="00AC375F">
      <w:pPr>
        <w:numPr>
          <w:ilvl w:val="0"/>
          <w:numId w:val="21"/>
        </w:numPr>
        <w:spacing w:after="240" w:line="276" w:lineRule="auto"/>
        <w:ind w:hanging="357"/>
        <w:contextualSpacing/>
        <w:jc w:val="both"/>
        <w:rPr>
          <w:rFonts w:eastAsia="Times New Roman" w:cstheme="minorHAnsi"/>
          <w:bCs/>
          <w:color w:val="000000"/>
          <w:lang w:eastAsia="hr-HR"/>
        </w:rPr>
      </w:pPr>
      <w:r w:rsidRPr="006635A4">
        <w:rPr>
          <w:rFonts w:eastAsia="Times New Roman" w:cstheme="minorHAnsi"/>
          <w:bCs/>
          <w:color w:val="000000"/>
          <w:lang w:eastAsia="hr-HR"/>
        </w:rPr>
        <w:t>praćenje potrošnje lijekova i promicanje racionalne uporabe lijekova</w:t>
      </w:r>
    </w:p>
    <w:p w14:paraId="27511AAF" w14:textId="77777777" w:rsidR="00F60C53" w:rsidRDefault="00F60C53" w:rsidP="00AC375F">
      <w:pPr>
        <w:numPr>
          <w:ilvl w:val="0"/>
          <w:numId w:val="21"/>
        </w:numPr>
        <w:spacing w:after="240" w:line="276" w:lineRule="auto"/>
        <w:ind w:hanging="357"/>
        <w:contextualSpacing/>
        <w:jc w:val="both"/>
        <w:rPr>
          <w:rFonts w:eastAsia="Times New Roman" w:cstheme="minorHAnsi"/>
          <w:bCs/>
          <w:color w:val="000000"/>
          <w:lang w:eastAsia="hr-HR"/>
        </w:rPr>
      </w:pPr>
      <w:r w:rsidRPr="006635A4">
        <w:rPr>
          <w:rFonts w:eastAsia="Times New Roman" w:cstheme="minorHAnsi"/>
          <w:bCs/>
          <w:color w:val="000000"/>
          <w:lang w:eastAsia="hr-HR"/>
        </w:rPr>
        <w:t>informiranje o lijekovima, uključujući javne edukativne kampanje</w:t>
      </w:r>
    </w:p>
    <w:p w14:paraId="6D797CA5" w14:textId="77777777" w:rsidR="00F60C53" w:rsidRPr="00ED36B7" w:rsidRDefault="00F60C53" w:rsidP="00AC375F">
      <w:pPr>
        <w:numPr>
          <w:ilvl w:val="0"/>
          <w:numId w:val="21"/>
        </w:numPr>
        <w:spacing w:after="240" w:line="276" w:lineRule="auto"/>
        <w:ind w:hanging="357"/>
        <w:contextualSpacing/>
        <w:jc w:val="both"/>
        <w:rPr>
          <w:rFonts w:eastAsia="Times New Roman" w:cstheme="minorHAnsi"/>
          <w:bCs/>
          <w:color w:val="000000"/>
          <w:lang w:eastAsia="hr-HR"/>
        </w:rPr>
      </w:pPr>
      <w:r>
        <w:rPr>
          <w:rFonts w:eastAsia="Times New Roman" w:cstheme="minorHAnsi"/>
          <w:bCs/>
          <w:color w:val="000000"/>
          <w:lang w:eastAsia="hr-HR"/>
        </w:rPr>
        <w:t>rad</w:t>
      </w:r>
      <w:r w:rsidRPr="00ED36B7">
        <w:rPr>
          <w:rFonts w:eastAsia="Times New Roman" w:cstheme="minorHAnsi"/>
          <w:bCs/>
          <w:color w:val="000000"/>
          <w:lang w:eastAsia="hr-HR"/>
        </w:rPr>
        <w:t xml:space="preserve"> Povjerenstva za lijekove</w:t>
      </w:r>
    </w:p>
    <w:p w14:paraId="68AFB44F" w14:textId="77777777" w:rsidR="00F60C53" w:rsidRPr="006635A4" w:rsidRDefault="00F60C53" w:rsidP="00AC375F">
      <w:pPr>
        <w:numPr>
          <w:ilvl w:val="0"/>
          <w:numId w:val="21"/>
        </w:numPr>
        <w:spacing w:after="240" w:line="276" w:lineRule="auto"/>
        <w:ind w:hanging="357"/>
        <w:contextualSpacing/>
        <w:jc w:val="both"/>
        <w:rPr>
          <w:rFonts w:eastAsia="Times New Roman" w:cstheme="minorHAnsi"/>
          <w:bCs/>
          <w:color w:val="000000"/>
          <w:lang w:eastAsia="hr-HR"/>
        </w:rPr>
      </w:pPr>
      <w:r w:rsidRPr="006635A4">
        <w:rPr>
          <w:rFonts w:eastAsia="Times New Roman" w:cstheme="minorHAnsi"/>
          <w:bCs/>
          <w:color w:val="000000"/>
          <w:lang w:eastAsia="hr-HR"/>
        </w:rPr>
        <w:t>održavanje internetske stranice HALMED-a</w:t>
      </w:r>
    </w:p>
    <w:p w14:paraId="37A529F8" w14:textId="77777777" w:rsidR="00F60C53" w:rsidRPr="006635A4" w:rsidRDefault="00F60C53" w:rsidP="00AC375F">
      <w:pPr>
        <w:numPr>
          <w:ilvl w:val="0"/>
          <w:numId w:val="23"/>
        </w:numPr>
        <w:spacing w:after="240" w:line="276" w:lineRule="auto"/>
        <w:ind w:hanging="357"/>
        <w:contextualSpacing/>
        <w:jc w:val="both"/>
        <w:rPr>
          <w:rFonts w:eastAsia="Times New Roman" w:cstheme="minorHAnsi"/>
          <w:bCs/>
          <w:color w:val="000000"/>
          <w:lang w:eastAsia="hr-HR"/>
        </w:rPr>
      </w:pPr>
      <w:r w:rsidRPr="006635A4">
        <w:rPr>
          <w:rFonts w:eastAsia="Times New Roman" w:cstheme="minorHAnsi"/>
          <w:bCs/>
          <w:color w:val="000000"/>
          <w:lang w:eastAsia="hr-HR"/>
        </w:rPr>
        <w:t xml:space="preserve">zaprimanje, obrada i stručna procjena spontanih prijava sumnji na nuspojave od zdravstvenih radnika i pacijenata/korisnika lijekova iz RH </w:t>
      </w:r>
    </w:p>
    <w:p w14:paraId="5647DED1" w14:textId="77777777" w:rsidR="00F60C53" w:rsidRPr="006635A4" w:rsidRDefault="00F60C53" w:rsidP="00AC375F">
      <w:pPr>
        <w:numPr>
          <w:ilvl w:val="0"/>
          <w:numId w:val="23"/>
        </w:numPr>
        <w:spacing w:after="240" w:line="276" w:lineRule="auto"/>
        <w:ind w:hanging="357"/>
        <w:contextualSpacing/>
        <w:jc w:val="both"/>
        <w:rPr>
          <w:rFonts w:eastAsia="Times New Roman" w:cstheme="minorHAnsi"/>
          <w:bCs/>
          <w:color w:val="000000"/>
          <w:lang w:eastAsia="hr-HR"/>
        </w:rPr>
      </w:pPr>
      <w:r w:rsidRPr="006635A4">
        <w:rPr>
          <w:rFonts w:eastAsia="Times New Roman" w:cstheme="minorHAnsi"/>
          <w:bCs/>
          <w:color w:val="000000"/>
          <w:lang w:eastAsia="hr-HR"/>
        </w:rPr>
        <w:t>održavanje informatičkog sustava nužnog za sustav praćenja sigurnosti svih lijekova u prometu uključujući:</w:t>
      </w:r>
    </w:p>
    <w:p w14:paraId="1E3BDBF5" w14:textId="77777777" w:rsidR="00F60C53" w:rsidRPr="006635A4" w:rsidRDefault="00F60C53" w:rsidP="00AC375F">
      <w:pPr>
        <w:numPr>
          <w:ilvl w:val="0"/>
          <w:numId w:val="25"/>
        </w:numPr>
        <w:spacing w:after="240" w:line="276" w:lineRule="auto"/>
        <w:ind w:hanging="357"/>
        <w:contextualSpacing/>
        <w:jc w:val="both"/>
        <w:rPr>
          <w:rFonts w:eastAsia="Times New Roman" w:cstheme="minorHAnsi"/>
          <w:bCs/>
          <w:color w:val="000000"/>
          <w:lang w:eastAsia="hr-HR"/>
        </w:rPr>
      </w:pPr>
      <w:r w:rsidRPr="006635A4">
        <w:rPr>
          <w:rFonts w:eastAsia="Times New Roman" w:cstheme="minorHAnsi"/>
          <w:bCs/>
          <w:color w:val="000000"/>
          <w:lang w:eastAsia="hr-HR"/>
        </w:rPr>
        <w:t>nacionalnu bazu nuspojava</w:t>
      </w:r>
    </w:p>
    <w:p w14:paraId="79720C49" w14:textId="77777777" w:rsidR="00F60C53" w:rsidRPr="006635A4" w:rsidRDefault="00F60C53" w:rsidP="00AC375F">
      <w:pPr>
        <w:numPr>
          <w:ilvl w:val="0"/>
          <w:numId w:val="25"/>
        </w:numPr>
        <w:spacing w:after="240" w:line="276" w:lineRule="auto"/>
        <w:ind w:hanging="357"/>
        <w:contextualSpacing/>
        <w:jc w:val="both"/>
        <w:rPr>
          <w:rFonts w:eastAsia="Times New Roman" w:cstheme="minorHAnsi"/>
          <w:bCs/>
          <w:color w:val="000000"/>
          <w:lang w:eastAsia="hr-HR"/>
        </w:rPr>
      </w:pPr>
      <w:r w:rsidRPr="006635A4">
        <w:rPr>
          <w:rFonts w:eastAsia="Times New Roman" w:cstheme="minorHAnsi"/>
          <w:bCs/>
          <w:color w:val="000000"/>
          <w:lang w:eastAsia="hr-HR"/>
        </w:rPr>
        <w:t>lokalno održavanje poveznica na europsku bazu svih nuspojava</w:t>
      </w:r>
      <w:r w:rsidRPr="006635A4">
        <w:rPr>
          <w:rFonts w:eastAsia="Times New Roman" w:cstheme="minorHAnsi"/>
          <w:bCs/>
          <w:i/>
          <w:color w:val="000000"/>
          <w:lang w:eastAsia="hr-HR"/>
        </w:rPr>
        <w:t xml:space="preserve"> </w:t>
      </w:r>
      <w:r w:rsidRPr="006635A4">
        <w:rPr>
          <w:rFonts w:eastAsia="Times New Roman" w:cstheme="minorHAnsi"/>
          <w:bCs/>
          <w:color w:val="000000"/>
          <w:lang w:eastAsia="hr-HR"/>
        </w:rPr>
        <w:t>(</w:t>
      </w:r>
      <w:r w:rsidRPr="006635A4">
        <w:rPr>
          <w:rFonts w:eastAsia="Times New Roman" w:cstheme="minorHAnsi"/>
          <w:bCs/>
          <w:i/>
          <w:color w:val="000000"/>
          <w:lang w:eastAsia="hr-HR"/>
        </w:rPr>
        <w:t>EudraVigilance Gateway</w:t>
      </w:r>
      <w:r w:rsidRPr="006635A4">
        <w:rPr>
          <w:rFonts w:eastAsia="Times New Roman" w:cstheme="minorHAnsi"/>
          <w:bCs/>
          <w:color w:val="000000"/>
          <w:lang w:eastAsia="hr-HR"/>
        </w:rPr>
        <w:t xml:space="preserve">) </w:t>
      </w:r>
    </w:p>
    <w:p w14:paraId="274E34E5" w14:textId="77777777" w:rsidR="00F60C53" w:rsidRPr="006635A4" w:rsidRDefault="00F60C53" w:rsidP="00AC375F">
      <w:pPr>
        <w:numPr>
          <w:ilvl w:val="0"/>
          <w:numId w:val="25"/>
        </w:numPr>
        <w:spacing w:after="240" w:line="276" w:lineRule="auto"/>
        <w:ind w:hanging="357"/>
        <w:contextualSpacing/>
        <w:jc w:val="both"/>
        <w:rPr>
          <w:rFonts w:eastAsia="Times New Roman" w:cstheme="minorHAnsi"/>
          <w:bCs/>
          <w:color w:val="000000"/>
          <w:lang w:eastAsia="hr-HR"/>
        </w:rPr>
      </w:pPr>
      <w:r w:rsidRPr="006635A4">
        <w:rPr>
          <w:rFonts w:eastAsia="Times New Roman" w:cstheme="minorHAnsi"/>
          <w:bCs/>
          <w:color w:val="000000"/>
          <w:lang w:eastAsia="hr-HR"/>
        </w:rPr>
        <w:t>održavanje sustava prema nositeljima odobrenja</w:t>
      </w:r>
    </w:p>
    <w:p w14:paraId="7E501013" w14:textId="77777777" w:rsidR="00F60C53" w:rsidRPr="006635A4" w:rsidRDefault="00F60C53" w:rsidP="00AC375F">
      <w:pPr>
        <w:numPr>
          <w:ilvl w:val="0"/>
          <w:numId w:val="25"/>
        </w:numPr>
        <w:spacing w:after="240" w:line="276" w:lineRule="auto"/>
        <w:ind w:hanging="357"/>
        <w:contextualSpacing/>
        <w:jc w:val="both"/>
        <w:rPr>
          <w:rFonts w:eastAsia="Times New Roman" w:cstheme="minorHAnsi"/>
          <w:bCs/>
          <w:color w:val="000000"/>
          <w:lang w:eastAsia="hr-HR"/>
        </w:rPr>
      </w:pPr>
      <w:r w:rsidRPr="006635A4">
        <w:rPr>
          <w:rFonts w:eastAsia="Times New Roman" w:cstheme="minorHAnsi"/>
          <w:bCs/>
          <w:color w:val="000000"/>
          <w:lang w:eastAsia="hr-HR"/>
        </w:rPr>
        <w:t>održavanje sustava prema bazi nuspojava SZO-a</w:t>
      </w:r>
    </w:p>
    <w:p w14:paraId="6085B5C4" w14:textId="77777777" w:rsidR="00F60C53" w:rsidRPr="006635A4" w:rsidRDefault="00F60C53" w:rsidP="00AC375F">
      <w:pPr>
        <w:numPr>
          <w:ilvl w:val="0"/>
          <w:numId w:val="25"/>
        </w:numPr>
        <w:spacing w:after="240" w:line="276" w:lineRule="auto"/>
        <w:ind w:hanging="357"/>
        <w:contextualSpacing/>
        <w:jc w:val="both"/>
        <w:rPr>
          <w:rFonts w:eastAsia="Times New Roman" w:cstheme="minorHAnsi"/>
          <w:bCs/>
          <w:color w:val="000000"/>
          <w:lang w:eastAsia="hr-HR"/>
        </w:rPr>
      </w:pPr>
      <w:r w:rsidRPr="006635A4">
        <w:rPr>
          <w:rFonts w:eastAsia="Times New Roman" w:cstheme="minorHAnsi"/>
          <w:bCs/>
          <w:color w:val="000000"/>
          <w:lang w:eastAsia="hr-HR"/>
        </w:rPr>
        <w:t>elektronički sustav prijava nuspojava od strane zdravstvenih radnika i pacijenata</w:t>
      </w:r>
    </w:p>
    <w:p w14:paraId="049B0CA1" w14:textId="77777777" w:rsidR="00F60C53" w:rsidRPr="006635A4" w:rsidRDefault="00F60C53" w:rsidP="00AC375F">
      <w:pPr>
        <w:numPr>
          <w:ilvl w:val="0"/>
          <w:numId w:val="24"/>
        </w:numPr>
        <w:spacing w:before="120" w:line="276" w:lineRule="auto"/>
        <w:ind w:hanging="357"/>
        <w:contextualSpacing/>
        <w:jc w:val="both"/>
        <w:rPr>
          <w:rFonts w:eastAsia="Times New Roman" w:cstheme="minorHAnsi"/>
          <w:bCs/>
          <w:color w:val="000000"/>
          <w:lang w:eastAsia="hr-HR"/>
        </w:rPr>
      </w:pPr>
      <w:r w:rsidRPr="006635A4">
        <w:rPr>
          <w:rFonts w:eastAsia="Times New Roman" w:cstheme="minorHAnsi"/>
          <w:bCs/>
          <w:color w:val="000000"/>
          <w:lang w:eastAsia="hr-HR"/>
        </w:rPr>
        <w:t>detekcija sigurnosnih signala na nacionalnoj razini i na razini EU-a</w:t>
      </w:r>
    </w:p>
    <w:p w14:paraId="4B402998" w14:textId="77777777" w:rsidR="00F60C53" w:rsidRPr="006635A4" w:rsidRDefault="00F60C53" w:rsidP="00AC375F">
      <w:pPr>
        <w:numPr>
          <w:ilvl w:val="0"/>
          <w:numId w:val="24"/>
        </w:numPr>
        <w:spacing w:before="120" w:line="276" w:lineRule="auto"/>
        <w:ind w:hanging="357"/>
        <w:contextualSpacing/>
        <w:jc w:val="both"/>
        <w:rPr>
          <w:rFonts w:eastAsia="Times New Roman" w:cstheme="minorHAnsi"/>
          <w:bCs/>
          <w:color w:val="000000"/>
          <w:lang w:eastAsia="hr-HR"/>
        </w:rPr>
      </w:pPr>
      <w:r w:rsidRPr="006635A4">
        <w:rPr>
          <w:rFonts w:eastAsia="Times New Roman" w:cstheme="minorHAnsi"/>
          <w:bCs/>
          <w:color w:val="000000"/>
          <w:lang w:eastAsia="hr-HR"/>
        </w:rPr>
        <w:t>obavještavanje zdravstvenih radnika, pacijenata i nositelja odobrenja o sigurnosnim pitanjima</w:t>
      </w:r>
    </w:p>
    <w:p w14:paraId="77889364" w14:textId="77777777" w:rsidR="00F60C53" w:rsidRPr="006635A4" w:rsidRDefault="00F60C53" w:rsidP="00AC375F">
      <w:pPr>
        <w:numPr>
          <w:ilvl w:val="0"/>
          <w:numId w:val="24"/>
        </w:numPr>
        <w:spacing w:before="120" w:line="276" w:lineRule="auto"/>
        <w:ind w:hanging="357"/>
        <w:contextualSpacing/>
        <w:jc w:val="both"/>
        <w:rPr>
          <w:rFonts w:eastAsia="Times New Roman" w:cstheme="minorHAnsi"/>
          <w:bCs/>
          <w:color w:val="000000"/>
          <w:lang w:eastAsia="hr-HR"/>
        </w:rPr>
      </w:pPr>
      <w:r w:rsidRPr="006635A4">
        <w:rPr>
          <w:rFonts w:eastAsia="Times New Roman" w:cstheme="minorHAnsi"/>
          <w:bCs/>
          <w:color w:val="000000"/>
          <w:lang w:eastAsia="hr-HR"/>
        </w:rPr>
        <w:t>održavanje 24-satnog sustava žurnog obavješćivanja o nuspojavama i neispravnosti u kakvoći lijeka koje mogu dovesti do povlačenja lijekova iz prometa iz sigurnosnih razloga</w:t>
      </w:r>
    </w:p>
    <w:p w14:paraId="4D8B681A" w14:textId="77777777" w:rsidR="00F60C53" w:rsidRPr="006635A4" w:rsidRDefault="00F60C53" w:rsidP="00AC375F">
      <w:pPr>
        <w:numPr>
          <w:ilvl w:val="0"/>
          <w:numId w:val="24"/>
        </w:numPr>
        <w:spacing w:before="120" w:line="276" w:lineRule="auto"/>
        <w:ind w:hanging="357"/>
        <w:contextualSpacing/>
        <w:jc w:val="both"/>
        <w:rPr>
          <w:rFonts w:eastAsia="Times New Roman" w:cstheme="minorHAnsi"/>
          <w:bCs/>
          <w:color w:val="000000"/>
          <w:lang w:eastAsia="hr-HR"/>
        </w:rPr>
      </w:pPr>
      <w:r w:rsidRPr="006635A4">
        <w:rPr>
          <w:rFonts w:eastAsia="Times New Roman" w:cstheme="minorHAnsi"/>
          <w:bCs/>
          <w:color w:val="000000"/>
          <w:lang w:eastAsia="hr-HR"/>
        </w:rPr>
        <w:lastRenderedPageBreak/>
        <w:t>postupak odobravanja lokalne odgovorne osobe za farmakovigilanciju i zamjenika lokalne odgovorne osobe za farmakovigilanciju</w:t>
      </w:r>
    </w:p>
    <w:p w14:paraId="78258230" w14:textId="77777777" w:rsidR="00F60C53" w:rsidRPr="006635A4" w:rsidRDefault="00F60C53" w:rsidP="00AC375F">
      <w:pPr>
        <w:numPr>
          <w:ilvl w:val="0"/>
          <w:numId w:val="24"/>
        </w:numPr>
        <w:spacing w:before="120" w:line="276" w:lineRule="auto"/>
        <w:ind w:hanging="357"/>
        <w:contextualSpacing/>
        <w:jc w:val="both"/>
        <w:rPr>
          <w:rFonts w:eastAsia="Times New Roman" w:cstheme="minorHAnsi"/>
          <w:bCs/>
          <w:color w:val="000000"/>
          <w:lang w:eastAsia="hr-HR"/>
        </w:rPr>
      </w:pPr>
      <w:r w:rsidRPr="006635A4">
        <w:rPr>
          <w:rFonts w:eastAsia="Times New Roman" w:cstheme="minorHAnsi"/>
          <w:bCs/>
          <w:color w:val="000000"/>
          <w:lang w:eastAsia="hr-HR"/>
        </w:rPr>
        <w:t>priprema dokumentacije za sigurnosna pitanja o kojima se raspravlja na sjednicama PRAC-a</w:t>
      </w:r>
    </w:p>
    <w:p w14:paraId="520055FC" w14:textId="77777777" w:rsidR="00F60C53" w:rsidRPr="006635A4" w:rsidRDefault="00F60C53" w:rsidP="00AC375F">
      <w:pPr>
        <w:numPr>
          <w:ilvl w:val="0"/>
          <w:numId w:val="24"/>
        </w:numPr>
        <w:spacing w:before="120" w:line="276" w:lineRule="auto"/>
        <w:ind w:hanging="357"/>
        <w:contextualSpacing/>
        <w:jc w:val="both"/>
        <w:rPr>
          <w:rFonts w:eastAsia="Times New Roman" w:cstheme="minorHAnsi"/>
          <w:bCs/>
          <w:color w:val="000000"/>
          <w:lang w:eastAsia="hr-HR"/>
        </w:rPr>
      </w:pPr>
      <w:r w:rsidRPr="006635A4">
        <w:rPr>
          <w:rFonts w:eastAsia="Times New Roman" w:cstheme="minorHAnsi"/>
          <w:bCs/>
          <w:color w:val="000000"/>
          <w:lang w:eastAsia="hr-HR"/>
        </w:rPr>
        <w:t>postupak ishođenja stručnog mišljenja vanjskih eksperata kao temelj za sudjelovanje u radu povjerenstava EMA-e</w:t>
      </w:r>
    </w:p>
    <w:p w14:paraId="71EF89C6" w14:textId="77777777" w:rsidR="00F60C53" w:rsidRDefault="00F60C53" w:rsidP="00AC375F">
      <w:pPr>
        <w:numPr>
          <w:ilvl w:val="0"/>
          <w:numId w:val="24"/>
        </w:numPr>
        <w:spacing w:before="120" w:line="276" w:lineRule="auto"/>
        <w:ind w:hanging="357"/>
        <w:contextualSpacing/>
        <w:jc w:val="both"/>
        <w:rPr>
          <w:rFonts w:eastAsia="Times New Roman" w:cstheme="minorHAnsi"/>
          <w:bCs/>
          <w:color w:val="000000"/>
          <w:lang w:eastAsia="hr-HR"/>
        </w:rPr>
      </w:pPr>
      <w:r w:rsidRPr="006635A4">
        <w:rPr>
          <w:rFonts w:eastAsia="Times New Roman" w:cstheme="minorHAnsi"/>
          <w:bCs/>
          <w:color w:val="000000"/>
          <w:lang w:eastAsia="hr-HR"/>
        </w:rPr>
        <w:t>rad Povjerenstva za sigurnost primjene lijekova HALMED-a</w:t>
      </w:r>
    </w:p>
    <w:p w14:paraId="0D8559FC" w14:textId="77777777" w:rsidR="00F60C53" w:rsidRPr="00ED36B7" w:rsidRDefault="00F60C53" w:rsidP="00AC375F">
      <w:pPr>
        <w:numPr>
          <w:ilvl w:val="0"/>
          <w:numId w:val="24"/>
        </w:numPr>
        <w:spacing w:before="120" w:line="276" w:lineRule="auto"/>
        <w:ind w:hanging="357"/>
        <w:contextualSpacing/>
        <w:jc w:val="both"/>
        <w:rPr>
          <w:rFonts w:eastAsia="Times New Roman" w:cstheme="minorHAnsi"/>
          <w:bCs/>
          <w:color w:val="000000"/>
          <w:lang w:eastAsia="hr-HR"/>
        </w:rPr>
      </w:pPr>
      <w:r w:rsidRPr="0034682E">
        <w:rPr>
          <w:rFonts w:eastAsia="Times New Roman" w:cstheme="minorHAnsi"/>
          <w:bCs/>
          <w:color w:val="000000"/>
          <w:lang w:eastAsia="hr-HR"/>
        </w:rPr>
        <w:t>poslovi međunarodne suradnje</w:t>
      </w:r>
      <w:r w:rsidRPr="00ED36B7">
        <w:rPr>
          <w:rFonts w:eastAsia="Times New Roman" w:cstheme="minorHAnsi"/>
          <w:bCs/>
          <w:color w:val="000000"/>
          <w:lang w:eastAsia="hr-HR"/>
        </w:rPr>
        <w:t>.</w:t>
      </w:r>
    </w:p>
    <w:p w14:paraId="4FD9BF22" w14:textId="77777777" w:rsidR="00F60C53" w:rsidRPr="006635A4" w:rsidRDefault="00F60C53" w:rsidP="00F60C53">
      <w:pPr>
        <w:spacing w:line="276" w:lineRule="auto"/>
        <w:jc w:val="both"/>
        <w:rPr>
          <w:rFonts w:eastAsia="Times New Roman" w:cstheme="minorHAnsi"/>
          <w:bCs/>
          <w:color w:val="000000"/>
          <w:lang w:eastAsia="hr-HR"/>
        </w:rPr>
      </w:pPr>
    </w:p>
    <w:p w14:paraId="6F866A18" w14:textId="77777777" w:rsidR="00F60C53" w:rsidRPr="006635A4" w:rsidRDefault="00F60C53" w:rsidP="00F60C53">
      <w:pPr>
        <w:spacing w:line="276" w:lineRule="auto"/>
        <w:jc w:val="both"/>
        <w:rPr>
          <w:rFonts w:eastAsia="Times New Roman" w:cstheme="minorHAnsi"/>
          <w:bCs/>
          <w:color w:val="000000"/>
          <w:lang w:eastAsia="hr-HR"/>
        </w:rPr>
      </w:pPr>
      <w:r w:rsidRPr="006635A4">
        <w:rPr>
          <w:rFonts w:eastAsia="Times New Roman" w:cstheme="minorHAnsi"/>
          <w:bCs/>
          <w:color w:val="000000"/>
          <w:lang w:eastAsia="hr-HR"/>
        </w:rPr>
        <w:t>Iz godišnjih pristojbi koje se naplaćuju za dozvole za promet lijekovima ili za promet lijekovima i medicinskim proizvodima, proizvodnju lijekova, posredništvo i upis u očevidnik proizvođača, dobavljača ili uvoznika djelatnih tvari financiraju se:</w:t>
      </w:r>
    </w:p>
    <w:p w14:paraId="12A10665" w14:textId="77777777" w:rsidR="00F60C53" w:rsidRPr="00FB378F" w:rsidRDefault="00F60C53" w:rsidP="00AC375F">
      <w:pPr>
        <w:numPr>
          <w:ilvl w:val="0"/>
          <w:numId w:val="22"/>
        </w:numPr>
        <w:tabs>
          <w:tab w:val="num" w:pos="720"/>
        </w:tabs>
        <w:spacing w:before="120" w:line="276" w:lineRule="auto"/>
        <w:ind w:left="357" w:hanging="357"/>
        <w:contextualSpacing/>
        <w:jc w:val="both"/>
        <w:rPr>
          <w:rFonts w:eastAsia="Times New Roman" w:cstheme="minorHAnsi"/>
          <w:bCs/>
          <w:color w:val="000000"/>
          <w:lang w:eastAsia="hr-HR"/>
        </w:rPr>
      </w:pPr>
      <w:r w:rsidRPr="00FB378F">
        <w:rPr>
          <w:rFonts w:eastAsia="Times New Roman" w:cstheme="minorHAnsi"/>
          <w:bCs/>
          <w:color w:val="000000"/>
          <w:lang w:eastAsia="hr-HR"/>
        </w:rPr>
        <w:t>održavanje informatičkog sustava nužnog za sustav praćenja sudionika u prometu lijekova i djelatnih tvari, proizvođača lijekova i djelatnih tvari te izdanih lijekova putem suglasnosti</w:t>
      </w:r>
    </w:p>
    <w:p w14:paraId="467F04EB" w14:textId="77777777" w:rsidR="00F60C53" w:rsidRPr="00FB378F" w:rsidRDefault="00F60C53" w:rsidP="00AC375F">
      <w:pPr>
        <w:numPr>
          <w:ilvl w:val="0"/>
          <w:numId w:val="22"/>
        </w:numPr>
        <w:tabs>
          <w:tab w:val="num" w:pos="720"/>
        </w:tabs>
        <w:spacing w:before="120" w:line="276" w:lineRule="auto"/>
        <w:ind w:left="357" w:hanging="357"/>
        <w:contextualSpacing/>
        <w:jc w:val="both"/>
        <w:rPr>
          <w:rFonts w:eastAsia="Times New Roman" w:cstheme="minorHAnsi"/>
          <w:bCs/>
          <w:color w:val="000000"/>
          <w:lang w:eastAsia="hr-HR"/>
        </w:rPr>
      </w:pPr>
      <w:r w:rsidRPr="00FB378F">
        <w:rPr>
          <w:rFonts w:eastAsia="Times New Roman" w:cstheme="minorHAnsi"/>
          <w:bCs/>
          <w:color w:val="000000"/>
          <w:lang w:eastAsia="hr-HR"/>
        </w:rPr>
        <w:t>lokalna nacionalna baza sudionika u prometu i proizvođača lijekova i djelatnih tvari</w:t>
      </w:r>
    </w:p>
    <w:p w14:paraId="11EC7601" w14:textId="77777777" w:rsidR="00F60C53" w:rsidRPr="00FB378F" w:rsidRDefault="00F60C53" w:rsidP="00AC375F">
      <w:pPr>
        <w:numPr>
          <w:ilvl w:val="0"/>
          <w:numId w:val="22"/>
        </w:numPr>
        <w:tabs>
          <w:tab w:val="num" w:pos="720"/>
        </w:tabs>
        <w:spacing w:before="120" w:line="276" w:lineRule="auto"/>
        <w:ind w:left="357" w:hanging="357"/>
        <w:contextualSpacing/>
        <w:jc w:val="both"/>
        <w:rPr>
          <w:rFonts w:eastAsia="Times New Roman" w:cstheme="minorHAnsi"/>
          <w:bCs/>
          <w:color w:val="000000"/>
          <w:lang w:eastAsia="hr-HR"/>
        </w:rPr>
      </w:pPr>
      <w:r w:rsidRPr="00FB378F">
        <w:rPr>
          <w:rFonts w:eastAsia="Times New Roman" w:cstheme="minorHAnsi"/>
          <w:bCs/>
          <w:color w:val="000000"/>
          <w:lang w:eastAsia="hr-HR"/>
        </w:rPr>
        <w:t>lokalna nacionalna baza za izdavanje suglasnosti za unos i uvoz lijekova i djelatnih tvari iz trećih zemalja koja se ne nalazi na popisu zemalja odobrenom od strane Europske komisije</w:t>
      </w:r>
    </w:p>
    <w:p w14:paraId="3777B48B" w14:textId="77777777" w:rsidR="00F60C53" w:rsidRPr="00FB378F" w:rsidRDefault="00F60C53" w:rsidP="00AC375F">
      <w:pPr>
        <w:numPr>
          <w:ilvl w:val="0"/>
          <w:numId w:val="22"/>
        </w:numPr>
        <w:tabs>
          <w:tab w:val="num" w:pos="720"/>
        </w:tabs>
        <w:spacing w:before="120" w:line="276" w:lineRule="auto"/>
        <w:ind w:left="357" w:hanging="357"/>
        <w:contextualSpacing/>
        <w:jc w:val="both"/>
        <w:rPr>
          <w:rFonts w:eastAsia="Times New Roman" w:cstheme="minorHAnsi"/>
          <w:bCs/>
          <w:color w:val="000000"/>
          <w:lang w:eastAsia="hr-HR"/>
        </w:rPr>
      </w:pPr>
      <w:r w:rsidRPr="00FB378F">
        <w:rPr>
          <w:rFonts w:eastAsia="Times New Roman" w:cstheme="minorHAnsi"/>
          <w:bCs/>
          <w:color w:val="000000"/>
          <w:lang w:eastAsia="hr-HR"/>
        </w:rPr>
        <w:t>unošenje i održavanje podataka o veleprodajama i proizvođačima lijekova i djelatnih tvari u bazu podataka Europske agencije za lijekove (EMA) EudraGMDP</w:t>
      </w:r>
    </w:p>
    <w:p w14:paraId="06560A79" w14:textId="77777777" w:rsidR="00F60C53" w:rsidRPr="00FB378F" w:rsidRDefault="00F60C53" w:rsidP="00AC375F">
      <w:pPr>
        <w:numPr>
          <w:ilvl w:val="0"/>
          <w:numId w:val="22"/>
        </w:numPr>
        <w:tabs>
          <w:tab w:val="num" w:pos="720"/>
        </w:tabs>
        <w:spacing w:before="120" w:line="276" w:lineRule="auto"/>
        <w:ind w:left="357" w:hanging="357"/>
        <w:contextualSpacing/>
        <w:jc w:val="both"/>
        <w:rPr>
          <w:rFonts w:eastAsia="Times New Roman" w:cstheme="minorHAnsi"/>
          <w:bCs/>
          <w:color w:val="000000"/>
          <w:lang w:eastAsia="hr-HR"/>
        </w:rPr>
      </w:pPr>
      <w:r w:rsidRPr="00FB378F">
        <w:rPr>
          <w:rFonts w:eastAsia="Times New Roman" w:cstheme="minorHAnsi"/>
          <w:bCs/>
          <w:color w:val="000000"/>
          <w:lang w:eastAsia="hr-HR"/>
        </w:rPr>
        <w:t>unošenje i održavanje podataka o posrednicima u bazu međuvladinog tijela Heads of Medicines Agencies (HMA) Brokers of Medicinal Products Registry</w:t>
      </w:r>
    </w:p>
    <w:p w14:paraId="2DDC6C7F" w14:textId="77777777" w:rsidR="00F60C53" w:rsidRPr="00FB378F" w:rsidRDefault="00F60C53" w:rsidP="00AC375F">
      <w:pPr>
        <w:numPr>
          <w:ilvl w:val="0"/>
          <w:numId w:val="22"/>
        </w:numPr>
        <w:tabs>
          <w:tab w:val="num" w:pos="720"/>
        </w:tabs>
        <w:spacing w:before="120" w:line="276" w:lineRule="auto"/>
        <w:ind w:left="357" w:hanging="357"/>
        <w:contextualSpacing/>
        <w:jc w:val="both"/>
        <w:rPr>
          <w:rFonts w:eastAsia="Times New Roman" w:cstheme="minorHAnsi"/>
          <w:bCs/>
          <w:color w:val="000000"/>
          <w:lang w:eastAsia="hr-HR"/>
        </w:rPr>
      </w:pPr>
      <w:r w:rsidRPr="00FB378F">
        <w:rPr>
          <w:rFonts w:eastAsia="Times New Roman" w:cstheme="minorHAnsi"/>
          <w:bCs/>
          <w:color w:val="000000"/>
          <w:lang w:eastAsia="hr-HR"/>
        </w:rPr>
        <w:t>unošenje podataka o provedenim inspekcijama nad farmakovigilancijom u repozitorij EMA-e</w:t>
      </w:r>
    </w:p>
    <w:p w14:paraId="7C3B01E0" w14:textId="77777777" w:rsidR="00F60C53" w:rsidRPr="00FB378F" w:rsidRDefault="00F60C53" w:rsidP="00AC375F">
      <w:pPr>
        <w:numPr>
          <w:ilvl w:val="0"/>
          <w:numId w:val="22"/>
        </w:numPr>
        <w:tabs>
          <w:tab w:val="num" w:pos="720"/>
        </w:tabs>
        <w:spacing w:before="120" w:line="276" w:lineRule="auto"/>
        <w:ind w:left="357" w:hanging="357"/>
        <w:contextualSpacing/>
        <w:jc w:val="both"/>
        <w:rPr>
          <w:rFonts w:eastAsia="Times New Roman" w:cstheme="minorHAnsi"/>
          <w:bCs/>
          <w:color w:val="000000"/>
          <w:lang w:eastAsia="hr-HR"/>
        </w:rPr>
      </w:pPr>
      <w:r w:rsidRPr="00FB378F">
        <w:rPr>
          <w:rFonts w:eastAsia="Times New Roman" w:cstheme="minorHAnsi"/>
          <w:bCs/>
          <w:color w:val="000000"/>
          <w:lang w:eastAsia="hr-HR"/>
        </w:rPr>
        <w:t>rad predstavnika HALMED-a u EMA-inoj radnoj skupini GMP/GDP inspektora (GMDP IWG)</w:t>
      </w:r>
    </w:p>
    <w:p w14:paraId="7EC3E1FC" w14:textId="77777777" w:rsidR="00F60C53" w:rsidRPr="00FB378F" w:rsidRDefault="00F60C53" w:rsidP="00AC375F">
      <w:pPr>
        <w:numPr>
          <w:ilvl w:val="0"/>
          <w:numId w:val="22"/>
        </w:numPr>
        <w:tabs>
          <w:tab w:val="num" w:pos="720"/>
        </w:tabs>
        <w:spacing w:before="120" w:line="276" w:lineRule="auto"/>
        <w:ind w:left="357" w:hanging="357"/>
        <w:contextualSpacing/>
        <w:jc w:val="both"/>
        <w:rPr>
          <w:rFonts w:eastAsia="Times New Roman" w:cstheme="minorHAnsi"/>
          <w:bCs/>
          <w:color w:val="000000"/>
          <w:lang w:eastAsia="hr-HR"/>
        </w:rPr>
      </w:pPr>
      <w:r w:rsidRPr="00FB378F">
        <w:rPr>
          <w:rFonts w:eastAsia="Times New Roman" w:cstheme="minorHAnsi"/>
          <w:bCs/>
          <w:color w:val="000000"/>
          <w:lang w:eastAsia="hr-HR"/>
        </w:rPr>
        <w:t>sudjelovanje na sastancima Pharmaceutical Inspection Co-Operation Scheme (PIC/S) sekretarijata</w:t>
      </w:r>
    </w:p>
    <w:p w14:paraId="3BC18B3D" w14:textId="77777777" w:rsidR="00F60C53" w:rsidRPr="00FB378F" w:rsidRDefault="00F60C53" w:rsidP="00AC375F">
      <w:pPr>
        <w:numPr>
          <w:ilvl w:val="0"/>
          <w:numId w:val="22"/>
        </w:numPr>
        <w:tabs>
          <w:tab w:val="num" w:pos="720"/>
        </w:tabs>
        <w:spacing w:before="120" w:line="276" w:lineRule="auto"/>
        <w:ind w:left="357" w:hanging="357"/>
        <w:contextualSpacing/>
        <w:jc w:val="both"/>
        <w:rPr>
          <w:rFonts w:eastAsia="Times New Roman" w:cstheme="minorHAnsi"/>
          <w:bCs/>
          <w:color w:val="000000"/>
          <w:lang w:eastAsia="hr-HR"/>
        </w:rPr>
      </w:pPr>
      <w:r w:rsidRPr="00FB378F">
        <w:rPr>
          <w:rFonts w:eastAsia="Times New Roman" w:cstheme="minorHAnsi"/>
          <w:bCs/>
          <w:color w:val="000000"/>
          <w:lang w:eastAsia="hr-HR"/>
        </w:rPr>
        <w:t>rad predstavnika HALMED-a u Europskoj komisiji na donošenju novih uredbi, direktiva i smjernica veznih za zakonodavstvo lijekova</w:t>
      </w:r>
    </w:p>
    <w:p w14:paraId="0B078565" w14:textId="77777777" w:rsidR="00F60C53" w:rsidRPr="00FB378F" w:rsidRDefault="00F60C53" w:rsidP="00AC375F">
      <w:pPr>
        <w:numPr>
          <w:ilvl w:val="0"/>
          <w:numId w:val="22"/>
        </w:numPr>
        <w:tabs>
          <w:tab w:val="num" w:pos="720"/>
        </w:tabs>
        <w:spacing w:before="120" w:line="276" w:lineRule="auto"/>
        <w:ind w:left="357" w:hanging="357"/>
        <w:contextualSpacing/>
        <w:jc w:val="both"/>
        <w:rPr>
          <w:rFonts w:eastAsia="Times New Roman" w:cstheme="minorHAnsi"/>
          <w:bCs/>
          <w:color w:val="000000"/>
          <w:lang w:eastAsia="hr-HR"/>
        </w:rPr>
      </w:pPr>
      <w:r w:rsidRPr="00FB378F">
        <w:rPr>
          <w:rFonts w:eastAsia="Times New Roman" w:cstheme="minorHAnsi"/>
          <w:bCs/>
          <w:color w:val="000000"/>
          <w:lang w:eastAsia="hr-HR"/>
        </w:rPr>
        <w:t>održavanje 24-satnog sustava žurnog obavješćivanja o neispravnosti u kakvoći lijeka koje mogu dovesti do povlačenja lijekova iz prometa iz sigurnosnih razloga</w:t>
      </w:r>
    </w:p>
    <w:p w14:paraId="3A952C30" w14:textId="77777777" w:rsidR="00F60C53" w:rsidRPr="00FB378F" w:rsidRDefault="00F60C53" w:rsidP="00AC375F">
      <w:pPr>
        <w:numPr>
          <w:ilvl w:val="0"/>
          <w:numId w:val="22"/>
        </w:numPr>
        <w:tabs>
          <w:tab w:val="num" w:pos="720"/>
        </w:tabs>
        <w:spacing w:before="120" w:line="276" w:lineRule="auto"/>
        <w:ind w:left="357" w:hanging="357"/>
        <w:contextualSpacing/>
        <w:jc w:val="both"/>
        <w:rPr>
          <w:rFonts w:eastAsia="Times New Roman" w:cstheme="minorHAnsi"/>
          <w:bCs/>
          <w:color w:val="000000"/>
          <w:lang w:eastAsia="hr-HR"/>
        </w:rPr>
      </w:pPr>
      <w:r w:rsidRPr="00FB378F">
        <w:rPr>
          <w:rFonts w:eastAsia="Times New Roman" w:cstheme="minorHAnsi"/>
          <w:bCs/>
          <w:color w:val="000000"/>
          <w:lang w:eastAsia="hr-HR"/>
        </w:rPr>
        <w:t>održavanje sustava za obustavljanje stavljanja lijeka u promet i povlačenja lijeka iz prometa</w:t>
      </w:r>
    </w:p>
    <w:p w14:paraId="07CD05A2" w14:textId="77777777" w:rsidR="00F60C53" w:rsidRPr="00FB378F" w:rsidRDefault="00F60C53" w:rsidP="00AC375F">
      <w:pPr>
        <w:numPr>
          <w:ilvl w:val="0"/>
          <w:numId w:val="22"/>
        </w:numPr>
        <w:tabs>
          <w:tab w:val="num" w:pos="720"/>
        </w:tabs>
        <w:spacing w:before="120" w:line="276" w:lineRule="auto"/>
        <w:ind w:left="357" w:hanging="357"/>
        <w:contextualSpacing/>
        <w:jc w:val="both"/>
        <w:rPr>
          <w:rFonts w:eastAsia="Times New Roman" w:cstheme="minorHAnsi"/>
          <w:bCs/>
          <w:color w:val="000000"/>
          <w:lang w:eastAsia="hr-HR"/>
        </w:rPr>
      </w:pPr>
      <w:r w:rsidRPr="00FB378F">
        <w:rPr>
          <w:rFonts w:eastAsia="Times New Roman" w:cstheme="minorHAnsi"/>
          <w:bCs/>
          <w:color w:val="000000"/>
          <w:lang w:eastAsia="hr-HR"/>
        </w:rPr>
        <w:t>obavještavanje zdravstvenih radnika, pacijenata i nositelja o neispravnosti u kakvoći lijeka</w:t>
      </w:r>
    </w:p>
    <w:p w14:paraId="5F5DC34F" w14:textId="77777777" w:rsidR="00F60C53" w:rsidRPr="00FB378F" w:rsidRDefault="00F60C53" w:rsidP="00AC375F">
      <w:pPr>
        <w:numPr>
          <w:ilvl w:val="0"/>
          <w:numId w:val="22"/>
        </w:numPr>
        <w:tabs>
          <w:tab w:val="num" w:pos="720"/>
        </w:tabs>
        <w:spacing w:before="120" w:line="276" w:lineRule="auto"/>
        <w:ind w:left="357" w:hanging="357"/>
        <w:contextualSpacing/>
        <w:jc w:val="both"/>
        <w:rPr>
          <w:rFonts w:eastAsia="Times New Roman" w:cstheme="minorHAnsi"/>
          <w:bCs/>
          <w:color w:val="000000"/>
          <w:lang w:eastAsia="hr-HR"/>
        </w:rPr>
      </w:pPr>
      <w:r w:rsidRPr="00FB378F">
        <w:rPr>
          <w:rFonts w:eastAsia="Times New Roman" w:cstheme="minorHAnsi"/>
          <w:bCs/>
          <w:color w:val="000000"/>
          <w:lang w:eastAsia="hr-HR"/>
        </w:rPr>
        <w:t>izdavanje Izvješća o potrošnji lijekova u Republici Hrvatskoj za proteklu godinu</w:t>
      </w:r>
    </w:p>
    <w:p w14:paraId="2B1A9507" w14:textId="77777777" w:rsidR="00F60C53" w:rsidRPr="00FB378F" w:rsidRDefault="00F60C53" w:rsidP="00AC375F">
      <w:pPr>
        <w:numPr>
          <w:ilvl w:val="0"/>
          <w:numId w:val="22"/>
        </w:numPr>
        <w:tabs>
          <w:tab w:val="num" w:pos="720"/>
        </w:tabs>
        <w:spacing w:before="120" w:line="276" w:lineRule="auto"/>
        <w:ind w:left="357" w:hanging="357"/>
        <w:contextualSpacing/>
        <w:jc w:val="both"/>
        <w:rPr>
          <w:rFonts w:eastAsia="Times New Roman" w:cstheme="minorHAnsi"/>
          <w:bCs/>
          <w:color w:val="000000"/>
          <w:lang w:eastAsia="hr-HR"/>
        </w:rPr>
      </w:pPr>
      <w:r w:rsidRPr="00FB378F">
        <w:rPr>
          <w:rFonts w:eastAsia="Times New Roman" w:cstheme="minorHAnsi"/>
          <w:bCs/>
          <w:color w:val="000000"/>
          <w:lang w:eastAsia="hr-HR"/>
        </w:rPr>
        <w:t>obavještavanje države članice Europske unije i Europske komisije o ukinutim dozvolama</w:t>
      </w:r>
    </w:p>
    <w:p w14:paraId="35D3F387" w14:textId="77777777" w:rsidR="00F60C53" w:rsidRPr="00FB378F" w:rsidRDefault="00F60C53" w:rsidP="00AC375F">
      <w:pPr>
        <w:numPr>
          <w:ilvl w:val="0"/>
          <w:numId w:val="22"/>
        </w:numPr>
        <w:tabs>
          <w:tab w:val="num" w:pos="720"/>
        </w:tabs>
        <w:spacing w:before="120" w:line="276" w:lineRule="auto"/>
        <w:ind w:left="357" w:hanging="357"/>
        <w:contextualSpacing/>
        <w:jc w:val="both"/>
        <w:rPr>
          <w:rFonts w:eastAsia="Times New Roman" w:cstheme="minorHAnsi"/>
          <w:bCs/>
          <w:color w:val="000000"/>
          <w:lang w:eastAsia="hr-HR"/>
        </w:rPr>
      </w:pPr>
      <w:r w:rsidRPr="00FB378F">
        <w:rPr>
          <w:rFonts w:eastAsia="Times New Roman" w:cstheme="minorHAnsi"/>
          <w:bCs/>
          <w:color w:val="000000"/>
          <w:lang w:eastAsia="hr-HR"/>
        </w:rPr>
        <w:t>pripremanje dokumentacije o izdanim dozvolama i upisu u očevidnik na zahtjev Europske komisije ili pojedine države članice Europske unije</w:t>
      </w:r>
    </w:p>
    <w:p w14:paraId="1F324E8C" w14:textId="77777777" w:rsidR="00F60C53" w:rsidRPr="00FB378F" w:rsidRDefault="00F60C53" w:rsidP="00AC375F">
      <w:pPr>
        <w:numPr>
          <w:ilvl w:val="0"/>
          <w:numId w:val="22"/>
        </w:numPr>
        <w:tabs>
          <w:tab w:val="num" w:pos="720"/>
        </w:tabs>
        <w:spacing w:before="120" w:line="276" w:lineRule="auto"/>
        <w:ind w:left="357" w:hanging="357"/>
        <w:contextualSpacing/>
        <w:jc w:val="both"/>
        <w:rPr>
          <w:rFonts w:eastAsia="Times New Roman" w:cstheme="minorHAnsi"/>
          <w:bCs/>
          <w:color w:val="000000"/>
          <w:lang w:eastAsia="hr-HR"/>
        </w:rPr>
      </w:pPr>
      <w:r w:rsidRPr="00FB378F">
        <w:rPr>
          <w:rFonts w:eastAsia="Times New Roman" w:cstheme="minorHAnsi"/>
          <w:bCs/>
          <w:color w:val="000000"/>
          <w:lang w:eastAsia="hr-HR"/>
        </w:rPr>
        <w:t>održavanje sustava za prijave stavljanja lijeka u promet, prijave nestašica i prekida opskrbe tržišta lijekovima</w:t>
      </w:r>
    </w:p>
    <w:p w14:paraId="67FC15CB" w14:textId="77777777" w:rsidR="00F60C53" w:rsidRPr="00FB378F" w:rsidRDefault="00F60C53" w:rsidP="00AC375F">
      <w:pPr>
        <w:numPr>
          <w:ilvl w:val="0"/>
          <w:numId w:val="22"/>
        </w:numPr>
        <w:tabs>
          <w:tab w:val="num" w:pos="720"/>
        </w:tabs>
        <w:spacing w:before="120" w:line="276" w:lineRule="auto"/>
        <w:ind w:left="357" w:hanging="357"/>
        <w:contextualSpacing/>
        <w:jc w:val="both"/>
        <w:rPr>
          <w:rFonts w:eastAsia="Times New Roman" w:cstheme="minorHAnsi"/>
          <w:bCs/>
          <w:color w:val="000000"/>
          <w:lang w:eastAsia="hr-HR"/>
        </w:rPr>
      </w:pPr>
      <w:r w:rsidRPr="00FB378F">
        <w:rPr>
          <w:rFonts w:eastAsia="Times New Roman" w:cstheme="minorHAnsi"/>
          <w:bCs/>
          <w:color w:val="000000"/>
          <w:lang w:eastAsia="hr-HR"/>
        </w:rPr>
        <w:t>pripremanje dokumentacije o lijekovima na zahtjev pojedine države članice Europske unije koji su izneseni iz RH na temelju paralelnog izvoza</w:t>
      </w:r>
    </w:p>
    <w:p w14:paraId="4CDCEAC8" w14:textId="77777777" w:rsidR="00F60C53" w:rsidRPr="00FB378F" w:rsidRDefault="00F60C53" w:rsidP="00AC375F">
      <w:pPr>
        <w:numPr>
          <w:ilvl w:val="0"/>
          <w:numId w:val="22"/>
        </w:numPr>
        <w:tabs>
          <w:tab w:val="num" w:pos="720"/>
        </w:tabs>
        <w:spacing w:before="120" w:line="276" w:lineRule="auto"/>
        <w:ind w:left="357" w:hanging="357"/>
        <w:contextualSpacing/>
        <w:jc w:val="both"/>
        <w:rPr>
          <w:rFonts w:eastAsia="Times New Roman" w:cstheme="minorHAnsi"/>
          <w:bCs/>
          <w:color w:val="000000"/>
          <w:lang w:eastAsia="hr-HR"/>
        </w:rPr>
      </w:pPr>
      <w:r w:rsidRPr="00FB378F">
        <w:rPr>
          <w:rFonts w:eastAsia="Times New Roman" w:cstheme="minorHAnsi"/>
          <w:bCs/>
          <w:color w:val="000000"/>
          <w:lang w:eastAsia="hr-HR"/>
        </w:rPr>
        <w:t>zaprimanje, obrada i stručna procjena za izdavanjem suglasnosti za stavljanje lijekova u promet koji se nalaze u postupku obnove.</w:t>
      </w:r>
    </w:p>
    <w:p w14:paraId="5227D2EC" w14:textId="77777777" w:rsidR="00F60C53" w:rsidRPr="006635A4" w:rsidRDefault="00F60C53" w:rsidP="00F60C53">
      <w:pPr>
        <w:spacing w:line="276" w:lineRule="auto"/>
        <w:jc w:val="both"/>
        <w:rPr>
          <w:rFonts w:eastAsia="Times New Roman" w:cstheme="minorHAnsi"/>
          <w:bCs/>
          <w:color w:val="000000"/>
          <w:lang w:eastAsia="hr-HR"/>
        </w:rPr>
      </w:pPr>
    </w:p>
    <w:p w14:paraId="5CD38086" w14:textId="77777777" w:rsidR="00F60C53" w:rsidRPr="00FB378F" w:rsidRDefault="00F60C53" w:rsidP="00F60C53">
      <w:pPr>
        <w:spacing w:line="276" w:lineRule="auto"/>
        <w:jc w:val="both"/>
        <w:rPr>
          <w:rFonts w:eastAsia="Times New Roman" w:cstheme="minorHAnsi"/>
          <w:bCs/>
          <w:color w:val="000000"/>
          <w:lang w:eastAsia="hr-HR"/>
        </w:rPr>
      </w:pPr>
      <w:r w:rsidRPr="00FB378F">
        <w:rPr>
          <w:rFonts w:eastAsia="Times New Roman" w:cstheme="minorHAnsi"/>
          <w:bCs/>
          <w:color w:val="000000"/>
          <w:lang w:eastAsia="hr-HR"/>
        </w:rPr>
        <w:t>Godišnje pristojbe koje se naplaćuju proizvođačima i ovlaštenim zastupnicima, veleprodajama i specijaliziranim prodavaonicama medicinskih proizvoda podržavaju sljedeće aktivnosti HALMED-a:</w:t>
      </w:r>
    </w:p>
    <w:p w14:paraId="38F677E3" w14:textId="77777777" w:rsidR="00F60C53" w:rsidRPr="00330D1E" w:rsidRDefault="00F60C53" w:rsidP="00AC375F">
      <w:pPr>
        <w:pStyle w:val="ListParagraph"/>
        <w:numPr>
          <w:ilvl w:val="0"/>
          <w:numId w:val="34"/>
        </w:numPr>
        <w:spacing w:before="0" w:after="0"/>
        <w:jc w:val="both"/>
        <w:rPr>
          <w:rFonts w:eastAsia="Times New Roman" w:cstheme="minorHAnsi"/>
          <w:bCs/>
          <w:color w:val="000000"/>
          <w:sz w:val="22"/>
          <w:szCs w:val="22"/>
          <w:lang w:eastAsia="hr-HR"/>
        </w:rPr>
      </w:pPr>
      <w:r w:rsidRPr="00330D1E">
        <w:rPr>
          <w:rFonts w:eastAsia="Times New Roman" w:cstheme="minorHAnsi"/>
          <w:bCs/>
          <w:color w:val="000000"/>
          <w:sz w:val="22"/>
          <w:szCs w:val="22"/>
          <w:lang w:eastAsia="hr-HR"/>
        </w:rPr>
        <w:lastRenderedPageBreak/>
        <w:t>zaprimanje, obrada i stručna procjena prijava štetnih događaja povezanih s medicinskim proizvodima na području RH</w:t>
      </w:r>
    </w:p>
    <w:p w14:paraId="626205D2" w14:textId="77777777" w:rsidR="00F60C53" w:rsidRPr="00330D1E" w:rsidRDefault="00F60C53" w:rsidP="00AC375F">
      <w:pPr>
        <w:pStyle w:val="ListParagraph"/>
        <w:numPr>
          <w:ilvl w:val="0"/>
          <w:numId w:val="33"/>
        </w:numPr>
        <w:spacing w:before="0" w:after="0"/>
        <w:jc w:val="both"/>
        <w:rPr>
          <w:rFonts w:eastAsia="Times New Roman" w:cstheme="minorHAnsi"/>
          <w:bCs/>
          <w:color w:val="000000"/>
          <w:sz w:val="22"/>
          <w:szCs w:val="22"/>
          <w:lang w:eastAsia="hr-HR"/>
        </w:rPr>
      </w:pPr>
      <w:r w:rsidRPr="00330D1E">
        <w:rPr>
          <w:rFonts w:eastAsia="Times New Roman" w:cstheme="minorHAnsi"/>
          <w:bCs/>
          <w:color w:val="000000"/>
          <w:sz w:val="22"/>
          <w:szCs w:val="22"/>
          <w:lang w:eastAsia="hr-HR"/>
        </w:rPr>
        <w:t>zaprimanje, obrada i stručna procjena sigurnosno korektivnih radnji povezanih s medicinskim proizvodima koje se provode na području RH</w:t>
      </w:r>
    </w:p>
    <w:p w14:paraId="658638A1" w14:textId="77777777" w:rsidR="00F60C53" w:rsidRPr="00330D1E" w:rsidRDefault="00F60C53" w:rsidP="00AC375F">
      <w:pPr>
        <w:pStyle w:val="ListParagraph"/>
        <w:numPr>
          <w:ilvl w:val="0"/>
          <w:numId w:val="33"/>
        </w:numPr>
        <w:spacing w:before="0" w:after="0"/>
        <w:jc w:val="both"/>
        <w:rPr>
          <w:rFonts w:eastAsia="Times New Roman" w:cstheme="minorHAnsi"/>
          <w:bCs/>
          <w:color w:val="000000"/>
          <w:sz w:val="22"/>
          <w:szCs w:val="22"/>
          <w:lang w:eastAsia="hr-HR"/>
        </w:rPr>
      </w:pPr>
      <w:r w:rsidRPr="00330D1E">
        <w:rPr>
          <w:rFonts w:eastAsia="Times New Roman" w:cstheme="minorHAnsi"/>
          <w:bCs/>
          <w:color w:val="000000"/>
          <w:sz w:val="22"/>
          <w:szCs w:val="22"/>
          <w:lang w:eastAsia="hr-HR"/>
        </w:rPr>
        <w:t>sudjelovanje u EU sustavu vigilancije medicinskih proizvoda - NCAR razmjena, mjesečne telekonferencije, Vigilance enquiry procedura</w:t>
      </w:r>
    </w:p>
    <w:p w14:paraId="6937758B" w14:textId="77777777" w:rsidR="00F60C53" w:rsidRPr="00330D1E" w:rsidRDefault="00F60C53" w:rsidP="00AC375F">
      <w:pPr>
        <w:pStyle w:val="ListParagraph"/>
        <w:numPr>
          <w:ilvl w:val="0"/>
          <w:numId w:val="33"/>
        </w:numPr>
        <w:spacing w:before="0" w:after="0"/>
        <w:jc w:val="both"/>
        <w:rPr>
          <w:rFonts w:eastAsia="Times New Roman" w:cstheme="minorHAnsi"/>
          <w:bCs/>
          <w:color w:val="000000"/>
          <w:sz w:val="22"/>
          <w:szCs w:val="22"/>
          <w:lang w:eastAsia="hr-HR"/>
        </w:rPr>
      </w:pPr>
      <w:r w:rsidRPr="00330D1E">
        <w:rPr>
          <w:rFonts w:eastAsia="Times New Roman" w:cstheme="minorHAnsi"/>
          <w:bCs/>
          <w:color w:val="000000"/>
          <w:sz w:val="22"/>
          <w:szCs w:val="22"/>
          <w:lang w:eastAsia="hr-HR"/>
        </w:rPr>
        <w:t>obrada i stručna procjena dokumentacije o medicinskim proizvodima zaprimljene kroz sustav obavijesti o stavljanju medicinskih proizvoda u promet u RH</w:t>
      </w:r>
    </w:p>
    <w:p w14:paraId="0FA53568" w14:textId="77777777" w:rsidR="00F60C53" w:rsidRPr="00330D1E" w:rsidRDefault="00F60C53" w:rsidP="00AC375F">
      <w:pPr>
        <w:pStyle w:val="ListParagraph"/>
        <w:numPr>
          <w:ilvl w:val="0"/>
          <w:numId w:val="33"/>
        </w:numPr>
        <w:spacing w:before="0" w:after="0"/>
        <w:jc w:val="both"/>
        <w:rPr>
          <w:rFonts w:eastAsia="Times New Roman" w:cstheme="minorHAnsi"/>
          <w:bCs/>
          <w:color w:val="000000"/>
          <w:sz w:val="22"/>
          <w:szCs w:val="22"/>
          <w:lang w:eastAsia="hr-HR"/>
        </w:rPr>
      </w:pPr>
      <w:r w:rsidRPr="00330D1E">
        <w:rPr>
          <w:rFonts w:eastAsia="Times New Roman" w:cstheme="minorHAnsi"/>
          <w:bCs/>
          <w:color w:val="000000"/>
          <w:sz w:val="22"/>
          <w:szCs w:val="22"/>
          <w:lang w:eastAsia="hr-HR"/>
        </w:rPr>
        <w:t>održavanje informatičkog sustava nužnog za sustav praćenja sigurnosti medicinskih proizvoda u prometu:</w:t>
      </w:r>
    </w:p>
    <w:p w14:paraId="4FFE9D70" w14:textId="77777777" w:rsidR="00F60C53" w:rsidRPr="00330D1E" w:rsidRDefault="00F60C53" w:rsidP="00AC375F">
      <w:pPr>
        <w:pStyle w:val="ListParagraph"/>
        <w:numPr>
          <w:ilvl w:val="0"/>
          <w:numId w:val="33"/>
        </w:numPr>
        <w:spacing w:before="0" w:after="0"/>
        <w:jc w:val="both"/>
        <w:rPr>
          <w:rFonts w:eastAsia="Times New Roman" w:cstheme="minorHAnsi"/>
          <w:bCs/>
          <w:color w:val="000000"/>
          <w:sz w:val="22"/>
          <w:szCs w:val="22"/>
          <w:lang w:eastAsia="hr-HR"/>
        </w:rPr>
      </w:pPr>
      <w:r w:rsidRPr="00330D1E">
        <w:rPr>
          <w:rFonts w:eastAsia="Times New Roman" w:cstheme="minorHAnsi"/>
          <w:bCs/>
          <w:color w:val="000000"/>
          <w:sz w:val="22"/>
          <w:szCs w:val="22"/>
          <w:lang w:eastAsia="hr-HR"/>
        </w:rPr>
        <w:t>nacionalna baza štetnih događaja i sigurnosno korektivnih radnji</w:t>
      </w:r>
    </w:p>
    <w:p w14:paraId="75EAB68A" w14:textId="77777777" w:rsidR="00F60C53" w:rsidRPr="00330D1E" w:rsidRDefault="00F60C53" w:rsidP="00AC375F">
      <w:pPr>
        <w:pStyle w:val="ListParagraph"/>
        <w:numPr>
          <w:ilvl w:val="0"/>
          <w:numId w:val="33"/>
        </w:numPr>
        <w:spacing w:before="0" w:after="0"/>
        <w:jc w:val="both"/>
        <w:rPr>
          <w:rFonts w:eastAsia="Times New Roman" w:cstheme="minorHAnsi"/>
          <w:bCs/>
          <w:color w:val="000000"/>
          <w:sz w:val="22"/>
          <w:szCs w:val="22"/>
          <w:lang w:eastAsia="hr-HR"/>
        </w:rPr>
      </w:pPr>
      <w:r w:rsidRPr="00330D1E">
        <w:rPr>
          <w:rFonts w:eastAsia="Times New Roman" w:cstheme="minorHAnsi"/>
          <w:bCs/>
          <w:color w:val="000000"/>
          <w:sz w:val="22"/>
          <w:szCs w:val="22"/>
          <w:lang w:eastAsia="hr-HR"/>
        </w:rPr>
        <w:t>održavanje baze podataka o medicinskim proizvodima koji su prometu u RH</w:t>
      </w:r>
    </w:p>
    <w:p w14:paraId="4869B8B4" w14:textId="77777777" w:rsidR="00F60C53" w:rsidRPr="00330D1E" w:rsidRDefault="00F60C53" w:rsidP="00AC375F">
      <w:pPr>
        <w:pStyle w:val="ListParagraph"/>
        <w:numPr>
          <w:ilvl w:val="0"/>
          <w:numId w:val="33"/>
        </w:numPr>
        <w:spacing w:before="0" w:after="0"/>
        <w:jc w:val="both"/>
        <w:rPr>
          <w:rFonts w:eastAsia="Times New Roman" w:cstheme="minorHAnsi"/>
          <w:bCs/>
          <w:color w:val="000000"/>
          <w:sz w:val="22"/>
          <w:szCs w:val="22"/>
          <w:lang w:eastAsia="hr-HR"/>
        </w:rPr>
      </w:pPr>
      <w:r w:rsidRPr="00330D1E">
        <w:rPr>
          <w:rFonts w:eastAsia="Times New Roman" w:cstheme="minorHAnsi"/>
          <w:bCs/>
          <w:color w:val="000000"/>
          <w:sz w:val="22"/>
          <w:szCs w:val="22"/>
          <w:lang w:eastAsia="hr-HR"/>
        </w:rPr>
        <w:t>održavanje baze podataka svih sudionika u procesu proizvodnje i distribucije medicinskih proizvoda</w:t>
      </w:r>
    </w:p>
    <w:p w14:paraId="1ADFB2E0" w14:textId="77777777" w:rsidR="00F60C53" w:rsidRPr="00330D1E" w:rsidRDefault="00F60C53" w:rsidP="00AC375F">
      <w:pPr>
        <w:pStyle w:val="ListParagraph"/>
        <w:numPr>
          <w:ilvl w:val="0"/>
          <w:numId w:val="33"/>
        </w:numPr>
        <w:spacing w:before="0" w:after="0"/>
        <w:jc w:val="both"/>
        <w:rPr>
          <w:rFonts w:eastAsia="Times New Roman" w:cstheme="minorHAnsi"/>
          <w:bCs/>
          <w:color w:val="000000"/>
          <w:sz w:val="22"/>
          <w:szCs w:val="22"/>
          <w:lang w:eastAsia="hr-HR"/>
        </w:rPr>
      </w:pPr>
      <w:r w:rsidRPr="00330D1E">
        <w:rPr>
          <w:rFonts w:eastAsia="Times New Roman" w:cstheme="minorHAnsi"/>
          <w:bCs/>
          <w:color w:val="000000"/>
          <w:sz w:val="22"/>
          <w:szCs w:val="22"/>
          <w:lang w:eastAsia="hr-HR"/>
        </w:rPr>
        <w:t>održavanje sustava prema EU bazi EUDAMED</w:t>
      </w:r>
    </w:p>
    <w:p w14:paraId="12DDFAEB" w14:textId="77777777" w:rsidR="00F60C53" w:rsidRPr="00330D1E" w:rsidRDefault="00F60C53" w:rsidP="00AC375F">
      <w:pPr>
        <w:pStyle w:val="ListParagraph"/>
        <w:numPr>
          <w:ilvl w:val="0"/>
          <w:numId w:val="33"/>
        </w:numPr>
        <w:spacing w:before="0" w:after="0"/>
        <w:jc w:val="both"/>
        <w:rPr>
          <w:rFonts w:eastAsia="Times New Roman" w:cstheme="minorHAnsi"/>
          <w:bCs/>
          <w:color w:val="000000"/>
          <w:sz w:val="22"/>
          <w:szCs w:val="22"/>
          <w:lang w:eastAsia="hr-HR"/>
        </w:rPr>
      </w:pPr>
      <w:r w:rsidRPr="00330D1E">
        <w:rPr>
          <w:rFonts w:eastAsia="Times New Roman" w:cstheme="minorHAnsi"/>
          <w:bCs/>
          <w:color w:val="000000"/>
          <w:sz w:val="22"/>
          <w:szCs w:val="22"/>
          <w:lang w:eastAsia="hr-HR"/>
        </w:rPr>
        <w:t>zaprimanje obavijesti i evidencija pravnih i fizičkih osoba koje obavljaju ljekarničku djelatnost u Republici Hrvatskoj, a nude medicinske proizvode za prodaju na daljinu</w:t>
      </w:r>
    </w:p>
    <w:p w14:paraId="68EFBE0B" w14:textId="77777777" w:rsidR="00F60C53" w:rsidRPr="00330D1E" w:rsidRDefault="00F60C53" w:rsidP="00AC375F">
      <w:pPr>
        <w:pStyle w:val="ListParagraph"/>
        <w:numPr>
          <w:ilvl w:val="0"/>
          <w:numId w:val="33"/>
        </w:numPr>
        <w:spacing w:before="0" w:after="0"/>
        <w:jc w:val="both"/>
        <w:rPr>
          <w:rFonts w:eastAsia="Times New Roman" w:cstheme="minorHAnsi"/>
          <w:bCs/>
          <w:color w:val="000000"/>
          <w:sz w:val="22"/>
          <w:szCs w:val="22"/>
          <w:lang w:eastAsia="hr-HR"/>
        </w:rPr>
      </w:pPr>
      <w:r w:rsidRPr="00330D1E">
        <w:rPr>
          <w:rFonts w:eastAsia="Times New Roman" w:cstheme="minorHAnsi"/>
          <w:bCs/>
          <w:color w:val="000000"/>
          <w:sz w:val="22"/>
          <w:szCs w:val="22"/>
          <w:lang w:eastAsia="hr-HR"/>
        </w:rPr>
        <w:t>rad predstavnika HALMED-a u radnim grupama Europske komisije u okviru međunarodne suradnje EU nadležnih tijela</w:t>
      </w:r>
    </w:p>
    <w:p w14:paraId="505AA06F" w14:textId="77777777" w:rsidR="00F60C53" w:rsidRPr="00330D1E" w:rsidRDefault="00F60C53" w:rsidP="00AC375F">
      <w:pPr>
        <w:pStyle w:val="ListParagraph"/>
        <w:numPr>
          <w:ilvl w:val="0"/>
          <w:numId w:val="33"/>
        </w:numPr>
        <w:spacing w:before="0" w:after="0"/>
        <w:jc w:val="both"/>
        <w:rPr>
          <w:rFonts w:eastAsia="Times New Roman" w:cstheme="minorHAnsi"/>
          <w:bCs/>
          <w:color w:val="000000"/>
          <w:sz w:val="22"/>
          <w:szCs w:val="22"/>
          <w:lang w:eastAsia="hr-HR"/>
        </w:rPr>
      </w:pPr>
      <w:r w:rsidRPr="00330D1E">
        <w:rPr>
          <w:rFonts w:eastAsia="Times New Roman" w:cstheme="minorHAnsi"/>
          <w:bCs/>
          <w:color w:val="000000"/>
          <w:sz w:val="22"/>
          <w:szCs w:val="22"/>
          <w:lang w:eastAsia="hr-HR"/>
        </w:rPr>
        <w:t>rad predstavnika HALMED-a na razvoju EU zakonodavstva o medicinskim proizvodima - Medical Devices Commitee, Pharmaceuticals and Medical Devices Council Working Party</w:t>
      </w:r>
    </w:p>
    <w:p w14:paraId="3FC9A681" w14:textId="77777777" w:rsidR="00F60C53" w:rsidRPr="00330D1E" w:rsidRDefault="00F60C53" w:rsidP="00AC375F">
      <w:pPr>
        <w:pStyle w:val="ListParagraph"/>
        <w:numPr>
          <w:ilvl w:val="0"/>
          <w:numId w:val="33"/>
        </w:numPr>
        <w:spacing w:before="0" w:after="0"/>
        <w:jc w:val="both"/>
        <w:rPr>
          <w:rFonts w:eastAsia="Times New Roman" w:cstheme="minorHAnsi"/>
          <w:bCs/>
          <w:color w:val="000000"/>
          <w:sz w:val="22"/>
          <w:szCs w:val="22"/>
          <w:lang w:eastAsia="hr-HR"/>
        </w:rPr>
      </w:pPr>
      <w:r w:rsidRPr="00330D1E">
        <w:rPr>
          <w:rFonts w:eastAsia="Times New Roman" w:cstheme="minorHAnsi"/>
          <w:bCs/>
          <w:color w:val="000000"/>
          <w:sz w:val="22"/>
          <w:szCs w:val="22"/>
          <w:lang w:eastAsia="hr-HR"/>
        </w:rPr>
        <w:t>rad u postupcima harmonizacije razvrstavanja medicinskih proizvoda - Helsinki procedura</w:t>
      </w:r>
    </w:p>
    <w:p w14:paraId="36057715" w14:textId="77777777" w:rsidR="00F60C53" w:rsidRPr="00330D1E" w:rsidRDefault="00F60C53" w:rsidP="00AC375F">
      <w:pPr>
        <w:pStyle w:val="ListParagraph"/>
        <w:numPr>
          <w:ilvl w:val="0"/>
          <w:numId w:val="33"/>
        </w:numPr>
        <w:spacing w:before="0" w:after="0"/>
        <w:jc w:val="both"/>
        <w:rPr>
          <w:rFonts w:eastAsia="Times New Roman" w:cstheme="minorHAnsi"/>
          <w:bCs/>
          <w:color w:val="000000"/>
          <w:sz w:val="22"/>
          <w:szCs w:val="22"/>
          <w:lang w:eastAsia="hr-HR"/>
        </w:rPr>
      </w:pPr>
      <w:r w:rsidRPr="00330D1E">
        <w:rPr>
          <w:rFonts w:eastAsia="Times New Roman" w:cstheme="minorHAnsi"/>
          <w:bCs/>
          <w:color w:val="000000"/>
          <w:sz w:val="22"/>
          <w:szCs w:val="22"/>
          <w:lang w:eastAsia="hr-HR"/>
        </w:rPr>
        <w:t>rad u postupcima praćenja usklađenosti medicinskih proizvoda i razmjena podataka na EU razini - COEN procedure</w:t>
      </w:r>
    </w:p>
    <w:p w14:paraId="0AB640C4" w14:textId="77777777" w:rsidR="00F60C53" w:rsidRPr="00330D1E" w:rsidRDefault="00F60C53" w:rsidP="00AC375F">
      <w:pPr>
        <w:pStyle w:val="ListParagraph"/>
        <w:numPr>
          <w:ilvl w:val="0"/>
          <w:numId w:val="33"/>
        </w:numPr>
        <w:spacing w:before="0" w:after="0"/>
        <w:jc w:val="both"/>
        <w:rPr>
          <w:rFonts w:eastAsia="Times New Roman" w:cstheme="minorHAnsi"/>
          <w:bCs/>
          <w:color w:val="000000"/>
          <w:sz w:val="22"/>
          <w:szCs w:val="22"/>
          <w:lang w:eastAsia="hr-HR"/>
        </w:rPr>
      </w:pPr>
      <w:r w:rsidRPr="00330D1E">
        <w:rPr>
          <w:rFonts w:eastAsia="Times New Roman" w:cstheme="minorHAnsi"/>
          <w:bCs/>
          <w:color w:val="000000"/>
          <w:sz w:val="22"/>
          <w:szCs w:val="22"/>
          <w:lang w:eastAsia="hr-HR"/>
        </w:rPr>
        <w:t>obavještavanje zdravstvenih radnika, pacijenata i drugih zainteresiranih strana o sigurnosnim pitanjima</w:t>
      </w:r>
    </w:p>
    <w:p w14:paraId="0CDF5468" w14:textId="77777777" w:rsidR="00F60C53" w:rsidRPr="00330D1E" w:rsidRDefault="00F60C53" w:rsidP="00AC375F">
      <w:pPr>
        <w:pStyle w:val="ListParagraph"/>
        <w:numPr>
          <w:ilvl w:val="0"/>
          <w:numId w:val="33"/>
        </w:numPr>
        <w:spacing w:before="0" w:after="0"/>
        <w:jc w:val="both"/>
        <w:rPr>
          <w:rFonts w:eastAsia="Times New Roman" w:cstheme="minorHAnsi"/>
          <w:bCs/>
          <w:color w:val="000000"/>
          <w:sz w:val="22"/>
          <w:szCs w:val="22"/>
          <w:lang w:eastAsia="hr-HR"/>
        </w:rPr>
      </w:pPr>
      <w:r w:rsidRPr="00330D1E">
        <w:rPr>
          <w:rFonts w:eastAsia="Times New Roman" w:cstheme="minorHAnsi"/>
          <w:bCs/>
          <w:color w:val="000000"/>
          <w:sz w:val="22"/>
          <w:szCs w:val="22"/>
          <w:lang w:eastAsia="hr-HR"/>
        </w:rPr>
        <w:t>održavanje 24-satnog sustava žurnog obavješćivanja o štetnim događajima i sigurnosno korektivnim radnjama povezanim s medicinskim proizvodima</w:t>
      </w:r>
    </w:p>
    <w:p w14:paraId="6EB5CBE8" w14:textId="77777777" w:rsidR="00F60C53" w:rsidRPr="00330D1E" w:rsidRDefault="00F60C53" w:rsidP="00AC375F">
      <w:pPr>
        <w:pStyle w:val="ListParagraph"/>
        <w:numPr>
          <w:ilvl w:val="0"/>
          <w:numId w:val="33"/>
        </w:numPr>
        <w:spacing w:before="0" w:after="0"/>
        <w:jc w:val="both"/>
        <w:rPr>
          <w:rFonts w:eastAsia="Times New Roman" w:cstheme="minorHAnsi"/>
          <w:bCs/>
          <w:color w:val="000000"/>
          <w:sz w:val="22"/>
          <w:szCs w:val="22"/>
          <w:lang w:eastAsia="hr-HR"/>
        </w:rPr>
      </w:pPr>
      <w:r w:rsidRPr="00330D1E">
        <w:rPr>
          <w:rFonts w:eastAsia="Times New Roman" w:cstheme="minorHAnsi"/>
          <w:bCs/>
          <w:color w:val="000000"/>
          <w:sz w:val="22"/>
          <w:szCs w:val="22"/>
          <w:lang w:eastAsia="hr-HR"/>
        </w:rPr>
        <w:t>rad Povjerenstva za medicinske proizvode HALMED-a.</w:t>
      </w:r>
      <w:bookmarkStart w:id="296" w:name="_Toc530140599"/>
    </w:p>
    <w:p w14:paraId="4F5C70FA" w14:textId="77777777" w:rsidR="00F60C53" w:rsidRPr="006635A4" w:rsidRDefault="00F60C53" w:rsidP="00F60C53">
      <w:pPr>
        <w:keepNext/>
        <w:keepLines/>
        <w:spacing w:before="240" w:after="240"/>
        <w:outlineLvl w:val="2"/>
        <w:rPr>
          <w:rFonts w:eastAsiaTheme="majorEastAsia" w:cstheme="minorHAnsi"/>
          <w:bCs/>
          <w:color w:val="4472C4" w:themeColor="accent5"/>
          <w:sz w:val="28"/>
          <w:szCs w:val="28"/>
        </w:rPr>
      </w:pPr>
      <w:bookmarkStart w:id="297" w:name="_Toc165035536"/>
      <w:r w:rsidRPr="006635A4">
        <w:rPr>
          <w:rFonts w:eastAsiaTheme="majorEastAsia" w:cstheme="minorHAnsi"/>
          <w:bCs/>
          <w:color w:val="4472C4" w:themeColor="accent5"/>
          <w:sz w:val="28"/>
          <w:szCs w:val="28"/>
        </w:rPr>
        <w:t>2.1</w:t>
      </w:r>
      <w:r>
        <w:rPr>
          <w:rFonts w:eastAsiaTheme="majorEastAsia" w:cstheme="minorHAnsi"/>
          <w:bCs/>
          <w:color w:val="4472C4" w:themeColor="accent5"/>
          <w:sz w:val="28"/>
          <w:szCs w:val="28"/>
        </w:rPr>
        <w:t>1</w:t>
      </w:r>
      <w:r w:rsidRPr="006635A4">
        <w:rPr>
          <w:rFonts w:eastAsiaTheme="majorEastAsia" w:cstheme="minorHAnsi"/>
          <w:bCs/>
          <w:color w:val="4472C4" w:themeColor="accent5"/>
          <w:sz w:val="28"/>
          <w:szCs w:val="28"/>
        </w:rPr>
        <w:t>.1. Izvršenje godišnjih pristojbi</w:t>
      </w:r>
      <w:bookmarkEnd w:id="296"/>
      <w:bookmarkEnd w:id="297"/>
    </w:p>
    <w:p w14:paraId="2866FDAA" w14:textId="77777777" w:rsidR="00F60C53" w:rsidRPr="006635A4" w:rsidRDefault="00F60C53" w:rsidP="00F60C53">
      <w:pPr>
        <w:tabs>
          <w:tab w:val="center" w:pos="858"/>
          <w:tab w:val="center" w:pos="4320"/>
          <w:tab w:val="right" w:pos="8306"/>
          <w:tab w:val="right" w:pos="8640"/>
        </w:tabs>
        <w:spacing w:after="120"/>
        <w:jc w:val="both"/>
        <w:rPr>
          <w:rFonts w:eastAsia="Times New Roman" w:cstheme="minorHAnsi"/>
          <w:b/>
          <w:bCs/>
          <w:lang w:eastAsia="hr-HR"/>
        </w:rPr>
      </w:pPr>
      <w:r w:rsidRPr="006635A4">
        <w:rPr>
          <w:rFonts w:eastAsia="Times New Roman" w:cstheme="minorHAnsi"/>
          <w:b/>
          <w:bCs/>
          <w:lang w:eastAsia="hr-HR"/>
        </w:rPr>
        <w:t>Tablica 3</w:t>
      </w:r>
      <w:r>
        <w:rPr>
          <w:rFonts w:eastAsia="Times New Roman" w:cstheme="minorHAnsi"/>
          <w:b/>
          <w:bCs/>
          <w:lang w:eastAsia="hr-HR"/>
        </w:rPr>
        <w:t>5</w:t>
      </w:r>
      <w:r w:rsidRPr="006635A4">
        <w:rPr>
          <w:rFonts w:eastAsia="Times New Roman" w:cstheme="minorHAnsi"/>
          <w:b/>
          <w:bCs/>
          <w:lang w:eastAsia="hr-HR"/>
        </w:rPr>
        <w:t>. Broj godišnjih pristojbi</w:t>
      </w:r>
    </w:p>
    <w:tbl>
      <w:tblPr>
        <w:tblW w:w="9082"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4253"/>
        <w:gridCol w:w="1417"/>
        <w:gridCol w:w="1418"/>
        <w:gridCol w:w="1275"/>
      </w:tblGrid>
      <w:tr w:rsidR="00F60C53" w:rsidRPr="006635A4" w14:paraId="1EA45D6C" w14:textId="77777777" w:rsidTr="00BA499D">
        <w:trPr>
          <w:trHeight w:val="284"/>
          <w:tblHeader/>
        </w:trPr>
        <w:tc>
          <w:tcPr>
            <w:tcW w:w="719" w:type="dxa"/>
            <w:vMerge w:val="restart"/>
            <w:shd w:val="clear" w:color="auto" w:fill="A3E7FF"/>
            <w:vAlign w:val="center"/>
            <w:hideMark/>
          </w:tcPr>
          <w:p w14:paraId="121E2A3E" w14:textId="77777777" w:rsidR="00F60C53" w:rsidRPr="006635A4" w:rsidRDefault="00F60C53" w:rsidP="00BA499D">
            <w:pPr>
              <w:jc w:val="center"/>
              <w:rPr>
                <w:rFonts w:eastAsia="Times New Roman" w:cstheme="minorHAnsi"/>
                <w:b/>
                <w:bCs/>
                <w:sz w:val="18"/>
                <w:szCs w:val="18"/>
                <w:lang w:eastAsia="hr-HR"/>
              </w:rPr>
            </w:pPr>
            <w:r w:rsidRPr="006635A4">
              <w:rPr>
                <w:rFonts w:eastAsia="Times New Roman" w:cstheme="minorHAnsi"/>
                <w:b/>
                <w:bCs/>
                <w:sz w:val="18"/>
                <w:szCs w:val="18"/>
                <w:lang w:eastAsia="hr-HR"/>
              </w:rPr>
              <w:t>R.br.</w:t>
            </w:r>
          </w:p>
        </w:tc>
        <w:tc>
          <w:tcPr>
            <w:tcW w:w="4253" w:type="dxa"/>
            <w:vMerge w:val="restart"/>
            <w:shd w:val="clear" w:color="auto" w:fill="A3E7FF"/>
            <w:vAlign w:val="center"/>
            <w:hideMark/>
          </w:tcPr>
          <w:p w14:paraId="2A474AF1" w14:textId="77777777" w:rsidR="00F60C53" w:rsidRPr="006635A4" w:rsidRDefault="00F60C53" w:rsidP="00BA499D">
            <w:pPr>
              <w:rPr>
                <w:rFonts w:eastAsia="Times New Roman" w:cstheme="minorHAnsi"/>
                <w:b/>
                <w:bCs/>
                <w:sz w:val="18"/>
                <w:szCs w:val="18"/>
                <w:lang w:eastAsia="hr-HR"/>
              </w:rPr>
            </w:pPr>
            <w:r w:rsidRPr="006635A4">
              <w:rPr>
                <w:rFonts w:eastAsia="Times New Roman" w:cstheme="minorHAnsi"/>
                <w:b/>
                <w:bCs/>
                <w:sz w:val="18"/>
                <w:szCs w:val="18"/>
                <w:lang w:eastAsia="hr-HR"/>
              </w:rPr>
              <w:t>Naziv usluge</w:t>
            </w:r>
          </w:p>
        </w:tc>
        <w:tc>
          <w:tcPr>
            <w:tcW w:w="1417" w:type="dxa"/>
            <w:vMerge w:val="restart"/>
            <w:shd w:val="clear" w:color="auto" w:fill="A3E7FF"/>
            <w:vAlign w:val="center"/>
            <w:hideMark/>
          </w:tcPr>
          <w:p w14:paraId="0C12BECB" w14:textId="77777777" w:rsidR="00F60C53" w:rsidRPr="006635A4" w:rsidRDefault="00F60C53" w:rsidP="00BA499D">
            <w:pPr>
              <w:jc w:val="center"/>
              <w:rPr>
                <w:rFonts w:eastAsia="Times New Roman" w:cstheme="minorHAnsi"/>
                <w:b/>
                <w:bCs/>
                <w:sz w:val="18"/>
                <w:szCs w:val="18"/>
                <w:lang w:eastAsia="hr-HR"/>
              </w:rPr>
            </w:pPr>
            <w:r w:rsidRPr="006635A4">
              <w:rPr>
                <w:rFonts w:eastAsia="Times New Roman" w:cstheme="minorHAnsi"/>
                <w:b/>
                <w:bCs/>
                <w:sz w:val="18"/>
                <w:szCs w:val="18"/>
                <w:lang w:eastAsia="hr-HR"/>
              </w:rPr>
              <w:t>Plan za 202</w:t>
            </w:r>
            <w:r>
              <w:rPr>
                <w:rFonts w:eastAsia="Times New Roman" w:cstheme="minorHAnsi"/>
                <w:b/>
                <w:bCs/>
                <w:sz w:val="18"/>
                <w:szCs w:val="18"/>
                <w:lang w:eastAsia="hr-HR"/>
              </w:rPr>
              <w:t>3</w:t>
            </w:r>
            <w:r w:rsidRPr="006635A4">
              <w:rPr>
                <w:rFonts w:eastAsia="Times New Roman" w:cstheme="minorHAnsi"/>
                <w:b/>
                <w:bCs/>
                <w:sz w:val="18"/>
                <w:szCs w:val="18"/>
                <w:lang w:eastAsia="hr-HR"/>
              </w:rPr>
              <w:t>.</w:t>
            </w:r>
          </w:p>
        </w:tc>
        <w:tc>
          <w:tcPr>
            <w:tcW w:w="1418" w:type="dxa"/>
            <w:vMerge w:val="restart"/>
            <w:shd w:val="clear" w:color="auto" w:fill="A3E7FF"/>
            <w:vAlign w:val="center"/>
            <w:hideMark/>
          </w:tcPr>
          <w:p w14:paraId="462E30E9" w14:textId="77777777" w:rsidR="00F60C53" w:rsidRPr="006635A4" w:rsidRDefault="00F60C53" w:rsidP="00BA499D">
            <w:pPr>
              <w:jc w:val="center"/>
              <w:rPr>
                <w:rFonts w:eastAsia="Times New Roman" w:cstheme="minorHAnsi"/>
                <w:b/>
                <w:bCs/>
                <w:sz w:val="18"/>
                <w:szCs w:val="18"/>
                <w:lang w:eastAsia="hr-HR"/>
              </w:rPr>
            </w:pPr>
            <w:r w:rsidRPr="006635A4">
              <w:rPr>
                <w:rFonts w:eastAsia="Times New Roman" w:cstheme="minorHAnsi"/>
                <w:b/>
                <w:bCs/>
                <w:sz w:val="18"/>
                <w:szCs w:val="18"/>
                <w:lang w:eastAsia="hr-HR"/>
              </w:rPr>
              <w:t xml:space="preserve">Izvršenje </w:t>
            </w:r>
          </w:p>
          <w:p w14:paraId="75173933" w14:textId="77777777" w:rsidR="00F60C53" w:rsidRPr="006635A4" w:rsidRDefault="00F60C53" w:rsidP="00BA499D">
            <w:pPr>
              <w:jc w:val="center"/>
              <w:rPr>
                <w:rFonts w:eastAsia="Times New Roman" w:cstheme="minorHAnsi"/>
                <w:b/>
                <w:bCs/>
                <w:sz w:val="18"/>
                <w:szCs w:val="18"/>
                <w:lang w:eastAsia="hr-HR"/>
              </w:rPr>
            </w:pPr>
            <w:r w:rsidRPr="006635A4">
              <w:rPr>
                <w:rFonts w:eastAsia="Times New Roman" w:cstheme="minorHAnsi"/>
                <w:b/>
                <w:bCs/>
                <w:sz w:val="18"/>
                <w:szCs w:val="18"/>
                <w:lang w:eastAsia="hr-HR"/>
              </w:rPr>
              <w:t>01.01.-</w:t>
            </w:r>
            <w:r>
              <w:rPr>
                <w:rFonts w:eastAsia="Times New Roman" w:cstheme="minorHAnsi"/>
                <w:b/>
                <w:bCs/>
                <w:sz w:val="18"/>
                <w:szCs w:val="18"/>
                <w:lang w:eastAsia="hr-HR"/>
              </w:rPr>
              <w:t>31.12.</w:t>
            </w:r>
            <w:r w:rsidRPr="006635A4">
              <w:rPr>
                <w:rFonts w:eastAsia="Times New Roman" w:cstheme="minorHAnsi"/>
                <w:b/>
                <w:bCs/>
                <w:sz w:val="18"/>
                <w:szCs w:val="18"/>
                <w:lang w:eastAsia="hr-HR"/>
              </w:rPr>
              <w:t xml:space="preserve"> 202</w:t>
            </w:r>
            <w:r>
              <w:rPr>
                <w:rFonts w:eastAsia="Times New Roman" w:cstheme="minorHAnsi"/>
                <w:b/>
                <w:bCs/>
                <w:sz w:val="18"/>
                <w:szCs w:val="18"/>
                <w:lang w:eastAsia="hr-HR"/>
              </w:rPr>
              <w:t>3</w:t>
            </w:r>
            <w:r w:rsidRPr="006635A4">
              <w:rPr>
                <w:rFonts w:eastAsia="Times New Roman" w:cstheme="minorHAnsi"/>
                <w:b/>
                <w:bCs/>
                <w:sz w:val="18"/>
                <w:szCs w:val="18"/>
                <w:lang w:eastAsia="hr-HR"/>
              </w:rPr>
              <w:t>.</w:t>
            </w:r>
          </w:p>
        </w:tc>
        <w:tc>
          <w:tcPr>
            <w:tcW w:w="1275" w:type="dxa"/>
            <w:vMerge w:val="restart"/>
            <w:shd w:val="clear" w:color="auto" w:fill="A3E7FF"/>
            <w:vAlign w:val="center"/>
            <w:hideMark/>
          </w:tcPr>
          <w:p w14:paraId="16FA6293" w14:textId="77777777" w:rsidR="00F60C53" w:rsidRPr="006635A4" w:rsidRDefault="00F60C53" w:rsidP="00BA499D">
            <w:pPr>
              <w:jc w:val="center"/>
              <w:rPr>
                <w:rFonts w:eastAsia="Times New Roman" w:cstheme="minorHAnsi"/>
                <w:b/>
                <w:bCs/>
                <w:sz w:val="18"/>
                <w:szCs w:val="18"/>
                <w:lang w:eastAsia="hr-HR"/>
              </w:rPr>
            </w:pPr>
            <w:r w:rsidRPr="006635A4">
              <w:rPr>
                <w:rFonts w:eastAsia="Times New Roman" w:cstheme="minorHAnsi"/>
                <w:b/>
                <w:bCs/>
                <w:sz w:val="18"/>
                <w:szCs w:val="18"/>
                <w:lang w:eastAsia="hr-HR"/>
              </w:rPr>
              <w:t>% izvršenja</w:t>
            </w:r>
          </w:p>
        </w:tc>
      </w:tr>
      <w:tr w:rsidR="00F60C53" w:rsidRPr="006635A4" w14:paraId="62F8B3D3" w14:textId="77777777" w:rsidTr="00BA499D">
        <w:trPr>
          <w:trHeight w:val="509"/>
          <w:tblHeader/>
        </w:trPr>
        <w:tc>
          <w:tcPr>
            <w:tcW w:w="719" w:type="dxa"/>
            <w:vMerge/>
            <w:shd w:val="clear" w:color="auto" w:fill="A3E7FF"/>
            <w:vAlign w:val="center"/>
            <w:hideMark/>
          </w:tcPr>
          <w:p w14:paraId="22A0BEAB" w14:textId="77777777" w:rsidR="00F60C53" w:rsidRPr="006635A4" w:rsidRDefault="00F60C53" w:rsidP="00BA499D">
            <w:pPr>
              <w:jc w:val="center"/>
              <w:rPr>
                <w:rFonts w:eastAsia="Times New Roman" w:cstheme="minorHAnsi"/>
                <w:b/>
                <w:bCs/>
                <w:color w:val="000000"/>
                <w:sz w:val="20"/>
                <w:szCs w:val="20"/>
                <w:lang w:eastAsia="hr-HR"/>
              </w:rPr>
            </w:pPr>
          </w:p>
        </w:tc>
        <w:tc>
          <w:tcPr>
            <w:tcW w:w="4253" w:type="dxa"/>
            <w:vMerge/>
            <w:shd w:val="clear" w:color="auto" w:fill="A3E7FF"/>
            <w:vAlign w:val="center"/>
            <w:hideMark/>
          </w:tcPr>
          <w:p w14:paraId="0BBF7613" w14:textId="77777777" w:rsidR="00F60C53" w:rsidRPr="006635A4" w:rsidRDefault="00F60C53" w:rsidP="00BA499D">
            <w:pPr>
              <w:rPr>
                <w:rFonts w:eastAsia="Times New Roman" w:cstheme="minorHAnsi"/>
                <w:b/>
                <w:bCs/>
                <w:color w:val="000000"/>
                <w:sz w:val="20"/>
                <w:szCs w:val="20"/>
                <w:lang w:eastAsia="hr-HR"/>
              </w:rPr>
            </w:pPr>
          </w:p>
        </w:tc>
        <w:tc>
          <w:tcPr>
            <w:tcW w:w="1417" w:type="dxa"/>
            <w:vMerge/>
            <w:shd w:val="clear" w:color="auto" w:fill="A3E7FF"/>
            <w:vAlign w:val="center"/>
            <w:hideMark/>
          </w:tcPr>
          <w:p w14:paraId="4B21631C" w14:textId="77777777" w:rsidR="00F60C53" w:rsidRPr="006635A4" w:rsidRDefault="00F60C53" w:rsidP="00BA499D">
            <w:pPr>
              <w:jc w:val="center"/>
              <w:rPr>
                <w:rFonts w:eastAsia="Times New Roman" w:cstheme="minorHAnsi"/>
                <w:b/>
                <w:bCs/>
                <w:color w:val="000000"/>
                <w:sz w:val="20"/>
                <w:szCs w:val="20"/>
                <w:lang w:eastAsia="hr-HR"/>
              </w:rPr>
            </w:pPr>
          </w:p>
        </w:tc>
        <w:tc>
          <w:tcPr>
            <w:tcW w:w="1418" w:type="dxa"/>
            <w:vMerge/>
            <w:shd w:val="clear" w:color="auto" w:fill="A3E7FF"/>
            <w:vAlign w:val="center"/>
            <w:hideMark/>
          </w:tcPr>
          <w:p w14:paraId="5AE40974" w14:textId="77777777" w:rsidR="00F60C53" w:rsidRPr="006635A4" w:rsidRDefault="00F60C53" w:rsidP="00BA499D">
            <w:pPr>
              <w:jc w:val="center"/>
              <w:rPr>
                <w:rFonts w:eastAsia="Times New Roman" w:cstheme="minorHAnsi"/>
                <w:b/>
                <w:bCs/>
                <w:color w:val="000000"/>
                <w:sz w:val="20"/>
                <w:szCs w:val="20"/>
                <w:lang w:eastAsia="hr-HR"/>
              </w:rPr>
            </w:pPr>
          </w:p>
        </w:tc>
        <w:tc>
          <w:tcPr>
            <w:tcW w:w="1275" w:type="dxa"/>
            <w:vMerge/>
            <w:shd w:val="clear" w:color="auto" w:fill="A3E7FF"/>
            <w:vAlign w:val="center"/>
            <w:hideMark/>
          </w:tcPr>
          <w:p w14:paraId="794B90A3" w14:textId="77777777" w:rsidR="00F60C53" w:rsidRPr="006635A4" w:rsidRDefault="00F60C53" w:rsidP="00BA499D">
            <w:pPr>
              <w:jc w:val="center"/>
              <w:rPr>
                <w:rFonts w:eastAsia="Times New Roman" w:cstheme="minorHAnsi"/>
                <w:b/>
                <w:bCs/>
                <w:color w:val="000000"/>
                <w:sz w:val="20"/>
                <w:szCs w:val="20"/>
                <w:lang w:eastAsia="hr-HR"/>
              </w:rPr>
            </w:pPr>
          </w:p>
        </w:tc>
      </w:tr>
      <w:tr w:rsidR="00F60C53" w:rsidRPr="006635A4" w14:paraId="4F80B120" w14:textId="77777777" w:rsidTr="00BA499D">
        <w:trPr>
          <w:trHeight w:val="142"/>
        </w:trPr>
        <w:tc>
          <w:tcPr>
            <w:tcW w:w="719" w:type="dxa"/>
            <w:shd w:val="clear" w:color="auto" w:fill="auto"/>
            <w:noWrap/>
            <w:vAlign w:val="center"/>
            <w:hideMark/>
          </w:tcPr>
          <w:p w14:paraId="7A17942B" w14:textId="77777777" w:rsidR="00F60C53" w:rsidRPr="006635A4" w:rsidRDefault="00F60C53" w:rsidP="00BA499D">
            <w:pPr>
              <w:jc w:val="center"/>
              <w:rPr>
                <w:rFonts w:eastAsia="Times New Roman" w:cstheme="minorHAnsi"/>
                <w:color w:val="1A1A1A"/>
                <w:sz w:val="18"/>
                <w:szCs w:val="18"/>
                <w:lang w:eastAsia="hr-HR"/>
              </w:rPr>
            </w:pPr>
            <w:r w:rsidRPr="006635A4">
              <w:rPr>
                <w:rFonts w:eastAsia="Times New Roman" w:cstheme="minorHAnsi"/>
                <w:color w:val="1A1A1A"/>
                <w:sz w:val="18"/>
                <w:szCs w:val="18"/>
                <w:lang w:eastAsia="hr-HR"/>
              </w:rPr>
              <w:t>1.</w:t>
            </w:r>
          </w:p>
        </w:tc>
        <w:tc>
          <w:tcPr>
            <w:tcW w:w="4253" w:type="dxa"/>
            <w:shd w:val="clear" w:color="auto" w:fill="auto"/>
            <w:vAlign w:val="center"/>
          </w:tcPr>
          <w:p w14:paraId="759C32C0" w14:textId="77777777" w:rsidR="00F60C53" w:rsidRPr="006635A4" w:rsidRDefault="00F60C53" w:rsidP="00BA499D">
            <w:pPr>
              <w:rPr>
                <w:color w:val="1A1A1A"/>
                <w:sz w:val="18"/>
                <w:szCs w:val="18"/>
              </w:rPr>
            </w:pPr>
            <w:r w:rsidRPr="006635A4">
              <w:rPr>
                <w:color w:val="1A1A1A"/>
                <w:sz w:val="18"/>
                <w:szCs w:val="18"/>
              </w:rPr>
              <w:t>Godišnja pristojba za lijek</w:t>
            </w:r>
          </w:p>
        </w:tc>
        <w:tc>
          <w:tcPr>
            <w:tcW w:w="1417" w:type="dxa"/>
            <w:shd w:val="clear" w:color="auto" w:fill="auto"/>
            <w:noWrap/>
            <w:vAlign w:val="center"/>
          </w:tcPr>
          <w:p w14:paraId="0453D6C8" w14:textId="77777777" w:rsidR="00F60C53" w:rsidRPr="00DC2075" w:rsidRDefault="00F60C53" w:rsidP="00BA499D">
            <w:pPr>
              <w:jc w:val="center"/>
              <w:rPr>
                <w:bCs/>
                <w:sz w:val="18"/>
                <w:szCs w:val="18"/>
              </w:rPr>
            </w:pPr>
            <w:r w:rsidRPr="00150A76">
              <w:rPr>
                <w:bCs/>
                <w:sz w:val="20"/>
                <w:szCs w:val="20"/>
              </w:rPr>
              <w:t>4.030</w:t>
            </w:r>
          </w:p>
        </w:tc>
        <w:tc>
          <w:tcPr>
            <w:tcW w:w="1418" w:type="dxa"/>
            <w:shd w:val="clear" w:color="auto" w:fill="auto"/>
            <w:noWrap/>
            <w:vAlign w:val="center"/>
          </w:tcPr>
          <w:p w14:paraId="1F6360D8" w14:textId="77777777" w:rsidR="00F60C53" w:rsidRPr="00937BF2" w:rsidRDefault="00F60C53" w:rsidP="00BA499D">
            <w:pPr>
              <w:jc w:val="center"/>
              <w:rPr>
                <w:bCs/>
                <w:sz w:val="18"/>
                <w:szCs w:val="18"/>
              </w:rPr>
            </w:pPr>
            <w:r w:rsidRPr="007330CF">
              <w:rPr>
                <w:bCs/>
                <w:sz w:val="20"/>
                <w:szCs w:val="20"/>
              </w:rPr>
              <w:t>3.733</w:t>
            </w:r>
          </w:p>
        </w:tc>
        <w:tc>
          <w:tcPr>
            <w:tcW w:w="1275" w:type="dxa"/>
            <w:shd w:val="clear" w:color="auto" w:fill="auto"/>
            <w:noWrap/>
            <w:vAlign w:val="center"/>
          </w:tcPr>
          <w:p w14:paraId="4286FC0F" w14:textId="77777777" w:rsidR="00F60C53" w:rsidRPr="00937BF2" w:rsidRDefault="00F60C53" w:rsidP="00BA499D">
            <w:pPr>
              <w:jc w:val="center"/>
              <w:rPr>
                <w:sz w:val="18"/>
                <w:szCs w:val="18"/>
              </w:rPr>
            </w:pPr>
            <w:r w:rsidRPr="00937BF2">
              <w:rPr>
                <w:sz w:val="20"/>
                <w:szCs w:val="20"/>
              </w:rPr>
              <w:t>93%</w:t>
            </w:r>
          </w:p>
        </w:tc>
      </w:tr>
      <w:tr w:rsidR="00F60C53" w:rsidRPr="006635A4" w14:paraId="43EFE4E0" w14:textId="77777777" w:rsidTr="00BA499D">
        <w:trPr>
          <w:trHeight w:val="142"/>
        </w:trPr>
        <w:tc>
          <w:tcPr>
            <w:tcW w:w="719" w:type="dxa"/>
            <w:shd w:val="clear" w:color="auto" w:fill="auto"/>
            <w:noWrap/>
            <w:vAlign w:val="center"/>
            <w:hideMark/>
          </w:tcPr>
          <w:p w14:paraId="17180520" w14:textId="77777777" w:rsidR="00F60C53" w:rsidRPr="006635A4" w:rsidRDefault="00F60C53" w:rsidP="00BA499D">
            <w:pPr>
              <w:jc w:val="center"/>
              <w:rPr>
                <w:rFonts w:eastAsia="Times New Roman" w:cstheme="minorHAnsi"/>
                <w:color w:val="1A1A1A"/>
                <w:sz w:val="18"/>
                <w:szCs w:val="18"/>
                <w:lang w:eastAsia="hr-HR"/>
              </w:rPr>
            </w:pPr>
            <w:r w:rsidRPr="006635A4">
              <w:rPr>
                <w:rFonts w:eastAsia="Times New Roman" w:cstheme="minorHAnsi"/>
                <w:color w:val="1A1A1A"/>
                <w:sz w:val="18"/>
                <w:szCs w:val="18"/>
                <w:lang w:eastAsia="hr-HR"/>
              </w:rPr>
              <w:t>2.</w:t>
            </w:r>
          </w:p>
        </w:tc>
        <w:tc>
          <w:tcPr>
            <w:tcW w:w="4253" w:type="dxa"/>
            <w:shd w:val="clear" w:color="auto" w:fill="auto"/>
            <w:vAlign w:val="center"/>
          </w:tcPr>
          <w:p w14:paraId="0F8950B4" w14:textId="77777777" w:rsidR="00F60C53" w:rsidRPr="006635A4" w:rsidRDefault="00F60C53" w:rsidP="00BA499D">
            <w:pPr>
              <w:rPr>
                <w:color w:val="1A1A1A"/>
                <w:sz w:val="18"/>
                <w:szCs w:val="18"/>
              </w:rPr>
            </w:pPr>
            <w:r w:rsidRPr="006635A4">
              <w:rPr>
                <w:color w:val="1A1A1A"/>
                <w:sz w:val="18"/>
                <w:szCs w:val="18"/>
              </w:rPr>
              <w:t>Godišnja pristojba za homeopatski proizvod/homeopatski lijek</w:t>
            </w:r>
          </w:p>
        </w:tc>
        <w:tc>
          <w:tcPr>
            <w:tcW w:w="1417" w:type="dxa"/>
            <w:shd w:val="clear" w:color="auto" w:fill="auto"/>
            <w:noWrap/>
            <w:vAlign w:val="center"/>
          </w:tcPr>
          <w:p w14:paraId="21E9C616" w14:textId="77777777" w:rsidR="00F60C53" w:rsidRPr="00DC2075" w:rsidRDefault="00F60C53" w:rsidP="00BA499D">
            <w:pPr>
              <w:jc w:val="center"/>
              <w:rPr>
                <w:bCs/>
                <w:sz w:val="18"/>
                <w:szCs w:val="18"/>
              </w:rPr>
            </w:pPr>
            <w:r w:rsidRPr="00150A76">
              <w:rPr>
                <w:bCs/>
                <w:sz w:val="20"/>
                <w:szCs w:val="20"/>
              </w:rPr>
              <w:t>0</w:t>
            </w:r>
          </w:p>
        </w:tc>
        <w:tc>
          <w:tcPr>
            <w:tcW w:w="1418" w:type="dxa"/>
            <w:shd w:val="clear" w:color="auto" w:fill="auto"/>
            <w:noWrap/>
            <w:vAlign w:val="center"/>
          </w:tcPr>
          <w:p w14:paraId="2060F26A" w14:textId="77777777" w:rsidR="00F60C53" w:rsidRPr="00937BF2" w:rsidRDefault="00F60C53" w:rsidP="00BA499D">
            <w:pPr>
              <w:jc w:val="center"/>
              <w:rPr>
                <w:bCs/>
                <w:sz w:val="18"/>
                <w:szCs w:val="18"/>
              </w:rPr>
            </w:pPr>
            <w:r w:rsidRPr="007330CF">
              <w:rPr>
                <w:bCs/>
                <w:sz w:val="20"/>
                <w:szCs w:val="20"/>
              </w:rPr>
              <w:t>0</w:t>
            </w:r>
          </w:p>
        </w:tc>
        <w:tc>
          <w:tcPr>
            <w:tcW w:w="1275" w:type="dxa"/>
            <w:shd w:val="clear" w:color="auto" w:fill="auto"/>
            <w:noWrap/>
            <w:vAlign w:val="center"/>
          </w:tcPr>
          <w:p w14:paraId="42409DBB" w14:textId="77777777" w:rsidR="00F60C53" w:rsidRPr="00937BF2" w:rsidRDefault="00F60C53" w:rsidP="00BA499D">
            <w:pPr>
              <w:jc w:val="center"/>
              <w:rPr>
                <w:sz w:val="18"/>
                <w:szCs w:val="18"/>
              </w:rPr>
            </w:pPr>
            <w:r>
              <w:rPr>
                <w:sz w:val="20"/>
                <w:szCs w:val="20"/>
              </w:rPr>
              <w:t>-</w:t>
            </w:r>
          </w:p>
        </w:tc>
      </w:tr>
      <w:tr w:rsidR="00F60C53" w:rsidRPr="006635A4" w14:paraId="72089B8C" w14:textId="77777777" w:rsidTr="00BA499D">
        <w:trPr>
          <w:trHeight w:val="142"/>
        </w:trPr>
        <w:tc>
          <w:tcPr>
            <w:tcW w:w="719" w:type="dxa"/>
            <w:shd w:val="clear" w:color="auto" w:fill="auto"/>
            <w:noWrap/>
            <w:vAlign w:val="center"/>
            <w:hideMark/>
          </w:tcPr>
          <w:p w14:paraId="652C4C53" w14:textId="77777777" w:rsidR="00F60C53" w:rsidRPr="006635A4" w:rsidRDefault="00F60C53" w:rsidP="00BA499D">
            <w:pPr>
              <w:jc w:val="center"/>
              <w:rPr>
                <w:rFonts w:eastAsia="Times New Roman" w:cstheme="minorHAnsi"/>
                <w:color w:val="1A1A1A"/>
                <w:sz w:val="18"/>
                <w:szCs w:val="18"/>
                <w:lang w:eastAsia="hr-HR"/>
              </w:rPr>
            </w:pPr>
            <w:r w:rsidRPr="006635A4">
              <w:rPr>
                <w:rFonts w:eastAsia="Times New Roman" w:cstheme="minorHAnsi"/>
                <w:color w:val="1A1A1A"/>
                <w:sz w:val="18"/>
                <w:szCs w:val="18"/>
                <w:lang w:eastAsia="hr-HR"/>
              </w:rPr>
              <w:t>3.</w:t>
            </w:r>
          </w:p>
        </w:tc>
        <w:tc>
          <w:tcPr>
            <w:tcW w:w="4253" w:type="dxa"/>
            <w:shd w:val="clear" w:color="auto" w:fill="auto"/>
            <w:vAlign w:val="center"/>
          </w:tcPr>
          <w:p w14:paraId="6F78FC05" w14:textId="77777777" w:rsidR="00F60C53" w:rsidRPr="006635A4" w:rsidRDefault="00F60C53" w:rsidP="00BA499D">
            <w:pPr>
              <w:rPr>
                <w:color w:val="1A1A1A"/>
                <w:sz w:val="18"/>
                <w:szCs w:val="18"/>
              </w:rPr>
            </w:pPr>
            <w:r w:rsidRPr="006635A4">
              <w:rPr>
                <w:color w:val="1A1A1A"/>
                <w:sz w:val="18"/>
                <w:szCs w:val="18"/>
              </w:rPr>
              <w:t>Godišnja pristojba za upis u očevidnik proizvođača medicinskih proizvoda izrađenih po narudžbi za određenog korisnika</w:t>
            </w:r>
          </w:p>
        </w:tc>
        <w:tc>
          <w:tcPr>
            <w:tcW w:w="1417" w:type="dxa"/>
            <w:shd w:val="clear" w:color="auto" w:fill="auto"/>
            <w:noWrap/>
            <w:vAlign w:val="center"/>
          </w:tcPr>
          <w:p w14:paraId="0F692CED" w14:textId="77777777" w:rsidR="00F60C53" w:rsidRPr="00DC2075" w:rsidRDefault="00F60C53" w:rsidP="00BA499D">
            <w:pPr>
              <w:jc w:val="center"/>
              <w:rPr>
                <w:bCs/>
                <w:sz w:val="18"/>
                <w:szCs w:val="18"/>
              </w:rPr>
            </w:pPr>
            <w:r w:rsidRPr="00150A76">
              <w:rPr>
                <w:bCs/>
                <w:sz w:val="20"/>
                <w:szCs w:val="20"/>
              </w:rPr>
              <w:t>751</w:t>
            </w:r>
          </w:p>
        </w:tc>
        <w:tc>
          <w:tcPr>
            <w:tcW w:w="1418" w:type="dxa"/>
            <w:shd w:val="clear" w:color="auto" w:fill="auto"/>
            <w:noWrap/>
            <w:vAlign w:val="center"/>
          </w:tcPr>
          <w:p w14:paraId="50ED4328" w14:textId="77777777" w:rsidR="00F60C53" w:rsidRPr="00937BF2" w:rsidRDefault="00F60C53" w:rsidP="00BA499D">
            <w:pPr>
              <w:jc w:val="center"/>
              <w:rPr>
                <w:bCs/>
                <w:sz w:val="18"/>
                <w:szCs w:val="18"/>
              </w:rPr>
            </w:pPr>
            <w:r w:rsidRPr="007330CF">
              <w:rPr>
                <w:bCs/>
                <w:sz w:val="20"/>
                <w:szCs w:val="20"/>
              </w:rPr>
              <w:t>717</w:t>
            </w:r>
          </w:p>
        </w:tc>
        <w:tc>
          <w:tcPr>
            <w:tcW w:w="1275" w:type="dxa"/>
            <w:shd w:val="clear" w:color="auto" w:fill="auto"/>
            <w:noWrap/>
            <w:vAlign w:val="center"/>
          </w:tcPr>
          <w:p w14:paraId="3936452D" w14:textId="77777777" w:rsidR="00F60C53" w:rsidRPr="00937BF2" w:rsidRDefault="00F60C53" w:rsidP="00BA499D">
            <w:pPr>
              <w:jc w:val="center"/>
              <w:rPr>
                <w:sz w:val="18"/>
                <w:szCs w:val="18"/>
              </w:rPr>
            </w:pPr>
            <w:r w:rsidRPr="00937BF2">
              <w:rPr>
                <w:sz w:val="20"/>
                <w:szCs w:val="20"/>
              </w:rPr>
              <w:t>95%</w:t>
            </w:r>
          </w:p>
        </w:tc>
      </w:tr>
      <w:tr w:rsidR="00F60C53" w:rsidRPr="006635A4" w14:paraId="7D51F1D2" w14:textId="77777777" w:rsidTr="00BA499D">
        <w:trPr>
          <w:trHeight w:val="142"/>
        </w:trPr>
        <w:tc>
          <w:tcPr>
            <w:tcW w:w="719" w:type="dxa"/>
            <w:shd w:val="clear" w:color="auto" w:fill="auto"/>
            <w:noWrap/>
            <w:vAlign w:val="center"/>
          </w:tcPr>
          <w:p w14:paraId="4F443FA5" w14:textId="77777777" w:rsidR="00F60C53" w:rsidRPr="006635A4" w:rsidRDefault="00F60C53" w:rsidP="00BA499D">
            <w:pPr>
              <w:jc w:val="center"/>
              <w:rPr>
                <w:rFonts w:eastAsia="Times New Roman" w:cstheme="minorHAnsi"/>
                <w:color w:val="1A1A1A"/>
                <w:sz w:val="18"/>
                <w:szCs w:val="18"/>
                <w:lang w:eastAsia="hr-HR"/>
              </w:rPr>
            </w:pPr>
            <w:r w:rsidRPr="006635A4">
              <w:rPr>
                <w:rFonts w:eastAsia="Times New Roman" w:cstheme="minorHAnsi"/>
                <w:color w:val="1A1A1A"/>
                <w:sz w:val="18"/>
                <w:szCs w:val="18"/>
                <w:lang w:eastAsia="hr-HR"/>
              </w:rPr>
              <w:t>4.</w:t>
            </w:r>
          </w:p>
        </w:tc>
        <w:tc>
          <w:tcPr>
            <w:tcW w:w="4253" w:type="dxa"/>
            <w:shd w:val="clear" w:color="auto" w:fill="auto"/>
            <w:vAlign w:val="center"/>
          </w:tcPr>
          <w:p w14:paraId="084A8B77" w14:textId="77777777" w:rsidR="00F60C53" w:rsidRPr="006635A4" w:rsidRDefault="00F60C53" w:rsidP="00BA499D">
            <w:pPr>
              <w:rPr>
                <w:color w:val="1A1A1A"/>
                <w:sz w:val="18"/>
                <w:szCs w:val="18"/>
              </w:rPr>
            </w:pPr>
            <w:r w:rsidRPr="006635A4">
              <w:rPr>
                <w:color w:val="1A1A1A"/>
                <w:sz w:val="18"/>
                <w:szCs w:val="18"/>
              </w:rPr>
              <w:t>Godišnja pristojba za očevidnik proizvođača medicinskih proizvoda serijske proizvodnje</w:t>
            </w:r>
          </w:p>
        </w:tc>
        <w:tc>
          <w:tcPr>
            <w:tcW w:w="1417" w:type="dxa"/>
            <w:shd w:val="clear" w:color="auto" w:fill="auto"/>
            <w:noWrap/>
            <w:vAlign w:val="center"/>
          </w:tcPr>
          <w:p w14:paraId="2ED504A3" w14:textId="77777777" w:rsidR="00F60C53" w:rsidRPr="00DC2075" w:rsidRDefault="00F60C53" w:rsidP="00BA499D">
            <w:pPr>
              <w:jc w:val="center"/>
              <w:rPr>
                <w:bCs/>
                <w:sz w:val="18"/>
                <w:szCs w:val="18"/>
              </w:rPr>
            </w:pPr>
            <w:r w:rsidRPr="00150A76">
              <w:rPr>
                <w:bCs/>
                <w:sz w:val="20"/>
                <w:szCs w:val="20"/>
              </w:rPr>
              <w:t>90</w:t>
            </w:r>
          </w:p>
        </w:tc>
        <w:tc>
          <w:tcPr>
            <w:tcW w:w="1418" w:type="dxa"/>
            <w:shd w:val="clear" w:color="auto" w:fill="auto"/>
            <w:noWrap/>
            <w:vAlign w:val="center"/>
          </w:tcPr>
          <w:p w14:paraId="3D1FA1BB" w14:textId="77777777" w:rsidR="00F60C53" w:rsidRPr="00937BF2" w:rsidRDefault="00F60C53" w:rsidP="00BA499D">
            <w:pPr>
              <w:jc w:val="center"/>
              <w:rPr>
                <w:bCs/>
                <w:sz w:val="18"/>
                <w:szCs w:val="18"/>
              </w:rPr>
            </w:pPr>
            <w:r w:rsidRPr="007330CF">
              <w:rPr>
                <w:bCs/>
                <w:sz w:val="20"/>
                <w:szCs w:val="20"/>
              </w:rPr>
              <w:t>92</w:t>
            </w:r>
          </w:p>
        </w:tc>
        <w:tc>
          <w:tcPr>
            <w:tcW w:w="1275" w:type="dxa"/>
            <w:shd w:val="clear" w:color="auto" w:fill="auto"/>
            <w:noWrap/>
            <w:vAlign w:val="center"/>
          </w:tcPr>
          <w:p w14:paraId="018C4579" w14:textId="77777777" w:rsidR="00F60C53" w:rsidRPr="00937BF2" w:rsidRDefault="00F60C53" w:rsidP="00BA499D">
            <w:pPr>
              <w:jc w:val="center"/>
              <w:rPr>
                <w:sz w:val="18"/>
                <w:szCs w:val="18"/>
              </w:rPr>
            </w:pPr>
            <w:r w:rsidRPr="00937BF2">
              <w:rPr>
                <w:sz w:val="20"/>
                <w:szCs w:val="20"/>
              </w:rPr>
              <w:t>102%</w:t>
            </w:r>
          </w:p>
        </w:tc>
      </w:tr>
      <w:tr w:rsidR="00F60C53" w:rsidRPr="006635A4" w14:paraId="30CB5F64" w14:textId="77777777" w:rsidTr="00BA499D">
        <w:trPr>
          <w:trHeight w:val="142"/>
        </w:trPr>
        <w:tc>
          <w:tcPr>
            <w:tcW w:w="719" w:type="dxa"/>
            <w:shd w:val="clear" w:color="auto" w:fill="auto"/>
            <w:noWrap/>
            <w:vAlign w:val="center"/>
          </w:tcPr>
          <w:p w14:paraId="4BB6EE57" w14:textId="77777777" w:rsidR="00F60C53" w:rsidRPr="006635A4" w:rsidRDefault="00F60C53" w:rsidP="00BA499D">
            <w:pPr>
              <w:jc w:val="center"/>
              <w:rPr>
                <w:rFonts w:eastAsia="Times New Roman" w:cstheme="minorHAnsi"/>
                <w:color w:val="1A1A1A"/>
                <w:sz w:val="18"/>
                <w:szCs w:val="18"/>
                <w:lang w:eastAsia="hr-HR"/>
              </w:rPr>
            </w:pPr>
            <w:r w:rsidRPr="006635A4">
              <w:rPr>
                <w:rFonts w:eastAsia="Times New Roman" w:cstheme="minorHAnsi"/>
                <w:color w:val="1A1A1A"/>
                <w:sz w:val="18"/>
                <w:szCs w:val="18"/>
                <w:lang w:eastAsia="hr-HR"/>
              </w:rPr>
              <w:t>5.</w:t>
            </w:r>
          </w:p>
        </w:tc>
        <w:tc>
          <w:tcPr>
            <w:tcW w:w="4253" w:type="dxa"/>
            <w:shd w:val="clear" w:color="auto" w:fill="auto"/>
            <w:vAlign w:val="center"/>
          </w:tcPr>
          <w:p w14:paraId="43E257F2" w14:textId="77777777" w:rsidR="00F60C53" w:rsidRPr="006635A4" w:rsidRDefault="00F60C53" w:rsidP="00BA499D">
            <w:pPr>
              <w:rPr>
                <w:color w:val="1A1A1A"/>
                <w:sz w:val="18"/>
                <w:szCs w:val="18"/>
              </w:rPr>
            </w:pPr>
            <w:r w:rsidRPr="006635A4">
              <w:rPr>
                <w:color w:val="1A1A1A"/>
                <w:sz w:val="18"/>
                <w:szCs w:val="18"/>
              </w:rPr>
              <w:t>Godišnja pristojba za upis u očevidnik veleprodaja medicinskih proizvoda</w:t>
            </w:r>
          </w:p>
        </w:tc>
        <w:tc>
          <w:tcPr>
            <w:tcW w:w="1417" w:type="dxa"/>
            <w:shd w:val="clear" w:color="auto" w:fill="auto"/>
            <w:noWrap/>
            <w:vAlign w:val="center"/>
          </w:tcPr>
          <w:p w14:paraId="5D54BEAC" w14:textId="77777777" w:rsidR="00F60C53" w:rsidRPr="00DC2075" w:rsidRDefault="00F60C53" w:rsidP="00BA499D">
            <w:pPr>
              <w:jc w:val="center"/>
              <w:rPr>
                <w:bCs/>
                <w:sz w:val="18"/>
                <w:szCs w:val="18"/>
              </w:rPr>
            </w:pPr>
            <w:r w:rsidRPr="00150A76">
              <w:rPr>
                <w:bCs/>
                <w:sz w:val="20"/>
                <w:szCs w:val="20"/>
              </w:rPr>
              <w:t>671</w:t>
            </w:r>
          </w:p>
        </w:tc>
        <w:tc>
          <w:tcPr>
            <w:tcW w:w="1418" w:type="dxa"/>
            <w:shd w:val="clear" w:color="auto" w:fill="auto"/>
            <w:noWrap/>
            <w:vAlign w:val="center"/>
          </w:tcPr>
          <w:p w14:paraId="1723AB92" w14:textId="77777777" w:rsidR="00F60C53" w:rsidRPr="00937BF2" w:rsidRDefault="00F60C53" w:rsidP="00BA499D">
            <w:pPr>
              <w:jc w:val="center"/>
              <w:rPr>
                <w:bCs/>
                <w:sz w:val="18"/>
                <w:szCs w:val="18"/>
              </w:rPr>
            </w:pPr>
            <w:r w:rsidRPr="007330CF">
              <w:rPr>
                <w:bCs/>
                <w:sz w:val="20"/>
                <w:szCs w:val="20"/>
              </w:rPr>
              <w:t>614</w:t>
            </w:r>
          </w:p>
        </w:tc>
        <w:tc>
          <w:tcPr>
            <w:tcW w:w="1275" w:type="dxa"/>
            <w:shd w:val="clear" w:color="auto" w:fill="auto"/>
            <w:noWrap/>
            <w:vAlign w:val="center"/>
          </w:tcPr>
          <w:p w14:paraId="4E79C6C5" w14:textId="77777777" w:rsidR="00F60C53" w:rsidRPr="00937BF2" w:rsidRDefault="00F60C53" w:rsidP="00BA499D">
            <w:pPr>
              <w:jc w:val="center"/>
              <w:rPr>
                <w:sz w:val="18"/>
                <w:szCs w:val="18"/>
              </w:rPr>
            </w:pPr>
            <w:r w:rsidRPr="00937BF2">
              <w:rPr>
                <w:sz w:val="20"/>
                <w:szCs w:val="20"/>
              </w:rPr>
              <w:t>92%</w:t>
            </w:r>
          </w:p>
        </w:tc>
      </w:tr>
      <w:tr w:rsidR="00F60C53" w:rsidRPr="006635A4" w14:paraId="190E3C79" w14:textId="77777777" w:rsidTr="00BA499D">
        <w:trPr>
          <w:trHeight w:val="142"/>
        </w:trPr>
        <w:tc>
          <w:tcPr>
            <w:tcW w:w="719" w:type="dxa"/>
            <w:shd w:val="clear" w:color="auto" w:fill="auto"/>
            <w:noWrap/>
            <w:vAlign w:val="center"/>
          </w:tcPr>
          <w:p w14:paraId="0517416B" w14:textId="77777777" w:rsidR="00F60C53" w:rsidRPr="006635A4" w:rsidRDefault="00F60C53" w:rsidP="00BA499D">
            <w:pPr>
              <w:jc w:val="center"/>
              <w:rPr>
                <w:rFonts w:eastAsia="Times New Roman" w:cstheme="minorHAnsi"/>
                <w:color w:val="1A1A1A"/>
                <w:sz w:val="18"/>
                <w:szCs w:val="18"/>
                <w:lang w:eastAsia="hr-HR"/>
              </w:rPr>
            </w:pPr>
            <w:r w:rsidRPr="006635A4">
              <w:rPr>
                <w:rFonts w:eastAsia="Times New Roman" w:cstheme="minorHAnsi"/>
                <w:color w:val="1A1A1A"/>
                <w:sz w:val="18"/>
                <w:szCs w:val="18"/>
                <w:lang w:eastAsia="hr-HR"/>
              </w:rPr>
              <w:t>6.</w:t>
            </w:r>
          </w:p>
        </w:tc>
        <w:tc>
          <w:tcPr>
            <w:tcW w:w="4253" w:type="dxa"/>
            <w:shd w:val="clear" w:color="auto" w:fill="auto"/>
            <w:vAlign w:val="center"/>
          </w:tcPr>
          <w:p w14:paraId="68356149" w14:textId="77777777" w:rsidR="00F60C53" w:rsidRPr="006635A4" w:rsidRDefault="00F60C53" w:rsidP="00BA499D">
            <w:pPr>
              <w:rPr>
                <w:color w:val="1A1A1A"/>
                <w:sz w:val="18"/>
                <w:szCs w:val="18"/>
              </w:rPr>
            </w:pPr>
            <w:r w:rsidRPr="006635A4">
              <w:rPr>
                <w:color w:val="1A1A1A"/>
                <w:sz w:val="18"/>
                <w:szCs w:val="18"/>
              </w:rPr>
              <w:t>Godišnja pristojba za dozvolu za promet na veliko lijekovima</w:t>
            </w:r>
          </w:p>
        </w:tc>
        <w:tc>
          <w:tcPr>
            <w:tcW w:w="1417" w:type="dxa"/>
            <w:shd w:val="clear" w:color="auto" w:fill="auto"/>
            <w:noWrap/>
            <w:vAlign w:val="center"/>
          </w:tcPr>
          <w:p w14:paraId="62E22F4B" w14:textId="77777777" w:rsidR="00F60C53" w:rsidRPr="00DC2075" w:rsidRDefault="00F60C53" w:rsidP="00BA499D">
            <w:pPr>
              <w:jc w:val="center"/>
              <w:rPr>
                <w:bCs/>
                <w:sz w:val="18"/>
                <w:szCs w:val="18"/>
              </w:rPr>
            </w:pPr>
            <w:r w:rsidRPr="00150A76">
              <w:rPr>
                <w:bCs/>
                <w:sz w:val="20"/>
                <w:szCs w:val="20"/>
              </w:rPr>
              <w:t>110</w:t>
            </w:r>
          </w:p>
        </w:tc>
        <w:tc>
          <w:tcPr>
            <w:tcW w:w="1418" w:type="dxa"/>
            <w:shd w:val="clear" w:color="auto" w:fill="auto"/>
            <w:noWrap/>
            <w:vAlign w:val="center"/>
          </w:tcPr>
          <w:p w14:paraId="1A3D412A" w14:textId="77777777" w:rsidR="00F60C53" w:rsidRPr="00937BF2" w:rsidRDefault="00F60C53" w:rsidP="00BA499D">
            <w:pPr>
              <w:jc w:val="center"/>
              <w:rPr>
                <w:bCs/>
                <w:sz w:val="18"/>
                <w:szCs w:val="18"/>
              </w:rPr>
            </w:pPr>
            <w:r w:rsidRPr="007330CF">
              <w:rPr>
                <w:bCs/>
                <w:sz w:val="20"/>
                <w:szCs w:val="20"/>
              </w:rPr>
              <w:t>116</w:t>
            </w:r>
          </w:p>
        </w:tc>
        <w:tc>
          <w:tcPr>
            <w:tcW w:w="1275" w:type="dxa"/>
            <w:shd w:val="clear" w:color="auto" w:fill="auto"/>
            <w:noWrap/>
            <w:vAlign w:val="center"/>
          </w:tcPr>
          <w:p w14:paraId="3AF9B7D5" w14:textId="77777777" w:rsidR="00F60C53" w:rsidRPr="00937BF2" w:rsidRDefault="00F60C53" w:rsidP="00BA499D">
            <w:pPr>
              <w:jc w:val="center"/>
              <w:rPr>
                <w:sz w:val="18"/>
                <w:szCs w:val="18"/>
              </w:rPr>
            </w:pPr>
            <w:r w:rsidRPr="00937BF2">
              <w:rPr>
                <w:sz w:val="20"/>
                <w:szCs w:val="20"/>
              </w:rPr>
              <w:t>105%</w:t>
            </w:r>
          </w:p>
        </w:tc>
      </w:tr>
      <w:tr w:rsidR="00F60C53" w:rsidRPr="006635A4" w14:paraId="01FC19C7" w14:textId="77777777" w:rsidTr="00BA499D">
        <w:trPr>
          <w:trHeight w:val="142"/>
        </w:trPr>
        <w:tc>
          <w:tcPr>
            <w:tcW w:w="719" w:type="dxa"/>
            <w:shd w:val="clear" w:color="auto" w:fill="auto"/>
            <w:noWrap/>
            <w:vAlign w:val="center"/>
          </w:tcPr>
          <w:p w14:paraId="5232BC7B" w14:textId="77777777" w:rsidR="00F60C53" w:rsidRPr="006635A4" w:rsidRDefault="00F60C53" w:rsidP="00BA499D">
            <w:pPr>
              <w:jc w:val="center"/>
              <w:rPr>
                <w:rFonts w:eastAsia="Times New Roman" w:cstheme="minorHAnsi"/>
                <w:color w:val="1A1A1A"/>
                <w:sz w:val="18"/>
                <w:szCs w:val="18"/>
                <w:lang w:eastAsia="hr-HR"/>
              </w:rPr>
            </w:pPr>
            <w:r w:rsidRPr="006635A4">
              <w:rPr>
                <w:rFonts w:eastAsia="Times New Roman" w:cstheme="minorHAnsi"/>
                <w:color w:val="1A1A1A"/>
                <w:sz w:val="18"/>
                <w:szCs w:val="18"/>
                <w:lang w:eastAsia="hr-HR"/>
              </w:rPr>
              <w:lastRenderedPageBreak/>
              <w:t>7.</w:t>
            </w:r>
          </w:p>
        </w:tc>
        <w:tc>
          <w:tcPr>
            <w:tcW w:w="4253" w:type="dxa"/>
            <w:shd w:val="clear" w:color="auto" w:fill="auto"/>
            <w:vAlign w:val="center"/>
          </w:tcPr>
          <w:p w14:paraId="7F75A24E" w14:textId="77777777" w:rsidR="00F60C53" w:rsidRPr="006635A4" w:rsidRDefault="00F60C53" w:rsidP="00BA499D">
            <w:pPr>
              <w:rPr>
                <w:color w:val="1A1A1A"/>
                <w:sz w:val="18"/>
                <w:szCs w:val="18"/>
              </w:rPr>
            </w:pPr>
            <w:r w:rsidRPr="006635A4">
              <w:rPr>
                <w:color w:val="1A1A1A"/>
                <w:sz w:val="18"/>
                <w:szCs w:val="18"/>
              </w:rPr>
              <w:t>Godišnja pristojba za dozvolu za promet na malo medicinskim proizvodima</w:t>
            </w:r>
          </w:p>
        </w:tc>
        <w:tc>
          <w:tcPr>
            <w:tcW w:w="1417" w:type="dxa"/>
            <w:shd w:val="clear" w:color="auto" w:fill="auto"/>
            <w:noWrap/>
            <w:vAlign w:val="center"/>
          </w:tcPr>
          <w:p w14:paraId="5EE0928E" w14:textId="77777777" w:rsidR="00F60C53" w:rsidRPr="00DC2075" w:rsidRDefault="00F60C53" w:rsidP="00BA499D">
            <w:pPr>
              <w:jc w:val="center"/>
              <w:rPr>
                <w:bCs/>
                <w:sz w:val="18"/>
                <w:szCs w:val="18"/>
              </w:rPr>
            </w:pPr>
            <w:r w:rsidRPr="00150A76">
              <w:rPr>
                <w:bCs/>
                <w:sz w:val="20"/>
                <w:szCs w:val="20"/>
              </w:rPr>
              <w:t>867</w:t>
            </w:r>
          </w:p>
        </w:tc>
        <w:tc>
          <w:tcPr>
            <w:tcW w:w="1418" w:type="dxa"/>
            <w:shd w:val="clear" w:color="auto" w:fill="auto"/>
            <w:noWrap/>
            <w:vAlign w:val="center"/>
          </w:tcPr>
          <w:p w14:paraId="6863341D" w14:textId="77777777" w:rsidR="00F60C53" w:rsidRPr="00937BF2" w:rsidRDefault="00F60C53" w:rsidP="00BA499D">
            <w:pPr>
              <w:jc w:val="center"/>
              <w:rPr>
                <w:bCs/>
                <w:sz w:val="18"/>
                <w:szCs w:val="18"/>
              </w:rPr>
            </w:pPr>
            <w:r w:rsidRPr="007330CF">
              <w:rPr>
                <w:bCs/>
                <w:sz w:val="20"/>
                <w:szCs w:val="20"/>
              </w:rPr>
              <w:t>825</w:t>
            </w:r>
          </w:p>
        </w:tc>
        <w:tc>
          <w:tcPr>
            <w:tcW w:w="1275" w:type="dxa"/>
            <w:shd w:val="clear" w:color="auto" w:fill="auto"/>
            <w:noWrap/>
            <w:vAlign w:val="center"/>
          </w:tcPr>
          <w:p w14:paraId="40D33745" w14:textId="77777777" w:rsidR="00F60C53" w:rsidRPr="00937BF2" w:rsidRDefault="00F60C53" w:rsidP="00BA499D">
            <w:pPr>
              <w:jc w:val="center"/>
              <w:rPr>
                <w:sz w:val="18"/>
                <w:szCs w:val="18"/>
              </w:rPr>
            </w:pPr>
            <w:r w:rsidRPr="00937BF2">
              <w:rPr>
                <w:sz w:val="20"/>
                <w:szCs w:val="20"/>
              </w:rPr>
              <w:t>95%</w:t>
            </w:r>
          </w:p>
        </w:tc>
      </w:tr>
      <w:tr w:rsidR="00F60C53" w:rsidRPr="006635A4" w14:paraId="0B8E5AC7" w14:textId="77777777" w:rsidTr="00BA499D">
        <w:trPr>
          <w:trHeight w:val="142"/>
        </w:trPr>
        <w:tc>
          <w:tcPr>
            <w:tcW w:w="719" w:type="dxa"/>
            <w:shd w:val="clear" w:color="auto" w:fill="auto"/>
            <w:noWrap/>
            <w:vAlign w:val="center"/>
          </w:tcPr>
          <w:p w14:paraId="3F759440" w14:textId="77777777" w:rsidR="00F60C53" w:rsidRPr="006635A4" w:rsidRDefault="00F60C53" w:rsidP="00BA499D">
            <w:pPr>
              <w:jc w:val="center"/>
              <w:rPr>
                <w:rFonts w:eastAsia="Times New Roman" w:cstheme="minorHAnsi"/>
                <w:color w:val="1A1A1A"/>
                <w:sz w:val="18"/>
                <w:szCs w:val="18"/>
                <w:lang w:eastAsia="hr-HR"/>
              </w:rPr>
            </w:pPr>
            <w:r w:rsidRPr="006635A4">
              <w:rPr>
                <w:rFonts w:eastAsia="Times New Roman" w:cstheme="minorHAnsi"/>
                <w:color w:val="1A1A1A"/>
                <w:sz w:val="18"/>
                <w:szCs w:val="18"/>
                <w:lang w:eastAsia="hr-HR"/>
              </w:rPr>
              <w:t>8.</w:t>
            </w:r>
          </w:p>
        </w:tc>
        <w:tc>
          <w:tcPr>
            <w:tcW w:w="4253" w:type="dxa"/>
            <w:shd w:val="clear" w:color="auto" w:fill="auto"/>
            <w:vAlign w:val="center"/>
          </w:tcPr>
          <w:p w14:paraId="1CC5347F" w14:textId="77777777" w:rsidR="00F60C53" w:rsidRPr="006635A4" w:rsidRDefault="00F60C53" w:rsidP="00BA499D">
            <w:pPr>
              <w:rPr>
                <w:color w:val="1A1A1A"/>
                <w:sz w:val="18"/>
                <w:szCs w:val="18"/>
              </w:rPr>
            </w:pPr>
            <w:r w:rsidRPr="006635A4">
              <w:rPr>
                <w:color w:val="1A1A1A"/>
                <w:sz w:val="18"/>
                <w:szCs w:val="18"/>
              </w:rPr>
              <w:t>Godišnja pristojba za dozvolu za promet na malo lijekovima ili lijekovima i medicinskim proizvodima (specijaliziranim prodavaonicama)</w:t>
            </w:r>
          </w:p>
        </w:tc>
        <w:tc>
          <w:tcPr>
            <w:tcW w:w="1417" w:type="dxa"/>
            <w:shd w:val="clear" w:color="auto" w:fill="auto"/>
            <w:noWrap/>
            <w:vAlign w:val="center"/>
          </w:tcPr>
          <w:p w14:paraId="547B9D10" w14:textId="77777777" w:rsidR="00F60C53" w:rsidRPr="00DC2075" w:rsidRDefault="00F60C53" w:rsidP="00BA499D">
            <w:pPr>
              <w:jc w:val="center"/>
              <w:rPr>
                <w:bCs/>
                <w:sz w:val="18"/>
                <w:szCs w:val="18"/>
              </w:rPr>
            </w:pPr>
            <w:r w:rsidRPr="00150A76">
              <w:rPr>
                <w:bCs/>
                <w:sz w:val="20"/>
                <w:szCs w:val="20"/>
              </w:rPr>
              <w:t>138</w:t>
            </w:r>
          </w:p>
        </w:tc>
        <w:tc>
          <w:tcPr>
            <w:tcW w:w="1418" w:type="dxa"/>
            <w:shd w:val="clear" w:color="auto" w:fill="auto"/>
            <w:noWrap/>
            <w:vAlign w:val="center"/>
          </w:tcPr>
          <w:p w14:paraId="2545601B" w14:textId="77777777" w:rsidR="00F60C53" w:rsidRPr="00937BF2" w:rsidRDefault="00F60C53" w:rsidP="00BA499D">
            <w:pPr>
              <w:jc w:val="center"/>
              <w:rPr>
                <w:bCs/>
                <w:sz w:val="18"/>
                <w:szCs w:val="18"/>
              </w:rPr>
            </w:pPr>
            <w:r w:rsidRPr="007330CF">
              <w:rPr>
                <w:bCs/>
                <w:sz w:val="20"/>
                <w:szCs w:val="20"/>
              </w:rPr>
              <w:t>152</w:t>
            </w:r>
          </w:p>
        </w:tc>
        <w:tc>
          <w:tcPr>
            <w:tcW w:w="1275" w:type="dxa"/>
            <w:shd w:val="clear" w:color="auto" w:fill="auto"/>
            <w:noWrap/>
            <w:vAlign w:val="center"/>
          </w:tcPr>
          <w:p w14:paraId="7184B7DC" w14:textId="77777777" w:rsidR="00F60C53" w:rsidRPr="00937BF2" w:rsidRDefault="00F60C53" w:rsidP="00BA499D">
            <w:pPr>
              <w:jc w:val="center"/>
              <w:rPr>
                <w:sz w:val="18"/>
                <w:szCs w:val="18"/>
              </w:rPr>
            </w:pPr>
            <w:r w:rsidRPr="00937BF2">
              <w:rPr>
                <w:sz w:val="20"/>
                <w:szCs w:val="20"/>
              </w:rPr>
              <w:t>110%</w:t>
            </w:r>
          </w:p>
        </w:tc>
      </w:tr>
      <w:tr w:rsidR="00F60C53" w:rsidRPr="006635A4" w14:paraId="2FF37A77" w14:textId="77777777" w:rsidTr="00BA499D">
        <w:trPr>
          <w:trHeight w:val="142"/>
        </w:trPr>
        <w:tc>
          <w:tcPr>
            <w:tcW w:w="719" w:type="dxa"/>
            <w:shd w:val="clear" w:color="auto" w:fill="auto"/>
            <w:noWrap/>
            <w:vAlign w:val="center"/>
          </w:tcPr>
          <w:p w14:paraId="6F3D2E7A" w14:textId="77777777" w:rsidR="00F60C53" w:rsidRPr="006635A4" w:rsidRDefault="00F60C53" w:rsidP="00BA499D">
            <w:pPr>
              <w:jc w:val="center"/>
              <w:rPr>
                <w:rFonts w:eastAsia="Times New Roman" w:cstheme="minorHAnsi"/>
                <w:color w:val="1A1A1A"/>
                <w:sz w:val="18"/>
                <w:szCs w:val="18"/>
                <w:lang w:eastAsia="hr-HR"/>
              </w:rPr>
            </w:pPr>
            <w:r w:rsidRPr="006635A4">
              <w:rPr>
                <w:rFonts w:eastAsia="Times New Roman" w:cstheme="minorHAnsi"/>
                <w:color w:val="1A1A1A"/>
                <w:sz w:val="18"/>
                <w:szCs w:val="18"/>
                <w:lang w:eastAsia="hr-HR"/>
              </w:rPr>
              <w:t>9.</w:t>
            </w:r>
          </w:p>
        </w:tc>
        <w:tc>
          <w:tcPr>
            <w:tcW w:w="4253" w:type="dxa"/>
            <w:shd w:val="clear" w:color="auto" w:fill="auto"/>
            <w:vAlign w:val="center"/>
          </w:tcPr>
          <w:p w14:paraId="192CE247" w14:textId="77777777" w:rsidR="00F60C53" w:rsidRPr="006635A4" w:rsidRDefault="00F60C53" w:rsidP="00BA499D">
            <w:pPr>
              <w:rPr>
                <w:color w:val="1A1A1A"/>
                <w:sz w:val="18"/>
                <w:szCs w:val="18"/>
              </w:rPr>
            </w:pPr>
            <w:r w:rsidRPr="006635A4">
              <w:rPr>
                <w:color w:val="1A1A1A"/>
                <w:sz w:val="18"/>
                <w:szCs w:val="18"/>
              </w:rPr>
              <w:t>Godišnja pristojba za proizvodnju lijekova</w:t>
            </w:r>
          </w:p>
        </w:tc>
        <w:tc>
          <w:tcPr>
            <w:tcW w:w="1417" w:type="dxa"/>
            <w:shd w:val="clear" w:color="auto" w:fill="auto"/>
            <w:noWrap/>
            <w:vAlign w:val="center"/>
          </w:tcPr>
          <w:p w14:paraId="69F17D41" w14:textId="77777777" w:rsidR="00F60C53" w:rsidRPr="00DC2075" w:rsidRDefault="00F60C53" w:rsidP="00BA499D">
            <w:pPr>
              <w:jc w:val="center"/>
              <w:rPr>
                <w:bCs/>
                <w:sz w:val="18"/>
                <w:szCs w:val="18"/>
              </w:rPr>
            </w:pPr>
            <w:r w:rsidRPr="00150A76">
              <w:rPr>
                <w:bCs/>
                <w:sz w:val="20"/>
                <w:szCs w:val="20"/>
              </w:rPr>
              <w:t>23</w:t>
            </w:r>
          </w:p>
        </w:tc>
        <w:tc>
          <w:tcPr>
            <w:tcW w:w="1418" w:type="dxa"/>
            <w:shd w:val="clear" w:color="auto" w:fill="auto"/>
            <w:noWrap/>
            <w:vAlign w:val="center"/>
          </w:tcPr>
          <w:p w14:paraId="705F210B" w14:textId="77777777" w:rsidR="00F60C53" w:rsidRPr="00937BF2" w:rsidRDefault="00F60C53" w:rsidP="00BA499D">
            <w:pPr>
              <w:jc w:val="center"/>
              <w:rPr>
                <w:bCs/>
                <w:sz w:val="18"/>
                <w:szCs w:val="18"/>
              </w:rPr>
            </w:pPr>
            <w:r w:rsidRPr="007330CF">
              <w:rPr>
                <w:bCs/>
                <w:sz w:val="20"/>
                <w:szCs w:val="20"/>
              </w:rPr>
              <w:t>24</w:t>
            </w:r>
          </w:p>
        </w:tc>
        <w:tc>
          <w:tcPr>
            <w:tcW w:w="1275" w:type="dxa"/>
            <w:shd w:val="clear" w:color="auto" w:fill="auto"/>
            <w:noWrap/>
            <w:vAlign w:val="center"/>
          </w:tcPr>
          <w:p w14:paraId="0C839B8F" w14:textId="77777777" w:rsidR="00F60C53" w:rsidRPr="00937BF2" w:rsidRDefault="00F60C53" w:rsidP="00BA499D">
            <w:pPr>
              <w:jc w:val="center"/>
              <w:rPr>
                <w:sz w:val="18"/>
                <w:szCs w:val="18"/>
              </w:rPr>
            </w:pPr>
            <w:r w:rsidRPr="00937BF2">
              <w:rPr>
                <w:sz w:val="20"/>
                <w:szCs w:val="20"/>
              </w:rPr>
              <w:t>104%</w:t>
            </w:r>
          </w:p>
        </w:tc>
      </w:tr>
      <w:tr w:rsidR="00F60C53" w:rsidRPr="006635A4" w14:paraId="33FEDB3E" w14:textId="77777777" w:rsidTr="00BA499D">
        <w:trPr>
          <w:trHeight w:val="142"/>
        </w:trPr>
        <w:tc>
          <w:tcPr>
            <w:tcW w:w="719" w:type="dxa"/>
            <w:shd w:val="clear" w:color="auto" w:fill="auto"/>
            <w:noWrap/>
            <w:vAlign w:val="center"/>
          </w:tcPr>
          <w:p w14:paraId="2AAE05F1" w14:textId="77777777" w:rsidR="00F60C53" w:rsidRPr="006635A4" w:rsidRDefault="00F60C53" w:rsidP="00BA499D">
            <w:pPr>
              <w:jc w:val="center"/>
              <w:rPr>
                <w:rFonts w:eastAsia="Times New Roman" w:cstheme="minorHAnsi"/>
                <w:color w:val="1A1A1A"/>
                <w:sz w:val="18"/>
                <w:szCs w:val="18"/>
                <w:lang w:eastAsia="hr-HR"/>
              </w:rPr>
            </w:pPr>
            <w:r w:rsidRPr="006635A4">
              <w:rPr>
                <w:rFonts w:eastAsia="Times New Roman" w:cstheme="minorHAnsi"/>
                <w:color w:val="1A1A1A"/>
                <w:sz w:val="18"/>
                <w:szCs w:val="18"/>
                <w:lang w:eastAsia="hr-HR"/>
              </w:rPr>
              <w:t>10.</w:t>
            </w:r>
          </w:p>
        </w:tc>
        <w:tc>
          <w:tcPr>
            <w:tcW w:w="4253" w:type="dxa"/>
            <w:shd w:val="clear" w:color="auto" w:fill="auto"/>
            <w:vAlign w:val="center"/>
          </w:tcPr>
          <w:p w14:paraId="7126B8CD" w14:textId="77777777" w:rsidR="00F60C53" w:rsidRPr="006635A4" w:rsidRDefault="00F60C53" w:rsidP="00BA499D">
            <w:pPr>
              <w:rPr>
                <w:color w:val="1A1A1A"/>
                <w:sz w:val="18"/>
                <w:szCs w:val="18"/>
              </w:rPr>
            </w:pPr>
            <w:r w:rsidRPr="006635A4">
              <w:rPr>
                <w:color w:val="1A1A1A"/>
                <w:sz w:val="18"/>
                <w:szCs w:val="18"/>
              </w:rPr>
              <w:t>Godišnja pristojba za posredništvo</w:t>
            </w:r>
          </w:p>
        </w:tc>
        <w:tc>
          <w:tcPr>
            <w:tcW w:w="1417" w:type="dxa"/>
            <w:shd w:val="clear" w:color="auto" w:fill="auto"/>
            <w:noWrap/>
            <w:vAlign w:val="center"/>
          </w:tcPr>
          <w:p w14:paraId="758C90E6" w14:textId="77777777" w:rsidR="00F60C53" w:rsidRPr="00DC2075" w:rsidRDefault="00F60C53" w:rsidP="00BA499D">
            <w:pPr>
              <w:jc w:val="center"/>
              <w:rPr>
                <w:bCs/>
                <w:sz w:val="18"/>
                <w:szCs w:val="18"/>
              </w:rPr>
            </w:pPr>
            <w:r w:rsidRPr="00150A76">
              <w:rPr>
                <w:bCs/>
                <w:sz w:val="20"/>
                <w:szCs w:val="20"/>
              </w:rPr>
              <w:t>2</w:t>
            </w:r>
          </w:p>
        </w:tc>
        <w:tc>
          <w:tcPr>
            <w:tcW w:w="1418" w:type="dxa"/>
            <w:shd w:val="clear" w:color="auto" w:fill="auto"/>
            <w:noWrap/>
            <w:vAlign w:val="center"/>
          </w:tcPr>
          <w:p w14:paraId="2C9FAE48" w14:textId="77777777" w:rsidR="00F60C53" w:rsidRPr="00937BF2" w:rsidRDefault="00F60C53" w:rsidP="00BA499D">
            <w:pPr>
              <w:jc w:val="center"/>
              <w:rPr>
                <w:bCs/>
                <w:sz w:val="18"/>
                <w:szCs w:val="18"/>
              </w:rPr>
            </w:pPr>
            <w:r w:rsidRPr="007330CF">
              <w:rPr>
                <w:bCs/>
                <w:sz w:val="20"/>
                <w:szCs w:val="20"/>
              </w:rPr>
              <w:t>2</w:t>
            </w:r>
          </w:p>
        </w:tc>
        <w:tc>
          <w:tcPr>
            <w:tcW w:w="1275" w:type="dxa"/>
            <w:shd w:val="clear" w:color="auto" w:fill="auto"/>
            <w:noWrap/>
            <w:vAlign w:val="center"/>
          </w:tcPr>
          <w:p w14:paraId="04EDDB33" w14:textId="77777777" w:rsidR="00F60C53" w:rsidRPr="00937BF2" w:rsidRDefault="00F60C53" w:rsidP="00BA499D">
            <w:pPr>
              <w:jc w:val="center"/>
              <w:rPr>
                <w:sz w:val="18"/>
                <w:szCs w:val="18"/>
              </w:rPr>
            </w:pPr>
            <w:r w:rsidRPr="00937BF2">
              <w:rPr>
                <w:sz w:val="20"/>
                <w:szCs w:val="20"/>
              </w:rPr>
              <w:t>100%</w:t>
            </w:r>
          </w:p>
        </w:tc>
      </w:tr>
      <w:tr w:rsidR="00F60C53" w:rsidRPr="006635A4" w14:paraId="2F338F18" w14:textId="77777777" w:rsidTr="00BA499D">
        <w:trPr>
          <w:trHeight w:val="142"/>
        </w:trPr>
        <w:tc>
          <w:tcPr>
            <w:tcW w:w="719" w:type="dxa"/>
            <w:shd w:val="clear" w:color="auto" w:fill="auto"/>
            <w:noWrap/>
            <w:vAlign w:val="center"/>
          </w:tcPr>
          <w:p w14:paraId="532D9757" w14:textId="77777777" w:rsidR="00F60C53" w:rsidRPr="006635A4" w:rsidRDefault="00F60C53" w:rsidP="00BA499D">
            <w:pPr>
              <w:jc w:val="center"/>
              <w:rPr>
                <w:rFonts w:eastAsia="Times New Roman" w:cstheme="minorHAnsi"/>
                <w:color w:val="1A1A1A"/>
                <w:sz w:val="18"/>
                <w:szCs w:val="18"/>
                <w:lang w:eastAsia="hr-HR"/>
              </w:rPr>
            </w:pPr>
            <w:r w:rsidRPr="006635A4">
              <w:rPr>
                <w:rFonts w:eastAsia="Times New Roman" w:cstheme="minorHAnsi"/>
                <w:color w:val="1A1A1A"/>
                <w:sz w:val="18"/>
                <w:szCs w:val="18"/>
                <w:lang w:eastAsia="hr-HR"/>
              </w:rPr>
              <w:t>11.</w:t>
            </w:r>
          </w:p>
        </w:tc>
        <w:tc>
          <w:tcPr>
            <w:tcW w:w="4253" w:type="dxa"/>
            <w:shd w:val="clear" w:color="auto" w:fill="auto"/>
            <w:vAlign w:val="center"/>
          </w:tcPr>
          <w:p w14:paraId="1713B8D4" w14:textId="77777777" w:rsidR="00F60C53" w:rsidRPr="006635A4" w:rsidRDefault="00F60C53" w:rsidP="00BA499D">
            <w:pPr>
              <w:rPr>
                <w:color w:val="1A1A1A"/>
                <w:sz w:val="18"/>
                <w:szCs w:val="18"/>
              </w:rPr>
            </w:pPr>
            <w:r w:rsidRPr="006635A4">
              <w:rPr>
                <w:color w:val="1A1A1A"/>
                <w:sz w:val="18"/>
                <w:szCs w:val="18"/>
              </w:rPr>
              <w:t>Godišnja pristojba za upis u očevidnik proizvođača, dobavljača ili uvoznika djelatnih tvari</w:t>
            </w:r>
          </w:p>
        </w:tc>
        <w:tc>
          <w:tcPr>
            <w:tcW w:w="1417" w:type="dxa"/>
            <w:shd w:val="clear" w:color="auto" w:fill="auto"/>
            <w:noWrap/>
            <w:vAlign w:val="center"/>
          </w:tcPr>
          <w:p w14:paraId="6AA656C8" w14:textId="77777777" w:rsidR="00F60C53" w:rsidRPr="00DC2075" w:rsidRDefault="00F60C53" w:rsidP="00BA499D">
            <w:pPr>
              <w:jc w:val="center"/>
              <w:rPr>
                <w:bCs/>
                <w:sz w:val="18"/>
                <w:szCs w:val="18"/>
              </w:rPr>
            </w:pPr>
            <w:r w:rsidRPr="00150A76">
              <w:rPr>
                <w:bCs/>
                <w:sz w:val="20"/>
                <w:szCs w:val="20"/>
              </w:rPr>
              <w:t>16</w:t>
            </w:r>
          </w:p>
        </w:tc>
        <w:tc>
          <w:tcPr>
            <w:tcW w:w="1418" w:type="dxa"/>
            <w:shd w:val="clear" w:color="auto" w:fill="auto"/>
            <w:noWrap/>
            <w:vAlign w:val="center"/>
          </w:tcPr>
          <w:p w14:paraId="0A5C3896" w14:textId="77777777" w:rsidR="00F60C53" w:rsidRPr="00937BF2" w:rsidRDefault="00F60C53" w:rsidP="00BA499D">
            <w:pPr>
              <w:jc w:val="center"/>
              <w:rPr>
                <w:bCs/>
                <w:sz w:val="18"/>
                <w:szCs w:val="18"/>
              </w:rPr>
            </w:pPr>
            <w:r w:rsidRPr="007330CF">
              <w:rPr>
                <w:bCs/>
                <w:sz w:val="20"/>
                <w:szCs w:val="20"/>
              </w:rPr>
              <w:t>18</w:t>
            </w:r>
          </w:p>
        </w:tc>
        <w:tc>
          <w:tcPr>
            <w:tcW w:w="1275" w:type="dxa"/>
            <w:shd w:val="clear" w:color="auto" w:fill="auto"/>
            <w:noWrap/>
            <w:vAlign w:val="center"/>
          </w:tcPr>
          <w:p w14:paraId="0EF3849F" w14:textId="77777777" w:rsidR="00F60C53" w:rsidRPr="00937BF2" w:rsidRDefault="00F60C53" w:rsidP="00BA499D">
            <w:pPr>
              <w:jc w:val="center"/>
              <w:rPr>
                <w:sz w:val="18"/>
                <w:szCs w:val="18"/>
              </w:rPr>
            </w:pPr>
            <w:r w:rsidRPr="00937BF2">
              <w:rPr>
                <w:sz w:val="20"/>
                <w:szCs w:val="20"/>
              </w:rPr>
              <w:t>113%</w:t>
            </w:r>
          </w:p>
        </w:tc>
      </w:tr>
      <w:tr w:rsidR="00F60C53" w:rsidRPr="006635A4" w14:paraId="10D71AB0" w14:textId="77777777" w:rsidTr="00BA499D">
        <w:trPr>
          <w:trHeight w:val="284"/>
        </w:trPr>
        <w:tc>
          <w:tcPr>
            <w:tcW w:w="4972" w:type="dxa"/>
            <w:gridSpan w:val="2"/>
            <w:shd w:val="clear" w:color="000000" w:fill="BFBFBF"/>
            <w:vAlign w:val="center"/>
            <w:hideMark/>
          </w:tcPr>
          <w:p w14:paraId="6805628F" w14:textId="77777777" w:rsidR="00F60C53" w:rsidRPr="006635A4" w:rsidRDefault="00F60C53" w:rsidP="00BA499D">
            <w:pPr>
              <w:rPr>
                <w:rFonts w:eastAsia="Times New Roman" w:cstheme="minorHAnsi"/>
                <w:b/>
                <w:bCs/>
                <w:color w:val="1A1A1A"/>
                <w:sz w:val="20"/>
                <w:szCs w:val="20"/>
                <w:lang w:eastAsia="hr-HR"/>
              </w:rPr>
            </w:pPr>
            <w:r w:rsidRPr="006635A4">
              <w:rPr>
                <w:rFonts w:eastAsia="Times New Roman" w:cstheme="minorHAnsi"/>
                <w:b/>
                <w:bCs/>
                <w:color w:val="1A1A1A"/>
                <w:sz w:val="20"/>
                <w:szCs w:val="20"/>
                <w:lang w:eastAsia="hr-HR"/>
              </w:rPr>
              <w:t>UKUPNO:</w:t>
            </w:r>
          </w:p>
        </w:tc>
        <w:tc>
          <w:tcPr>
            <w:tcW w:w="1417" w:type="dxa"/>
            <w:shd w:val="clear" w:color="000000" w:fill="BFBFBF"/>
            <w:noWrap/>
            <w:vAlign w:val="center"/>
          </w:tcPr>
          <w:p w14:paraId="31A2F5CC" w14:textId="77777777" w:rsidR="00F60C53" w:rsidRPr="00FA7CC4" w:rsidRDefault="00F60C53" w:rsidP="00BA499D">
            <w:pPr>
              <w:jc w:val="center"/>
              <w:rPr>
                <w:b/>
                <w:bCs/>
                <w:sz w:val="20"/>
                <w:szCs w:val="20"/>
              </w:rPr>
            </w:pPr>
            <w:r w:rsidRPr="00FA7CC4">
              <w:rPr>
                <w:b/>
                <w:bCs/>
                <w:sz w:val="20"/>
                <w:szCs w:val="20"/>
              </w:rPr>
              <w:t>6.698</w:t>
            </w:r>
          </w:p>
        </w:tc>
        <w:tc>
          <w:tcPr>
            <w:tcW w:w="1418" w:type="dxa"/>
            <w:shd w:val="clear" w:color="000000" w:fill="BFBFBF"/>
            <w:noWrap/>
            <w:vAlign w:val="center"/>
          </w:tcPr>
          <w:p w14:paraId="53BC5186" w14:textId="77777777" w:rsidR="00F60C53" w:rsidRPr="00937BF2" w:rsidRDefault="00F60C53" w:rsidP="00BA499D">
            <w:pPr>
              <w:jc w:val="center"/>
              <w:rPr>
                <w:b/>
                <w:bCs/>
                <w:sz w:val="20"/>
                <w:szCs w:val="20"/>
              </w:rPr>
            </w:pPr>
            <w:r w:rsidRPr="00937BF2">
              <w:rPr>
                <w:b/>
                <w:bCs/>
                <w:sz w:val="20"/>
                <w:szCs w:val="20"/>
              </w:rPr>
              <w:t>6.293</w:t>
            </w:r>
          </w:p>
        </w:tc>
        <w:tc>
          <w:tcPr>
            <w:tcW w:w="1275" w:type="dxa"/>
            <w:shd w:val="clear" w:color="000000" w:fill="BFBFBF"/>
            <w:noWrap/>
            <w:vAlign w:val="center"/>
          </w:tcPr>
          <w:p w14:paraId="7A906747" w14:textId="77777777" w:rsidR="00F60C53" w:rsidRPr="00937BF2" w:rsidRDefault="00F60C53" w:rsidP="00BA499D">
            <w:pPr>
              <w:jc w:val="center"/>
              <w:rPr>
                <w:b/>
                <w:sz w:val="20"/>
                <w:szCs w:val="20"/>
              </w:rPr>
            </w:pPr>
            <w:r w:rsidRPr="007330CF">
              <w:rPr>
                <w:b/>
                <w:sz w:val="20"/>
                <w:szCs w:val="20"/>
              </w:rPr>
              <w:t>94%</w:t>
            </w:r>
          </w:p>
        </w:tc>
      </w:tr>
    </w:tbl>
    <w:p w14:paraId="27278A36" w14:textId="77777777" w:rsidR="00F60C53" w:rsidRPr="006635A4" w:rsidRDefault="00F60C53" w:rsidP="00F60C53">
      <w:pPr>
        <w:spacing w:after="200" w:line="276" w:lineRule="auto"/>
      </w:pPr>
    </w:p>
    <w:p w14:paraId="32EDFCE7" w14:textId="77777777" w:rsidR="00F60C53" w:rsidRDefault="00F60C53" w:rsidP="00F60C53"/>
    <w:p w14:paraId="273BD945" w14:textId="26B9B4BA" w:rsidR="007246EE" w:rsidRDefault="007246EE">
      <w:r>
        <w:br w:type="page"/>
      </w:r>
    </w:p>
    <w:p w14:paraId="1F2E2988" w14:textId="77777777" w:rsidR="007246EE" w:rsidRPr="00E43EEF" w:rsidRDefault="007246EE" w:rsidP="007246EE">
      <w:pPr>
        <w:keepNext/>
        <w:keepLines/>
        <w:spacing w:before="240" w:after="240"/>
        <w:outlineLvl w:val="1"/>
        <w:rPr>
          <w:rFonts w:eastAsiaTheme="majorEastAsia" w:cstheme="minorHAnsi"/>
          <w:bCs/>
          <w:color w:val="5B9BD5" w:themeColor="accent1"/>
          <w:sz w:val="32"/>
          <w:szCs w:val="32"/>
        </w:rPr>
      </w:pPr>
      <w:bookmarkStart w:id="298" w:name="_Toc113438821"/>
      <w:bookmarkStart w:id="299" w:name="_Toc50540984"/>
      <w:bookmarkStart w:id="300" w:name="_Toc26534707"/>
      <w:bookmarkStart w:id="301" w:name="_Toc165035537"/>
      <w:r w:rsidRPr="00E43EEF">
        <w:rPr>
          <w:rFonts w:eastAsiaTheme="majorEastAsia" w:cstheme="minorHAnsi"/>
          <w:bCs/>
          <w:color w:val="5B9BD5" w:themeColor="accent1"/>
          <w:sz w:val="32"/>
          <w:szCs w:val="32"/>
        </w:rPr>
        <w:lastRenderedPageBreak/>
        <w:t>2.12. Sustav upravljanja kakvoćom</w:t>
      </w:r>
      <w:bookmarkEnd w:id="298"/>
      <w:bookmarkEnd w:id="299"/>
      <w:bookmarkEnd w:id="300"/>
      <w:bookmarkEnd w:id="301"/>
    </w:p>
    <w:p w14:paraId="48FC07AB" w14:textId="77777777" w:rsidR="007246EE" w:rsidRPr="00E43EEF" w:rsidRDefault="007246EE" w:rsidP="007246EE">
      <w:pPr>
        <w:spacing w:after="240"/>
        <w:rPr>
          <w:b/>
        </w:rPr>
      </w:pPr>
      <w:r w:rsidRPr="00E43EEF">
        <w:rPr>
          <w:b/>
        </w:rPr>
        <w:t>A) NORME</w:t>
      </w:r>
    </w:p>
    <w:p w14:paraId="07BF0CFB" w14:textId="77777777" w:rsidR="007246EE" w:rsidRPr="00E43EEF" w:rsidRDefault="007246EE" w:rsidP="007246EE">
      <w:pPr>
        <w:spacing w:before="120" w:after="120" w:line="276" w:lineRule="auto"/>
        <w:jc w:val="both"/>
        <w:rPr>
          <w:rFonts w:eastAsia="Times New Roman" w:cs="Calibri"/>
        </w:rPr>
      </w:pPr>
      <w:r w:rsidRPr="00E43EEF">
        <w:rPr>
          <w:rFonts w:eastAsia="Times New Roman" w:cs="Calibri"/>
        </w:rPr>
        <w:t>Sustav upravljanja kakvoćom u cijelosti je usklađen s normama:</w:t>
      </w:r>
    </w:p>
    <w:p w14:paraId="4761B533" w14:textId="77777777" w:rsidR="007246EE" w:rsidRPr="00E43EEF" w:rsidRDefault="007246EE" w:rsidP="00AC375F">
      <w:pPr>
        <w:numPr>
          <w:ilvl w:val="0"/>
          <w:numId w:val="35"/>
        </w:numPr>
        <w:spacing w:before="120" w:after="120" w:line="276" w:lineRule="auto"/>
        <w:ind w:left="284" w:hanging="295"/>
        <w:contextualSpacing/>
        <w:jc w:val="both"/>
        <w:rPr>
          <w:rFonts w:eastAsia="Times New Roman" w:cs="Calibri"/>
        </w:rPr>
      </w:pPr>
      <w:r w:rsidRPr="00E43EEF">
        <w:rPr>
          <w:rFonts w:eastAsia="Times New Roman" w:cs="Calibri"/>
        </w:rPr>
        <w:t xml:space="preserve">ISO 9001:2015 (Sustavi upravljanja kvalitetom – Zahtjevi), ISO/IEC 17025:2017 (Opći zahtjevi za osposobljenost ispitnih i umjernih laboratorija) </w:t>
      </w:r>
    </w:p>
    <w:p w14:paraId="0A715254" w14:textId="77777777" w:rsidR="007246EE" w:rsidRPr="00E43EEF" w:rsidRDefault="007246EE" w:rsidP="00AC375F">
      <w:pPr>
        <w:numPr>
          <w:ilvl w:val="0"/>
          <w:numId w:val="35"/>
        </w:numPr>
        <w:spacing w:before="120" w:after="120" w:line="276" w:lineRule="auto"/>
        <w:ind w:left="284" w:hanging="295"/>
        <w:contextualSpacing/>
        <w:jc w:val="both"/>
        <w:rPr>
          <w:rFonts w:eastAsia="Times New Roman" w:cs="Calibri"/>
        </w:rPr>
      </w:pPr>
      <w:r w:rsidRPr="00E43EEF">
        <w:rPr>
          <w:rFonts w:eastAsia="Times New Roman" w:cs="Calibri"/>
        </w:rPr>
        <w:t xml:space="preserve">ISO/IEC 17020:2012 (Ocjenjivanje sukladnosti – Zahtjevi za rad različitih vrsta tijela koja provode inspekciju), </w:t>
      </w:r>
    </w:p>
    <w:p w14:paraId="38700A1A" w14:textId="77777777" w:rsidR="007246EE" w:rsidRPr="00E43EEF" w:rsidRDefault="007246EE" w:rsidP="00AC375F">
      <w:pPr>
        <w:numPr>
          <w:ilvl w:val="0"/>
          <w:numId w:val="35"/>
        </w:numPr>
        <w:spacing w:before="120" w:after="120" w:line="276" w:lineRule="auto"/>
        <w:ind w:left="284" w:hanging="295"/>
        <w:contextualSpacing/>
        <w:jc w:val="both"/>
        <w:rPr>
          <w:rFonts w:eastAsia="Times New Roman" w:cs="Calibri"/>
        </w:rPr>
      </w:pPr>
      <w:r w:rsidRPr="00E43EEF">
        <w:rPr>
          <w:rFonts w:eastAsia="Times New Roman" w:cs="Calibri"/>
        </w:rPr>
        <w:t xml:space="preserve">ISO 19011:2018 (Smjernice za provođenje audita sustava upravljanja), </w:t>
      </w:r>
    </w:p>
    <w:p w14:paraId="3D405A04" w14:textId="77777777" w:rsidR="007246EE" w:rsidRPr="00E43EEF" w:rsidRDefault="007246EE" w:rsidP="00AC375F">
      <w:pPr>
        <w:numPr>
          <w:ilvl w:val="0"/>
          <w:numId w:val="35"/>
        </w:numPr>
        <w:spacing w:before="120" w:after="120" w:line="276" w:lineRule="auto"/>
        <w:ind w:left="284" w:hanging="295"/>
        <w:contextualSpacing/>
        <w:jc w:val="both"/>
        <w:rPr>
          <w:rFonts w:eastAsia="Times New Roman" w:cs="Calibri"/>
        </w:rPr>
      </w:pPr>
      <w:r w:rsidRPr="00E43EEF">
        <w:rPr>
          <w:rFonts w:eastAsia="Times New Roman" w:cs="Calibri"/>
        </w:rPr>
        <w:t xml:space="preserve">ISO 45001:2018 (Sustavi upravljanja zaštitom zdravlja i sigurnosti pri radu), </w:t>
      </w:r>
    </w:p>
    <w:p w14:paraId="68CA2BBC" w14:textId="77777777" w:rsidR="007246EE" w:rsidRPr="00E43EEF" w:rsidRDefault="007246EE" w:rsidP="00AC375F">
      <w:pPr>
        <w:numPr>
          <w:ilvl w:val="0"/>
          <w:numId w:val="35"/>
        </w:numPr>
        <w:spacing w:before="120" w:after="120" w:line="276" w:lineRule="auto"/>
        <w:ind w:left="284" w:hanging="295"/>
        <w:contextualSpacing/>
        <w:jc w:val="both"/>
        <w:rPr>
          <w:rFonts w:eastAsia="Times New Roman" w:cs="Calibri"/>
        </w:rPr>
      </w:pPr>
      <w:r w:rsidRPr="00E43EEF">
        <w:rPr>
          <w:rFonts w:eastAsia="Times New Roman" w:cs="Calibri"/>
        </w:rPr>
        <w:t xml:space="preserve">ISO 31000:2018 (Upravljanje rizicima – Načela i smjernice), </w:t>
      </w:r>
    </w:p>
    <w:p w14:paraId="2EFCB4CC" w14:textId="77777777" w:rsidR="007246EE" w:rsidRPr="00E43EEF" w:rsidRDefault="007246EE" w:rsidP="00AC375F">
      <w:pPr>
        <w:numPr>
          <w:ilvl w:val="0"/>
          <w:numId w:val="35"/>
        </w:numPr>
        <w:spacing w:before="120" w:after="120" w:line="276" w:lineRule="auto"/>
        <w:ind w:left="284" w:hanging="295"/>
        <w:contextualSpacing/>
        <w:jc w:val="both"/>
        <w:rPr>
          <w:rFonts w:eastAsia="Times New Roman" w:cs="Calibri"/>
        </w:rPr>
      </w:pPr>
      <w:r w:rsidRPr="00E43EEF">
        <w:rPr>
          <w:rFonts w:eastAsia="Times New Roman" w:cs="Calibri"/>
        </w:rPr>
        <w:t>ISO/IEC 27001:2017 (Informacijska tehnologija – Sigurnosne tehnike – Sustavi upravljanja informacijskom sigurnošću – Zahtjevi, kao i Uredbom o kibernetičkoj sigurnosti operatera ključnih usluga i davatelja digitalnih usluga</w:t>
      </w:r>
    </w:p>
    <w:p w14:paraId="2FB0C65C" w14:textId="77777777" w:rsidR="007246EE" w:rsidRPr="00E43EEF" w:rsidRDefault="007246EE" w:rsidP="00AC375F">
      <w:pPr>
        <w:numPr>
          <w:ilvl w:val="0"/>
          <w:numId w:val="35"/>
        </w:numPr>
        <w:spacing w:before="120" w:after="120" w:line="276" w:lineRule="auto"/>
        <w:ind w:left="284" w:hanging="284"/>
        <w:contextualSpacing/>
        <w:jc w:val="both"/>
        <w:rPr>
          <w:rFonts w:eastAsia="Times New Roman" w:cs="Calibri"/>
        </w:rPr>
      </w:pPr>
      <w:r w:rsidRPr="00E43EEF">
        <w:rPr>
          <w:rFonts w:eastAsia="Times New Roman" w:cs="Calibri"/>
        </w:rPr>
        <w:t>ISO 9004:2018 (Upravljanje u svrhu trajne uspješnosti organizacije – Pristup upravljanju kvalitetom), te</w:t>
      </w:r>
    </w:p>
    <w:p w14:paraId="2BB67F81" w14:textId="77777777" w:rsidR="007246EE" w:rsidRPr="00E43EEF" w:rsidRDefault="007246EE" w:rsidP="00AC375F">
      <w:pPr>
        <w:numPr>
          <w:ilvl w:val="0"/>
          <w:numId w:val="35"/>
        </w:numPr>
        <w:spacing w:before="120" w:after="120" w:line="276" w:lineRule="auto"/>
        <w:ind w:left="284" w:hanging="284"/>
        <w:contextualSpacing/>
        <w:jc w:val="both"/>
        <w:rPr>
          <w:rFonts w:eastAsia="Times New Roman" w:cs="Calibri"/>
        </w:rPr>
      </w:pPr>
      <w:r w:rsidRPr="00E43EEF">
        <w:rPr>
          <w:rFonts w:eastAsia="Times New Roman" w:cs="Calibri"/>
        </w:rPr>
        <w:t xml:space="preserve">WHO smjernice </w:t>
      </w:r>
      <w:r w:rsidRPr="00E43EEF">
        <w:rPr>
          <w:rFonts w:eastAsia="Times New Roman" w:cs="Calibri"/>
          <w:i/>
        </w:rPr>
        <w:t>Good regulatory practices in the regulation of medical products</w:t>
      </w:r>
      <w:r w:rsidRPr="00E43EEF">
        <w:rPr>
          <w:rFonts w:eastAsia="Times New Roman" w:cs="Calibri"/>
        </w:rPr>
        <w:t xml:space="preserve"> </w:t>
      </w:r>
    </w:p>
    <w:p w14:paraId="134647AA" w14:textId="77777777" w:rsidR="007246EE" w:rsidRPr="00E43EEF" w:rsidRDefault="007246EE" w:rsidP="00AC375F">
      <w:pPr>
        <w:numPr>
          <w:ilvl w:val="0"/>
          <w:numId w:val="35"/>
        </w:numPr>
        <w:spacing w:before="120" w:after="120" w:line="276" w:lineRule="auto"/>
        <w:ind w:left="284" w:hanging="295"/>
        <w:contextualSpacing/>
        <w:jc w:val="both"/>
        <w:rPr>
          <w:rFonts w:eastAsia="Times New Roman" w:cs="Calibri"/>
        </w:rPr>
      </w:pPr>
      <w:r w:rsidRPr="00E43EEF">
        <w:rPr>
          <w:rFonts w:eastAsia="Times New Roman" w:cs="Calibri"/>
        </w:rPr>
        <w:t xml:space="preserve">Zahtjevima financijskog upravljanja i kontrola (FMC). </w:t>
      </w:r>
    </w:p>
    <w:p w14:paraId="0A380965" w14:textId="77777777" w:rsidR="007246EE" w:rsidRPr="00E43EEF" w:rsidRDefault="007246EE" w:rsidP="007246EE">
      <w:pPr>
        <w:tabs>
          <w:tab w:val="left" w:pos="459"/>
        </w:tabs>
        <w:spacing w:line="276" w:lineRule="auto"/>
        <w:rPr>
          <w:b/>
        </w:rPr>
      </w:pPr>
    </w:p>
    <w:p w14:paraId="22CD29DB" w14:textId="77777777" w:rsidR="007246EE" w:rsidRPr="00E43EEF" w:rsidRDefault="007246EE" w:rsidP="007246EE">
      <w:pPr>
        <w:spacing w:after="240" w:line="276" w:lineRule="auto"/>
        <w:rPr>
          <w:b/>
        </w:rPr>
      </w:pPr>
      <w:r w:rsidRPr="00E43EEF">
        <w:rPr>
          <w:b/>
        </w:rPr>
        <w:t>B) POBOLJŠANJA SUSTAVA UPRAVLJANJA, ORGANIZACIJE I KAKVOĆE</w:t>
      </w:r>
    </w:p>
    <w:p w14:paraId="33CB78F2" w14:textId="77777777" w:rsidR="007246EE" w:rsidRPr="00E43EEF" w:rsidRDefault="007246EE" w:rsidP="007246EE">
      <w:pPr>
        <w:spacing w:before="120" w:after="120" w:line="276" w:lineRule="auto"/>
        <w:jc w:val="both"/>
        <w:rPr>
          <w:rFonts w:eastAsia="Times New Roman" w:cs="Calibri"/>
        </w:rPr>
      </w:pPr>
      <w:r w:rsidRPr="00E43EEF">
        <w:rPr>
          <w:rFonts w:eastAsia="Times New Roman" w:cs="Calibri"/>
        </w:rPr>
        <w:t xml:space="preserve">U izvještajnom razdoblju dovršen je rad na punoj implementaciji zahtjeva </w:t>
      </w:r>
      <w:r>
        <w:rPr>
          <w:rFonts w:eastAsia="Times New Roman" w:cs="Calibri"/>
        </w:rPr>
        <w:t>međunarodne norme ISO 9004:2018</w:t>
      </w:r>
      <w:r w:rsidRPr="00E43EEF">
        <w:rPr>
          <w:rFonts w:eastAsia="Times New Roman" w:cs="Calibri"/>
        </w:rPr>
        <w:t xml:space="preserve"> i zahtjeva WHO smjernice </w:t>
      </w:r>
      <w:r w:rsidRPr="00E43EEF">
        <w:rPr>
          <w:rFonts w:eastAsia="Times New Roman" w:cs="Calibri"/>
          <w:i/>
        </w:rPr>
        <w:t>Good regulatory practices in the regulation of medical products</w:t>
      </w:r>
      <w:r w:rsidRPr="00E43EEF">
        <w:rPr>
          <w:rFonts w:eastAsia="Times New Roman" w:cs="Calibri"/>
        </w:rPr>
        <w:t xml:space="preserve"> te je usklađen</w:t>
      </w:r>
      <w:r>
        <w:rPr>
          <w:rFonts w:eastAsia="Times New Roman" w:cs="Calibri"/>
        </w:rPr>
        <w:t xml:space="preserve"> i objavljen novi</w:t>
      </w:r>
      <w:r w:rsidRPr="00E43EEF">
        <w:rPr>
          <w:rFonts w:eastAsia="Times New Roman" w:cs="Calibri"/>
        </w:rPr>
        <w:t xml:space="preserve"> tekst Poslovnika kakvoće.</w:t>
      </w:r>
    </w:p>
    <w:p w14:paraId="1FEBB335" w14:textId="77777777" w:rsidR="007246EE" w:rsidRPr="00E43EEF" w:rsidRDefault="007246EE" w:rsidP="007246EE">
      <w:pPr>
        <w:spacing w:before="120" w:after="120" w:line="276" w:lineRule="auto"/>
        <w:jc w:val="both"/>
        <w:rPr>
          <w:rFonts w:eastAsia="Times New Roman" w:cs="Calibri"/>
        </w:rPr>
      </w:pPr>
      <w:r w:rsidRPr="00E43EEF">
        <w:rPr>
          <w:rFonts w:eastAsia="Times New Roman" w:cs="Calibri"/>
        </w:rPr>
        <w:t>Kroz reviziju se postojeći standardni operativni postupci prilagođavaju važećim aktima HALMED-a i promjenama u legislativi ili promjenama u procesima i sustavu kakvoće, a izdani su i standardni operativni postupci koji prate poslovne procese u HALMED-u, koji nisu bili uključeni u sustav kakvoće.</w:t>
      </w:r>
    </w:p>
    <w:p w14:paraId="3046C32F" w14:textId="77777777" w:rsidR="007246EE" w:rsidRPr="00E43EEF" w:rsidRDefault="007246EE" w:rsidP="007246EE">
      <w:pPr>
        <w:spacing w:before="120" w:after="120" w:line="276" w:lineRule="auto"/>
        <w:jc w:val="both"/>
        <w:rPr>
          <w:rFonts w:eastAsia="Times New Roman" w:cs="Calibri"/>
        </w:rPr>
      </w:pPr>
      <w:r w:rsidRPr="00E43EEF">
        <w:rPr>
          <w:rFonts w:eastAsia="Times New Roman" w:cs="Calibri"/>
        </w:rPr>
        <w:t xml:space="preserve">Sustav upravljanja kakvoćom u OMCL-u nadziran je i poboljšavan putem daljnjeg usklađivanja redovitog poslovanja laboratorija sa zahtjevima norme ISO/IEC 17025 te </w:t>
      </w:r>
      <w:r>
        <w:rPr>
          <w:rFonts w:eastAsia="Times New Roman" w:cs="Calibri"/>
        </w:rPr>
        <w:t xml:space="preserve">novih izdanja </w:t>
      </w:r>
      <w:r w:rsidRPr="00E43EEF">
        <w:rPr>
          <w:rFonts w:eastAsia="Times New Roman" w:cs="Calibri"/>
        </w:rPr>
        <w:t xml:space="preserve">vodiča Mreže službenih laboratorija za provjeru kakvoće lijekova (GEON) Vijeća Europe. </w:t>
      </w:r>
    </w:p>
    <w:p w14:paraId="25BAAE21" w14:textId="77777777" w:rsidR="007246EE" w:rsidRPr="00E43EEF" w:rsidRDefault="007246EE" w:rsidP="007246EE">
      <w:pPr>
        <w:spacing w:before="120" w:after="120" w:line="276" w:lineRule="auto"/>
        <w:jc w:val="both"/>
        <w:rPr>
          <w:rFonts w:eastAsia="Times New Roman" w:cs="Calibri"/>
        </w:rPr>
      </w:pPr>
      <w:r w:rsidRPr="00E43EEF">
        <w:rPr>
          <w:rFonts w:eastAsia="Times New Roman" w:cs="Calibri"/>
        </w:rPr>
        <w:t>U Odjelu za sigurnu primjenu lijekova i medicinskih proizvoda i Odjelu za odobravanje lijekova sustav upravljanja kakvoćom prilagođavao se kontinuirano promjenama u pravnoj stečevini EU te su procesi opisivani putem standardnih operativnih postupaka usklađivani s istima.</w:t>
      </w:r>
    </w:p>
    <w:p w14:paraId="05B6E97B" w14:textId="77777777" w:rsidR="007246EE" w:rsidRPr="00E43EEF" w:rsidRDefault="007246EE" w:rsidP="007246EE">
      <w:pPr>
        <w:spacing w:after="120" w:line="276" w:lineRule="auto"/>
        <w:jc w:val="both"/>
        <w:rPr>
          <w:rFonts w:eastAsia="Times New Roman" w:cs="Calibri"/>
        </w:rPr>
      </w:pPr>
      <w:r w:rsidRPr="00E43EEF">
        <w:rPr>
          <w:rFonts w:eastAsia="Times New Roman" w:cs="Calibri"/>
        </w:rPr>
        <w:t xml:space="preserve">Redovito se provode sve planirane zakonom propisane </w:t>
      </w:r>
      <w:r w:rsidRPr="00E43EEF">
        <w:rPr>
          <w:rFonts w:eastAsia="Times New Roman" w:cs="Calibri"/>
          <w:bCs/>
        </w:rPr>
        <w:t xml:space="preserve">aktivnosti </w:t>
      </w:r>
      <w:r w:rsidRPr="00E43EEF">
        <w:rPr>
          <w:rFonts w:eastAsia="Times New Roman" w:cs="Calibri"/>
        </w:rPr>
        <w:t>vezane uz zaštitu na radu i zaštitu okoliša. Posebna se pozornost poklanja provedbi propisa zaštite okoliša u području gospodarenja otpadom i sigurnom zbrinjavanju otpada.</w:t>
      </w:r>
    </w:p>
    <w:p w14:paraId="5527BDB8" w14:textId="6C0D1344" w:rsidR="007246EE" w:rsidRPr="002D744E" w:rsidRDefault="007246EE" w:rsidP="007246EE">
      <w:pPr>
        <w:spacing w:after="240" w:line="276" w:lineRule="auto"/>
        <w:jc w:val="both"/>
        <w:rPr>
          <w:rFonts w:eastAsia="Times New Roman" w:cs="Calibri"/>
        </w:rPr>
      </w:pPr>
      <w:r w:rsidRPr="002D744E">
        <w:rPr>
          <w:rFonts w:eastAsia="Times New Roman" w:cs="Calibri"/>
        </w:rPr>
        <w:t>Provedene interne edukacije vezano uz tem</w:t>
      </w:r>
      <w:r w:rsidR="004C0219">
        <w:rPr>
          <w:rFonts w:eastAsia="Times New Roman" w:cs="Calibri"/>
        </w:rPr>
        <w:t>atiku sustava kakvoće bile su</w:t>
      </w:r>
      <w:r w:rsidRPr="002D744E">
        <w:rPr>
          <w:rFonts w:eastAsia="Times New Roman" w:cs="Calibri"/>
        </w:rPr>
        <w:t xml:space="preserve"> uspješne. Ukupno je održano 17 uvodnih predavanja za novozaposlene djelatnike i 5 edukacije po odobrenim SOP-ovima, odnosno Poslovniku kakvoće te 2 prezentacije za potrebe ostalih jedinica s temama iz sustava kakvoće. </w:t>
      </w:r>
    </w:p>
    <w:p w14:paraId="70A611DC" w14:textId="77777777" w:rsidR="007246EE" w:rsidRPr="002D744E" w:rsidRDefault="007246EE" w:rsidP="007246EE">
      <w:pPr>
        <w:spacing w:after="240" w:line="276" w:lineRule="auto"/>
        <w:jc w:val="both"/>
        <w:rPr>
          <w:rFonts w:eastAsia="Times New Roman" w:cs="Calibri"/>
        </w:rPr>
      </w:pPr>
      <w:r w:rsidRPr="002D744E">
        <w:rPr>
          <w:rFonts w:eastAsia="Times New Roman" w:cs="Calibri"/>
        </w:rPr>
        <w:lastRenderedPageBreak/>
        <w:t>U proteklom razdoblju nastavljeno je s redovitom suradnjom Ureda za osiguranje kakvoće s voditeljima jedinica na rješavanju nesukladnosti, implementaciji poboljšanja, provedbi kontroliranih promjena i upravljanju mjerama za smanjenje/kontrolu rizika. U tu svrhu izrađena su 4 kvartalna izvješća o statusu.</w:t>
      </w:r>
    </w:p>
    <w:p w14:paraId="2E0812D8" w14:textId="77777777" w:rsidR="007246EE" w:rsidRPr="002D744E" w:rsidRDefault="007246EE" w:rsidP="007246EE">
      <w:pPr>
        <w:spacing w:after="240" w:line="276" w:lineRule="auto"/>
        <w:jc w:val="both"/>
        <w:rPr>
          <w:rFonts w:eastAsia="Times New Roman" w:cs="Calibri"/>
        </w:rPr>
      </w:pPr>
      <w:r w:rsidRPr="002D744E">
        <w:rPr>
          <w:rFonts w:eastAsia="Times New Roman" w:cs="Calibri"/>
        </w:rPr>
        <w:t>U proteklom razdoblju pružana je pomoć u uspostavi sustava Odsjeku za potrošnju i cijene lijekova (revizija SOP-ova, izrada shema procesa, edukacije o sustavu kakvoće i zadacima vezanim uz implementaciju sustava u Odsjeku).</w:t>
      </w:r>
    </w:p>
    <w:p w14:paraId="06C7ADEE" w14:textId="10A65E0B" w:rsidR="007246EE" w:rsidRDefault="007246EE" w:rsidP="00A007AF">
      <w:pPr>
        <w:spacing w:line="276" w:lineRule="auto"/>
        <w:jc w:val="both"/>
      </w:pPr>
      <w:r w:rsidRPr="002D744E">
        <w:rPr>
          <w:rFonts w:eastAsia="Times New Roman" w:cs="Calibri"/>
        </w:rPr>
        <w:t>Djelatnica Ureda imenovan</w:t>
      </w:r>
      <w:r w:rsidR="00A007AF">
        <w:rPr>
          <w:rFonts w:eastAsia="Times New Roman" w:cs="Calibri"/>
        </w:rPr>
        <w:t>a</w:t>
      </w:r>
      <w:r w:rsidRPr="002D744E">
        <w:rPr>
          <w:rFonts w:eastAsia="Times New Roman" w:cs="Calibri"/>
        </w:rPr>
        <w:t xml:space="preserve"> je u Povjerenstvo za odlučivanje o sukobu interesa. U izvještajnom periodu provedene su 3 analize podataka o statusu ažuriranja CV i DoI djelatnika u EDVS bazi te su o istom izvješteni pomoćnici ravnatelja i voditelji odjela.</w:t>
      </w:r>
    </w:p>
    <w:p w14:paraId="3568458C" w14:textId="77777777" w:rsidR="007246EE" w:rsidRPr="00595A3D" w:rsidRDefault="007246EE" w:rsidP="007246EE">
      <w:pPr>
        <w:spacing w:line="276" w:lineRule="auto"/>
      </w:pPr>
    </w:p>
    <w:p w14:paraId="7C40EDA3" w14:textId="77777777" w:rsidR="007246EE" w:rsidRPr="00E43EEF" w:rsidRDefault="007246EE" w:rsidP="004C0219">
      <w:pPr>
        <w:spacing w:line="276" w:lineRule="auto"/>
        <w:jc w:val="both"/>
        <w:rPr>
          <w:rFonts w:eastAsia="Times New Roman" w:cs="Calibri"/>
        </w:rPr>
      </w:pPr>
      <w:r w:rsidRPr="00E43EEF">
        <w:rPr>
          <w:rFonts w:eastAsia="Times New Roman" w:cs="Calibri"/>
        </w:rPr>
        <w:t>U izvještajnom razdoblju zabilježeno je:</w:t>
      </w:r>
    </w:p>
    <w:p w14:paraId="61E987FD" w14:textId="77777777" w:rsidR="007246EE" w:rsidRPr="00E43EEF" w:rsidRDefault="007246EE" w:rsidP="00AC375F">
      <w:pPr>
        <w:numPr>
          <w:ilvl w:val="0"/>
          <w:numId w:val="26"/>
        </w:numPr>
        <w:spacing w:line="276" w:lineRule="auto"/>
        <w:contextualSpacing/>
        <w:jc w:val="both"/>
        <w:rPr>
          <w:rFonts w:eastAsia="Times New Roman" w:cs="Calibri"/>
        </w:rPr>
      </w:pPr>
      <w:r>
        <w:rPr>
          <w:rFonts w:eastAsia="Times New Roman" w:cs="Calibri"/>
        </w:rPr>
        <w:t>180</w:t>
      </w:r>
      <w:r w:rsidRPr="00E43EEF">
        <w:rPr>
          <w:rFonts w:eastAsia="Times New Roman" w:cs="Calibri"/>
        </w:rPr>
        <w:t xml:space="preserve"> nesukladnosti </w:t>
      </w:r>
      <w:r>
        <w:rPr>
          <w:rFonts w:eastAsia="Times New Roman" w:cs="Calibri"/>
        </w:rPr>
        <w:t>od čega 4 nisu</w:t>
      </w:r>
      <w:r w:rsidRPr="00E43EEF">
        <w:rPr>
          <w:rFonts w:eastAsia="Times New Roman" w:cs="Calibri"/>
        </w:rPr>
        <w:t xml:space="preserve"> riješene </w:t>
      </w:r>
    </w:p>
    <w:p w14:paraId="5712E5D3" w14:textId="77777777" w:rsidR="007246EE" w:rsidRPr="00E43EEF" w:rsidRDefault="007246EE" w:rsidP="00AC375F">
      <w:pPr>
        <w:numPr>
          <w:ilvl w:val="0"/>
          <w:numId w:val="26"/>
        </w:numPr>
        <w:spacing w:line="276" w:lineRule="auto"/>
        <w:contextualSpacing/>
        <w:jc w:val="both"/>
        <w:rPr>
          <w:rFonts w:eastAsia="Times New Roman" w:cs="Calibri"/>
        </w:rPr>
      </w:pPr>
      <w:r>
        <w:rPr>
          <w:rFonts w:eastAsia="Times New Roman" w:cs="Calibri"/>
        </w:rPr>
        <w:t>6</w:t>
      </w:r>
      <w:r w:rsidRPr="00E43EEF">
        <w:rPr>
          <w:rFonts w:eastAsia="Times New Roman" w:cs="Calibri"/>
        </w:rPr>
        <w:t xml:space="preserve"> popravn</w:t>
      </w:r>
      <w:r>
        <w:rPr>
          <w:rFonts w:eastAsia="Times New Roman" w:cs="Calibri"/>
        </w:rPr>
        <w:t>ih</w:t>
      </w:r>
      <w:r w:rsidRPr="00E43EEF">
        <w:rPr>
          <w:rFonts w:eastAsia="Times New Roman" w:cs="Calibri"/>
        </w:rPr>
        <w:t xml:space="preserve"> radnji od kojih su </w:t>
      </w:r>
      <w:r>
        <w:rPr>
          <w:rFonts w:eastAsia="Times New Roman" w:cs="Calibri"/>
        </w:rPr>
        <w:t>2</w:t>
      </w:r>
      <w:r w:rsidRPr="00E43EEF">
        <w:rPr>
          <w:rFonts w:eastAsia="Times New Roman" w:cs="Calibri"/>
        </w:rPr>
        <w:t xml:space="preserve"> u postupku rješavanja</w:t>
      </w:r>
    </w:p>
    <w:p w14:paraId="0B07C598" w14:textId="77777777" w:rsidR="007246EE" w:rsidRPr="00E43EEF" w:rsidRDefault="007246EE" w:rsidP="00AC375F">
      <w:pPr>
        <w:numPr>
          <w:ilvl w:val="0"/>
          <w:numId w:val="26"/>
        </w:numPr>
        <w:spacing w:after="240" w:line="276" w:lineRule="auto"/>
        <w:contextualSpacing/>
        <w:jc w:val="both"/>
        <w:rPr>
          <w:rFonts w:eastAsia="Times New Roman" w:cs="Calibri"/>
        </w:rPr>
      </w:pPr>
      <w:r>
        <w:rPr>
          <w:rFonts w:eastAsia="Times New Roman" w:cs="Calibri"/>
        </w:rPr>
        <w:t>26</w:t>
      </w:r>
      <w:r w:rsidRPr="00E43EEF">
        <w:rPr>
          <w:rFonts w:eastAsia="Times New Roman" w:cs="Calibri"/>
        </w:rPr>
        <w:t xml:space="preserve"> prijedloga za poboljšanje od čega je </w:t>
      </w:r>
      <w:r>
        <w:rPr>
          <w:rFonts w:eastAsia="Times New Roman" w:cs="Calibri"/>
        </w:rPr>
        <w:t>9</w:t>
      </w:r>
      <w:r w:rsidRPr="00E43EEF">
        <w:rPr>
          <w:rFonts w:eastAsia="Times New Roman" w:cs="Calibri"/>
        </w:rPr>
        <w:t xml:space="preserve"> zatvorenih, a </w:t>
      </w:r>
      <w:r>
        <w:rPr>
          <w:rFonts w:eastAsia="Times New Roman" w:cs="Calibri"/>
        </w:rPr>
        <w:t>17</w:t>
      </w:r>
      <w:r w:rsidRPr="00E43EEF">
        <w:rPr>
          <w:rFonts w:eastAsia="Times New Roman" w:cs="Calibri"/>
        </w:rPr>
        <w:t xml:space="preserve"> je u postupku</w:t>
      </w:r>
    </w:p>
    <w:p w14:paraId="443407F3" w14:textId="77777777" w:rsidR="007246EE" w:rsidRPr="00E43EEF" w:rsidRDefault="007246EE" w:rsidP="00AC375F">
      <w:pPr>
        <w:numPr>
          <w:ilvl w:val="0"/>
          <w:numId w:val="26"/>
        </w:numPr>
        <w:spacing w:after="240" w:line="276" w:lineRule="auto"/>
        <w:contextualSpacing/>
        <w:jc w:val="both"/>
        <w:rPr>
          <w:rFonts w:eastAsia="Times New Roman" w:cs="Calibri"/>
        </w:rPr>
      </w:pPr>
      <w:r>
        <w:rPr>
          <w:rFonts w:eastAsia="Times New Roman" w:cs="Calibri"/>
        </w:rPr>
        <w:t>6</w:t>
      </w:r>
      <w:r w:rsidRPr="00E43EEF">
        <w:rPr>
          <w:rFonts w:eastAsia="Times New Roman" w:cs="Calibri"/>
        </w:rPr>
        <w:t xml:space="preserve"> upravljanja promjenom od kojih je </w:t>
      </w:r>
      <w:r>
        <w:rPr>
          <w:rFonts w:eastAsia="Times New Roman" w:cs="Calibri"/>
        </w:rPr>
        <w:t xml:space="preserve">1 završeno, a pet je </w:t>
      </w:r>
      <w:r w:rsidRPr="00E43EEF">
        <w:rPr>
          <w:rFonts w:eastAsia="Times New Roman" w:cs="Calibri"/>
        </w:rPr>
        <w:t>u tijeku rješavanja.</w:t>
      </w:r>
    </w:p>
    <w:p w14:paraId="1B21C3CE" w14:textId="77777777" w:rsidR="007246EE" w:rsidRDefault="007246EE" w:rsidP="007246EE">
      <w:pPr>
        <w:spacing w:after="240" w:line="276" w:lineRule="auto"/>
        <w:rPr>
          <w:rFonts w:eastAsia="Times New Roman" w:cs="Calibri"/>
          <w:b/>
        </w:rPr>
      </w:pPr>
    </w:p>
    <w:p w14:paraId="79617718" w14:textId="77777777" w:rsidR="007246EE" w:rsidRPr="00E43EEF" w:rsidRDefault="007246EE" w:rsidP="007246EE">
      <w:pPr>
        <w:spacing w:after="240" w:line="276" w:lineRule="auto"/>
        <w:rPr>
          <w:rFonts w:eastAsia="Times New Roman" w:cs="Calibri"/>
          <w:b/>
        </w:rPr>
      </w:pPr>
      <w:r w:rsidRPr="00E43EEF">
        <w:rPr>
          <w:rFonts w:eastAsia="Times New Roman" w:cs="Calibri"/>
          <w:b/>
        </w:rPr>
        <w:t>C) UPRAVLJANJE DOKUMENTACIJOM SUSTAVA KAKVOĆE I NASTAVAK UVOĐENJA e-DOKUMENTACIJE</w:t>
      </w:r>
    </w:p>
    <w:p w14:paraId="2B22DBF1" w14:textId="77777777" w:rsidR="007246EE" w:rsidRPr="00E43EEF" w:rsidRDefault="007246EE" w:rsidP="007246EE">
      <w:pPr>
        <w:spacing w:after="240" w:line="276" w:lineRule="auto"/>
        <w:jc w:val="both"/>
        <w:rPr>
          <w:rFonts w:eastAsia="Times New Roman" w:cs="Calibri"/>
        </w:rPr>
      </w:pPr>
      <w:r w:rsidRPr="00E43EEF">
        <w:rPr>
          <w:rFonts w:eastAsia="Times New Roman" w:cs="Calibri"/>
        </w:rPr>
        <w:t xml:space="preserve">U izvještajnom razdoblju izdana su </w:t>
      </w:r>
      <w:r>
        <w:rPr>
          <w:rFonts w:eastAsia="Times New Roman" w:cs="Calibri"/>
        </w:rPr>
        <w:t xml:space="preserve">2 </w:t>
      </w:r>
      <w:r w:rsidRPr="00E43EEF">
        <w:rPr>
          <w:rFonts w:eastAsia="Times New Roman" w:cs="Calibri"/>
        </w:rPr>
        <w:t xml:space="preserve">nova SOP-a, </w:t>
      </w:r>
      <w:r w:rsidRPr="000F6922">
        <w:rPr>
          <w:rFonts w:eastAsia="Times New Roman" w:cs="Calibri"/>
        </w:rPr>
        <w:t>9</w:t>
      </w:r>
      <w:r w:rsidRPr="00E43EEF">
        <w:rPr>
          <w:rFonts w:eastAsia="Times New Roman" w:cs="Calibri"/>
        </w:rPr>
        <w:t xml:space="preserve"> SOP-</w:t>
      </w:r>
      <w:r>
        <w:rPr>
          <w:rFonts w:eastAsia="Times New Roman" w:cs="Calibri"/>
        </w:rPr>
        <w:t>ova</w:t>
      </w:r>
      <w:r w:rsidRPr="00E43EEF">
        <w:rPr>
          <w:rFonts w:eastAsia="Times New Roman" w:cs="Calibri"/>
        </w:rPr>
        <w:t xml:space="preserve"> </w:t>
      </w:r>
      <w:r>
        <w:rPr>
          <w:rFonts w:eastAsia="Times New Roman" w:cs="Calibri"/>
        </w:rPr>
        <w:t>je</w:t>
      </w:r>
      <w:r w:rsidRPr="00E43EEF">
        <w:rPr>
          <w:rFonts w:eastAsia="Times New Roman" w:cs="Calibri"/>
        </w:rPr>
        <w:t xml:space="preserve"> </w:t>
      </w:r>
      <w:r w:rsidRPr="00230491">
        <w:rPr>
          <w:rFonts w:eastAsia="Times New Roman" w:cs="Calibri"/>
        </w:rPr>
        <w:t>ukinut</w:t>
      </w:r>
      <w:r>
        <w:rPr>
          <w:rFonts w:eastAsia="Times New Roman" w:cs="Calibri"/>
        </w:rPr>
        <w:t>o</w:t>
      </w:r>
      <w:r w:rsidRPr="00230491">
        <w:rPr>
          <w:rFonts w:eastAsia="Times New Roman" w:cs="Calibri"/>
        </w:rPr>
        <w:t>, a 135 SOP</w:t>
      </w:r>
      <w:r w:rsidRPr="00E43EEF">
        <w:rPr>
          <w:rFonts w:eastAsia="Times New Roman" w:cs="Calibri"/>
        </w:rPr>
        <w:t>-ova je revidirano.</w:t>
      </w:r>
    </w:p>
    <w:p w14:paraId="735C68B7" w14:textId="77777777" w:rsidR="007246EE" w:rsidRPr="00E43EEF" w:rsidRDefault="007246EE" w:rsidP="007246EE">
      <w:pPr>
        <w:spacing w:after="240" w:line="276" w:lineRule="auto"/>
        <w:jc w:val="both"/>
        <w:rPr>
          <w:rFonts w:eastAsia="Times New Roman" w:cs="Calibri"/>
        </w:rPr>
      </w:pPr>
      <w:r w:rsidRPr="00E43EEF">
        <w:rPr>
          <w:rFonts w:eastAsia="Times New Roman" w:cs="Calibri"/>
        </w:rPr>
        <w:t xml:space="preserve">Ured </w:t>
      </w:r>
      <w:r>
        <w:rPr>
          <w:rFonts w:eastAsia="Times New Roman" w:cs="Calibri"/>
        </w:rPr>
        <w:t xml:space="preserve">je kontinuirano </w:t>
      </w:r>
      <w:r w:rsidRPr="00E43EEF">
        <w:rPr>
          <w:rFonts w:eastAsia="Times New Roman" w:cs="Calibri"/>
        </w:rPr>
        <w:t xml:space="preserve">sudjelovao </w:t>
      </w:r>
      <w:r>
        <w:rPr>
          <w:rFonts w:eastAsia="Times New Roman" w:cs="Calibri"/>
        </w:rPr>
        <w:t xml:space="preserve">i poticao punu implementaciju </w:t>
      </w:r>
      <w:r w:rsidRPr="00E43EEF">
        <w:rPr>
          <w:rFonts w:eastAsia="Times New Roman" w:cs="Calibri"/>
        </w:rPr>
        <w:t>e-poslovanja u poslovne procese</w:t>
      </w:r>
      <w:r>
        <w:rPr>
          <w:rFonts w:eastAsia="Times New Roman" w:cs="Calibri"/>
        </w:rPr>
        <w:t>,</w:t>
      </w:r>
      <w:r w:rsidRPr="00E43EEF">
        <w:rPr>
          <w:rFonts w:eastAsia="Times New Roman" w:cs="Calibri"/>
        </w:rPr>
        <w:t xml:space="preserve"> posebice provjerom u planiranim nadzorima. </w:t>
      </w:r>
    </w:p>
    <w:p w14:paraId="3B2A2F37" w14:textId="77777777" w:rsidR="007246EE" w:rsidRPr="00E43EEF" w:rsidRDefault="007246EE" w:rsidP="007246EE">
      <w:pPr>
        <w:spacing w:after="240" w:line="276" w:lineRule="auto"/>
        <w:jc w:val="both"/>
        <w:rPr>
          <w:b/>
        </w:rPr>
      </w:pPr>
      <w:r w:rsidRPr="00E43EEF">
        <w:rPr>
          <w:b/>
        </w:rPr>
        <w:t>D) UNUTARNJI NADZORI (UNO)</w:t>
      </w:r>
    </w:p>
    <w:p w14:paraId="5C6218D6" w14:textId="77777777" w:rsidR="007246EE" w:rsidRPr="00E43EEF" w:rsidRDefault="007246EE" w:rsidP="007246EE">
      <w:pPr>
        <w:spacing w:before="120" w:after="120" w:line="276" w:lineRule="auto"/>
        <w:jc w:val="both"/>
        <w:rPr>
          <w:rFonts w:eastAsia="Times New Roman" w:cs="Calibri"/>
        </w:rPr>
      </w:pPr>
      <w:r w:rsidRPr="00E43EEF">
        <w:rPr>
          <w:rFonts w:eastAsia="Times New Roman" w:cs="Calibri"/>
        </w:rPr>
        <w:t xml:space="preserve">Nastavljena je provedba UNO-a putem provjere sustav kakvoće HALMED-a unutar glavnih procesa, procesa upravljanja te procesa podrške u skladu s Poslovnikom kakvoće HALMED-a, zakonskim i podzakonskim aktima, međunarodnim normama te međunarodnim vodičima i propisima koji su implementirani i čine sastavni dio sustava kakvoće HALMED-a. U sve provedene nadzore uključeni su također zahtjevi koje postavlja WHO putem upitnika  </w:t>
      </w:r>
      <w:r w:rsidRPr="00E43EEF">
        <w:rPr>
          <w:rFonts w:eastAsia="Times New Roman" w:cs="Calibri"/>
          <w:i/>
        </w:rPr>
        <w:t>Global Benchmarking Tool for Evaluation of National Regulatory System of Medical Products</w:t>
      </w:r>
      <w:r>
        <w:rPr>
          <w:rFonts w:eastAsia="Times New Roman" w:cs="Calibri"/>
          <w:i/>
        </w:rPr>
        <w:t xml:space="preserve"> kao i BEMA upitnik</w:t>
      </w:r>
      <w:r w:rsidRPr="00E43EEF">
        <w:rPr>
          <w:rFonts w:eastAsia="Times New Roman" w:cs="Calibri"/>
          <w:i/>
        </w:rPr>
        <w:t>.</w:t>
      </w:r>
    </w:p>
    <w:p w14:paraId="3A5FAB00" w14:textId="77777777" w:rsidR="007246EE" w:rsidRDefault="007246EE" w:rsidP="007246EE">
      <w:pPr>
        <w:spacing w:before="120" w:after="120" w:line="276" w:lineRule="auto"/>
        <w:jc w:val="both"/>
        <w:rPr>
          <w:rFonts w:eastAsia="Times New Roman" w:cs="Calibri"/>
        </w:rPr>
      </w:pPr>
      <w:r w:rsidRPr="00E43EEF">
        <w:rPr>
          <w:rFonts w:eastAsia="Times New Roman" w:cs="Calibri"/>
        </w:rPr>
        <w:t xml:space="preserve">Prema rasporedu u Programu UNO-a za 2023. godinu u izvještajnom razdoblju provedeno je </w:t>
      </w:r>
      <w:r>
        <w:rPr>
          <w:rFonts w:eastAsia="Times New Roman" w:cs="Calibri"/>
        </w:rPr>
        <w:t>14</w:t>
      </w:r>
      <w:r w:rsidRPr="00E43EEF">
        <w:rPr>
          <w:rFonts w:eastAsia="Times New Roman" w:cs="Calibri"/>
        </w:rPr>
        <w:t xml:space="preserve"> od 1</w:t>
      </w:r>
      <w:r>
        <w:rPr>
          <w:rFonts w:eastAsia="Times New Roman" w:cs="Calibri"/>
        </w:rPr>
        <w:t>5</w:t>
      </w:r>
      <w:r w:rsidRPr="00E43EEF">
        <w:rPr>
          <w:rFonts w:eastAsia="Times New Roman" w:cs="Calibri"/>
        </w:rPr>
        <w:t xml:space="preserve"> planiranih UNO. </w:t>
      </w:r>
      <w:r>
        <w:rPr>
          <w:rFonts w:eastAsia="Times New Roman" w:cs="Calibri"/>
        </w:rPr>
        <w:t>Jedan nadzor je odgođen za 2024. godinu.</w:t>
      </w:r>
    </w:p>
    <w:p w14:paraId="032FF000" w14:textId="77777777" w:rsidR="007246EE" w:rsidRPr="00E43EEF" w:rsidRDefault="007246EE" w:rsidP="007246EE">
      <w:pPr>
        <w:spacing w:before="120" w:after="120" w:line="276" w:lineRule="auto"/>
        <w:jc w:val="both"/>
        <w:rPr>
          <w:rFonts w:eastAsia="Times New Roman" w:cs="Calibri"/>
        </w:rPr>
      </w:pPr>
      <w:r>
        <w:rPr>
          <w:rFonts w:eastAsia="Times New Roman" w:cs="Calibri"/>
        </w:rPr>
        <w:t>Izrađen je Program UNO za 2024 godinu.</w:t>
      </w:r>
    </w:p>
    <w:p w14:paraId="6116F109" w14:textId="77777777" w:rsidR="007246EE" w:rsidRPr="00E43EEF" w:rsidRDefault="007246EE" w:rsidP="007246EE">
      <w:pPr>
        <w:spacing w:after="200" w:line="276" w:lineRule="auto"/>
        <w:rPr>
          <w:rFonts w:eastAsia="Times New Roman" w:cs="Calibri"/>
          <w:b/>
        </w:rPr>
      </w:pPr>
      <w:r w:rsidRPr="00E43EEF">
        <w:rPr>
          <w:rFonts w:eastAsia="Times New Roman" w:cs="Calibri"/>
          <w:b/>
        </w:rPr>
        <w:t>E) VANJSKI AUDITI I EVALUACIJE</w:t>
      </w:r>
    </w:p>
    <w:p w14:paraId="4829D996" w14:textId="77777777" w:rsidR="007246EE" w:rsidRPr="00E43EEF" w:rsidRDefault="007246EE" w:rsidP="007246EE">
      <w:pPr>
        <w:spacing w:before="120" w:after="120" w:line="276" w:lineRule="auto"/>
        <w:jc w:val="both"/>
        <w:rPr>
          <w:rFonts w:eastAsia="Times New Roman" w:cs="Calibri"/>
        </w:rPr>
      </w:pPr>
      <w:r w:rsidRPr="00E43EEF">
        <w:rPr>
          <w:rFonts w:eastAsia="Times New Roman" w:cs="Calibri"/>
        </w:rPr>
        <w:t>U izvještajnom razdoblju nije bilo vanjskih audita u koje je bio uključen Ured za upravljanje kakvoćom.</w:t>
      </w:r>
    </w:p>
    <w:p w14:paraId="088D2EE1" w14:textId="77777777" w:rsidR="007246EE" w:rsidRPr="00E43EEF" w:rsidRDefault="007246EE" w:rsidP="007246EE">
      <w:pPr>
        <w:spacing w:before="120" w:after="120" w:line="276" w:lineRule="auto"/>
        <w:jc w:val="both"/>
        <w:rPr>
          <w:rFonts w:eastAsia="Times New Roman" w:cs="Calibri"/>
        </w:rPr>
      </w:pPr>
      <w:r w:rsidRPr="00E43EEF">
        <w:rPr>
          <w:rFonts w:eastAsia="Times New Roman" w:cs="Calibri"/>
        </w:rPr>
        <w:t>Tijekom rujna za Europsku komisiju izrađeno je i poslano izvješće, sukladno GVP Modulu IV, o rezultatima nadzora provedenim nad PhV sustavom HALMED-a „Report to the European Commission on Pharmacovigilance audits Carried out in the Agency for Medicinal Products and Medical Devices (HALMED)“, Croatia (2021-2023).</w:t>
      </w:r>
      <w:r>
        <w:rPr>
          <w:rFonts w:eastAsia="Times New Roman" w:cs="Calibri"/>
        </w:rPr>
        <w:t xml:space="preserve"> </w:t>
      </w:r>
    </w:p>
    <w:p w14:paraId="2B4C29FB" w14:textId="77777777" w:rsidR="007246EE" w:rsidRPr="00E43EEF" w:rsidRDefault="007246EE" w:rsidP="007246EE">
      <w:pPr>
        <w:spacing w:after="240" w:line="276" w:lineRule="auto"/>
        <w:jc w:val="both"/>
        <w:rPr>
          <w:rFonts w:eastAsia="Times New Roman" w:cs="Calibri"/>
          <w:b/>
        </w:rPr>
      </w:pPr>
      <w:r w:rsidRPr="00E43EEF">
        <w:rPr>
          <w:rFonts w:eastAsia="Times New Roman" w:cs="Calibri"/>
          <w:b/>
        </w:rPr>
        <w:lastRenderedPageBreak/>
        <w:t>F) UPRAVINA OCJENA</w:t>
      </w:r>
    </w:p>
    <w:p w14:paraId="23F35D86" w14:textId="52183F87" w:rsidR="007246EE" w:rsidRPr="00E43EEF" w:rsidRDefault="007246EE" w:rsidP="007246EE">
      <w:pPr>
        <w:spacing w:before="120" w:after="120" w:line="276" w:lineRule="auto"/>
        <w:jc w:val="both"/>
        <w:rPr>
          <w:rFonts w:eastAsia="Times New Roman" w:cs="Calibri"/>
        </w:rPr>
      </w:pPr>
      <w:r w:rsidRPr="00E43EEF">
        <w:rPr>
          <w:rFonts w:eastAsia="Times New Roman" w:cs="Calibri"/>
        </w:rPr>
        <w:t xml:space="preserve">U </w:t>
      </w:r>
      <w:r w:rsidR="00A007AF">
        <w:rPr>
          <w:rFonts w:eastAsia="Times New Roman" w:cs="Calibri"/>
        </w:rPr>
        <w:t>2023. godini p</w:t>
      </w:r>
      <w:r w:rsidRPr="00E43EEF">
        <w:rPr>
          <w:rFonts w:eastAsia="Times New Roman" w:cs="Calibri"/>
        </w:rPr>
        <w:t>rovedene su opsežne pripreme vezane uz Upravinu ocjenu. Provedena je konzultativna radionica s voditeljima jedinica na kojoj su prikupljeni prijedlozi poboljšanja vezanih uz postupak Upravine ocjene. Revidiran je pripadajući SOP te je provedena edukacija odgovornih voditelja. Također, prikupljani su i obrađivani podaci potrebni za sastanak na kojem se provodi Upravina ocjena.</w:t>
      </w:r>
    </w:p>
    <w:p w14:paraId="4A57A144" w14:textId="77777777" w:rsidR="007246EE" w:rsidRDefault="007246EE" w:rsidP="007246EE">
      <w:pPr>
        <w:spacing w:before="120" w:after="120" w:line="276" w:lineRule="auto"/>
        <w:jc w:val="both"/>
        <w:rPr>
          <w:rFonts w:eastAsia="Times New Roman" w:cs="Calibri"/>
        </w:rPr>
      </w:pPr>
      <w:r>
        <w:rPr>
          <w:rFonts w:eastAsia="Times New Roman" w:cs="Calibri"/>
        </w:rPr>
        <w:t xml:space="preserve">U srpnju </w:t>
      </w:r>
      <w:r w:rsidRPr="00E43EEF">
        <w:rPr>
          <w:rFonts w:eastAsia="Times New Roman" w:cs="Calibri"/>
        </w:rPr>
        <w:t>2023. održana je planirana Upravina ocjena (</w:t>
      </w:r>
      <w:r w:rsidRPr="00E43EEF">
        <w:rPr>
          <w:rFonts w:eastAsia="Times New Roman" w:cs="Calibri"/>
          <w:i/>
        </w:rPr>
        <w:t>Management rewiev</w:t>
      </w:r>
      <w:r>
        <w:rPr>
          <w:rFonts w:eastAsia="Times New Roman" w:cs="Calibri"/>
        </w:rPr>
        <w:t xml:space="preserve">) te je u rujnu </w:t>
      </w:r>
      <w:r w:rsidRPr="00E43EEF">
        <w:rPr>
          <w:rFonts w:eastAsia="Times New Roman" w:cs="Calibri"/>
        </w:rPr>
        <w:t xml:space="preserve">donesena </w:t>
      </w:r>
      <w:r>
        <w:rPr>
          <w:rFonts w:eastAsia="Times New Roman" w:cs="Calibri"/>
        </w:rPr>
        <w:t xml:space="preserve">i prihvaćena </w:t>
      </w:r>
      <w:r w:rsidRPr="00E43EEF">
        <w:rPr>
          <w:rFonts w:eastAsia="Times New Roman" w:cs="Calibri"/>
        </w:rPr>
        <w:t>ocjena sustava k</w:t>
      </w:r>
      <w:r>
        <w:rPr>
          <w:rFonts w:eastAsia="Times New Roman" w:cs="Calibri"/>
        </w:rPr>
        <w:t xml:space="preserve">akvoće i upravljanja u Agenciji te </w:t>
      </w:r>
      <w:r w:rsidRPr="00E43EEF">
        <w:rPr>
          <w:rFonts w:eastAsia="Times New Roman" w:cs="Calibri"/>
        </w:rPr>
        <w:t xml:space="preserve">izrađen akcijski plan potrebnih poboljšanja. </w:t>
      </w:r>
    </w:p>
    <w:p w14:paraId="1ED28166" w14:textId="77777777" w:rsidR="007246EE" w:rsidRPr="00E43EEF" w:rsidRDefault="007246EE" w:rsidP="007246EE">
      <w:pPr>
        <w:spacing w:before="120"/>
        <w:jc w:val="both"/>
        <w:rPr>
          <w:rFonts w:eastAsia="Times New Roman" w:cs="Calibri"/>
        </w:rPr>
      </w:pPr>
    </w:p>
    <w:p w14:paraId="0CBAFBC7" w14:textId="77777777" w:rsidR="007246EE" w:rsidRPr="00E43EEF" w:rsidRDefault="007246EE" w:rsidP="007246EE">
      <w:pPr>
        <w:spacing w:after="240" w:line="276" w:lineRule="auto"/>
        <w:rPr>
          <w:rFonts w:eastAsia="Times New Roman" w:cs="Calibri"/>
        </w:rPr>
      </w:pPr>
      <w:r w:rsidRPr="00E43EEF">
        <w:rPr>
          <w:rFonts w:eastAsia="Times New Roman"/>
          <w:b/>
        </w:rPr>
        <w:t>G) SUSTAV UPRAVLJANJA RIZICIMA</w:t>
      </w:r>
    </w:p>
    <w:p w14:paraId="7C59ACF9" w14:textId="05ABDD6F" w:rsidR="007246EE" w:rsidRPr="00E43EEF" w:rsidRDefault="007246EE" w:rsidP="007246EE">
      <w:pPr>
        <w:spacing w:before="120" w:after="120" w:line="276" w:lineRule="auto"/>
        <w:jc w:val="both"/>
        <w:rPr>
          <w:rFonts w:eastAsia="Times New Roman" w:cs="Calibri"/>
        </w:rPr>
      </w:pPr>
      <w:r w:rsidRPr="00E43EEF">
        <w:rPr>
          <w:rFonts w:eastAsia="Times New Roman" w:cs="Calibri"/>
        </w:rPr>
        <w:t>U izvještajnom razdoblju rizik vezan uz nestašicu lijekova se povećao te su se poduzimale vrlo opsežne radnje kako bi se smanjio utjecaj nestaši</w:t>
      </w:r>
      <w:r w:rsidR="004C0219">
        <w:rPr>
          <w:rFonts w:eastAsia="Times New Roman" w:cs="Calibri"/>
        </w:rPr>
        <w:t>ca pojedinih lijekova na tržište</w:t>
      </w:r>
      <w:r w:rsidRPr="00E43EEF">
        <w:rPr>
          <w:rFonts w:eastAsia="Times New Roman" w:cs="Calibri"/>
        </w:rPr>
        <w:t>.</w:t>
      </w:r>
    </w:p>
    <w:p w14:paraId="174DC8B1" w14:textId="77777777" w:rsidR="007246EE" w:rsidRPr="00E43EEF" w:rsidRDefault="007246EE" w:rsidP="00AC375F">
      <w:pPr>
        <w:numPr>
          <w:ilvl w:val="0"/>
          <w:numId w:val="36"/>
        </w:numPr>
        <w:spacing w:before="120" w:after="120" w:line="276" w:lineRule="auto"/>
        <w:contextualSpacing/>
        <w:jc w:val="both"/>
        <w:rPr>
          <w:rFonts w:eastAsia="Times New Roman" w:cs="Calibri"/>
        </w:rPr>
      </w:pPr>
      <w:r w:rsidRPr="00E43EEF">
        <w:rPr>
          <w:rFonts w:eastAsia="Times New Roman" w:cs="Calibri"/>
        </w:rPr>
        <w:t>napravljena je planirana revizija statusa rizika i implementacije propisanih mjera po pojedinim jedinicama,</w:t>
      </w:r>
    </w:p>
    <w:p w14:paraId="1E18E813" w14:textId="77777777" w:rsidR="007246EE" w:rsidRPr="00E43EEF" w:rsidRDefault="007246EE" w:rsidP="00AC375F">
      <w:pPr>
        <w:numPr>
          <w:ilvl w:val="0"/>
          <w:numId w:val="36"/>
        </w:numPr>
        <w:spacing w:before="120" w:after="120" w:line="276" w:lineRule="auto"/>
        <w:contextualSpacing/>
        <w:jc w:val="both"/>
        <w:rPr>
          <w:rFonts w:eastAsia="Times New Roman" w:cs="Calibri"/>
        </w:rPr>
      </w:pPr>
      <w:r w:rsidRPr="00E43EEF">
        <w:rPr>
          <w:rFonts w:eastAsia="Times New Roman" w:cs="Calibri"/>
        </w:rPr>
        <w:t xml:space="preserve">kontinuirano se provodi slanje podsjetnika o potrebi praćenja rizika te potrebi implementaciji mjera za smanjenje rizika. Revizija rizika u Registru rizika je provedena u sklopu pripreme materijala za UO. </w:t>
      </w:r>
    </w:p>
    <w:p w14:paraId="3C8BD61A" w14:textId="77777777" w:rsidR="007246EE" w:rsidRPr="002D11BE" w:rsidRDefault="007246EE" w:rsidP="00AC375F">
      <w:pPr>
        <w:numPr>
          <w:ilvl w:val="0"/>
          <w:numId w:val="36"/>
        </w:numPr>
        <w:spacing w:before="120" w:after="120" w:line="276" w:lineRule="auto"/>
        <w:contextualSpacing/>
        <w:jc w:val="both"/>
        <w:rPr>
          <w:rFonts w:eastAsia="Times New Roman" w:cs="Calibri"/>
        </w:rPr>
      </w:pPr>
      <w:r w:rsidRPr="002D11BE">
        <w:rPr>
          <w:rFonts w:eastAsia="Times New Roman" w:cs="Calibri"/>
        </w:rPr>
        <w:t>svi rizici uklopljeni su u Registar rizika HALMED-a za 2023.,</w:t>
      </w:r>
    </w:p>
    <w:p w14:paraId="5BA17BEF" w14:textId="77777777" w:rsidR="007246EE" w:rsidRPr="002D11BE" w:rsidRDefault="007246EE" w:rsidP="00AC375F">
      <w:pPr>
        <w:numPr>
          <w:ilvl w:val="0"/>
          <w:numId w:val="36"/>
        </w:numPr>
        <w:spacing w:before="120" w:after="120" w:line="276" w:lineRule="auto"/>
        <w:contextualSpacing/>
        <w:jc w:val="both"/>
        <w:rPr>
          <w:rFonts w:eastAsia="Times New Roman" w:cs="Calibri"/>
        </w:rPr>
      </w:pPr>
      <w:r w:rsidRPr="002D11BE">
        <w:rPr>
          <w:rFonts w:eastAsia="Times New Roman" w:cs="Calibri"/>
        </w:rPr>
        <w:t>izvješteno je Ministarstva zdravstva o sustavu upravljanja rizicima u HALMED-u.</w:t>
      </w:r>
    </w:p>
    <w:p w14:paraId="5D1C6D85" w14:textId="77777777" w:rsidR="007246EE" w:rsidRDefault="007246EE" w:rsidP="007246EE">
      <w:pPr>
        <w:rPr>
          <w:rFonts w:eastAsia="Times New Roman"/>
          <w:b/>
        </w:rPr>
      </w:pPr>
    </w:p>
    <w:p w14:paraId="26A25E29" w14:textId="77777777" w:rsidR="007246EE" w:rsidRPr="00E43EEF" w:rsidRDefault="007246EE" w:rsidP="007246EE">
      <w:pPr>
        <w:spacing w:after="240" w:line="276" w:lineRule="auto"/>
        <w:rPr>
          <w:rFonts w:eastAsia="Times New Roman"/>
          <w:b/>
        </w:rPr>
      </w:pPr>
      <w:r w:rsidRPr="00E43EEF">
        <w:rPr>
          <w:rFonts w:eastAsia="Times New Roman"/>
          <w:b/>
        </w:rPr>
        <w:t>H) SUSTAV UPRAVLJANJA KRIZNIM SITUACIJAMA</w:t>
      </w:r>
    </w:p>
    <w:p w14:paraId="3E031260" w14:textId="77777777" w:rsidR="007246EE" w:rsidRPr="00E43EEF" w:rsidRDefault="007246EE" w:rsidP="007246EE">
      <w:pPr>
        <w:keepNext/>
        <w:keepLines/>
        <w:spacing w:before="240" w:after="240" w:line="276" w:lineRule="auto"/>
        <w:outlineLvl w:val="2"/>
        <w:rPr>
          <w:rFonts w:eastAsia="Times New Roman" w:cs="Calibri"/>
        </w:rPr>
      </w:pPr>
      <w:bookmarkStart w:id="302" w:name="_Toc165035538"/>
      <w:bookmarkStart w:id="303" w:name="_Toc113438822"/>
      <w:bookmarkStart w:id="304" w:name="_Toc50540985"/>
      <w:bookmarkStart w:id="305" w:name="_Toc26534708"/>
      <w:r w:rsidRPr="00E43EEF">
        <w:rPr>
          <w:rFonts w:eastAsia="Times New Roman" w:cs="Calibri"/>
        </w:rPr>
        <w:t>U izvještajnom razdoblju nije bilo kriznih situacija.</w:t>
      </w:r>
      <w:bookmarkEnd w:id="302"/>
      <w:r w:rsidRPr="00E43EEF">
        <w:rPr>
          <w:rFonts w:eastAsia="Times New Roman" w:cs="Calibri"/>
        </w:rPr>
        <w:t xml:space="preserve"> </w:t>
      </w:r>
    </w:p>
    <w:p w14:paraId="16E4D1A8" w14:textId="77777777" w:rsidR="007246EE" w:rsidRPr="00E43EEF" w:rsidRDefault="007246EE" w:rsidP="007246EE">
      <w:pPr>
        <w:keepNext/>
        <w:keepLines/>
        <w:spacing w:before="240" w:after="240" w:line="276" w:lineRule="auto"/>
        <w:outlineLvl w:val="2"/>
        <w:rPr>
          <w:rFonts w:eastAsiaTheme="majorEastAsia" w:cstheme="minorHAnsi"/>
          <w:bCs/>
          <w:color w:val="5B9BD5" w:themeColor="accent1"/>
          <w:sz w:val="28"/>
          <w:szCs w:val="28"/>
        </w:rPr>
      </w:pPr>
      <w:bookmarkStart w:id="306" w:name="_Toc165035539"/>
      <w:r w:rsidRPr="00E43EEF">
        <w:rPr>
          <w:rFonts w:eastAsiaTheme="majorEastAsia" w:cstheme="minorHAnsi"/>
          <w:bCs/>
          <w:color w:val="5B9BD5" w:themeColor="accent1"/>
          <w:sz w:val="28"/>
          <w:szCs w:val="28"/>
        </w:rPr>
        <w:t>Europski i međunarodni poslovi</w:t>
      </w:r>
      <w:bookmarkEnd w:id="303"/>
      <w:bookmarkEnd w:id="304"/>
      <w:bookmarkEnd w:id="305"/>
      <w:bookmarkEnd w:id="306"/>
      <w:r w:rsidRPr="00E43EEF">
        <w:rPr>
          <w:rFonts w:eastAsiaTheme="majorEastAsia" w:cstheme="minorHAnsi"/>
          <w:bCs/>
          <w:color w:val="5B9BD5" w:themeColor="accent1"/>
          <w:sz w:val="28"/>
          <w:szCs w:val="28"/>
        </w:rPr>
        <w:t xml:space="preserve"> </w:t>
      </w:r>
    </w:p>
    <w:p w14:paraId="634BD945" w14:textId="77777777" w:rsidR="007246EE" w:rsidRPr="00FB252F" w:rsidRDefault="007246EE" w:rsidP="007246EE">
      <w:pPr>
        <w:spacing w:before="120" w:after="240" w:line="276" w:lineRule="auto"/>
        <w:jc w:val="both"/>
        <w:rPr>
          <w:lang w:val="it-IT"/>
        </w:rPr>
      </w:pPr>
      <w:r w:rsidRPr="00FB252F">
        <w:rPr>
          <w:b/>
          <w:bCs/>
          <w:lang w:val="it-IT"/>
        </w:rPr>
        <w:t>A) Tajništvo BEMA-e</w:t>
      </w:r>
    </w:p>
    <w:p w14:paraId="6FDB1197" w14:textId="77777777" w:rsidR="007246EE" w:rsidRPr="00FB252F" w:rsidRDefault="007246EE" w:rsidP="007246EE">
      <w:pPr>
        <w:spacing w:line="276" w:lineRule="auto"/>
        <w:jc w:val="both"/>
        <w:rPr>
          <w:lang w:val="it-IT"/>
        </w:rPr>
      </w:pPr>
      <w:r w:rsidRPr="00FB252F">
        <w:rPr>
          <w:lang w:val="it-IT"/>
        </w:rPr>
        <w:t xml:space="preserve">HALMED od 2015. godine vodi tajništvo BEMA-e. U sklopu vođenja poslova Tajništva Radne skupine za BEMA-u HALMED provodi organizaciju 5. ciklusa, što uključuje: </w:t>
      </w:r>
    </w:p>
    <w:p w14:paraId="423ED2C7" w14:textId="77777777" w:rsidR="007246EE" w:rsidRDefault="007246EE" w:rsidP="00AC375F">
      <w:pPr>
        <w:numPr>
          <w:ilvl w:val="0"/>
          <w:numId w:val="37"/>
        </w:numPr>
        <w:spacing w:before="200" w:after="200" w:line="276" w:lineRule="auto"/>
        <w:contextualSpacing/>
        <w:jc w:val="both"/>
        <w:rPr>
          <w:rFonts w:eastAsia="Times New Roman"/>
          <w:lang w:val="en-GB"/>
        </w:rPr>
      </w:pPr>
      <w:r>
        <w:rPr>
          <w:rFonts w:eastAsia="Times New Roman"/>
          <w:lang w:val="en-GB"/>
        </w:rPr>
        <w:t xml:space="preserve">organizaciju sastanaka Radne skupine za BEMA-u (BEMA </w:t>
      </w:r>
      <w:r>
        <w:rPr>
          <w:rFonts w:eastAsia="Times New Roman"/>
          <w:i/>
          <w:iCs/>
          <w:lang w:val="en-GB"/>
        </w:rPr>
        <w:t>Steering Group</w:t>
      </w:r>
      <w:r>
        <w:rPr>
          <w:rFonts w:eastAsia="Times New Roman"/>
          <w:lang w:val="en-GB"/>
        </w:rPr>
        <w:t xml:space="preserve">) te </w:t>
      </w:r>
    </w:p>
    <w:p w14:paraId="7F28FF1F" w14:textId="77777777" w:rsidR="007246EE" w:rsidRDefault="007246EE" w:rsidP="00AC375F">
      <w:pPr>
        <w:numPr>
          <w:ilvl w:val="0"/>
          <w:numId w:val="37"/>
        </w:numPr>
        <w:spacing w:before="200" w:after="200" w:line="276" w:lineRule="auto"/>
        <w:contextualSpacing/>
        <w:jc w:val="both"/>
        <w:rPr>
          <w:rFonts w:eastAsia="Times New Roman"/>
          <w:lang w:val="en-GB"/>
        </w:rPr>
      </w:pPr>
      <w:r>
        <w:rPr>
          <w:rFonts w:eastAsia="Times New Roman"/>
          <w:lang w:val="en-GB"/>
        </w:rPr>
        <w:t xml:space="preserve">pripremu pripadajućih materijala, revizija dokumenata koji se odnose na aktivnosti BEMA-e, </w:t>
      </w:r>
    </w:p>
    <w:p w14:paraId="62D03881" w14:textId="77777777" w:rsidR="007246EE" w:rsidRDefault="007246EE" w:rsidP="00AC375F">
      <w:pPr>
        <w:numPr>
          <w:ilvl w:val="0"/>
          <w:numId w:val="37"/>
        </w:numPr>
        <w:spacing w:before="200" w:after="200" w:line="276" w:lineRule="auto"/>
        <w:contextualSpacing/>
        <w:jc w:val="both"/>
        <w:rPr>
          <w:rFonts w:eastAsia="Times New Roman"/>
          <w:lang w:val="en-GB"/>
        </w:rPr>
      </w:pPr>
      <w:r>
        <w:rPr>
          <w:rFonts w:eastAsia="Times New Roman"/>
          <w:lang w:val="en-GB"/>
        </w:rPr>
        <w:t xml:space="preserve">izradu rasporeda BEMA posjeta agencijama, </w:t>
      </w:r>
    </w:p>
    <w:p w14:paraId="69148A99" w14:textId="77777777" w:rsidR="007246EE" w:rsidRDefault="007246EE" w:rsidP="00AC375F">
      <w:pPr>
        <w:numPr>
          <w:ilvl w:val="0"/>
          <w:numId w:val="37"/>
        </w:numPr>
        <w:spacing w:before="200" w:after="200" w:line="276" w:lineRule="auto"/>
        <w:contextualSpacing/>
        <w:jc w:val="both"/>
        <w:rPr>
          <w:rFonts w:eastAsia="Times New Roman"/>
          <w:lang w:val="en-GB"/>
        </w:rPr>
      </w:pPr>
      <w:r>
        <w:rPr>
          <w:rFonts w:eastAsia="Times New Roman"/>
          <w:lang w:val="en-GB"/>
        </w:rPr>
        <w:t xml:space="preserve">izradu prijedloga ocjeniteljskih timova, </w:t>
      </w:r>
    </w:p>
    <w:p w14:paraId="5415F256" w14:textId="77777777" w:rsidR="007246EE" w:rsidRPr="00FB252F" w:rsidRDefault="007246EE" w:rsidP="00AC375F">
      <w:pPr>
        <w:numPr>
          <w:ilvl w:val="0"/>
          <w:numId w:val="37"/>
        </w:numPr>
        <w:spacing w:before="200" w:after="200" w:line="276" w:lineRule="auto"/>
        <w:contextualSpacing/>
        <w:jc w:val="both"/>
        <w:rPr>
          <w:rFonts w:eastAsia="Times New Roman"/>
          <w:lang w:val="pt-PT"/>
        </w:rPr>
      </w:pPr>
      <w:r w:rsidRPr="00FB252F">
        <w:rPr>
          <w:rFonts w:eastAsia="Times New Roman"/>
          <w:lang w:val="pt-PT"/>
        </w:rPr>
        <w:t xml:space="preserve">komunikaciju s agencijama i ocjeniteljima, </w:t>
      </w:r>
    </w:p>
    <w:p w14:paraId="68FEB684" w14:textId="77777777" w:rsidR="007246EE" w:rsidRPr="00FB252F" w:rsidRDefault="007246EE" w:rsidP="00AC375F">
      <w:pPr>
        <w:numPr>
          <w:ilvl w:val="0"/>
          <w:numId w:val="37"/>
        </w:numPr>
        <w:spacing w:before="200" w:after="200" w:line="276" w:lineRule="auto"/>
        <w:contextualSpacing/>
        <w:jc w:val="both"/>
        <w:rPr>
          <w:rFonts w:eastAsia="Times New Roman"/>
          <w:lang w:val="pt-PT"/>
        </w:rPr>
      </w:pPr>
      <w:r w:rsidRPr="00FB252F">
        <w:rPr>
          <w:rFonts w:eastAsia="Times New Roman"/>
          <w:lang w:val="pt-PT"/>
        </w:rPr>
        <w:t xml:space="preserve">obradu i evaluaciju podataka prikupljenih tijekom BEMA posjeta te </w:t>
      </w:r>
    </w:p>
    <w:p w14:paraId="0EACC7AA" w14:textId="77777777" w:rsidR="007246EE" w:rsidRPr="00FB252F" w:rsidRDefault="007246EE" w:rsidP="00AC375F">
      <w:pPr>
        <w:numPr>
          <w:ilvl w:val="0"/>
          <w:numId w:val="37"/>
        </w:numPr>
        <w:spacing w:before="200" w:after="200" w:line="276" w:lineRule="auto"/>
        <w:contextualSpacing/>
        <w:jc w:val="both"/>
        <w:rPr>
          <w:rFonts w:eastAsia="Times New Roman"/>
          <w:lang w:val="pt-PT"/>
        </w:rPr>
      </w:pPr>
      <w:r w:rsidRPr="00FB252F">
        <w:rPr>
          <w:rFonts w:eastAsia="Times New Roman"/>
          <w:lang w:val="pt-PT"/>
        </w:rPr>
        <w:t xml:space="preserve">izradu izvješća o BEMA ciklusu, </w:t>
      </w:r>
    </w:p>
    <w:p w14:paraId="157472D7" w14:textId="77777777" w:rsidR="007246EE" w:rsidRPr="00FB252F" w:rsidRDefault="007246EE" w:rsidP="00AC375F">
      <w:pPr>
        <w:numPr>
          <w:ilvl w:val="0"/>
          <w:numId w:val="37"/>
        </w:numPr>
        <w:spacing w:before="200" w:after="200" w:line="276" w:lineRule="auto"/>
        <w:contextualSpacing/>
        <w:jc w:val="both"/>
        <w:rPr>
          <w:rFonts w:eastAsia="Times New Roman"/>
          <w:lang w:val="pt-PT"/>
        </w:rPr>
      </w:pPr>
      <w:r w:rsidRPr="00FB252F">
        <w:rPr>
          <w:rFonts w:eastAsia="Times New Roman"/>
          <w:lang w:val="pt-PT"/>
        </w:rPr>
        <w:t xml:space="preserve">izvještavanje HMA o provedenim aktivnostima te </w:t>
      </w:r>
    </w:p>
    <w:p w14:paraId="2F6670C8" w14:textId="77777777" w:rsidR="007246EE" w:rsidRDefault="007246EE" w:rsidP="00AC375F">
      <w:pPr>
        <w:numPr>
          <w:ilvl w:val="0"/>
          <w:numId w:val="37"/>
        </w:numPr>
        <w:spacing w:before="200" w:after="200" w:line="276" w:lineRule="auto"/>
        <w:contextualSpacing/>
        <w:jc w:val="both"/>
        <w:rPr>
          <w:rFonts w:eastAsia="Times New Roman"/>
          <w:lang w:val="en-GB"/>
        </w:rPr>
      </w:pPr>
      <w:r>
        <w:rPr>
          <w:rFonts w:eastAsia="Times New Roman"/>
          <w:lang w:val="en-GB"/>
        </w:rPr>
        <w:t>druge logističke aktivnosti.</w:t>
      </w:r>
    </w:p>
    <w:p w14:paraId="080177DC" w14:textId="77777777" w:rsidR="007246EE" w:rsidRDefault="007246EE" w:rsidP="007246EE">
      <w:pPr>
        <w:spacing w:line="276" w:lineRule="auto"/>
        <w:jc w:val="both"/>
        <w:rPr>
          <w:lang w:val="en-GB"/>
        </w:rPr>
      </w:pPr>
      <w:r>
        <w:rPr>
          <w:color w:val="000000"/>
          <w:lang w:val="en-GB"/>
        </w:rPr>
        <w:t xml:space="preserve">U izvještajnom razdoblju održana su </w:t>
      </w:r>
      <w:r>
        <w:rPr>
          <w:lang w:val="en-GB"/>
        </w:rPr>
        <w:t>4</w:t>
      </w:r>
      <w:r>
        <w:rPr>
          <w:color w:val="000000"/>
          <w:lang w:val="en-GB"/>
        </w:rPr>
        <w:t xml:space="preserve"> virtualna sastanka BEMA koordinacijske skupine u svrhu izvještavanja o napretku BEMA V ciklusa, provođenja organizacije BEMA treninga, kao i informacije o popunjavanju WHO upitnika vezanog uz WHO </w:t>
      </w:r>
      <w:r>
        <w:rPr>
          <w:i/>
          <w:iCs/>
          <w:lang w:val="en-GB"/>
        </w:rPr>
        <w:t>Listed Authorities</w:t>
      </w:r>
      <w:r>
        <w:rPr>
          <w:lang w:val="en-GB"/>
        </w:rPr>
        <w:t xml:space="preserve"> (WLA) proceduru. Također, na tu temu organizirana su dva </w:t>
      </w:r>
      <w:r>
        <w:rPr>
          <w:lang w:val="en-GB"/>
        </w:rPr>
        <w:lastRenderedPageBreak/>
        <w:t>zajednička sastanka predstavnika WHO i BEMA koordinacijske skupine na kojoj su raspravljeni načini udovoljavanja zahtjevima WHO koje trebaju provesti EU agencije da bi bile izlistane na WLA listi.</w:t>
      </w:r>
    </w:p>
    <w:p w14:paraId="3B5FE62C" w14:textId="77777777" w:rsidR="007246EE" w:rsidRDefault="007246EE" w:rsidP="007246EE">
      <w:pPr>
        <w:spacing w:line="276" w:lineRule="auto"/>
        <w:jc w:val="both"/>
        <w:rPr>
          <w:lang w:val="en-GB"/>
        </w:rPr>
      </w:pPr>
      <w:r>
        <w:rPr>
          <w:lang w:val="en-GB"/>
        </w:rPr>
        <w:t>BEMA tajništvo pripremilo je 4 prezentacije za potrebe WGQM-a. Nadalje, održane su mnogobrojne konzultacije na razini članova EK, EMA, HMA kako ravnatelja tako i ostalih stručnjaka iz područja, a u svrhu pripreme zajedničkog odgovora WHO-u.</w:t>
      </w:r>
    </w:p>
    <w:p w14:paraId="690E091D" w14:textId="77777777" w:rsidR="007246EE" w:rsidRDefault="007246EE" w:rsidP="007246EE">
      <w:pPr>
        <w:spacing w:line="276" w:lineRule="auto"/>
        <w:jc w:val="both"/>
        <w:rPr>
          <w:lang w:val="en-GB"/>
        </w:rPr>
      </w:pPr>
    </w:p>
    <w:p w14:paraId="5A808349" w14:textId="77777777" w:rsidR="007246EE" w:rsidRDefault="007246EE" w:rsidP="007246EE">
      <w:pPr>
        <w:spacing w:before="120" w:after="240" w:line="276" w:lineRule="auto"/>
        <w:jc w:val="both"/>
        <w:rPr>
          <w:b/>
          <w:bCs/>
          <w:lang w:val="en-GB"/>
        </w:rPr>
      </w:pPr>
      <w:r>
        <w:rPr>
          <w:b/>
          <w:bCs/>
          <w:lang w:val="en-GB"/>
        </w:rPr>
        <w:t>B) HMA: Radna skupina menadžera za kvalitetu</w:t>
      </w:r>
    </w:p>
    <w:p w14:paraId="3E4B3B33" w14:textId="77777777" w:rsidR="00A007AF" w:rsidRDefault="007246EE" w:rsidP="007246EE">
      <w:pPr>
        <w:spacing w:before="120" w:after="240" w:line="276" w:lineRule="auto"/>
        <w:jc w:val="both"/>
        <w:rPr>
          <w:lang w:val="en-GB"/>
        </w:rPr>
      </w:pPr>
      <w:r>
        <w:rPr>
          <w:lang w:val="en-GB"/>
        </w:rPr>
        <w:t xml:space="preserve">U izvještajnom razdoblju Voditelj ureda za upravljanje kakvoćom intenzivno je radio na izradi odgovora za </w:t>
      </w:r>
      <w:r>
        <w:rPr>
          <w:i/>
          <w:iCs/>
          <w:lang w:val="en-GB"/>
        </w:rPr>
        <w:t>Abridged Global Benchmarking Tool + Performance Evaluation</w:t>
      </w:r>
      <w:r>
        <w:rPr>
          <w:lang w:val="en-GB"/>
        </w:rPr>
        <w:t>, a u svrhu ostvarivanja statusa izlistanih tijela Svjetske zdravstvene organizacije (</w:t>
      </w:r>
      <w:r>
        <w:rPr>
          <w:i/>
          <w:iCs/>
          <w:lang w:val="en-GB"/>
        </w:rPr>
        <w:t>World Health Organisation Listed Authorities</w:t>
      </w:r>
      <w:r>
        <w:rPr>
          <w:lang w:val="en-GB"/>
        </w:rPr>
        <w:t xml:space="preserve">) i to za sve članice HMA-a (30 zemalja članica iz EU/EEA) koje je WHO prepoznao kao tzv. </w:t>
      </w:r>
      <w:r>
        <w:rPr>
          <w:i/>
          <w:iCs/>
          <w:lang w:val="en-GB"/>
        </w:rPr>
        <w:t>Single Entity</w:t>
      </w:r>
      <w:r>
        <w:rPr>
          <w:lang w:val="en-GB"/>
        </w:rPr>
        <w:t xml:space="preserve">. </w:t>
      </w:r>
    </w:p>
    <w:p w14:paraId="2B2FEBDE" w14:textId="63EAB5BF" w:rsidR="007246EE" w:rsidRDefault="007246EE" w:rsidP="007246EE">
      <w:pPr>
        <w:spacing w:before="120" w:after="240" w:line="276" w:lineRule="auto"/>
        <w:jc w:val="both"/>
        <w:rPr>
          <w:lang w:val="en-GB"/>
        </w:rPr>
      </w:pPr>
      <w:r>
        <w:rPr>
          <w:lang w:val="en-GB"/>
        </w:rPr>
        <w:t>Tom je prilikom HALMED izradio nacrt odgovora za cjelokupni upitnik za sve zemlje članice.</w:t>
      </w:r>
    </w:p>
    <w:p w14:paraId="687860B6" w14:textId="77777777" w:rsidR="007246EE" w:rsidRDefault="007246EE" w:rsidP="007246EE">
      <w:pPr>
        <w:spacing w:before="120" w:after="240" w:line="276" w:lineRule="auto"/>
        <w:jc w:val="both"/>
        <w:rPr>
          <w:lang w:val="en-GB"/>
        </w:rPr>
      </w:pPr>
      <w:r>
        <w:rPr>
          <w:lang w:val="en-GB"/>
        </w:rPr>
        <w:t>HMA-u je u veljači 2023. podnesen izvještaj o statusu organizacije BEMA V ciklusa.</w:t>
      </w:r>
    </w:p>
    <w:p w14:paraId="6D2327BE" w14:textId="77777777" w:rsidR="007246EE" w:rsidRDefault="007246EE" w:rsidP="007246EE">
      <w:pPr>
        <w:spacing w:before="120" w:after="240" w:line="276" w:lineRule="auto"/>
        <w:jc w:val="both"/>
        <w:rPr>
          <w:lang w:val="en-GB"/>
        </w:rPr>
      </w:pPr>
      <w:r>
        <w:rPr>
          <w:lang w:val="en-GB"/>
        </w:rPr>
        <w:t xml:space="preserve">Na sastancima Radne skupine u travnju te studenom pod predsjedanjem švedske Agencije, odnosno španjolske Agencije, prezentirane </w:t>
      </w:r>
      <w:r>
        <w:rPr>
          <w:color w:val="000000"/>
          <w:lang w:val="en-GB"/>
        </w:rPr>
        <w:t xml:space="preserve">su ukupno </w:t>
      </w:r>
      <w:r>
        <w:rPr>
          <w:lang w:val="en-GB"/>
        </w:rPr>
        <w:t xml:space="preserve">4 </w:t>
      </w:r>
      <w:r>
        <w:rPr>
          <w:color w:val="000000"/>
          <w:lang w:val="en-GB"/>
        </w:rPr>
        <w:t xml:space="preserve">prezentacije </w:t>
      </w:r>
      <w:r>
        <w:rPr>
          <w:lang w:val="en-GB"/>
        </w:rPr>
        <w:t xml:space="preserve">u svrhu izvještavanja o napretku BEMA V ciklusa, kao i o razvoju događaja oko WLA izlistavanja. </w:t>
      </w:r>
    </w:p>
    <w:p w14:paraId="78B88700" w14:textId="77777777" w:rsidR="007246EE" w:rsidRDefault="007246EE" w:rsidP="00F04CFA">
      <w:pPr>
        <w:jc w:val="both"/>
        <w:rPr>
          <w:lang w:val="en-GB"/>
        </w:rPr>
      </w:pPr>
      <w:r>
        <w:rPr>
          <w:lang w:val="en-GB"/>
        </w:rPr>
        <w:t>BEMA ocjenitelji HALMED-a proveli su 5 BEMA ocjena i to u ulozi:</w:t>
      </w:r>
    </w:p>
    <w:p w14:paraId="5A200941" w14:textId="77777777" w:rsidR="007246EE" w:rsidRDefault="007246EE" w:rsidP="00AC375F">
      <w:pPr>
        <w:numPr>
          <w:ilvl w:val="0"/>
          <w:numId w:val="43"/>
        </w:numPr>
        <w:spacing w:after="240" w:line="276" w:lineRule="auto"/>
        <w:contextualSpacing/>
        <w:jc w:val="both"/>
        <w:rPr>
          <w:lang w:val="en-GB"/>
        </w:rPr>
      </w:pPr>
      <w:r>
        <w:rPr>
          <w:lang w:val="en-GB"/>
        </w:rPr>
        <w:t>vodećeg ocjenitelja u francuskoj Agenciji za humane lijekove (ANSM), litvanskoj Agenciji za humane lijekove (VTTK), latvijskoj Agenciji za humane lijekove (ZVA) te latvijskoj Agenciji za veterinarske lijekove (PVD)</w:t>
      </w:r>
    </w:p>
    <w:p w14:paraId="1A0FDF01" w14:textId="77777777" w:rsidR="007246EE" w:rsidRDefault="007246EE" w:rsidP="00AC375F">
      <w:pPr>
        <w:numPr>
          <w:ilvl w:val="0"/>
          <w:numId w:val="43"/>
        </w:numPr>
        <w:spacing w:after="240" w:line="276" w:lineRule="auto"/>
        <w:contextualSpacing/>
        <w:jc w:val="both"/>
        <w:rPr>
          <w:lang w:val="en-GB"/>
        </w:rPr>
      </w:pPr>
      <w:r>
        <w:rPr>
          <w:lang w:val="en-GB"/>
        </w:rPr>
        <w:t>ocjenitelja u grčkoj Agenciji za humane i veterinarske lijekove (EOF)</w:t>
      </w:r>
    </w:p>
    <w:p w14:paraId="6DEADB6A" w14:textId="77777777" w:rsidR="007246EE" w:rsidRDefault="007246EE" w:rsidP="007246EE">
      <w:pPr>
        <w:rPr>
          <w:lang w:val="en-GB"/>
        </w:rPr>
      </w:pPr>
    </w:p>
    <w:p w14:paraId="65F0583C" w14:textId="77777777" w:rsidR="007246EE" w:rsidRPr="00E43EEF" w:rsidRDefault="007246EE" w:rsidP="007246EE">
      <w:pPr>
        <w:spacing w:before="120" w:after="240" w:line="276" w:lineRule="auto"/>
        <w:ind w:left="819"/>
        <w:contextualSpacing/>
        <w:jc w:val="both"/>
        <w:rPr>
          <w:rFonts w:eastAsiaTheme="minorEastAsia"/>
        </w:rPr>
      </w:pPr>
    </w:p>
    <w:p w14:paraId="5075D0D6" w14:textId="77777777" w:rsidR="007246EE" w:rsidRPr="00E43EEF" w:rsidRDefault="007246EE" w:rsidP="007246EE">
      <w:pPr>
        <w:spacing w:before="120" w:after="240" w:line="276" w:lineRule="auto"/>
        <w:jc w:val="both"/>
        <w:rPr>
          <w:b/>
          <w:bCs/>
        </w:rPr>
      </w:pPr>
      <w:r w:rsidRPr="00E43EEF">
        <w:rPr>
          <w:b/>
          <w:bCs/>
        </w:rPr>
        <w:t>C) Suradnja sa Svjetskom zdravstvenom organizacijom (WHO)</w:t>
      </w:r>
    </w:p>
    <w:p w14:paraId="52D96FD1" w14:textId="5C6B99E0" w:rsidR="007246EE" w:rsidRPr="00E43EEF" w:rsidRDefault="007246EE" w:rsidP="00F04CFA">
      <w:pPr>
        <w:spacing w:line="276" w:lineRule="auto"/>
        <w:jc w:val="both"/>
      </w:pPr>
      <w:r w:rsidRPr="00E43EEF">
        <w:t xml:space="preserve">U organizaciji WHO-a, zaposlenik HALMED-a sudjelovao je </w:t>
      </w:r>
      <w:r w:rsidR="00F04CFA">
        <w:t>:</w:t>
      </w:r>
    </w:p>
    <w:p w14:paraId="7AA3891A" w14:textId="77777777" w:rsidR="007246EE" w:rsidRPr="00140312" w:rsidRDefault="007246EE" w:rsidP="00AC375F">
      <w:pPr>
        <w:numPr>
          <w:ilvl w:val="0"/>
          <w:numId w:val="38"/>
        </w:numPr>
        <w:spacing w:line="276" w:lineRule="auto"/>
        <w:jc w:val="both"/>
      </w:pPr>
      <w:r w:rsidRPr="00140312">
        <w:t>u jednoj posjet</w:t>
      </w:r>
      <w:r>
        <w:t>i</w:t>
      </w:r>
      <w:r w:rsidRPr="00140312">
        <w:t xml:space="preserve"> nacionalnim regulatornim tijelima (NRA) zemalja članica WHO-a</w:t>
      </w:r>
      <w:r>
        <w:t xml:space="preserve"> (Malezija)</w:t>
      </w:r>
      <w:r w:rsidRPr="00140312">
        <w:t xml:space="preserve"> u svrhu provedbe procjene udovoljavanja zahtjevima WHO-a </w:t>
      </w:r>
      <w:r w:rsidRPr="00140312">
        <w:rPr>
          <w:i/>
          <w:iCs/>
        </w:rPr>
        <w:t xml:space="preserve">Global Benchmarking </w:t>
      </w:r>
      <w:r w:rsidRPr="00140312">
        <w:t>postupka</w:t>
      </w:r>
      <w:r w:rsidRPr="00140312">
        <w:rPr>
          <w:i/>
          <w:iCs/>
        </w:rPr>
        <w:t xml:space="preserve"> </w:t>
      </w:r>
      <w:r w:rsidRPr="00140312">
        <w:t>kao ocjenitelj;</w:t>
      </w:r>
    </w:p>
    <w:p w14:paraId="6ECFA507" w14:textId="445DE329" w:rsidR="007246EE" w:rsidRPr="00E43EEF" w:rsidRDefault="007246EE" w:rsidP="00AC375F">
      <w:pPr>
        <w:numPr>
          <w:ilvl w:val="0"/>
          <w:numId w:val="38"/>
        </w:numPr>
        <w:spacing w:line="276" w:lineRule="auto"/>
        <w:jc w:val="both"/>
      </w:pPr>
      <w:r w:rsidRPr="00E43EEF">
        <w:t xml:space="preserve">u </w:t>
      </w:r>
      <w:r w:rsidR="0072752D">
        <w:t>jednom</w:t>
      </w:r>
      <w:r w:rsidRPr="00E43EEF">
        <w:t xml:space="preserve"> treningu nacionalnih regulatornim tijela vezano uz sustav upravljanja kakvoćom kao trener (područje SEAR te WPR);  tom je prilikom predstavljao nabolje prakse koje su razvijene u HALMED-u kao primjer drugim tijelima </w:t>
      </w:r>
    </w:p>
    <w:p w14:paraId="2EFADDAD" w14:textId="6ED70D76" w:rsidR="007246EE" w:rsidRPr="00E43EEF" w:rsidRDefault="007246EE" w:rsidP="00AC375F">
      <w:pPr>
        <w:numPr>
          <w:ilvl w:val="0"/>
          <w:numId w:val="38"/>
        </w:numPr>
        <w:spacing w:line="276" w:lineRule="auto"/>
        <w:jc w:val="both"/>
      </w:pPr>
      <w:r w:rsidRPr="00E43EEF">
        <w:t xml:space="preserve">u </w:t>
      </w:r>
      <w:r w:rsidR="0072752D">
        <w:t>jednom</w:t>
      </w:r>
      <w:r w:rsidRPr="00E43EEF">
        <w:t xml:space="preserve"> treningu </w:t>
      </w:r>
      <w:r w:rsidRPr="00E43EEF">
        <w:rPr>
          <w:i/>
        </w:rPr>
        <w:t>Global Benchmarking</w:t>
      </w:r>
      <w:r w:rsidRPr="00E43EEF">
        <w:t xml:space="preserve">  (GBT) ocjenitelja WHO-a u svojstvu trenera, provedenom u Turskoj u travnju 2024;</w:t>
      </w:r>
    </w:p>
    <w:p w14:paraId="6917117C" w14:textId="77777777" w:rsidR="007246EE" w:rsidRPr="00E43EEF" w:rsidRDefault="007246EE" w:rsidP="00AC375F">
      <w:pPr>
        <w:numPr>
          <w:ilvl w:val="0"/>
          <w:numId w:val="38"/>
        </w:numPr>
        <w:spacing w:line="276" w:lineRule="auto"/>
        <w:jc w:val="both"/>
      </w:pPr>
      <w:r w:rsidRPr="00E43EEF">
        <w:t>u jednoj ocjeni kvalitete GBT samoprocjene koju je proveo jordanski FDA u sklopu svojih priprema za GBT WHO-a.</w:t>
      </w:r>
    </w:p>
    <w:p w14:paraId="3506A182" w14:textId="77777777" w:rsidR="007246EE" w:rsidRPr="00E43EEF" w:rsidRDefault="007246EE" w:rsidP="007246EE">
      <w:r w:rsidRPr="00E43EEF">
        <w:t xml:space="preserve"> </w:t>
      </w:r>
    </w:p>
    <w:p w14:paraId="5A6EBB70" w14:textId="77777777" w:rsidR="007246EE" w:rsidRPr="00FB252F" w:rsidRDefault="007246EE" w:rsidP="007246EE">
      <w:r w:rsidRPr="00FB252F">
        <w:t xml:space="preserve"> </w:t>
      </w:r>
    </w:p>
    <w:p w14:paraId="1D20F3DD" w14:textId="77777777" w:rsidR="00961D73" w:rsidRPr="000F3B33" w:rsidRDefault="00961D73" w:rsidP="00961D73">
      <w:pPr>
        <w:pStyle w:val="Heading2"/>
      </w:pPr>
      <w:bookmarkStart w:id="307" w:name="_Toc26534709"/>
      <w:bookmarkStart w:id="308" w:name="_Toc165035540"/>
      <w:r w:rsidRPr="000F3B33">
        <w:lastRenderedPageBreak/>
        <w:t>2.1</w:t>
      </w:r>
      <w:r>
        <w:t>3</w:t>
      </w:r>
      <w:r w:rsidRPr="000F3B33">
        <w:t>. Izvješće o IT sustavu</w:t>
      </w:r>
      <w:bookmarkEnd w:id="307"/>
      <w:bookmarkEnd w:id="308"/>
      <w:r w:rsidRPr="000F3B33">
        <w:t xml:space="preserve"> </w:t>
      </w:r>
    </w:p>
    <w:p w14:paraId="14381DC9" w14:textId="77777777" w:rsidR="00961D73" w:rsidRPr="00A06392" w:rsidRDefault="00961D73" w:rsidP="00961D73">
      <w:pPr>
        <w:spacing w:before="120" w:line="276" w:lineRule="auto"/>
        <w:jc w:val="both"/>
        <w:rPr>
          <w:rFonts w:eastAsia="Times New Roman" w:cstheme="minorHAnsi"/>
        </w:rPr>
      </w:pPr>
      <w:r>
        <w:rPr>
          <w:rFonts w:eastAsia="Times New Roman" w:cstheme="minorHAnsi"/>
        </w:rPr>
        <w:t xml:space="preserve">U 2023. godini </w:t>
      </w:r>
      <w:r w:rsidRPr="00A06392">
        <w:rPr>
          <w:rFonts w:eastAsia="Times New Roman" w:cstheme="minorHAnsi"/>
        </w:rPr>
        <w:t>nastav</w:t>
      </w:r>
      <w:r>
        <w:rPr>
          <w:rFonts w:eastAsia="Times New Roman" w:cstheme="minorHAnsi"/>
        </w:rPr>
        <w:t>ljeno je s razvojem</w:t>
      </w:r>
      <w:r w:rsidRPr="00A06392">
        <w:rPr>
          <w:rFonts w:eastAsia="Times New Roman" w:cstheme="minorHAnsi"/>
        </w:rPr>
        <w:t xml:space="preserve"> informatičke infrastrukture, nadogradnj</w:t>
      </w:r>
      <w:r>
        <w:rPr>
          <w:rFonts w:eastAsia="Times New Roman" w:cstheme="minorHAnsi"/>
        </w:rPr>
        <w:t>ama</w:t>
      </w:r>
      <w:r w:rsidRPr="00A06392">
        <w:rPr>
          <w:rFonts w:eastAsia="Times New Roman" w:cstheme="minorHAnsi"/>
        </w:rPr>
        <w:t xml:space="preserve"> postojećih</w:t>
      </w:r>
      <w:r>
        <w:rPr>
          <w:rFonts w:eastAsia="Times New Roman" w:cstheme="minorHAnsi"/>
        </w:rPr>
        <w:t xml:space="preserve"> i razvojem novih</w:t>
      </w:r>
      <w:r w:rsidRPr="00A06392">
        <w:rPr>
          <w:rFonts w:eastAsia="Times New Roman" w:cstheme="minorHAnsi"/>
        </w:rPr>
        <w:t xml:space="preserve"> </w:t>
      </w:r>
      <w:r>
        <w:rPr>
          <w:rFonts w:eastAsia="Times New Roman" w:cstheme="minorHAnsi"/>
        </w:rPr>
        <w:t>programskih</w:t>
      </w:r>
      <w:r w:rsidRPr="00A06392">
        <w:rPr>
          <w:rFonts w:eastAsia="Times New Roman" w:cstheme="minorHAnsi"/>
        </w:rPr>
        <w:t xml:space="preserve"> rješenja koja podržav</w:t>
      </w:r>
      <w:r>
        <w:rPr>
          <w:rFonts w:eastAsia="Times New Roman" w:cstheme="minorHAnsi"/>
        </w:rPr>
        <w:t>aju poslovne procese u Agenciji,</w:t>
      </w:r>
      <w:r w:rsidRPr="00A06392">
        <w:rPr>
          <w:rFonts w:eastAsia="Times New Roman" w:cstheme="minorHAnsi"/>
        </w:rPr>
        <w:t xml:space="preserve"> </w:t>
      </w:r>
      <w:r>
        <w:rPr>
          <w:rFonts w:eastAsia="Times New Roman" w:cstheme="minorHAnsi"/>
        </w:rPr>
        <w:t xml:space="preserve">kontinuiranim podizanjem stupnja kibernetičke sigurnosti te </w:t>
      </w:r>
      <w:r w:rsidRPr="00A06392">
        <w:rPr>
          <w:rFonts w:eastAsia="Times New Roman" w:cstheme="minorHAnsi"/>
        </w:rPr>
        <w:t>održavanje</w:t>
      </w:r>
      <w:r>
        <w:rPr>
          <w:rFonts w:eastAsia="Times New Roman" w:cstheme="minorHAnsi"/>
        </w:rPr>
        <w:t>m</w:t>
      </w:r>
      <w:r w:rsidRPr="00A06392">
        <w:rPr>
          <w:rFonts w:eastAsia="Times New Roman" w:cstheme="minorHAnsi"/>
        </w:rPr>
        <w:t xml:space="preserve"> stabilnog</w:t>
      </w:r>
      <w:r>
        <w:rPr>
          <w:rFonts w:eastAsia="Times New Roman" w:cstheme="minorHAnsi"/>
        </w:rPr>
        <w:t xml:space="preserve"> rada informatičkog</w:t>
      </w:r>
      <w:r w:rsidRPr="00A06392">
        <w:rPr>
          <w:rFonts w:eastAsia="Times New Roman" w:cstheme="minorHAnsi"/>
        </w:rPr>
        <w:t xml:space="preserve"> sustava u cjelini.</w:t>
      </w:r>
    </w:p>
    <w:p w14:paraId="47DB70DA" w14:textId="77777777" w:rsidR="00961D73" w:rsidRPr="00A06392" w:rsidRDefault="00961D73" w:rsidP="00961D73">
      <w:pPr>
        <w:spacing w:line="276" w:lineRule="auto"/>
        <w:jc w:val="both"/>
        <w:rPr>
          <w:rFonts w:eastAsia="Times New Roman" w:cstheme="minorHAnsi"/>
        </w:rPr>
      </w:pPr>
    </w:p>
    <w:p w14:paraId="488523F3" w14:textId="77777777" w:rsidR="00961D73" w:rsidRPr="007F25A9" w:rsidRDefault="00961D73" w:rsidP="00961D73">
      <w:pPr>
        <w:spacing w:after="240" w:line="276" w:lineRule="auto"/>
        <w:jc w:val="both"/>
        <w:rPr>
          <w:rFonts w:eastAsia="Times New Roman" w:cstheme="minorHAnsi"/>
          <w:b/>
        </w:rPr>
      </w:pPr>
      <w:r w:rsidRPr="007F25A9">
        <w:rPr>
          <w:rFonts w:eastAsia="Times New Roman" w:cstheme="minorHAnsi"/>
          <w:b/>
        </w:rPr>
        <w:t>A) INFORMATIČKA INFRASTRUKTURA</w:t>
      </w:r>
    </w:p>
    <w:p w14:paraId="36C1096E" w14:textId="77777777" w:rsidR="00961D73" w:rsidRDefault="00961D73" w:rsidP="00961D73">
      <w:pPr>
        <w:spacing w:before="120" w:line="276" w:lineRule="auto"/>
        <w:jc w:val="both"/>
        <w:rPr>
          <w:rFonts w:eastAsia="Times New Roman" w:cstheme="minorHAnsi"/>
        </w:rPr>
      </w:pPr>
      <w:r w:rsidRPr="00A06392">
        <w:rPr>
          <w:rFonts w:eastAsia="Times New Roman" w:cstheme="minorHAnsi"/>
        </w:rPr>
        <w:t xml:space="preserve">Provedeni su postupci nabave i sklopljeni ugovori o održavanju informatičke infrastrukture, prateće opreme i licenci. </w:t>
      </w:r>
      <w:r>
        <w:rPr>
          <w:rFonts w:eastAsia="Times New Roman" w:cstheme="minorHAnsi"/>
        </w:rPr>
        <w:t xml:space="preserve">Provedena je javna nabava za proširenje kapaciteta </w:t>
      </w:r>
      <w:r w:rsidRPr="003B5228">
        <w:rPr>
          <w:rFonts w:eastAsia="Times New Roman" w:cstheme="minorHAnsi"/>
        </w:rPr>
        <w:t xml:space="preserve">diskovnog sustava </w:t>
      </w:r>
      <w:r>
        <w:rPr>
          <w:rFonts w:eastAsia="Times New Roman" w:cstheme="minorHAnsi"/>
        </w:rPr>
        <w:t xml:space="preserve">radi stalnog porasta obima izvorno digitalne i digitalizirane dokumentacije i potrebe obrade i arhiviranja isitih.  Provedene su dvije javne nabave </w:t>
      </w:r>
      <w:r w:rsidRPr="00A06392">
        <w:rPr>
          <w:rFonts w:eastAsia="Times New Roman" w:cstheme="minorHAnsi"/>
        </w:rPr>
        <w:t>za informatičk</w:t>
      </w:r>
      <w:r>
        <w:rPr>
          <w:rFonts w:eastAsia="Times New Roman" w:cstheme="minorHAnsi"/>
        </w:rPr>
        <w:t>u</w:t>
      </w:r>
      <w:r w:rsidRPr="00A06392">
        <w:rPr>
          <w:rFonts w:eastAsia="Times New Roman" w:cstheme="minorHAnsi"/>
        </w:rPr>
        <w:t xml:space="preserve"> opremu za zaposlenike </w:t>
      </w:r>
      <w:r>
        <w:rPr>
          <w:rFonts w:eastAsia="Times New Roman" w:cstheme="minorHAnsi"/>
        </w:rPr>
        <w:t>(</w:t>
      </w:r>
      <w:r w:rsidRPr="00A06392">
        <w:rPr>
          <w:rFonts w:eastAsia="Times New Roman" w:cstheme="minorHAnsi"/>
        </w:rPr>
        <w:t>prijenosna računala</w:t>
      </w:r>
      <w:r>
        <w:rPr>
          <w:rFonts w:eastAsia="Times New Roman" w:cstheme="minorHAnsi"/>
        </w:rPr>
        <w:t xml:space="preserve"> </w:t>
      </w:r>
      <w:r w:rsidRPr="00A06392">
        <w:rPr>
          <w:rFonts w:eastAsia="Times New Roman" w:cstheme="minorHAnsi"/>
        </w:rPr>
        <w:t>i monitori</w:t>
      </w:r>
      <w:r>
        <w:rPr>
          <w:rFonts w:eastAsia="Times New Roman" w:cstheme="minorHAnsi"/>
        </w:rPr>
        <w:t xml:space="preserve">) </w:t>
      </w:r>
      <w:r w:rsidRPr="00A06392">
        <w:rPr>
          <w:rFonts w:eastAsia="Times New Roman" w:cstheme="minorHAnsi"/>
        </w:rPr>
        <w:t xml:space="preserve">u cilju </w:t>
      </w:r>
      <w:r>
        <w:rPr>
          <w:rFonts w:eastAsia="Times New Roman" w:cstheme="minorHAnsi"/>
        </w:rPr>
        <w:t xml:space="preserve">proširenja kapaciteta ili </w:t>
      </w:r>
      <w:r w:rsidRPr="00A06392">
        <w:rPr>
          <w:rFonts w:eastAsia="Times New Roman" w:cstheme="minorHAnsi"/>
        </w:rPr>
        <w:t>zanavlja</w:t>
      </w:r>
      <w:r>
        <w:rPr>
          <w:rFonts w:eastAsia="Times New Roman" w:cstheme="minorHAnsi"/>
        </w:rPr>
        <w:t xml:space="preserve">nja postojeće dotrajale opreme. Instalirana je i konfigurirana nova biblioteka traka, obzirom da je postojeća dotrajala i više nije zadovoljavala potrebe Agencije. </w:t>
      </w:r>
    </w:p>
    <w:p w14:paraId="269386DF" w14:textId="77777777" w:rsidR="00961D73" w:rsidRDefault="00961D73" w:rsidP="00961D73">
      <w:pPr>
        <w:spacing w:before="120" w:line="276" w:lineRule="auto"/>
        <w:jc w:val="both"/>
        <w:rPr>
          <w:rFonts w:eastAsia="Times New Roman" w:cstheme="minorHAnsi"/>
        </w:rPr>
      </w:pPr>
      <w:r w:rsidRPr="00A06392">
        <w:rPr>
          <w:rFonts w:eastAsia="Times New Roman" w:cstheme="minorHAnsi"/>
        </w:rPr>
        <w:t>Sustavi na primarnoj i sekundarnoj lokaciji redovito su održavani i kontrolirani</w:t>
      </w:r>
      <w:r>
        <w:rPr>
          <w:rFonts w:eastAsia="Times New Roman" w:cstheme="minorHAnsi"/>
        </w:rPr>
        <w:t xml:space="preserve">. </w:t>
      </w:r>
      <w:r w:rsidRPr="00A06392">
        <w:rPr>
          <w:rFonts w:eastAsia="Times New Roman" w:cstheme="minorHAnsi"/>
        </w:rPr>
        <w:t xml:space="preserve">Pružana je podrška u radu s informatičkim sustavima svim korisnicima </w:t>
      </w:r>
      <w:r>
        <w:rPr>
          <w:rFonts w:eastAsia="Times New Roman" w:cstheme="minorHAnsi"/>
        </w:rPr>
        <w:t>Agencije</w:t>
      </w:r>
      <w:r w:rsidRPr="00A06392">
        <w:rPr>
          <w:rFonts w:eastAsia="Times New Roman" w:cstheme="minorHAnsi"/>
        </w:rPr>
        <w:t xml:space="preserve"> i vanjskim korisnicima</w:t>
      </w:r>
      <w:r>
        <w:rPr>
          <w:rFonts w:eastAsia="Times New Roman" w:cstheme="minorHAnsi"/>
        </w:rPr>
        <w:t xml:space="preserve"> agencijskih programskih rješenja</w:t>
      </w:r>
      <w:r w:rsidRPr="00A06392">
        <w:rPr>
          <w:rFonts w:eastAsia="Times New Roman" w:cstheme="minorHAnsi"/>
        </w:rPr>
        <w:t xml:space="preserve">. </w:t>
      </w:r>
    </w:p>
    <w:p w14:paraId="04A9DE8D" w14:textId="77777777" w:rsidR="00961D73" w:rsidRPr="00A06392" w:rsidRDefault="00961D73" w:rsidP="00961D73">
      <w:pPr>
        <w:spacing w:line="276" w:lineRule="auto"/>
        <w:jc w:val="both"/>
        <w:rPr>
          <w:rFonts w:eastAsia="Times New Roman" w:cstheme="minorHAnsi"/>
        </w:rPr>
      </w:pPr>
    </w:p>
    <w:p w14:paraId="03CB69EB" w14:textId="77777777" w:rsidR="00961D73" w:rsidRPr="007F25A9" w:rsidRDefault="00961D73" w:rsidP="00961D73">
      <w:pPr>
        <w:spacing w:after="240" w:line="276" w:lineRule="auto"/>
        <w:jc w:val="both"/>
        <w:rPr>
          <w:rFonts w:eastAsia="Times New Roman" w:cstheme="minorHAnsi"/>
          <w:b/>
        </w:rPr>
      </w:pPr>
      <w:r w:rsidRPr="007F25A9">
        <w:rPr>
          <w:rFonts w:eastAsia="Times New Roman" w:cstheme="minorHAnsi"/>
          <w:b/>
        </w:rPr>
        <w:t xml:space="preserve">B) RAZVOJ I NADOGRADNJA PROGRAMSKIH RJEŠENJA </w:t>
      </w:r>
    </w:p>
    <w:p w14:paraId="2DAB13AB" w14:textId="4B8110ED" w:rsidR="00961D73" w:rsidRDefault="00961D73" w:rsidP="00961D73">
      <w:pPr>
        <w:spacing w:line="276" w:lineRule="auto"/>
        <w:jc w:val="both"/>
        <w:rPr>
          <w:rFonts w:eastAsia="Times New Roman" w:cstheme="minorHAnsi"/>
        </w:rPr>
      </w:pPr>
      <w:r>
        <w:rPr>
          <w:rFonts w:eastAsia="Times New Roman" w:cstheme="minorHAnsi"/>
        </w:rPr>
        <w:t>R</w:t>
      </w:r>
      <w:r w:rsidRPr="00A06392">
        <w:rPr>
          <w:rFonts w:eastAsia="Times New Roman" w:cstheme="minorHAnsi"/>
        </w:rPr>
        <w:t>edovito su se provodili postupci nabava i sklapa</w:t>
      </w:r>
      <w:r>
        <w:rPr>
          <w:rFonts w:eastAsia="Times New Roman" w:cstheme="minorHAnsi"/>
        </w:rPr>
        <w:t>li</w:t>
      </w:r>
      <w:r w:rsidRPr="00A06392">
        <w:rPr>
          <w:rFonts w:eastAsia="Times New Roman" w:cstheme="minorHAnsi"/>
        </w:rPr>
        <w:t xml:space="preserve"> ugovor</w:t>
      </w:r>
      <w:r>
        <w:rPr>
          <w:rFonts w:eastAsia="Times New Roman" w:cstheme="minorHAnsi"/>
        </w:rPr>
        <w:t>i</w:t>
      </w:r>
      <w:r w:rsidRPr="00A06392">
        <w:rPr>
          <w:rFonts w:eastAsia="Times New Roman" w:cstheme="minorHAnsi"/>
        </w:rPr>
        <w:t xml:space="preserve"> o održavanju svih </w:t>
      </w:r>
      <w:r>
        <w:rPr>
          <w:rFonts w:eastAsia="Times New Roman" w:cstheme="minorHAnsi"/>
        </w:rPr>
        <w:t>programskih rješenja</w:t>
      </w:r>
      <w:r w:rsidRPr="00A06392">
        <w:rPr>
          <w:rFonts w:eastAsia="Times New Roman" w:cstheme="minorHAnsi"/>
        </w:rPr>
        <w:t xml:space="preserve"> kako bi se osigurao njihov stabilan i neometani rad. </w:t>
      </w:r>
      <w:r>
        <w:rPr>
          <w:rFonts w:eastAsia="Times New Roman" w:cstheme="minorHAnsi"/>
        </w:rPr>
        <w:t>U 2023. godini s</w:t>
      </w:r>
      <w:r w:rsidRPr="00A06392">
        <w:rPr>
          <w:rFonts w:eastAsia="Times New Roman" w:cstheme="minorHAnsi"/>
        </w:rPr>
        <w:t>v</w:t>
      </w:r>
      <w:r>
        <w:rPr>
          <w:rFonts w:eastAsia="Times New Roman" w:cstheme="minorHAnsi"/>
        </w:rPr>
        <w:t xml:space="preserve">a programska rješenja </w:t>
      </w:r>
      <w:r w:rsidRPr="00A06392">
        <w:rPr>
          <w:rFonts w:eastAsia="Times New Roman" w:cstheme="minorHAnsi"/>
        </w:rPr>
        <w:t>radil</w:t>
      </w:r>
      <w:r>
        <w:rPr>
          <w:rFonts w:eastAsia="Times New Roman" w:cstheme="minorHAnsi"/>
        </w:rPr>
        <w:t>a</w:t>
      </w:r>
      <w:r w:rsidRPr="00A06392">
        <w:rPr>
          <w:rFonts w:eastAsia="Times New Roman" w:cstheme="minorHAnsi"/>
        </w:rPr>
        <w:t xml:space="preserve"> su stabilno i bez kritičnih zastoja.</w:t>
      </w:r>
      <w:r>
        <w:rPr>
          <w:rFonts w:eastAsia="Times New Roman" w:cstheme="minorHAnsi"/>
        </w:rPr>
        <w:t xml:space="preserve"> Provedeni su postupci javne nabave za nadogradnju i održavanje </w:t>
      </w:r>
      <w:r w:rsidRPr="00984941">
        <w:rPr>
          <w:rFonts w:eastAsia="Times New Roman" w:cstheme="minorHAnsi"/>
        </w:rPr>
        <w:t>financijsko</w:t>
      </w:r>
      <w:r>
        <w:rPr>
          <w:rFonts w:eastAsia="Times New Roman" w:cstheme="minorHAnsi"/>
        </w:rPr>
        <w:t>-</w:t>
      </w:r>
      <w:r w:rsidRPr="00984941">
        <w:rPr>
          <w:rFonts w:eastAsia="Times New Roman" w:cstheme="minorHAnsi"/>
        </w:rPr>
        <w:t>računovodstvenog programa (ERP)</w:t>
      </w:r>
      <w:r>
        <w:rPr>
          <w:rFonts w:eastAsia="Times New Roman" w:cstheme="minorHAnsi"/>
        </w:rPr>
        <w:t xml:space="preserve">, sustava </w:t>
      </w:r>
      <w:r w:rsidRPr="00984941">
        <w:rPr>
          <w:rFonts w:eastAsia="Times New Roman" w:cstheme="minorHAnsi"/>
        </w:rPr>
        <w:t>za poslove Odjel</w:t>
      </w:r>
      <w:r>
        <w:rPr>
          <w:rFonts w:eastAsia="Times New Roman" w:cstheme="minorHAnsi"/>
        </w:rPr>
        <w:t>a</w:t>
      </w:r>
      <w:r w:rsidRPr="00984941">
        <w:rPr>
          <w:rFonts w:eastAsia="Times New Roman" w:cstheme="minorHAnsi"/>
        </w:rPr>
        <w:t xml:space="preserve"> za sigurnu primjenu lijekova i medicinskih proizvoda (OLIMP)</w:t>
      </w:r>
      <w:r>
        <w:rPr>
          <w:rFonts w:eastAsia="Times New Roman" w:cstheme="minorHAnsi"/>
        </w:rPr>
        <w:t xml:space="preserve">, sustava za izračun najviše dozvoljene cijene lijeka (ICL), sustava </w:t>
      </w:r>
      <w:r w:rsidRPr="00984941">
        <w:rPr>
          <w:rFonts w:eastAsia="Times New Roman" w:cstheme="minorHAnsi"/>
        </w:rPr>
        <w:t>za upravljanje predmetima (Centrix i Pismohrana)</w:t>
      </w:r>
      <w:r>
        <w:rPr>
          <w:rFonts w:eastAsia="Times New Roman" w:cstheme="minorHAnsi"/>
        </w:rPr>
        <w:t xml:space="preserve">, </w:t>
      </w:r>
      <w:r w:rsidRPr="003200AD">
        <w:rPr>
          <w:rFonts w:eastAsia="Times New Roman" w:cstheme="minorHAnsi"/>
        </w:rPr>
        <w:t>sustava za on-line prijavu sumnji na nuspojave za zdravstvene djelatnike (OPeN)</w:t>
      </w:r>
      <w:r>
        <w:rPr>
          <w:rFonts w:eastAsia="Times New Roman" w:cstheme="minorHAnsi"/>
        </w:rPr>
        <w:t xml:space="preserve">, </w:t>
      </w:r>
      <w:r w:rsidRPr="00483097">
        <w:rPr>
          <w:rFonts w:eastAsia="Times New Roman" w:cstheme="minorHAnsi"/>
        </w:rPr>
        <w:t>Digitalnog arhivskog  informacijskog sustava (DAIS</w:t>
      </w:r>
      <w:r w:rsidRPr="00772B9C">
        <w:rPr>
          <w:sz w:val="18"/>
          <w:szCs w:val="18"/>
        </w:rPr>
        <w:t>)</w:t>
      </w:r>
      <w:r>
        <w:rPr>
          <w:rFonts w:eastAsia="Times New Roman" w:cstheme="minorHAnsi"/>
        </w:rPr>
        <w:t xml:space="preserve"> i </w:t>
      </w:r>
      <w:r w:rsidRPr="003200AD">
        <w:rPr>
          <w:rFonts w:eastAsia="Times New Roman" w:cstheme="minorHAnsi"/>
        </w:rPr>
        <w:t>sustava HeAL (HALMED aplikacije za lijekove)</w:t>
      </w:r>
      <w:r>
        <w:rPr>
          <w:rFonts w:eastAsia="Times New Roman" w:cstheme="minorHAnsi"/>
        </w:rPr>
        <w:t xml:space="preserve"> kojeg čine </w:t>
      </w:r>
      <w:r w:rsidRPr="003200AD">
        <w:rPr>
          <w:rFonts w:eastAsia="Times New Roman" w:cstheme="minorHAnsi"/>
        </w:rPr>
        <w:t xml:space="preserve"> Nacionalni registar lijekova (NRL), Provjera kakvoće lijeka (PKL) i Farmakovigilancijski postupci (PhV)</w:t>
      </w:r>
      <w:r>
        <w:rPr>
          <w:rFonts w:eastAsia="Times New Roman" w:cstheme="minorHAnsi"/>
        </w:rPr>
        <w:t xml:space="preserve">. </w:t>
      </w:r>
    </w:p>
    <w:p w14:paraId="317331AF" w14:textId="77777777" w:rsidR="004746DC" w:rsidRDefault="004746DC" w:rsidP="00961D73">
      <w:pPr>
        <w:spacing w:line="276" w:lineRule="auto"/>
        <w:jc w:val="both"/>
        <w:rPr>
          <w:rFonts w:eastAsia="Times New Roman" w:cstheme="minorHAnsi"/>
        </w:rPr>
      </w:pPr>
    </w:p>
    <w:p w14:paraId="171E62E9" w14:textId="77777777" w:rsidR="00961D73" w:rsidRPr="00A06392" w:rsidRDefault="00961D73" w:rsidP="00961D73">
      <w:pPr>
        <w:spacing w:after="240" w:line="276" w:lineRule="auto"/>
        <w:jc w:val="both"/>
        <w:rPr>
          <w:rFonts w:eastAsia="Times New Roman" w:cstheme="minorHAnsi"/>
        </w:rPr>
      </w:pPr>
      <w:r>
        <w:rPr>
          <w:rFonts w:eastAsia="Times New Roman" w:cstheme="minorHAnsi"/>
        </w:rPr>
        <w:t xml:space="preserve">U 2023. godini realizirano je slijedeće: </w:t>
      </w:r>
    </w:p>
    <w:tbl>
      <w:tblPr>
        <w:tblStyle w:val="TableGrid"/>
        <w:tblW w:w="0" w:type="auto"/>
        <w:tblInd w:w="137" w:type="dxa"/>
        <w:tblLook w:val="04A0" w:firstRow="1" w:lastRow="0" w:firstColumn="1" w:lastColumn="0" w:noHBand="0" w:noVBand="1"/>
      </w:tblPr>
      <w:tblGrid>
        <w:gridCol w:w="2289"/>
        <w:gridCol w:w="6641"/>
      </w:tblGrid>
      <w:tr w:rsidR="00961D73" w:rsidRPr="00772B9C" w14:paraId="4E0775AD" w14:textId="77777777" w:rsidTr="00BA499D">
        <w:tc>
          <w:tcPr>
            <w:tcW w:w="2289" w:type="dxa"/>
            <w:shd w:val="clear" w:color="auto" w:fill="A3E7FF"/>
            <w:vAlign w:val="center"/>
          </w:tcPr>
          <w:p w14:paraId="03C54BAE" w14:textId="77777777" w:rsidR="00961D73" w:rsidRPr="00772B9C" w:rsidRDefault="00961D73" w:rsidP="00BA499D">
            <w:pPr>
              <w:rPr>
                <w:sz w:val="18"/>
                <w:szCs w:val="18"/>
              </w:rPr>
            </w:pPr>
            <w:r w:rsidRPr="00772B9C">
              <w:rPr>
                <w:sz w:val="18"/>
                <w:szCs w:val="18"/>
              </w:rPr>
              <w:t xml:space="preserve">Naziv : </w:t>
            </w:r>
          </w:p>
        </w:tc>
        <w:tc>
          <w:tcPr>
            <w:tcW w:w="6641" w:type="dxa"/>
            <w:shd w:val="clear" w:color="auto" w:fill="A3E7FF"/>
            <w:vAlign w:val="center"/>
          </w:tcPr>
          <w:p w14:paraId="42F50D2E" w14:textId="77777777" w:rsidR="00961D73" w:rsidRPr="00772B9C" w:rsidRDefault="00961D73" w:rsidP="00BA499D">
            <w:pPr>
              <w:rPr>
                <w:sz w:val="18"/>
                <w:szCs w:val="18"/>
              </w:rPr>
            </w:pPr>
            <w:r w:rsidRPr="00772B9C">
              <w:rPr>
                <w:sz w:val="18"/>
                <w:szCs w:val="18"/>
              </w:rPr>
              <w:t xml:space="preserve">Nadogradnja sustava za on-line prijavu sumnji na nuspojave za zdravstvene </w:t>
            </w:r>
            <w:r>
              <w:rPr>
                <w:sz w:val="18"/>
                <w:szCs w:val="18"/>
              </w:rPr>
              <w:t>djelatnike</w:t>
            </w:r>
            <w:r w:rsidRPr="00772B9C">
              <w:rPr>
                <w:sz w:val="18"/>
                <w:szCs w:val="18"/>
              </w:rPr>
              <w:t xml:space="preserve"> (OPeN) </w:t>
            </w:r>
          </w:p>
        </w:tc>
      </w:tr>
      <w:tr w:rsidR="00961D73" w:rsidRPr="00772B9C" w14:paraId="047BE44A" w14:textId="77777777" w:rsidTr="00BA499D">
        <w:tc>
          <w:tcPr>
            <w:tcW w:w="2289" w:type="dxa"/>
            <w:vAlign w:val="center"/>
          </w:tcPr>
          <w:p w14:paraId="0F3A5122" w14:textId="77777777" w:rsidR="00961D73" w:rsidRPr="00772B9C" w:rsidRDefault="00961D73" w:rsidP="00BA499D">
            <w:pPr>
              <w:rPr>
                <w:sz w:val="18"/>
                <w:szCs w:val="18"/>
              </w:rPr>
            </w:pPr>
            <w:r w:rsidRPr="00772B9C">
              <w:rPr>
                <w:sz w:val="18"/>
                <w:szCs w:val="18"/>
              </w:rPr>
              <w:t xml:space="preserve">Vlasnik projekta: </w:t>
            </w:r>
          </w:p>
        </w:tc>
        <w:tc>
          <w:tcPr>
            <w:tcW w:w="6641" w:type="dxa"/>
            <w:vAlign w:val="center"/>
          </w:tcPr>
          <w:p w14:paraId="4B472C50" w14:textId="77777777" w:rsidR="00961D73" w:rsidRPr="00772B9C" w:rsidRDefault="00961D73" w:rsidP="00BA499D">
            <w:pPr>
              <w:rPr>
                <w:sz w:val="18"/>
                <w:szCs w:val="18"/>
              </w:rPr>
            </w:pPr>
            <w:r w:rsidRPr="00772B9C">
              <w:rPr>
                <w:sz w:val="18"/>
                <w:szCs w:val="18"/>
              </w:rPr>
              <w:t xml:space="preserve">Odsjek za farmakovigilanciju i racionalnu farmakoterapiju </w:t>
            </w:r>
          </w:p>
        </w:tc>
      </w:tr>
      <w:tr w:rsidR="00961D73" w:rsidRPr="00772B9C" w14:paraId="4EEA8127" w14:textId="77777777" w:rsidTr="00BA499D">
        <w:tc>
          <w:tcPr>
            <w:tcW w:w="2289" w:type="dxa"/>
            <w:vAlign w:val="center"/>
          </w:tcPr>
          <w:p w14:paraId="1FF19B97" w14:textId="77777777" w:rsidR="00961D73" w:rsidRPr="00772B9C" w:rsidRDefault="00961D73" w:rsidP="00BA499D">
            <w:pPr>
              <w:rPr>
                <w:sz w:val="18"/>
                <w:szCs w:val="18"/>
              </w:rPr>
            </w:pPr>
            <w:r w:rsidRPr="00772B9C">
              <w:rPr>
                <w:sz w:val="18"/>
                <w:szCs w:val="18"/>
              </w:rPr>
              <w:t>Vrijeme realizacije</w:t>
            </w:r>
            <w:r>
              <w:rPr>
                <w:sz w:val="18"/>
                <w:szCs w:val="18"/>
              </w:rPr>
              <w:t xml:space="preserve"> tekućeg projekta</w:t>
            </w:r>
            <w:r w:rsidRPr="00772B9C">
              <w:rPr>
                <w:sz w:val="18"/>
                <w:szCs w:val="18"/>
              </w:rPr>
              <w:t xml:space="preserve">: </w:t>
            </w:r>
          </w:p>
        </w:tc>
        <w:tc>
          <w:tcPr>
            <w:tcW w:w="6641" w:type="dxa"/>
            <w:vAlign w:val="center"/>
          </w:tcPr>
          <w:p w14:paraId="12EAA5E2" w14:textId="77777777" w:rsidR="00961D73" w:rsidRPr="00772B9C" w:rsidRDefault="00961D73" w:rsidP="00BA499D">
            <w:pPr>
              <w:rPr>
                <w:sz w:val="18"/>
                <w:szCs w:val="18"/>
              </w:rPr>
            </w:pPr>
            <w:r w:rsidRPr="00772B9C">
              <w:rPr>
                <w:sz w:val="18"/>
                <w:szCs w:val="18"/>
              </w:rPr>
              <w:t>7.202</w:t>
            </w:r>
            <w:r>
              <w:rPr>
                <w:sz w:val="18"/>
                <w:szCs w:val="18"/>
              </w:rPr>
              <w:t>3</w:t>
            </w:r>
            <w:r w:rsidRPr="00772B9C">
              <w:rPr>
                <w:sz w:val="18"/>
                <w:szCs w:val="18"/>
              </w:rPr>
              <w:t>. – 7.202</w:t>
            </w:r>
            <w:r>
              <w:rPr>
                <w:sz w:val="18"/>
                <w:szCs w:val="18"/>
              </w:rPr>
              <w:t>4</w:t>
            </w:r>
            <w:r w:rsidRPr="00772B9C">
              <w:rPr>
                <w:sz w:val="18"/>
                <w:szCs w:val="18"/>
              </w:rPr>
              <w:t>.</w:t>
            </w:r>
          </w:p>
        </w:tc>
      </w:tr>
      <w:tr w:rsidR="00961D73" w:rsidRPr="00772B9C" w14:paraId="681774A3" w14:textId="77777777" w:rsidTr="00BA499D">
        <w:tc>
          <w:tcPr>
            <w:tcW w:w="2289" w:type="dxa"/>
            <w:vAlign w:val="center"/>
          </w:tcPr>
          <w:p w14:paraId="15699BE6" w14:textId="77777777" w:rsidR="00961D73" w:rsidRPr="00772B9C" w:rsidRDefault="00961D73" w:rsidP="00BA499D">
            <w:pPr>
              <w:rPr>
                <w:sz w:val="18"/>
                <w:szCs w:val="18"/>
              </w:rPr>
            </w:pPr>
            <w:r w:rsidRPr="00772B9C">
              <w:rPr>
                <w:sz w:val="18"/>
                <w:szCs w:val="18"/>
              </w:rPr>
              <w:t xml:space="preserve">Sredstva: </w:t>
            </w:r>
          </w:p>
        </w:tc>
        <w:tc>
          <w:tcPr>
            <w:tcW w:w="6641" w:type="dxa"/>
            <w:vAlign w:val="center"/>
          </w:tcPr>
          <w:p w14:paraId="0F8E7B28" w14:textId="77777777" w:rsidR="00961D73" w:rsidRPr="00772B9C" w:rsidRDefault="00961D73" w:rsidP="00BA499D">
            <w:pPr>
              <w:rPr>
                <w:sz w:val="18"/>
                <w:szCs w:val="18"/>
              </w:rPr>
            </w:pPr>
            <w:r>
              <w:rPr>
                <w:sz w:val="18"/>
                <w:szCs w:val="18"/>
              </w:rPr>
              <w:t>66</w:t>
            </w:r>
            <w:r w:rsidRPr="00EF591D">
              <w:rPr>
                <w:sz w:val="18"/>
                <w:szCs w:val="18"/>
              </w:rPr>
              <w:t>.</w:t>
            </w:r>
            <w:r>
              <w:rPr>
                <w:sz w:val="18"/>
                <w:szCs w:val="18"/>
              </w:rPr>
              <w:t>000 eura</w:t>
            </w:r>
          </w:p>
        </w:tc>
      </w:tr>
      <w:tr w:rsidR="00961D73" w:rsidRPr="00772B9C" w14:paraId="0F2BC5C4" w14:textId="77777777" w:rsidTr="00BA499D">
        <w:tc>
          <w:tcPr>
            <w:tcW w:w="2289" w:type="dxa"/>
            <w:vAlign w:val="center"/>
          </w:tcPr>
          <w:p w14:paraId="66E27983" w14:textId="77777777" w:rsidR="00961D73" w:rsidRPr="00772B9C" w:rsidRDefault="00961D73" w:rsidP="00BA499D">
            <w:pPr>
              <w:rPr>
                <w:sz w:val="18"/>
                <w:szCs w:val="18"/>
              </w:rPr>
            </w:pPr>
            <w:r w:rsidRPr="00772B9C">
              <w:rPr>
                <w:sz w:val="18"/>
                <w:szCs w:val="18"/>
              </w:rPr>
              <w:t xml:space="preserve">Voditelj projekta: </w:t>
            </w:r>
          </w:p>
        </w:tc>
        <w:tc>
          <w:tcPr>
            <w:tcW w:w="6641" w:type="dxa"/>
            <w:vAlign w:val="center"/>
          </w:tcPr>
          <w:p w14:paraId="195C90CD" w14:textId="77777777" w:rsidR="00961D73" w:rsidRPr="00772B9C" w:rsidRDefault="00961D73" w:rsidP="00BA499D">
            <w:pPr>
              <w:rPr>
                <w:sz w:val="18"/>
                <w:szCs w:val="18"/>
              </w:rPr>
            </w:pPr>
            <w:r w:rsidRPr="00772B9C">
              <w:rPr>
                <w:sz w:val="18"/>
                <w:szCs w:val="18"/>
              </w:rPr>
              <w:t>Marijo Zubec</w:t>
            </w:r>
            <w:r>
              <w:rPr>
                <w:sz w:val="18"/>
                <w:szCs w:val="18"/>
              </w:rPr>
              <w:t>, zamjena: Andrej Ignjatić</w:t>
            </w:r>
          </w:p>
        </w:tc>
      </w:tr>
      <w:tr w:rsidR="00961D73" w:rsidRPr="00772B9C" w14:paraId="4A33C9E9" w14:textId="77777777" w:rsidTr="00BA499D">
        <w:tc>
          <w:tcPr>
            <w:tcW w:w="2289" w:type="dxa"/>
            <w:vAlign w:val="center"/>
          </w:tcPr>
          <w:p w14:paraId="1D4EBA03" w14:textId="77777777" w:rsidR="00961D73" w:rsidRPr="00772B9C" w:rsidRDefault="00961D73" w:rsidP="00BA499D">
            <w:pPr>
              <w:rPr>
                <w:sz w:val="18"/>
                <w:szCs w:val="18"/>
              </w:rPr>
            </w:pPr>
            <w:r w:rsidRPr="00772B9C">
              <w:rPr>
                <w:sz w:val="18"/>
                <w:szCs w:val="18"/>
              </w:rPr>
              <w:t xml:space="preserve">Projektni tim: </w:t>
            </w:r>
          </w:p>
        </w:tc>
        <w:tc>
          <w:tcPr>
            <w:tcW w:w="6641" w:type="dxa"/>
            <w:vAlign w:val="center"/>
          </w:tcPr>
          <w:p w14:paraId="7042B557" w14:textId="77777777" w:rsidR="00961D73" w:rsidRPr="00772B9C" w:rsidRDefault="00961D73" w:rsidP="00BA499D">
            <w:pPr>
              <w:rPr>
                <w:sz w:val="18"/>
                <w:szCs w:val="18"/>
              </w:rPr>
            </w:pPr>
            <w:r>
              <w:rPr>
                <w:sz w:val="18"/>
                <w:szCs w:val="18"/>
              </w:rPr>
              <w:t xml:space="preserve">Željana Margan Koletić, </w:t>
            </w:r>
            <w:r w:rsidRPr="00772B9C">
              <w:rPr>
                <w:sz w:val="18"/>
                <w:szCs w:val="18"/>
              </w:rPr>
              <w:t>Morana Pavičić</w:t>
            </w:r>
          </w:p>
        </w:tc>
      </w:tr>
      <w:tr w:rsidR="00961D73" w:rsidRPr="00772B9C" w14:paraId="68586277" w14:textId="77777777" w:rsidTr="00BA499D">
        <w:tc>
          <w:tcPr>
            <w:tcW w:w="2289" w:type="dxa"/>
            <w:vAlign w:val="center"/>
          </w:tcPr>
          <w:p w14:paraId="3FD5BA80" w14:textId="77777777" w:rsidR="00961D73" w:rsidRPr="00772B9C" w:rsidRDefault="00961D73" w:rsidP="00BA499D">
            <w:pPr>
              <w:jc w:val="both"/>
              <w:rPr>
                <w:sz w:val="18"/>
                <w:szCs w:val="18"/>
              </w:rPr>
            </w:pPr>
            <w:r w:rsidRPr="00772B9C">
              <w:rPr>
                <w:sz w:val="18"/>
                <w:szCs w:val="18"/>
              </w:rPr>
              <w:t xml:space="preserve">Status projekta: </w:t>
            </w:r>
          </w:p>
        </w:tc>
        <w:tc>
          <w:tcPr>
            <w:tcW w:w="6641" w:type="dxa"/>
            <w:vAlign w:val="center"/>
          </w:tcPr>
          <w:p w14:paraId="05608596" w14:textId="69D72DA8" w:rsidR="00961D73" w:rsidRDefault="00961D73" w:rsidP="00BA499D">
            <w:pPr>
              <w:jc w:val="both"/>
              <w:rPr>
                <w:color w:val="000000" w:themeColor="text1"/>
                <w:sz w:val="18"/>
                <w:szCs w:val="18"/>
              </w:rPr>
            </w:pPr>
            <w:r>
              <w:rPr>
                <w:color w:val="000000" w:themeColor="text1"/>
                <w:sz w:val="18"/>
                <w:szCs w:val="18"/>
              </w:rPr>
              <w:t xml:space="preserve">Na produkciju su postavljene sve nadogradnje sustava iz ugovora </w:t>
            </w:r>
            <w:r w:rsidR="004746DC">
              <w:rPr>
                <w:color w:val="000000" w:themeColor="text1"/>
                <w:sz w:val="18"/>
                <w:szCs w:val="18"/>
              </w:rPr>
              <w:t xml:space="preserve">od </w:t>
            </w:r>
            <w:r>
              <w:rPr>
                <w:color w:val="000000" w:themeColor="text1"/>
                <w:sz w:val="18"/>
                <w:szCs w:val="18"/>
              </w:rPr>
              <w:t>7.2022.</w:t>
            </w:r>
            <w:r w:rsidR="004746DC">
              <w:rPr>
                <w:color w:val="000000" w:themeColor="text1"/>
                <w:sz w:val="18"/>
                <w:szCs w:val="18"/>
              </w:rPr>
              <w:t xml:space="preserve">  do </w:t>
            </w:r>
            <w:r>
              <w:rPr>
                <w:color w:val="000000" w:themeColor="text1"/>
                <w:sz w:val="18"/>
                <w:szCs w:val="18"/>
              </w:rPr>
              <w:t>7.2023.</w:t>
            </w:r>
            <w:r w:rsidR="004746DC">
              <w:rPr>
                <w:color w:val="000000" w:themeColor="text1"/>
                <w:sz w:val="18"/>
                <w:szCs w:val="18"/>
              </w:rPr>
              <w:t xml:space="preserve"> godine</w:t>
            </w:r>
            <w:r>
              <w:rPr>
                <w:color w:val="000000" w:themeColor="text1"/>
                <w:sz w:val="18"/>
                <w:szCs w:val="18"/>
              </w:rPr>
              <w:t xml:space="preserve"> koje su obuhvatile kompletan </w:t>
            </w:r>
            <w:r w:rsidRPr="007C0833">
              <w:rPr>
                <w:color w:val="000000" w:themeColor="text1"/>
                <w:sz w:val="18"/>
                <w:szCs w:val="18"/>
              </w:rPr>
              <w:t>vizualni redizajn aplikacije</w:t>
            </w:r>
            <w:r>
              <w:rPr>
                <w:color w:val="000000" w:themeColor="text1"/>
                <w:sz w:val="18"/>
                <w:szCs w:val="18"/>
              </w:rPr>
              <w:t xml:space="preserve">, odnosno </w:t>
            </w:r>
            <w:r w:rsidRPr="007C0833">
              <w:rPr>
                <w:color w:val="000000" w:themeColor="text1"/>
                <w:sz w:val="18"/>
                <w:szCs w:val="18"/>
              </w:rPr>
              <w:t xml:space="preserve">izgled korisničkog sučelja i svih njegovih elemenata </w:t>
            </w:r>
            <w:r>
              <w:rPr>
                <w:color w:val="000000" w:themeColor="text1"/>
                <w:sz w:val="18"/>
                <w:szCs w:val="18"/>
              </w:rPr>
              <w:t xml:space="preserve">za </w:t>
            </w:r>
            <w:r w:rsidRPr="007C0833">
              <w:rPr>
                <w:color w:val="000000" w:themeColor="text1"/>
                <w:sz w:val="18"/>
                <w:szCs w:val="18"/>
              </w:rPr>
              <w:t>interni i vanjski dio aplikacije.</w:t>
            </w:r>
            <w:r>
              <w:rPr>
                <w:color w:val="000000" w:themeColor="text1"/>
                <w:sz w:val="18"/>
                <w:szCs w:val="18"/>
              </w:rPr>
              <w:t xml:space="preserve"> Osim</w:t>
            </w:r>
            <w:r w:rsidRPr="007C0833">
              <w:rPr>
                <w:color w:val="000000" w:themeColor="text1"/>
                <w:sz w:val="18"/>
                <w:szCs w:val="18"/>
              </w:rPr>
              <w:t xml:space="preserve"> vizualnih promjena </w:t>
            </w:r>
            <w:r>
              <w:rPr>
                <w:color w:val="000000" w:themeColor="text1"/>
                <w:sz w:val="18"/>
                <w:szCs w:val="18"/>
              </w:rPr>
              <w:t xml:space="preserve">i optimizacije funkcionalnosti i sučelja </w:t>
            </w:r>
            <w:r w:rsidR="004746DC">
              <w:rPr>
                <w:color w:val="000000" w:themeColor="text1"/>
                <w:sz w:val="18"/>
                <w:szCs w:val="18"/>
              </w:rPr>
              <w:t xml:space="preserve">izrađena </w:t>
            </w:r>
            <w:r>
              <w:rPr>
                <w:color w:val="000000" w:themeColor="text1"/>
                <w:sz w:val="18"/>
                <w:szCs w:val="18"/>
              </w:rPr>
              <w:t xml:space="preserve">je i </w:t>
            </w:r>
            <w:r w:rsidRPr="007C0833">
              <w:rPr>
                <w:color w:val="000000" w:themeColor="text1"/>
                <w:sz w:val="18"/>
                <w:szCs w:val="18"/>
              </w:rPr>
              <w:t xml:space="preserve">prilagodba </w:t>
            </w:r>
            <w:r>
              <w:rPr>
                <w:color w:val="000000" w:themeColor="text1"/>
                <w:sz w:val="18"/>
                <w:szCs w:val="18"/>
              </w:rPr>
              <w:t xml:space="preserve">za </w:t>
            </w:r>
            <w:r w:rsidRPr="007C0833">
              <w:rPr>
                <w:color w:val="000000" w:themeColor="text1"/>
                <w:sz w:val="18"/>
                <w:szCs w:val="18"/>
              </w:rPr>
              <w:t>digitaln</w:t>
            </w:r>
            <w:r>
              <w:rPr>
                <w:color w:val="000000" w:themeColor="text1"/>
                <w:sz w:val="18"/>
                <w:szCs w:val="18"/>
              </w:rPr>
              <w:t>u</w:t>
            </w:r>
            <w:r w:rsidRPr="007C0833">
              <w:rPr>
                <w:color w:val="000000" w:themeColor="text1"/>
                <w:sz w:val="18"/>
                <w:szCs w:val="18"/>
              </w:rPr>
              <w:t xml:space="preserve"> pristupačnost</w:t>
            </w:r>
            <w:r>
              <w:rPr>
                <w:color w:val="000000" w:themeColor="text1"/>
                <w:sz w:val="18"/>
                <w:szCs w:val="18"/>
              </w:rPr>
              <w:t xml:space="preserve"> </w:t>
            </w:r>
            <w:r w:rsidRPr="007C0833">
              <w:rPr>
                <w:color w:val="000000" w:themeColor="text1"/>
                <w:sz w:val="18"/>
                <w:szCs w:val="18"/>
              </w:rPr>
              <w:t xml:space="preserve">sukladno </w:t>
            </w:r>
            <w:r w:rsidRPr="0078419B">
              <w:rPr>
                <w:color w:val="000000" w:themeColor="text1"/>
                <w:sz w:val="18"/>
                <w:szCs w:val="18"/>
              </w:rPr>
              <w:t>Zakon</w:t>
            </w:r>
            <w:r>
              <w:rPr>
                <w:color w:val="000000" w:themeColor="text1"/>
                <w:sz w:val="18"/>
                <w:szCs w:val="18"/>
              </w:rPr>
              <w:t>u</w:t>
            </w:r>
            <w:r w:rsidRPr="0078419B">
              <w:rPr>
                <w:color w:val="000000" w:themeColor="text1"/>
                <w:sz w:val="18"/>
                <w:szCs w:val="18"/>
              </w:rPr>
              <w:t xml:space="preserve"> o pristupačnosti mrežnih stranica i programskih rješenja za pokretne uređaje tijela javnog sektora (</w:t>
            </w:r>
            <w:r w:rsidR="004746DC">
              <w:rPr>
                <w:color w:val="000000" w:themeColor="text1"/>
                <w:sz w:val="18"/>
                <w:szCs w:val="18"/>
              </w:rPr>
              <w:t>„Narodne novine“, broj 17/</w:t>
            </w:r>
            <w:r w:rsidR="00F97B83">
              <w:rPr>
                <w:color w:val="000000" w:themeColor="text1"/>
                <w:sz w:val="18"/>
                <w:szCs w:val="18"/>
              </w:rPr>
              <w:t>20</w:t>
            </w:r>
            <w:r w:rsidRPr="0078419B">
              <w:rPr>
                <w:color w:val="000000" w:themeColor="text1"/>
                <w:sz w:val="18"/>
                <w:szCs w:val="18"/>
              </w:rPr>
              <w:t>19</w:t>
            </w:r>
            <w:r w:rsidR="00F97B83">
              <w:rPr>
                <w:color w:val="000000" w:themeColor="text1"/>
                <w:sz w:val="18"/>
                <w:szCs w:val="18"/>
              </w:rPr>
              <w:t>.</w:t>
            </w:r>
            <w:r w:rsidRPr="0078419B">
              <w:rPr>
                <w:color w:val="000000" w:themeColor="text1"/>
                <w:sz w:val="18"/>
                <w:szCs w:val="18"/>
              </w:rPr>
              <w:t>)</w:t>
            </w:r>
            <w:r>
              <w:rPr>
                <w:color w:val="000000" w:themeColor="text1"/>
                <w:sz w:val="18"/>
                <w:szCs w:val="18"/>
              </w:rPr>
              <w:t xml:space="preserve"> te implementirana pravila iz Standarda</w:t>
            </w:r>
            <w:r w:rsidRPr="007C0833">
              <w:rPr>
                <w:color w:val="000000" w:themeColor="text1"/>
                <w:sz w:val="18"/>
                <w:szCs w:val="18"/>
              </w:rPr>
              <w:t xml:space="preserve"> za razvoj javnih eUsluga u RH</w:t>
            </w:r>
            <w:r>
              <w:rPr>
                <w:color w:val="000000" w:themeColor="text1"/>
                <w:sz w:val="18"/>
                <w:szCs w:val="18"/>
              </w:rPr>
              <w:t xml:space="preserve">, poput spajanja na NIAS sustav autentifikacije i OIB registar te uvođenje navigacijske trake usluge e-Građani. </w:t>
            </w:r>
          </w:p>
          <w:p w14:paraId="62F19119" w14:textId="2201CC38" w:rsidR="00961D73" w:rsidRPr="00AD10B8" w:rsidRDefault="00961D73" w:rsidP="00F97B83">
            <w:pPr>
              <w:jc w:val="both"/>
              <w:rPr>
                <w:color w:val="000000" w:themeColor="text1"/>
                <w:sz w:val="18"/>
                <w:szCs w:val="18"/>
              </w:rPr>
            </w:pPr>
            <w:r>
              <w:rPr>
                <w:color w:val="000000" w:themeColor="text1"/>
                <w:sz w:val="18"/>
                <w:szCs w:val="18"/>
              </w:rPr>
              <w:t xml:space="preserve">Proveden je postupak javne nabave i sklopljen novi ugovor o nadogradnji i održavanju sustava za razdoblje </w:t>
            </w:r>
            <w:r w:rsidR="00F97B83">
              <w:rPr>
                <w:color w:val="000000" w:themeColor="text1"/>
                <w:sz w:val="18"/>
                <w:szCs w:val="18"/>
              </w:rPr>
              <w:t xml:space="preserve">od </w:t>
            </w:r>
            <w:r>
              <w:rPr>
                <w:color w:val="000000" w:themeColor="text1"/>
                <w:sz w:val="18"/>
                <w:szCs w:val="18"/>
              </w:rPr>
              <w:t>7.2023.</w:t>
            </w:r>
            <w:r w:rsidR="00F97B83">
              <w:rPr>
                <w:color w:val="000000" w:themeColor="text1"/>
                <w:sz w:val="18"/>
                <w:szCs w:val="18"/>
              </w:rPr>
              <w:t xml:space="preserve"> do </w:t>
            </w:r>
            <w:r>
              <w:rPr>
                <w:color w:val="000000" w:themeColor="text1"/>
                <w:sz w:val="18"/>
                <w:szCs w:val="18"/>
              </w:rPr>
              <w:t>7.2024.</w:t>
            </w:r>
            <w:r w:rsidR="00F97B83">
              <w:rPr>
                <w:color w:val="000000" w:themeColor="text1"/>
                <w:sz w:val="18"/>
                <w:szCs w:val="18"/>
              </w:rPr>
              <w:t xml:space="preserve"> godine</w:t>
            </w:r>
            <w:r>
              <w:rPr>
                <w:color w:val="000000" w:themeColor="text1"/>
                <w:sz w:val="18"/>
                <w:szCs w:val="18"/>
              </w:rPr>
              <w:t xml:space="preserve"> u sklopu kojega su </w:t>
            </w:r>
            <w:r w:rsidR="00F97B83">
              <w:rPr>
                <w:color w:val="000000" w:themeColor="text1"/>
                <w:sz w:val="18"/>
                <w:szCs w:val="18"/>
              </w:rPr>
              <w:t>izrađene</w:t>
            </w:r>
            <w:r>
              <w:rPr>
                <w:color w:val="000000" w:themeColor="text1"/>
                <w:sz w:val="18"/>
                <w:szCs w:val="18"/>
              </w:rPr>
              <w:t xml:space="preserve"> prilagodbe </w:t>
            </w:r>
            <w:r>
              <w:rPr>
                <w:color w:val="000000" w:themeColor="text1"/>
                <w:sz w:val="18"/>
                <w:szCs w:val="18"/>
              </w:rPr>
              <w:lastRenderedPageBreak/>
              <w:t>servisa i modula za preuzimanje podataka o nuspojavama direktno i</w:t>
            </w:r>
            <w:r w:rsidR="00F97B83">
              <w:rPr>
                <w:color w:val="000000" w:themeColor="text1"/>
                <w:sz w:val="18"/>
                <w:szCs w:val="18"/>
              </w:rPr>
              <w:t xml:space="preserve">z </w:t>
            </w:r>
            <w:r>
              <w:rPr>
                <w:color w:val="000000" w:themeColor="text1"/>
                <w:sz w:val="18"/>
                <w:szCs w:val="18"/>
              </w:rPr>
              <w:t>informatičkih sustava liječnika i lijekarnika (Gx aplikacije) preko servisa sustava CEZIH, razvijenog u sklopu projekta eLijekovi.</w:t>
            </w:r>
          </w:p>
        </w:tc>
      </w:tr>
    </w:tbl>
    <w:p w14:paraId="21C66F23" w14:textId="77777777" w:rsidR="00961D73" w:rsidRPr="00772B9C" w:rsidRDefault="00961D73" w:rsidP="00961D73">
      <w:pPr>
        <w:spacing w:line="276" w:lineRule="auto"/>
        <w:jc w:val="both"/>
        <w:rPr>
          <w:rFonts w:eastAsia="Times New Roman" w:cstheme="minorHAnsi"/>
          <w:sz w:val="18"/>
          <w:szCs w:val="18"/>
        </w:rPr>
      </w:pPr>
    </w:p>
    <w:tbl>
      <w:tblPr>
        <w:tblStyle w:val="TableGrid"/>
        <w:tblW w:w="0" w:type="auto"/>
        <w:tblInd w:w="137" w:type="dxa"/>
        <w:tblLook w:val="04A0" w:firstRow="1" w:lastRow="0" w:firstColumn="1" w:lastColumn="0" w:noHBand="0" w:noVBand="1"/>
      </w:tblPr>
      <w:tblGrid>
        <w:gridCol w:w="2268"/>
        <w:gridCol w:w="6657"/>
      </w:tblGrid>
      <w:tr w:rsidR="00961D73" w:rsidRPr="00772B9C" w14:paraId="0567DFF6" w14:textId="77777777" w:rsidTr="00BA499D">
        <w:trPr>
          <w:trHeight w:val="538"/>
        </w:trPr>
        <w:tc>
          <w:tcPr>
            <w:tcW w:w="2268" w:type="dxa"/>
            <w:shd w:val="clear" w:color="auto" w:fill="A3E7FF"/>
            <w:vAlign w:val="center"/>
          </w:tcPr>
          <w:p w14:paraId="54A24783" w14:textId="77777777" w:rsidR="00961D73" w:rsidRPr="00772B9C" w:rsidRDefault="00961D73" w:rsidP="00BA499D">
            <w:pPr>
              <w:rPr>
                <w:sz w:val="18"/>
                <w:szCs w:val="18"/>
              </w:rPr>
            </w:pPr>
            <w:r w:rsidRPr="00772B9C">
              <w:rPr>
                <w:sz w:val="18"/>
                <w:szCs w:val="18"/>
              </w:rPr>
              <w:t xml:space="preserve">Naziv : </w:t>
            </w:r>
          </w:p>
        </w:tc>
        <w:tc>
          <w:tcPr>
            <w:tcW w:w="6657" w:type="dxa"/>
            <w:shd w:val="clear" w:color="auto" w:fill="A3E7FF"/>
            <w:vAlign w:val="center"/>
          </w:tcPr>
          <w:p w14:paraId="709E5676" w14:textId="77777777" w:rsidR="00961D73" w:rsidRPr="00772B9C" w:rsidRDefault="00961D73" w:rsidP="00BA499D">
            <w:pPr>
              <w:rPr>
                <w:sz w:val="18"/>
                <w:szCs w:val="18"/>
              </w:rPr>
            </w:pPr>
            <w:r w:rsidRPr="00772B9C">
              <w:rPr>
                <w:sz w:val="18"/>
                <w:szCs w:val="18"/>
              </w:rPr>
              <w:t>Nadogradnja Digitalnog arhivskog  informacijskog sustava (DAIS)</w:t>
            </w:r>
          </w:p>
        </w:tc>
      </w:tr>
      <w:tr w:rsidR="00961D73" w:rsidRPr="00772B9C" w14:paraId="1F16199F" w14:textId="77777777" w:rsidTr="00BA499D">
        <w:tc>
          <w:tcPr>
            <w:tcW w:w="2268" w:type="dxa"/>
            <w:vAlign w:val="center"/>
          </w:tcPr>
          <w:p w14:paraId="7D0793D7" w14:textId="77777777" w:rsidR="00961D73" w:rsidRPr="0068060A" w:rsidRDefault="00961D73" w:rsidP="00BA499D">
            <w:pPr>
              <w:rPr>
                <w:sz w:val="18"/>
                <w:szCs w:val="18"/>
              </w:rPr>
            </w:pPr>
            <w:r w:rsidRPr="0068060A">
              <w:rPr>
                <w:sz w:val="18"/>
                <w:szCs w:val="18"/>
              </w:rPr>
              <w:t xml:space="preserve">Vlasnik projekta: </w:t>
            </w:r>
          </w:p>
        </w:tc>
        <w:tc>
          <w:tcPr>
            <w:tcW w:w="6657" w:type="dxa"/>
            <w:vAlign w:val="center"/>
          </w:tcPr>
          <w:p w14:paraId="26BF9724" w14:textId="77777777" w:rsidR="00961D73" w:rsidRPr="0068060A" w:rsidRDefault="00961D73" w:rsidP="00BA499D">
            <w:pPr>
              <w:rPr>
                <w:sz w:val="18"/>
                <w:szCs w:val="18"/>
              </w:rPr>
            </w:pPr>
            <w:r w:rsidRPr="00254B7B">
              <w:rPr>
                <w:sz w:val="18"/>
                <w:szCs w:val="18"/>
              </w:rPr>
              <w:t>Odsjek za pravne poslove i upravljanje dokumentacijom</w:t>
            </w:r>
          </w:p>
        </w:tc>
      </w:tr>
      <w:tr w:rsidR="00961D73" w:rsidRPr="00772B9C" w14:paraId="095B1462" w14:textId="77777777" w:rsidTr="00BA499D">
        <w:tc>
          <w:tcPr>
            <w:tcW w:w="2268" w:type="dxa"/>
            <w:vAlign w:val="center"/>
          </w:tcPr>
          <w:p w14:paraId="2DE19E90" w14:textId="77777777" w:rsidR="00961D73" w:rsidRPr="00772B9C" w:rsidRDefault="00961D73" w:rsidP="00BA499D">
            <w:pPr>
              <w:rPr>
                <w:sz w:val="18"/>
                <w:szCs w:val="18"/>
              </w:rPr>
            </w:pPr>
            <w:r w:rsidRPr="00772B9C">
              <w:rPr>
                <w:sz w:val="18"/>
                <w:szCs w:val="18"/>
              </w:rPr>
              <w:t>Vrijeme realizacije</w:t>
            </w:r>
            <w:r>
              <w:rPr>
                <w:sz w:val="18"/>
                <w:szCs w:val="18"/>
              </w:rPr>
              <w:t xml:space="preserve"> tekućeg projekta</w:t>
            </w:r>
            <w:r w:rsidRPr="00772B9C">
              <w:rPr>
                <w:sz w:val="18"/>
                <w:szCs w:val="18"/>
              </w:rPr>
              <w:t>:</w:t>
            </w:r>
          </w:p>
        </w:tc>
        <w:tc>
          <w:tcPr>
            <w:tcW w:w="6657" w:type="dxa"/>
            <w:vAlign w:val="center"/>
          </w:tcPr>
          <w:p w14:paraId="438CBDD3" w14:textId="77777777" w:rsidR="00961D73" w:rsidRPr="00772B9C" w:rsidRDefault="00961D73" w:rsidP="00BA499D">
            <w:pPr>
              <w:rPr>
                <w:sz w:val="18"/>
                <w:szCs w:val="18"/>
              </w:rPr>
            </w:pPr>
            <w:r>
              <w:rPr>
                <w:sz w:val="18"/>
                <w:szCs w:val="18"/>
              </w:rPr>
              <w:t>11.2023. – 11.2024</w:t>
            </w:r>
            <w:r w:rsidRPr="00772B9C">
              <w:rPr>
                <w:sz w:val="18"/>
                <w:szCs w:val="18"/>
              </w:rPr>
              <w:t>.</w:t>
            </w:r>
          </w:p>
        </w:tc>
      </w:tr>
      <w:tr w:rsidR="00961D73" w:rsidRPr="00772B9C" w14:paraId="78CE7F93" w14:textId="77777777" w:rsidTr="00BA499D">
        <w:tc>
          <w:tcPr>
            <w:tcW w:w="2268" w:type="dxa"/>
            <w:vAlign w:val="center"/>
          </w:tcPr>
          <w:p w14:paraId="0629A715" w14:textId="77777777" w:rsidR="00961D73" w:rsidRPr="00772B9C" w:rsidRDefault="00961D73" w:rsidP="00BA499D">
            <w:pPr>
              <w:rPr>
                <w:sz w:val="18"/>
                <w:szCs w:val="18"/>
              </w:rPr>
            </w:pPr>
            <w:r w:rsidRPr="00772B9C">
              <w:rPr>
                <w:sz w:val="18"/>
                <w:szCs w:val="18"/>
              </w:rPr>
              <w:t xml:space="preserve">Sredstva: </w:t>
            </w:r>
          </w:p>
        </w:tc>
        <w:tc>
          <w:tcPr>
            <w:tcW w:w="6657" w:type="dxa"/>
            <w:vAlign w:val="center"/>
          </w:tcPr>
          <w:p w14:paraId="06FB7BF1" w14:textId="77777777" w:rsidR="00961D73" w:rsidRPr="00772B9C" w:rsidRDefault="00961D73" w:rsidP="00BA499D">
            <w:pPr>
              <w:rPr>
                <w:sz w:val="18"/>
                <w:szCs w:val="18"/>
              </w:rPr>
            </w:pPr>
            <w:r w:rsidRPr="001C47C9">
              <w:rPr>
                <w:sz w:val="18"/>
                <w:szCs w:val="18"/>
              </w:rPr>
              <w:t>36.000 eura</w:t>
            </w:r>
          </w:p>
        </w:tc>
      </w:tr>
      <w:tr w:rsidR="00961D73" w:rsidRPr="00772B9C" w14:paraId="4C365285" w14:textId="77777777" w:rsidTr="00BA499D">
        <w:tc>
          <w:tcPr>
            <w:tcW w:w="2268" w:type="dxa"/>
            <w:vAlign w:val="center"/>
          </w:tcPr>
          <w:p w14:paraId="25011EFE" w14:textId="77777777" w:rsidR="00961D73" w:rsidRPr="00772B9C" w:rsidRDefault="00961D73" w:rsidP="00BA499D">
            <w:pPr>
              <w:rPr>
                <w:sz w:val="18"/>
                <w:szCs w:val="18"/>
              </w:rPr>
            </w:pPr>
            <w:r w:rsidRPr="00772B9C">
              <w:rPr>
                <w:sz w:val="18"/>
                <w:szCs w:val="18"/>
              </w:rPr>
              <w:t xml:space="preserve">Voditelj projekta: </w:t>
            </w:r>
          </w:p>
        </w:tc>
        <w:tc>
          <w:tcPr>
            <w:tcW w:w="6657" w:type="dxa"/>
            <w:vAlign w:val="center"/>
          </w:tcPr>
          <w:p w14:paraId="370EC207" w14:textId="77777777" w:rsidR="00961D73" w:rsidRPr="00772B9C" w:rsidRDefault="00961D73" w:rsidP="00BA499D">
            <w:pPr>
              <w:rPr>
                <w:sz w:val="18"/>
                <w:szCs w:val="18"/>
              </w:rPr>
            </w:pPr>
            <w:r>
              <w:rPr>
                <w:sz w:val="18"/>
                <w:szCs w:val="18"/>
              </w:rPr>
              <w:t xml:space="preserve">Marijo Zubec, </w:t>
            </w:r>
            <w:r w:rsidRPr="00772B9C">
              <w:rPr>
                <w:sz w:val="18"/>
                <w:szCs w:val="18"/>
              </w:rPr>
              <w:t>zamjena: nema</w:t>
            </w:r>
          </w:p>
        </w:tc>
      </w:tr>
      <w:tr w:rsidR="00961D73" w:rsidRPr="00772B9C" w14:paraId="7529B800" w14:textId="77777777" w:rsidTr="00BA499D">
        <w:tc>
          <w:tcPr>
            <w:tcW w:w="2268" w:type="dxa"/>
            <w:vAlign w:val="center"/>
          </w:tcPr>
          <w:p w14:paraId="5B089933" w14:textId="77777777" w:rsidR="00961D73" w:rsidRPr="00772B9C" w:rsidRDefault="00961D73" w:rsidP="00BA499D">
            <w:pPr>
              <w:rPr>
                <w:sz w:val="18"/>
                <w:szCs w:val="18"/>
              </w:rPr>
            </w:pPr>
            <w:r w:rsidRPr="00772B9C">
              <w:rPr>
                <w:sz w:val="18"/>
                <w:szCs w:val="18"/>
              </w:rPr>
              <w:t xml:space="preserve">Projektni tim: </w:t>
            </w:r>
          </w:p>
        </w:tc>
        <w:tc>
          <w:tcPr>
            <w:tcW w:w="6657" w:type="dxa"/>
            <w:vAlign w:val="center"/>
          </w:tcPr>
          <w:p w14:paraId="73EA0E0B" w14:textId="77777777" w:rsidR="00961D73" w:rsidRPr="00772B9C" w:rsidRDefault="00961D73" w:rsidP="00BA499D">
            <w:pPr>
              <w:rPr>
                <w:sz w:val="18"/>
                <w:szCs w:val="18"/>
              </w:rPr>
            </w:pPr>
            <w:r>
              <w:rPr>
                <w:sz w:val="18"/>
                <w:szCs w:val="18"/>
              </w:rPr>
              <w:t xml:space="preserve">Ana Smokvina, </w:t>
            </w:r>
            <w:r w:rsidRPr="001C47C9">
              <w:rPr>
                <w:sz w:val="18"/>
                <w:szCs w:val="18"/>
              </w:rPr>
              <w:t>Lena Dančuo</w:t>
            </w:r>
            <w:r>
              <w:rPr>
                <w:sz w:val="18"/>
                <w:szCs w:val="18"/>
              </w:rPr>
              <w:t xml:space="preserve">, </w:t>
            </w:r>
            <w:r w:rsidRPr="00772B9C">
              <w:rPr>
                <w:sz w:val="18"/>
                <w:szCs w:val="18"/>
              </w:rPr>
              <w:t>Dubravka Sudić</w:t>
            </w:r>
          </w:p>
        </w:tc>
      </w:tr>
      <w:tr w:rsidR="00961D73" w:rsidRPr="00772B9C" w14:paraId="786316E9" w14:textId="77777777" w:rsidTr="00BA499D">
        <w:tc>
          <w:tcPr>
            <w:tcW w:w="2268" w:type="dxa"/>
            <w:vAlign w:val="center"/>
          </w:tcPr>
          <w:p w14:paraId="5C84C984" w14:textId="77777777" w:rsidR="00961D73" w:rsidRPr="00772B9C" w:rsidRDefault="00961D73" w:rsidP="00BA499D">
            <w:pPr>
              <w:rPr>
                <w:sz w:val="18"/>
                <w:szCs w:val="18"/>
              </w:rPr>
            </w:pPr>
            <w:r w:rsidRPr="00772B9C">
              <w:rPr>
                <w:sz w:val="18"/>
                <w:szCs w:val="18"/>
              </w:rPr>
              <w:t xml:space="preserve">Status projekta: </w:t>
            </w:r>
          </w:p>
        </w:tc>
        <w:tc>
          <w:tcPr>
            <w:tcW w:w="6657" w:type="dxa"/>
            <w:vAlign w:val="center"/>
          </w:tcPr>
          <w:p w14:paraId="6D33ADFC" w14:textId="1A8E4BF1" w:rsidR="00961D73" w:rsidRDefault="00961D73" w:rsidP="00BA499D">
            <w:pPr>
              <w:jc w:val="both"/>
              <w:rPr>
                <w:sz w:val="18"/>
                <w:szCs w:val="18"/>
              </w:rPr>
            </w:pPr>
            <w:r>
              <w:rPr>
                <w:sz w:val="18"/>
                <w:szCs w:val="18"/>
              </w:rPr>
              <w:t xml:space="preserve">Provodi se </w:t>
            </w:r>
            <w:r w:rsidRPr="00772B9C">
              <w:rPr>
                <w:sz w:val="18"/>
                <w:szCs w:val="18"/>
              </w:rPr>
              <w:t>testiranje nove verzije FileNet operativnog sustav</w:t>
            </w:r>
            <w:r>
              <w:rPr>
                <w:sz w:val="18"/>
                <w:szCs w:val="18"/>
              </w:rPr>
              <w:t xml:space="preserve">a na razvojnoj okolini </w:t>
            </w:r>
            <w:r w:rsidRPr="00772B9C">
              <w:rPr>
                <w:sz w:val="18"/>
                <w:szCs w:val="18"/>
              </w:rPr>
              <w:t xml:space="preserve">i </w:t>
            </w:r>
            <w:r>
              <w:rPr>
                <w:sz w:val="18"/>
                <w:szCs w:val="18"/>
              </w:rPr>
              <w:t xml:space="preserve">testiranje </w:t>
            </w:r>
            <w:r w:rsidRPr="00772B9C">
              <w:rPr>
                <w:sz w:val="18"/>
                <w:szCs w:val="18"/>
              </w:rPr>
              <w:t>servis</w:t>
            </w:r>
            <w:r>
              <w:rPr>
                <w:sz w:val="18"/>
                <w:szCs w:val="18"/>
              </w:rPr>
              <w:t>a</w:t>
            </w:r>
            <w:r w:rsidRPr="00772B9C">
              <w:rPr>
                <w:sz w:val="18"/>
                <w:szCs w:val="18"/>
              </w:rPr>
              <w:t xml:space="preserve"> prema ostalim </w:t>
            </w:r>
            <w:r>
              <w:rPr>
                <w:sz w:val="18"/>
                <w:szCs w:val="18"/>
              </w:rPr>
              <w:t>povezanim sustavima, posebno testiranje servisa prema novo implementiranom sustavu Centrix 2</w:t>
            </w:r>
            <w:r w:rsidRPr="00772B9C">
              <w:rPr>
                <w:sz w:val="18"/>
                <w:szCs w:val="18"/>
              </w:rPr>
              <w:t>,</w:t>
            </w:r>
            <w:r>
              <w:rPr>
                <w:sz w:val="18"/>
                <w:szCs w:val="18"/>
              </w:rPr>
              <w:t xml:space="preserve"> s obzirom da se radilo o većoj promjeni koja je uključila spajanje baza Centrixa i Pismohrane i migraciju podataka.</w:t>
            </w:r>
            <w:r w:rsidRPr="00772B9C">
              <w:rPr>
                <w:sz w:val="18"/>
                <w:szCs w:val="18"/>
              </w:rPr>
              <w:t xml:space="preserve"> Testiranje je opsežno i zahtjevno s obzirom da su s DAIS-om povezana sva procesna programska rješenja te bi neispravan rad</w:t>
            </w:r>
            <w:r>
              <w:rPr>
                <w:sz w:val="18"/>
                <w:szCs w:val="18"/>
              </w:rPr>
              <w:t xml:space="preserve"> istoga</w:t>
            </w:r>
            <w:r w:rsidRPr="00772B9C">
              <w:rPr>
                <w:sz w:val="18"/>
                <w:szCs w:val="18"/>
              </w:rPr>
              <w:t xml:space="preserve"> imao utjecaja na sv</w:t>
            </w:r>
            <w:r>
              <w:rPr>
                <w:sz w:val="18"/>
                <w:szCs w:val="18"/>
              </w:rPr>
              <w:t>e</w:t>
            </w:r>
            <w:r w:rsidRPr="00772B9C">
              <w:rPr>
                <w:sz w:val="18"/>
                <w:szCs w:val="18"/>
              </w:rPr>
              <w:t xml:space="preserve"> </w:t>
            </w:r>
            <w:r>
              <w:rPr>
                <w:sz w:val="18"/>
                <w:szCs w:val="18"/>
              </w:rPr>
              <w:t xml:space="preserve">poslovne </w:t>
            </w:r>
            <w:r w:rsidRPr="00772B9C">
              <w:rPr>
                <w:sz w:val="18"/>
                <w:szCs w:val="18"/>
              </w:rPr>
              <w:t>proces</w:t>
            </w:r>
            <w:r>
              <w:rPr>
                <w:sz w:val="18"/>
                <w:szCs w:val="18"/>
              </w:rPr>
              <w:t>e</w:t>
            </w:r>
            <w:r w:rsidRPr="00772B9C">
              <w:rPr>
                <w:sz w:val="18"/>
                <w:szCs w:val="18"/>
              </w:rPr>
              <w:t xml:space="preserve"> u Agenciji. </w:t>
            </w:r>
          </w:p>
          <w:p w14:paraId="72A67F00" w14:textId="77777777" w:rsidR="00961D73" w:rsidRPr="00772B9C" w:rsidRDefault="00961D73" w:rsidP="00BA499D">
            <w:pPr>
              <w:jc w:val="both"/>
              <w:rPr>
                <w:sz w:val="18"/>
                <w:szCs w:val="18"/>
              </w:rPr>
            </w:pPr>
            <w:r w:rsidRPr="000F264B">
              <w:rPr>
                <w:sz w:val="18"/>
                <w:szCs w:val="18"/>
              </w:rPr>
              <w:t>Također je napravljena i veća izmjena konfiguracije sustava zbog usklađivanja sa zadnjim standardima kibernetičke sigurnosti</w:t>
            </w:r>
            <w:r>
              <w:rPr>
                <w:sz w:val="18"/>
                <w:szCs w:val="18"/>
              </w:rPr>
              <w:t>.</w:t>
            </w:r>
          </w:p>
        </w:tc>
      </w:tr>
    </w:tbl>
    <w:p w14:paraId="0C72E8DA" w14:textId="77777777" w:rsidR="00961D73" w:rsidRPr="00772B9C" w:rsidRDefault="00961D73" w:rsidP="00961D73">
      <w:pPr>
        <w:tabs>
          <w:tab w:val="left" w:pos="2127"/>
        </w:tabs>
        <w:rPr>
          <w:sz w:val="18"/>
          <w:szCs w:val="18"/>
        </w:rPr>
      </w:pPr>
    </w:p>
    <w:tbl>
      <w:tblPr>
        <w:tblStyle w:val="TableGrid"/>
        <w:tblW w:w="0" w:type="auto"/>
        <w:tblInd w:w="137" w:type="dxa"/>
        <w:tblLook w:val="04A0" w:firstRow="1" w:lastRow="0" w:firstColumn="1" w:lastColumn="0" w:noHBand="0" w:noVBand="1"/>
      </w:tblPr>
      <w:tblGrid>
        <w:gridCol w:w="2268"/>
        <w:gridCol w:w="6657"/>
      </w:tblGrid>
      <w:tr w:rsidR="00961D73" w:rsidRPr="00772B9C" w14:paraId="5F76B9BA" w14:textId="77777777" w:rsidTr="00BA499D">
        <w:trPr>
          <w:trHeight w:val="506"/>
        </w:trPr>
        <w:tc>
          <w:tcPr>
            <w:tcW w:w="2268" w:type="dxa"/>
            <w:shd w:val="clear" w:color="auto" w:fill="A3E7FF"/>
            <w:vAlign w:val="center"/>
          </w:tcPr>
          <w:p w14:paraId="2F5B9E95" w14:textId="77777777" w:rsidR="00961D73" w:rsidRPr="00772B9C" w:rsidRDefault="00961D73" w:rsidP="00BA499D">
            <w:pPr>
              <w:jc w:val="both"/>
              <w:rPr>
                <w:sz w:val="18"/>
                <w:szCs w:val="18"/>
              </w:rPr>
            </w:pPr>
            <w:r w:rsidRPr="00772B9C">
              <w:rPr>
                <w:sz w:val="18"/>
                <w:szCs w:val="18"/>
              </w:rPr>
              <w:t xml:space="preserve">Naziv : </w:t>
            </w:r>
          </w:p>
        </w:tc>
        <w:tc>
          <w:tcPr>
            <w:tcW w:w="6657" w:type="dxa"/>
            <w:shd w:val="clear" w:color="auto" w:fill="A3E7FF"/>
            <w:vAlign w:val="center"/>
          </w:tcPr>
          <w:p w14:paraId="68DF741F" w14:textId="77777777" w:rsidR="00961D73" w:rsidRPr="00772B9C" w:rsidRDefault="00961D73" w:rsidP="00BA499D">
            <w:pPr>
              <w:jc w:val="both"/>
              <w:rPr>
                <w:sz w:val="18"/>
                <w:szCs w:val="18"/>
              </w:rPr>
            </w:pPr>
            <w:r w:rsidRPr="00772B9C">
              <w:rPr>
                <w:sz w:val="18"/>
                <w:szCs w:val="18"/>
              </w:rPr>
              <w:t>Nadogradnja sustava</w:t>
            </w:r>
            <w:r>
              <w:rPr>
                <w:sz w:val="18"/>
                <w:szCs w:val="18"/>
              </w:rPr>
              <w:t xml:space="preserve"> HeAL (HALMED aplikacije za lijekove), moduli</w:t>
            </w:r>
            <w:r w:rsidRPr="00772B9C">
              <w:rPr>
                <w:sz w:val="18"/>
                <w:szCs w:val="18"/>
              </w:rPr>
              <w:t xml:space="preserve"> </w:t>
            </w:r>
            <w:r>
              <w:rPr>
                <w:sz w:val="18"/>
                <w:szCs w:val="18"/>
              </w:rPr>
              <w:t>N</w:t>
            </w:r>
            <w:r w:rsidRPr="00772B9C">
              <w:rPr>
                <w:sz w:val="18"/>
                <w:szCs w:val="18"/>
              </w:rPr>
              <w:t xml:space="preserve">acionalni registar lijekova (NRL), </w:t>
            </w:r>
            <w:r>
              <w:rPr>
                <w:sz w:val="18"/>
                <w:szCs w:val="18"/>
              </w:rPr>
              <w:t>P</w:t>
            </w:r>
            <w:r w:rsidRPr="00772B9C">
              <w:rPr>
                <w:sz w:val="18"/>
                <w:szCs w:val="18"/>
              </w:rPr>
              <w:t>rovjer</w:t>
            </w:r>
            <w:r>
              <w:rPr>
                <w:sz w:val="18"/>
                <w:szCs w:val="18"/>
              </w:rPr>
              <w:t>a</w:t>
            </w:r>
            <w:r w:rsidRPr="00772B9C">
              <w:rPr>
                <w:sz w:val="18"/>
                <w:szCs w:val="18"/>
              </w:rPr>
              <w:t xml:space="preserve"> kakvoće lijeka (PKL) i </w:t>
            </w:r>
            <w:r>
              <w:rPr>
                <w:sz w:val="18"/>
                <w:szCs w:val="18"/>
              </w:rPr>
              <w:t>F</w:t>
            </w:r>
            <w:r w:rsidRPr="00772B9C">
              <w:rPr>
                <w:sz w:val="18"/>
                <w:szCs w:val="18"/>
              </w:rPr>
              <w:t>armakovigilancij</w:t>
            </w:r>
            <w:r>
              <w:rPr>
                <w:sz w:val="18"/>
                <w:szCs w:val="18"/>
              </w:rPr>
              <w:t>ski postupci</w:t>
            </w:r>
            <w:r w:rsidRPr="00772B9C">
              <w:rPr>
                <w:sz w:val="18"/>
                <w:szCs w:val="18"/>
              </w:rPr>
              <w:t xml:space="preserve"> (PhV)</w:t>
            </w:r>
          </w:p>
        </w:tc>
      </w:tr>
      <w:tr w:rsidR="00961D73" w:rsidRPr="00772B9C" w14:paraId="6D5F5857" w14:textId="77777777" w:rsidTr="00BA499D">
        <w:trPr>
          <w:trHeight w:val="511"/>
        </w:trPr>
        <w:tc>
          <w:tcPr>
            <w:tcW w:w="2268" w:type="dxa"/>
            <w:vAlign w:val="center"/>
          </w:tcPr>
          <w:p w14:paraId="68C0070F" w14:textId="77777777" w:rsidR="00961D73" w:rsidRPr="00772B9C" w:rsidRDefault="00961D73" w:rsidP="00BA499D">
            <w:pPr>
              <w:jc w:val="both"/>
              <w:rPr>
                <w:sz w:val="18"/>
                <w:szCs w:val="18"/>
              </w:rPr>
            </w:pPr>
            <w:r w:rsidRPr="00772B9C">
              <w:rPr>
                <w:sz w:val="18"/>
                <w:szCs w:val="18"/>
              </w:rPr>
              <w:t xml:space="preserve">Vlasnici projekta: </w:t>
            </w:r>
          </w:p>
        </w:tc>
        <w:tc>
          <w:tcPr>
            <w:tcW w:w="6657" w:type="dxa"/>
            <w:vAlign w:val="center"/>
          </w:tcPr>
          <w:p w14:paraId="29DBB945" w14:textId="77777777" w:rsidR="00961D73" w:rsidRPr="00772B9C" w:rsidRDefault="00961D73" w:rsidP="00BA499D">
            <w:pPr>
              <w:rPr>
                <w:sz w:val="18"/>
                <w:szCs w:val="18"/>
              </w:rPr>
            </w:pPr>
            <w:r w:rsidRPr="00772B9C">
              <w:rPr>
                <w:sz w:val="18"/>
                <w:szCs w:val="18"/>
              </w:rPr>
              <w:t xml:space="preserve">Odjel za odobravanje lijekova, Odjel službenog laboratorija za provjeru lijekova – OMCL  i   Odsjek za farmakovigilanciju i  racionalnu farmakoterapiju </w:t>
            </w:r>
          </w:p>
        </w:tc>
      </w:tr>
      <w:tr w:rsidR="00961D73" w:rsidRPr="00772B9C" w14:paraId="09EDA461" w14:textId="77777777" w:rsidTr="00BA499D">
        <w:trPr>
          <w:trHeight w:val="424"/>
        </w:trPr>
        <w:tc>
          <w:tcPr>
            <w:tcW w:w="2268" w:type="dxa"/>
            <w:vAlign w:val="center"/>
          </w:tcPr>
          <w:p w14:paraId="7DCCFE5C" w14:textId="77777777" w:rsidR="00961D73" w:rsidRPr="00772B9C" w:rsidRDefault="00961D73" w:rsidP="00BA499D">
            <w:pPr>
              <w:jc w:val="both"/>
              <w:rPr>
                <w:sz w:val="18"/>
                <w:szCs w:val="18"/>
              </w:rPr>
            </w:pPr>
            <w:r w:rsidRPr="00772B9C">
              <w:rPr>
                <w:sz w:val="18"/>
                <w:szCs w:val="18"/>
              </w:rPr>
              <w:t>Vrijeme realizacije</w:t>
            </w:r>
            <w:r>
              <w:rPr>
                <w:sz w:val="18"/>
                <w:szCs w:val="18"/>
              </w:rPr>
              <w:t xml:space="preserve"> tekućeg projekta</w:t>
            </w:r>
            <w:r w:rsidRPr="00772B9C">
              <w:rPr>
                <w:sz w:val="18"/>
                <w:szCs w:val="18"/>
              </w:rPr>
              <w:t>:</w:t>
            </w:r>
          </w:p>
        </w:tc>
        <w:tc>
          <w:tcPr>
            <w:tcW w:w="6657" w:type="dxa"/>
            <w:vAlign w:val="center"/>
          </w:tcPr>
          <w:p w14:paraId="3C46F9E5" w14:textId="77777777" w:rsidR="00961D73" w:rsidRPr="00772B9C" w:rsidRDefault="00961D73" w:rsidP="00BA499D">
            <w:pPr>
              <w:jc w:val="both"/>
              <w:rPr>
                <w:sz w:val="18"/>
                <w:szCs w:val="18"/>
              </w:rPr>
            </w:pPr>
            <w:r>
              <w:rPr>
                <w:sz w:val="18"/>
                <w:szCs w:val="18"/>
              </w:rPr>
              <w:t>7.2023</w:t>
            </w:r>
            <w:r w:rsidRPr="00772B9C">
              <w:rPr>
                <w:sz w:val="18"/>
                <w:szCs w:val="18"/>
              </w:rPr>
              <w:t>. – 7.202</w:t>
            </w:r>
            <w:r>
              <w:rPr>
                <w:sz w:val="18"/>
                <w:szCs w:val="18"/>
              </w:rPr>
              <w:t>4</w:t>
            </w:r>
            <w:r w:rsidRPr="00772B9C">
              <w:rPr>
                <w:sz w:val="18"/>
                <w:szCs w:val="18"/>
              </w:rPr>
              <w:t>.</w:t>
            </w:r>
          </w:p>
        </w:tc>
      </w:tr>
      <w:tr w:rsidR="00961D73" w:rsidRPr="00772B9C" w14:paraId="32B9C798" w14:textId="77777777" w:rsidTr="00BA499D">
        <w:trPr>
          <w:trHeight w:val="414"/>
        </w:trPr>
        <w:tc>
          <w:tcPr>
            <w:tcW w:w="2268" w:type="dxa"/>
            <w:vAlign w:val="center"/>
          </w:tcPr>
          <w:p w14:paraId="7CC7DD13" w14:textId="77777777" w:rsidR="00961D73" w:rsidRPr="00772B9C" w:rsidRDefault="00961D73" w:rsidP="00BA499D">
            <w:pPr>
              <w:jc w:val="both"/>
              <w:rPr>
                <w:sz w:val="18"/>
                <w:szCs w:val="18"/>
              </w:rPr>
            </w:pPr>
            <w:r w:rsidRPr="00772B9C">
              <w:rPr>
                <w:sz w:val="18"/>
                <w:szCs w:val="18"/>
              </w:rPr>
              <w:t xml:space="preserve">Sredstva: </w:t>
            </w:r>
          </w:p>
        </w:tc>
        <w:tc>
          <w:tcPr>
            <w:tcW w:w="6657" w:type="dxa"/>
            <w:vAlign w:val="center"/>
          </w:tcPr>
          <w:p w14:paraId="1A7918D1" w14:textId="77777777" w:rsidR="00961D73" w:rsidRPr="00772B9C" w:rsidRDefault="00961D73" w:rsidP="00BA499D">
            <w:pPr>
              <w:jc w:val="both"/>
              <w:rPr>
                <w:sz w:val="18"/>
                <w:szCs w:val="18"/>
              </w:rPr>
            </w:pPr>
            <w:r w:rsidRPr="00E31594">
              <w:rPr>
                <w:sz w:val="18"/>
                <w:szCs w:val="18"/>
              </w:rPr>
              <w:t>222.960</w:t>
            </w:r>
            <w:r>
              <w:rPr>
                <w:sz w:val="18"/>
                <w:szCs w:val="18"/>
              </w:rPr>
              <w:t xml:space="preserve"> eura</w:t>
            </w:r>
          </w:p>
        </w:tc>
      </w:tr>
      <w:tr w:rsidR="00961D73" w:rsidRPr="00772B9C" w14:paraId="20360231" w14:textId="77777777" w:rsidTr="00BA499D">
        <w:trPr>
          <w:trHeight w:val="420"/>
        </w:trPr>
        <w:tc>
          <w:tcPr>
            <w:tcW w:w="2268" w:type="dxa"/>
            <w:vAlign w:val="center"/>
          </w:tcPr>
          <w:p w14:paraId="1C2AD881" w14:textId="77777777" w:rsidR="00961D73" w:rsidRPr="00772B9C" w:rsidRDefault="00961D73" w:rsidP="00BA499D">
            <w:pPr>
              <w:jc w:val="both"/>
              <w:rPr>
                <w:sz w:val="18"/>
                <w:szCs w:val="18"/>
              </w:rPr>
            </w:pPr>
            <w:r w:rsidRPr="00772B9C">
              <w:rPr>
                <w:sz w:val="18"/>
                <w:szCs w:val="18"/>
              </w:rPr>
              <w:t>Voditelj projekta:</w:t>
            </w:r>
          </w:p>
        </w:tc>
        <w:tc>
          <w:tcPr>
            <w:tcW w:w="6657" w:type="dxa"/>
            <w:vAlign w:val="center"/>
          </w:tcPr>
          <w:p w14:paraId="32C08EE0" w14:textId="77777777" w:rsidR="00961D73" w:rsidRPr="00772B9C" w:rsidRDefault="00961D73" w:rsidP="00BA499D">
            <w:pPr>
              <w:jc w:val="both"/>
              <w:rPr>
                <w:sz w:val="18"/>
                <w:szCs w:val="18"/>
              </w:rPr>
            </w:pPr>
            <w:r>
              <w:rPr>
                <w:sz w:val="18"/>
                <w:szCs w:val="18"/>
              </w:rPr>
              <w:t xml:space="preserve">Sanja Grčić Plečko, </w:t>
            </w:r>
            <w:r w:rsidRPr="00772B9C">
              <w:rPr>
                <w:sz w:val="18"/>
                <w:szCs w:val="18"/>
              </w:rPr>
              <w:t>zamjena</w:t>
            </w:r>
            <w:r>
              <w:rPr>
                <w:sz w:val="18"/>
                <w:szCs w:val="18"/>
              </w:rPr>
              <w:t>:</w:t>
            </w:r>
            <w:r w:rsidRPr="00772B9C">
              <w:rPr>
                <w:sz w:val="18"/>
                <w:szCs w:val="18"/>
              </w:rPr>
              <w:t xml:space="preserve"> Maja Fatiga</w:t>
            </w:r>
          </w:p>
        </w:tc>
      </w:tr>
      <w:tr w:rsidR="00961D73" w:rsidRPr="00772B9C" w14:paraId="67634C4F" w14:textId="77777777" w:rsidTr="00BA499D">
        <w:tc>
          <w:tcPr>
            <w:tcW w:w="2268" w:type="dxa"/>
            <w:vAlign w:val="center"/>
          </w:tcPr>
          <w:p w14:paraId="52FECAF8" w14:textId="77777777" w:rsidR="00961D73" w:rsidRPr="00772B9C" w:rsidRDefault="00961D73" w:rsidP="00BA499D">
            <w:pPr>
              <w:rPr>
                <w:sz w:val="18"/>
                <w:szCs w:val="18"/>
              </w:rPr>
            </w:pPr>
            <w:r w:rsidRPr="00772B9C">
              <w:rPr>
                <w:sz w:val="18"/>
                <w:szCs w:val="18"/>
              </w:rPr>
              <w:t xml:space="preserve">Projektni tim: </w:t>
            </w:r>
          </w:p>
        </w:tc>
        <w:tc>
          <w:tcPr>
            <w:tcW w:w="6657" w:type="dxa"/>
            <w:vAlign w:val="center"/>
          </w:tcPr>
          <w:p w14:paraId="13BD7CA4" w14:textId="77777777" w:rsidR="00961D73" w:rsidRPr="00772B9C" w:rsidRDefault="00961D73" w:rsidP="00BA499D">
            <w:pPr>
              <w:rPr>
                <w:sz w:val="18"/>
                <w:szCs w:val="18"/>
              </w:rPr>
            </w:pPr>
            <w:r>
              <w:rPr>
                <w:sz w:val="18"/>
                <w:szCs w:val="18"/>
              </w:rPr>
              <w:t xml:space="preserve">NRL tim, Danijela Mikulčić, Jasna Ikić Komesar, Barbara </w:t>
            </w:r>
            <w:r w:rsidRPr="00521E73">
              <w:rPr>
                <w:sz w:val="18"/>
                <w:szCs w:val="18"/>
              </w:rPr>
              <w:t>Kovačić Bytyqi</w:t>
            </w:r>
            <w:r>
              <w:rPr>
                <w:sz w:val="18"/>
                <w:szCs w:val="18"/>
              </w:rPr>
              <w:t xml:space="preserve">, </w:t>
            </w:r>
            <w:r w:rsidRPr="00772B9C">
              <w:rPr>
                <w:sz w:val="18"/>
                <w:szCs w:val="18"/>
              </w:rPr>
              <w:t>Dubravka Sudić</w:t>
            </w:r>
          </w:p>
        </w:tc>
      </w:tr>
      <w:tr w:rsidR="00961D73" w:rsidRPr="00772B9C" w14:paraId="00FBF6B7" w14:textId="77777777" w:rsidTr="00BA499D">
        <w:tc>
          <w:tcPr>
            <w:tcW w:w="2268" w:type="dxa"/>
            <w:vAlign w:val="center"/>
          </w:tcPr>
          <w:p w14:paraId="67735D65" w14:textId="77777777" w:rsidR="00961D73" w:rsidRPr="00772B9C" w:rsidRDefault="00961D73" w:rsidP="00BA499D">
            <w:pPr>
              <w:jc w:val="both"/>
              <w:rPr>
                <w:sz w:val="18"/>
                <w:szCs w:val="18"/>
              </w:rPr>
            </w:pPr>
            <w:r w:rsidRPr="00772B9C">
              <w:rPr>
                <w:sz w:val="18"/>
                <w:szCs w:val="18"/>
              </w:rPr>
              <w:t xml:space="preserve">Status: </w:t>
            </w:r>
          </w:p>
        </w:tc>
        <w:tc>
          <w:tcPr>
            <w:tcW w:w="6657" w:type="dxa"/>
            <w:vAlign w:val="center"/>
          </w:tcPr>
          <w:p w14:paraId="4FD2DEB5" w14:textId="69643598" w:rsidR="00961D73" w:rsidRDefault="00961D73" w:rsidP="00BA499D">
            <w:pPr>
              <w:jc w:val="both"/>
              <w:rPr>
                <w:color w:val="000000" w:themeColor="text1"/>
                <w:sz w:val="18"/>
                <w:szCs w:val="18"/>
              </w:rPr>
            </w:pPr>
            <w:r>
              <w:rPr>
                <w:color w:val="000000" w:themeColor="text1"/>
                <w:sz w:val="18"/>
                <w:szCs w:val="18"/>
              </w:rPr>
              <w:t xml:space="preserve">Sklopljen je </w:t>
            </w:r>
            <w:r w:rsidRPr="00064909">
              <w:rPr>
                <w:color w:val="000000" w:themeColor="text1"/>
                <w:sz w:val="18"/>
                <w:szCs w:val="18"/>
              </w:rPr>
              <w:t>aneks</w:t>
            </w:r>
            <w:r>
              <w:rPr>
                <w:color w:val="000000" w:themeColor="text1"/>
                <w:sz w:val="18"/>
                <w:szCs w:val="18"/>
              </w:rPr>
              <w:t xml:space="preserve"> Ugovora s izmjenom roka </w:t>
            </w:r>
            <w:r w:rsidRPr="00064909">
              <w:rPr>
                <w:color w:val="000000" w:themeColor="text1"/>
                <w:sz w:val="18"/>
                <w:szCs w:val="18"/>
              </w:rPr>
              <w:t>završetka u dijelu koji se odnosi na nadogradnje funkcionalnosti i adaptivne sate, u trajanju od tri mjeseca</w:t>
            </w:r>
            <w:r w:rsidR="00F97B83">
              <w:rPr>
                <w:color w:val="000000" w:themeColor="text1"/>
                <w:sz w:val="18"/>
                <w:szCs w:val="18"/>
              </w:rPr>
              <w:t xml:space="preserve"> s</w:t>
            </w:r>
            <w:r w:rsidRPr="00064909">
              <w:rPr>
                <w:color w:val="000000" w:themeColor="text1"/>
                <w:sz w:val="18"/>
                <w:szCs w:val="18"/>
              </w:rPr>
              <w:t xml:space="preserve"> </w:t>
            </w:r>
            <w:r>
              <w:rPr>
                <w:color w:val="000000" w:themeColor="text1"/>
                <w:sz w:val="18"/>
                <w:szCs w:val="18"/>
              </w:rPr>
              <w:t xml:space="preserve">obzirom da je došlo do izmjena u </w:t>
            </w:r>
            <w:r w:rsidRPr="00064909">
              <w:rPr>
                <w:color w:val="000000" w:themeColor="text1"/>
                <w:sz w:val="18"/>
                <w:szCs w:val="18"/>
              </w:rPr>
              <w:t>implementaciji ISO IDM</w:t>
            </w:r>
            <w:r>
              <w:rPr>
                <w:color w:val="000000" w:themeColor="text1"/>
                <w:sz w:val="18"/>
                <w:szCs w:val="18"/>
              </w:rPr>
              <w:t>P normi o podacima o lijeku.</w:t>
            </w:r>
            <w:r w:rsidRPr="00064909">
              <w:rPr>
                <w:color w:val="000000" w:themeColor="text1"/>
                <w:sz w:val="18"/>
                <w:szCs w:val="18"/>
              </w:rPr>
              <w:t xml:space="preserve"> Navedene izmjene zahtijevale su neplanirane promjene u arhitekturi baze podataka sustava NRL i </w:t>
            </w:r>
            <w:r>
              <w:rPr>
                <w:color w:val="000000" w:themeColor="text1"/>
                <w:sz w:val="18"/>
                <w:szCs w:val="18"/>
              </w:rPr>
              <w:t xml:space="preserve">servisa prma </w:t>
            </w:r>
            <w:r w:rsidRPr="00064909">
              <w:rPr>
                <w:color w:val="000000" w:themeColor="text1"/>
                <w:sz w:val="18"/>
                <w:szCs w:val="18"/>
              </w:rPr>
              <w:t xml:space="preserve">RMS (Referential Management Services) šifrarnicima standardiziranih pojmova, koje su bili preduvjet za nastavak ostalih planiranih izmjena i nadogradnji sustava.  </w:t>
            </w:r>
          </w:p>
          <w:p w14:paraId="67B6989F" w14:textId="289667E5" w:rsidR="00961D73" w:rsidRDefault="00961D73" w:rsidP="00BA499D">
            <w:pPr>
              <w:jc w:val="both"/>
              <w:rPr>
                <w:color w:val="000000" w:themeColor="text1"/>
                <w:sz w:val="18"/>
                <w:szCs w:val="18"/>
              </w:rPr>
            </w:pPr>
            <w:r>
              <w:rPr>
                <w:color w:val="000000" w:themeColor="text1"/>
                <w:sz w:val="18"/>
                <w:szCs w:val="18"/>
              </w:rPr>
              <w:t>Proveden je postupak javne nabave za novi ciklus nadogradnji i održavanja sustava (</w:t>
            </w:r>
            <w:r w:rsidR="00F97B83">
              <w:rPr>
                <w:color w:val="000000" w:themeColor="text1"/>
                <w:sz w:val="18"/>
                <w:szCs w:val="18"/>
              </w:rPr>
              <w:t xml:space="preserve">od 7.2023. do </w:t>
            </w:r>
            <w:r>
              <w:rPr>
                <w:color w:val="000000" w:themeColor="text1"/>
                <w:sz w:val="18"/>
                <w:szCs w:val="18"/>
              </w:rPr>
              <w:t xml:space="preserve">7.2024.) u sklopu kojega su izvršene druga i treća faza nadogradnje vezane uz rekonstrukciju modela podataka o lijeku, financirane iz sredstava projekta UNICOM. U sklopu tih faza </w:t>
            </w:r>
            <w:r w:rsidR="00F97B83">
              <w:rPr>
                <w:color w:val="000000" w:themeColor="text1"/>
                <w:sz w:val="18"/>
                <w:szCs w:val="18"/>
              </w:rPr>
              <w:t xml:space="preserve">izvršena </w:t>
            </w:r>
            <w:r>
              <w:rPr>
                <w:color w:val="000000" w:themeColor="text1"/>
                <w:sz w:val="18"/>
                <w:szCs w:val="18"/>
              </w:rPr>
              <w:t xml:space="preserve">je rekonstrukcija baze podataka u skladu s ISO IDMP standardom i </w:t>
            </w:r>
            <w:r w:rsidRPr="00254B7B">
              <w:rPr>
                <w:color w:val="000000" w:themeColor="text1"/>
                <w:sz w:val="18"/>
                <w:szCs w:val="18"/>
              </w:rPr>
              <w:t>EU IDMP Implementation Guide (EU IG)</w:t>
            </w:r>
            <w:r>
              <w:rPr>
                <w:color w:val="000000" w:themeColor="text1"/>
                <w:sz w:val="18"/>
                <w:szCs w:val="18"/>
              </w:rPr>
              <w:t xml:space="preserve"> u dijelu podataka o pakiranjima te je u korisničkom sučelju napravljena nova kartica za upis i pregled podataka. </w:t>
            </w:r>
          </w:p>
          <w:p w14:paraId="630A07EB" w14:textId="4E685108" w:rsidR="00961D73" w:rsidRDefault="00961D73" w:rsidP="00BA499D">
            <w:pPr>
              <w:jc w:val="both"/>
              <w:rPr>
                <w:color w:val="000000" w:themeColor="text1"/>
                <w:sz w:val="18"/>
                <w:szCs w:val="18"/>
              </w:rPr>
            </w:pPr>
            <w:r>
              <w:rPr>
                <w:color w:val="000000" w:themeColor="text1"/>
                <w:sz w:val="18"/>
                <w:szCs w:val="18"/>
              </w:rPr>
              <w:t>Izrađeni su se</w:t>
            </w:r>
            <w:r w:rsidR="00F97B83">
              <w:rPr>
                <w:color w:val="000000" w:themeColor="text1"/>
                <w:sz w:val="18"/>
                <w:szCs w:val="18"/>
              </w:rPr>
              <w:t>rvisi za slanje podataka o lijek</w:t>
            </w:r>
            <w:r>
              <w:rPr>
                <w:color w:val="000000" w:themeColor="text1"/>
                <w:sz w:val="18"/>
                <w:szCs w:val="18"/>
              </w:rPr>
              <w:t xml:space="preserve">ovima u sustav eLijekovi te su </w:t>
            </w:r>
            <w:r w:rsidR="00F97B83">
              <w:rPr>
                <w:color w:val="000000" w:themeColor="text1"/>
                <w:sz w:val="18"/>
                <w:szCs w:val="18"/>
              </w:rPr>
              <w:t xml:space="preserve">izrađeni </w:t>
            </w:r>
            <w:r>
              <w:rPr>
                <w:color w:val="000000" w:themeColor="text1"/>
                <w:sz w:val="18"/>
                <w:szCs w:val="18"/>
              </w:rPr>
              <w:t xml:space="preserve"> mehanizmi i kontrole za automa</w:t>
            </w:r>
            <w:r w:rsidR="00F97B83">
              <w:rPr>
                <w:color w:val="000000" w:themeColor="text1"/>
                <w:sz w:val="18"/>
                <w:szCs w:val="18"/>
              </w:rPr>
              <w:t>t</w:t>
            </w:r>
            <w:r>
              <w:rPr>
                <w:color w:val="000000" w:themeColor="text1"/>
                <w:sz w:val="18"/>
                <w:szCs w:val="18"/>
              </w:rPr>
              <w:t>sko slanje svih promjena na lijekovima kao i pojedinačno slanje pojdinog lijeka. Nadograđen je sustav novim funkcionalnostima na razini pakiranja</w:t>
            </w:r>
            <w:r w:rsidR="00F97B83">
              <w:rPr>
                <w:color w:val="000000" w:themeColor="text1"/>
                <w:sz w:val="18"/>
                <w:szCs w:val="18"/>
              </w:rPr>
              <w:t xml:space="preserve"> lijeka</w:t>
            </w:r>
            <w:r>
              <w:rPr>
                <w:color w:val="000000" w:themeColor="text1"/>
                <w:sz w:val="18"/>
                <w:szCs w:val="18"/>
              </w:rPr>
              <w:t xml:space="preserve"> te omogućen unos i praćenje podataka u statusu pakiranja lijeka na tržištu, nestašica i prekida opskrbe.</w:t>
            </w:r>
          </w:p>
          <w:p w14:paraId="12DE9B64" w14:textId="77777777" w:rsidR="00961D73" w:rsidRPr="00FA45A3" w:rsidRDefault="00961D73" w:rsidP="00BA499D">
            <w:pPr>
              <w:jc w:val="both"/>
              <w:rPr>
                <w:color w:val="000000" w:themeColor="text1"/>
                <w:sz w:val="18"/>
                <w:szCs w:val="18"/>
              </w:rPr>
            </w:pPr>
            <w:r w:rsidRPr="000F264B">
              <w:rPr>
                <w:color w:val="000000" w:themeColor="text1"/>
                <w:sz w:val="18"/>
                <w:szCs w:val="18"/>
              </w:rPr>
              <w:t xml:space="preserve">Paralelno se radilo na zamjeni sustava EURS </w:t>
            </w:r>
            <w:r>
              <w:rPr>
                <w:color w:val="000000" w:themeColor="text1"/>
                <w:sz w:val="18"/>
                <w:szCs w:val="18"/>
              </w:rPr>
              <w:t xml:space="preserve">za pregled dokumentacije o lijeku u eCTD formatu </w:t>
            </w:r>
            <w:r w:rsidRPr="000F264B">
              <w:rPr>
                <w:color w:val="000000" w:themeColor="text1"/>
                <w:sz w:val="18"/>
                <w:szCs w:val="18"/>
              </w:rPr>
              <w:t>novom web baziranom inačicom</w:t>
            </w:r>
            <w:r>
              <w:rPr>
                <w:color w:val="000000" w:themeColor="text1"/>
                <w:sz w:val="18"/>
                <w:szCs w:val="18"/>
              </w:rPr>
              <w:t>:</w:t>
            </w:r>
            <w:r w:rsidRPr="000F264B">
              <w:rPr>
                <w:color w:val="000000" w:themeColor="text1"/>
                <w:sz w:val="18"/>
                <w:szCs w:val="18"/>
              </w:rPr>
              <w:t xml:space="preserve"> EURSNext. EURS aplikacija je ažurirana na zadnju verziju, a baza preseljena na novi, zasebni server te je instalirano okruženje za EURSNext testnu i produkcijsku okolinu. Aplikacija je u fazi </w:t>
            </w:r>
            <w:r>
              <w:rPr>
                <w:color w:val="000000" w:themeColor="text1"/>
                <w:sz w:val="18"/>
                <w:szCs w:val="18"/>
              </w:rPr>
              <w:t>paralelnog rada</w:t>
            </w:r>
            <w:r w:rsidRPr="000F264B">
              <w:rPr>
                <w:color w:val="000000" w:themeColor="text1"/>
                <w:sz w:val="18"/>
                <w:szCs w:val="18"/>
              </w:rPr>
              <w:t>,</w:t>
            </w:r>
            <w:r>
              <w:rPr>
                <w:color w:val="000000" w:themeColor="text1"/>
                <w:sz w:val="18"/>
                <w:szCs w:val="18"/>
              </w:rPr>
              <w:t xml:space="preserve"> što znači da svaki korisnik može izabrati hoće li koristiti stari ili novi sustav, </w:t>
            </w:r>
            <w:r w:rsidRPr="000F264B">
              <w:rPr>
                <w:color w:val="000000" w:themeColor="text1"/>
                <w:sz w:val="18"/>
                <w:szCs w:val="18"/>
              </w:rPr>
              <w:t xml:space="preserve">kako </w:t>
            </w:r>
            <w:r>
              <w:rPr>
                <w:color w:val="000000" w:themeColor="text1"/>
                <w:sz w:val="18"/>
                <w:szCs w:val="18"/>
              </w:rPr>
              <w:t xml:space="preserve">na razini </w:t>
            </w:r>
            <w:r w:rsidRPr="000F264B">
              <w:rPr>
                <w:color w:val="000000" w:themeColor="text1"/>
                <w:sz w:val="18"/>
                <w:szCs w:val="18"/>
              </w:rPr>
              <w:t xml:space="preserve">sučelja tako i </w:t>
            </w:r>
            <w:r>
              <w:rPr>
                <w:color w:val="000000" w:themeColor="text1"/>
                <w:sz w:val="18"/>
                <w:szCs w:val="18"/>
              </w:rPr>
              <w:t xml:space="preserve">putem </w:t>
            </w:r>
            <w:r w:rsidRPr="000F264B">
              <w:rPr>
                <w:color w:val="000000" w:themeColor="text1"/>
                <w:sz w:val="18"/>
                <w:szCs w:val="18"/>
              </w:rPr>
              <w:t xml:space="preserve">poveznica za automatsko otvaranje iz postupaka aplikacije NRL. </w:t>
            </w:r>
            <w:r>
              <w:rPr>
                <w:color w:val="000000" w:themeColor="text1"/>
                <w:sz w:val="18"/>
                <w:szCs w:val="18"/>
              </w:rPr>
              <w:t>Navedeno omogućava usporedbu ispravnosti i brzine izvedbe funkcionalnosti te dodatne provjere ispravnosti migracije podataka iz starog sustava u novi.</w:t>
            </w:r>
          </w:p>
        </w:tc>
      </w:tr>
    </w:tbl>
    <w:p w14:paraId="5D348479" w14:textId="77777777" w:rsidR="00961D73" w:rsidRPr="00772B9C" w:rsidRDefault="00961D73" w:rsidP="00961D73">
      <w:pPr>
        <w:spacing w:line="276" w:lineRule="auto"/>
        <w:jc w:val="both"/>
        <w:rPr>
          <w:rFonts w:eastAsia="Times New Roman" w:cstheme="minorHAnsi"/>
          <w:sz w:val="18"/>
          <w:szCs w:val="18"/>
        </w:rPr>
      </w:pPr>
    </w:p>
    <w:tbl>
      <w:tblPr>
        <w:tblStyle w:val="TableGrid"/>
        <w:tblW w:w="8930" w:type="dxa"/>
        <w:tblInd w:w="137" w:type="dxa"/>
        <w:tblLook w:val="04A0" w:firstRow="1" w:lastRow="0" w:firstColumn="1" w:lastColumn="0" w:noHBand="0" w:noVBand="1"/>
      </w:tblPr>
      <w:tblGrid>
        <w:gridCol w:w="2268"/>
        <w:gridCol w:w="6662"/>
      </w:tblGrid>
      <w:tr w:rsidR="00961D73" w:rsidRPr="00772B9C" w14:paraId="1831273E" w14:textId="77777777" w:rsidTr="00BA499D">
        <w:trPr>
          <w:trHeight w:val="670"/>
        </w:trPr>
        <w:tc>
          <w:tcPr>
            <w:tcW w:w="2268" w:type="dxa"/>
            <w:shd w:val="clear" w:color="auto" w:fill="A3E7FF"/>
            <w:vAlign w:val="center"/>
          </w:tcPr>
          <w:p w14:paraId="42CB066D" w14:textId="77777777" w:rsidR="00961D73" w:rsidRPr="00772B9C" w:rsidRDefault="00961D73" w:rsidP="00BA499D">
            <w:pPr>
              <w:jc w:val="both"/>
              <w:rPr>
                <w:sz w:val="18"/>
                <w:szCs w:val="18"/>
              </w:rPr>
            </w:pPr>
            <w:r w:rsidRPr="00772B9C">
              <w:rPr>
                <w:sz w:val="18"/>
                <w:szCs w:val="18"/>
              </w:rPr>
              <w:lastRenderedPageBreak/>
              <w:t xml:space="preserve">Naziv : </w:t>
            </w:r>
          </w:p>
        </w:tc>
        <w:tc>
          <w:tcPr>
            <w:tcW w:w="6662" w:type="dxa"/>
            <w:shd w:val="clear" w:color="auto" w:fill="A3E7FF"/>
            <w:vAlign w:val="center"/>
          </w:tcPr>
          <w:p w14:paraId="01C25B31" w14:textId="77777777" w:rsidR="00961D73" w:rsidRPr="00772B9C" w:rsidRDefault="00961D73" w:rsidP="00BA499D">
            <w:pPr>
              <w:jc w:val="both"/>
              <w:rPr>
                <w:sz w:val="18"/>
                <w:szCs w:val="18"/>
              </w:rPr>
            </w:pPr>
            <w:r w:rsidRPr="00772B9C">
              <w:rPr>
                <w:sz w:val="18"/>
                <w:szCs w:val="18"/>
              </w:rPr>
              <w:t>Nadogradnja sustava za poslove Odjel za sigurnu primjenu lijekova i medicinskih proizvoda (OLIMP) IS OLIMP</w:t>
            </w:r>
          </w:p>
        </w:tc>
      </w:tr>
      <w:tr w:rsidR="00961D73" w:rsidRPr="00772B9C" w14:paraId="6633E25C" w14:textId="77777777" w:rsidTr="00BA499D">
        <w:trPr>
          <w:trHeight w:val="412"/>
        </w:trPr>
        <w:tc>
          <w:tcPr>
            <w:tcW w:w="2268" w:type="dxa"/>
            <w:vAlign w:val="center"/>
          </w:tcPr>
          <w:p w14:paraId="30BB3118" w14:textId="77777777" w:rsidR="00961D73" w:rsidRPr="00772B9C" w:rsidRDefault="00961D73" w:rsidP="00BA499D">
            <w:pPr>
              <w:jc w:val="both"/>
              <w:rPr>
                <w:sz w:val="18"/>
                <w:szCs w:val="18"/>
              </w:rPr>
            </w:pPr>
            <w:r w:rsidRPr="00772B9C">
              <w:rPr>
                <w:sz w:val="18"/>
                <w:szCs w:val="18"/>
              </w:rPr>
              <w:t xml:space="preserve">Vlasnik projekta: </w:t>
            </w:r>
          </w:p>
        </w:tc>
        <w:tc>
          <w:tcPr>
            <w:tcW w:w="6662" w:type="dxa"/>
            <w:vAlign w:val="center"/>
          </w:tcPr>
          <w:p w14:paraId="18573FB6" w14:textId="77777777" w:rsidR="00961D73" w:rsidRPr="00772B9C" w:rsidRDefault="00961D73" w:rsidP="00BA499D">
            <w:pPr>
              <w:jc w:val="both"/>
              <w:rPr>
                <w:sz w:val="18"/>
                <w:szCs w:val="18"/>
              </w:rPr>
            </w:pPr>
            <w:r>
              <w:rPr>
                <w:sz w:val="18"/>
                <w:szCs w:val="18"/>
              </w:rPr>
              <w:t xml:space="preserve">Odsjek za medicinske proizvode, Odsjek za inspekcijske poslove, Odsjek za dostupnost lijekova </w:t>
            </w:r>
          </w:p>
        </w:tc>
      </w:tr>
      <w:tr w:rsidR="00961D73" w:rsidRPr="00772B9C" w14:paraId="48C36A55" w14:textId="77777777" w:rsidTr="00BA499D">
        <w:tc>
          <w:tcPr>
            <w:tcW w:w="2268" w:type="dxa"/>
            <w:vAlign w:val="center"/>
          </w:tcPr>
          <w:p w14:paraId="6F7FDAEE" w14:textId="77777777" w:rsidR="00961D73" w:rsidRPr="00772B9C" w:rsidRDefault="00961D73" w:rsidP="00BA499D">
            <w:pPr>
              <w:jc w:val="both"/>
              <w:rPr>
                <w:sz w:val="18"/>
                <w:szCs w:val="18"/>
              </w:rPr>
            </w:pPr>
            <w:r w:rsidRPr="00772B9C">
              <w:rPr>
                <w:sz w:val="18"/>
                <w:szCs w:val="18"/>
              </w:rPr>
              <w:t>Vrijeme realizacije</w:t>
            </w:r>
            <w:r>
              <w:rPr>
                <w:sz w:val="18"/>
                <w:szCs w:val="18"/>
              </w:rPr>
              <w:t xml:space="preserve"> tekućeg projekta</w:t>
            </w:r>
            <w:r w:rsidRPr="00772B9C">
              <w:rPr>
                <w:sz w:val="18"/>
                <w:szCs w:val="18"/>
              </w:rPr>
              <w:t>:</w:t>
            </w:r>
          </w:p>
        </w:tc>
        <w:tc>
          <w:tcPr>
            <w:tcW w:w="6662" w:type="dxa"/>
            <w:vAlign w:val="center"/>
          </w:tcPr>
          <w:p w14:paraId="16FED1CD" w14:textId="77777777" w:rsidR="00961D73" w:rsidRPr="00772B9C" w:rsidRDefault="00961D73" w:rsidP="00BA499D">
            <w:pPr>
              <w:jc w:val="both"/>
              <w:rPr>
                <w:sz w:val="18"/>
                <w:szCs w:val="18"/>
              </w:rPr>
            </w:pPr>
            <w:r w:rsidRPr="00772B9C">
              <w:rPr>
                <w:sz w:val="18"/>
                <w:szCs w:val="18"/>
              </w:rPr>
              <w:t>2.202</w:t>
            </w:r>
            <w:r>
              <w:rPr>
                <w:sz w:val="18"/>
                <w:szCs w:val="18"/>
              </w:rPr>
              <w:t>3</w:t>
            </w:r>
            <w:r w:rsidRPr="00772B9C">
              <w:rPr>
                <w:sz w:val="18"/>
                <w:szCs w:val="18"/>
              </w:rPr>
              <w:t>. – 2.202</w:t>
            </w:r>
            <w:r>
              <w:rPr>
                <w:sz w:val="18"/>
                <w:szCs w:val="18"/>
              </w:rPr>
              <w:t>4</w:t>
            </w:r>
            <w:r w:rsidRPr="00772B9C">
              <w:rPr>
                <w:sz w:val="18"/>
                <w:szCs w:val="18"/>
              </w:rPr>
              <w:t>.</w:t>
            </w:r>
          </w:p>
        </w:tc>
      </w:tr>
      <w:tr w:rsidR="00961D73" w:rsidRPr="00772B9C" w14:paraId="10ED7F64" w14:textId="77777777" w:rsidTr="00BA499D">
        <w:trPr>
          <w:trHeight w:val="411"/>
        </w:trPr>
        <w:tc>
          <w:tcPr>
            <w:tcW w:w="2268" w:type="dxa"/>
            <w:vAlign w:val="center"/>
          </w:tcPr>
          <w:p w14:paraId="0BD315F3" w14:textId="77777777" w:rsidR="00961D73" w:rsidRPr="00772B9C" w:rsidRDefault="00961D73" w:rsidP="00BA499D">
            <w:pPr>
              <w:jc w:val="both"/>
              <w:rPr>
                <w:sz w:val="18"/>
                <w:szCs w:val="18"/>
              </w:rPr>
            </w:pPr>
            <w:r w:rsidRPr="00772B9C">
              <w:rPr>
                <w:sz w:val="18"/>
                <w:szCs w:val="18"/>
              </w:rPr>
              <w:t xml:space="preserve">Sredstva: </w:t>
            </w:r>
          </w:p>
        </w:tc>
        <w:tc>
          <w:tcPr>
            <w:tcW w:w="6662" w:type="dxa"/>
            <w:vAlign w:val="center"/>
          </w:tcPr>
          <w:p w14:paraId="3BFDC14D" w14:textId="77777777" w:rsidR="00961D73" w:rsidRPr="00772B9C" w:rsidRDefault="00961D73" w:rsidP="00BA499D">
            <w:pPr>
              <w:jc w:val="both"/>
              <w:rPr>
                <w:sz w:val="18"/>
                <w:szCs w:val="18"/>
              </w:rPr>
            </w:pPr>
            <w:r>
              <w:rPr>
                <w:sz w:val="18"/>
                <w:szCs w:val="18"/>
              </w:rPr>
              <w:t>210.000 eura</w:t>
            </w:r>
          </w:p>
        </w:tc>
      </w:tr>
      <w:tr w:rsidR="00961D73" w:rsidRPr="00772B9C" w14:paraId="64394BCF" w14:textId="77777777" w:rsidTr="00BA499D">
        <w:tc>
          <w:tcPr>
            <w:tcW w:w="2268" w:type="dxa"/>
            <w:vAlign w:val="center"/>
          </w:tcPr>
          <w:p w14:paraId="023CDFB2" w14:textId="77777777" w:rsidR="00961D73" w:rsidRPr="00772B9C" w:rsidRDefault="00961D73" w:rsidP="00BA499D">
            <w:pPr>
              <w:jc w:val="both"/>
              <w:rPr>
                <w:sz w:val="18"/>
                <w:szCs w:val="18"/>
              </w:rPr>
            </w:pPr>
            <w:r w:rsidRPr="00772B9C">
              <w:rPr>
                <w:sz w:val="18"/>
                <w:szCs w:val="18"/>
              </w:rPr>
              <w:t xml:space="preserve">Voditelj projekta: </w:t>
            </w:r>
          </w:p>
        </w:tc>
        <w:tc>
          <w:tcPr>
            <w:tcW w:w="6662" w:type="dxa"/>
            <w:vAlign w:val="center"/>
          </w:tcPr>
          <w:p w14:paraId="745E6443" w14:textId="77777777" w:rsidR="00961D73" w:rsidRPr="00772B9C" w:rsidRDefault="00961D73" w:rsidP="00BA499D">
            <w:pPr>
              <w:jc w:val="both"/>
              <w:rPr>
                <w:sz w:val="18"/>
                <w:szCs w:val="18"/>
              </w:rPr>
            </w:pPr>
            <w:r w:rsidRPr="00772B9C">
              <w:rPr>
                <w:sz w:val="18"/>
                <w:szCs w:val="18"/>
              </w:rPr>
              <w:t>Sandra An</w:t>
            </w:r>
            <w:r>
              <w:rPr>
                <w:sz w:val="18"/>
                <w:szCs w:val="18"/>
              </w:rPr>
              <w:t>još Lalić, zamjena: Andrej Ignjatić</w:t>
            </w:r>
          </w:p>
        </w:tc>
      </w:tr>
      <w:tr w:rsidR="00961D73" w:rsidRPr="00772B9C" w14:paraId="13A4560F" w14:textId="77777777" w:rsidTr="00BA499D">
        <w:tc>
          <w:tcPr>
            <w:tcW w:w="2268" w:type="dxa"/>
            <w:vAlign w:val="center"/>
          </w:tcPr>
          <w:p w14:paraId="051E4382" w14:textId="77777777" w:rsidR="00961D73" w:rsidRPr="00772B9C" w:rsidRDefault="00961D73" w:rsidP="00BA499D">
            <w:pPr>
              <w:jc w:val="both"/>
              <w:rPr>
                <w:sz w:val="18"/>
                <w:szCs w:val="18"/>
              </w:rPr>
            </w:pPr>
            <w:r w:rsidRPr="00772B9C">
              <w:rPr>
                <w:sz w:val="18"/>
                <w:szCs w:val="18"/>
              </w:rPr>
              <w:t xml:space="preserve">Projektni tim: </w:t>
            </w:r>
          </w:p>
        </w:tc>
        <w:tc>
          <w:tcPr>
            <w:tcW w:w="6662" w:type="dxa"/>
            <w:vAlign w:val="center"/>
          </w:tcPr>
          <w:p w14:paraId="751076A4" w14:textId="77777777" w:rsidR="00961D73" w:rsidRPr="00772B9C" w:rsidRDefault="00961D73" w:rsidP="00BA499D">
            <w:pPr>
              <w:jc w:val="both"/>
              <w:rPr>
                <w:sz w:val="18"/>
                <w:szCs w:val="18"/>
              </w:rPr>
            </w:pPr>
            <w:r w:rsidRPr="00772B9C">
              <w:rPr>
                <w:sz w:val="18"/>
                <w:szCs w:val="18"/>
              </w:rPr>
              <w:t xml:space="preserve">1 </w:t>
            </w:r>
            <w:r>
              <w:rPr>
                <w:sz w:val="18"/>
                <w:szCs w:val="18"/>
              </w:rPr>
              <w:t xml:space="preserve">zaposlenik </w:t>
            </w:r>
            <w:r w:rsidRPr="00772B9C">
              <w:rPr>
                <w:sz w:val="18"/>
                <w:szCs w:val="18"/>
              </w:rPr>
              <w:t>Odsj</w:t>
            </w:r>
            <w:r>
              <w:rPr>
                <w:sz w:val="18"/>
                <w:szCs w:val="18"/>
              </w:rPr>
              <w:t>eka za medicinske proizvode, 1 zaposlenik</w:t>
            </w:r>
            <w:r w:rsidRPr="00772B9C">
              <w:rPr>
                <w:sz w:val="18"/>
                <w:szCs w:val="18"/>
              </w:rPr>
              <w:t xml:space="preserve"> </w:t>
            </w:r>
            <w:r w:rsidRPr="00254B7B">
              <w:rPr>
                <w:sz w:val="18"/>
                <w:szCs w:val="18"/>
              </w:rPr>
              <w:t>Odsjek</w:t>
            </w:r>
            <w:r>
              <w:rPr>
                <w:sz w:val="18"/>
                <w:szCs w:val="18"/>
              </w:rPr>
              <w:t>a</w:t>
            </w:r>
            <w:r w:rsidRPr="00254B7B">
              <w:rPr>
                <w:sz w:val="18"/>
                <w:szCs w:val="18"/>
              </w:rPr>
              <w:t xml:space="preserve"> za dostupnost lijekova</w:t>
            </w:r>
            <w:r>
              <w:rPr>
                <w:sz w:val="18"/>
                <w:szCs w:val="18"/>
              </w:rPr>
              <w:t>, 1 zaposlenik O</w:t>
            </w:r>
            <w:r w:rsidRPr="00254B7B">
              <w:rPr>
                <w:sz w:val="18"/>
                <w:szCs w:val="18"/>
              </w:rPr>
              <w:t>dsjek</w:t>
            </w:r>
            <w:r>
              <w:rPr>
                <w:sz w:val="18"/>
                <w:szCs w:val="18"/>
              </w:rPr>
              <w:t>a</w:t>
            </w:r>
            <w:r w:rsidRPr="00254B7B">
              <w:rPr>
                <w:sz w:val="18"/>
                <w:szCs w:val="18"/>
              </w:rPr>
              <w:t xml:space="preserve"> za inspekcijske poslove</w:t>
            </w:r>
          </w:p>
        </w:tc>
      </w:tr>
      <w:tr w:rsidR="00961D73" w:rsidRPr="00772B9C" w14:paraId="1F31B4A8" w14:textId="77777777" w:rsidTr="00BA499D">
        <w:tc>
          <w:tcPr>
            <w:tcW w:w="2268" w:type="dxa"/>
            <w:vAlign w:val="center"/>
          </w:tcPr>
          <w:p w14:paraId="22864741" w14:textId="77777777" w:rsidR="00961D73" w:rsidRPr="00772B9C" w:rsidRDefault="00961D73" w:rsidP="00BA499D">
            <w:pPr>
              <w:jc w:val="both"/>
              <w:rPr>
                <w:sz w:val="18"/>
                <w:szCs w:val="18"/>
              </w:rPr>
            </w:pPr>
            <w:r w:rsidRPr="00772B9C">
              <w:rPr>
                <w:sz w:val="18"/>
                <w:szCs w:val="18"/>
              </w:rPr>
              <w:t xml:space="preserve">Status projekta: </w:t>
            </w:r>
          </w:p>
        </w:tc>
        <w:tc>
          <w:tcPr>
            <w:tcW w:w="6662" w:type="dxa"/>
            <w:vAlign w:val="center"/>
          </w:tcPr>
          <w:p w14:paraId="14685F3C" w14:textId="6278764D" w:rsidR="00961D73" w:rsidRDefault="00961D73" w:rsidP="00BA499D">
            <w:pPr>
              <w:jc w:val="both"/>
              <w:rPr>
                <w:sz w:val="18"/>
                <w:szCs w:val="18"/>
              </w:rPr>
            </w:pPr>
            <w:r w:rsidRPr="00CE3515">
              <w:rPr>
                <w:color w:val="000000" w:themeColor="text1"/>
                <w:sz w:val="18"/>
                <w:szCs w:val="18"/>
              </w:rPr>
              <w:t>U</w:t>
            </w:r>
            <w:r>
              <w:rPr>
                <w:color w:val="000000" w:themeColor="text1"/>
                <w:sz w:val="18"/>
                <w:szCs w:val="18"/>
              </w:rPr>
              <w:t xml:space="preserve"> roku je </w:t>
            </w:r>
            <w:r w:rsidRPr="00CE3515">
              <w:rPr>
                <w:color w:val="000000" w:themeColor="text1"/>
                <w:sz w:val="18"/>
                <w:szCs w:val="18"/>
              </w:rPr>
              <w:t>završen ciklus nadogradnji 202</w:t>
            </w:r>
            <w:r>
              <w:rPr>
                <w:color w:val="000000" w:themeColor="text1"/>
                <w:sz w:val="18"/>
                <w:szCs w:val="18"/>
              </w:rPr>
              <w:t>2</w:t>
            </w:r>
            <w:r w:rsidRPr="00CE3515">
              <w:rPr>
                <w:color w:val="000000" w:themeColor="text1"/>
                <w:sz w:val="18"/>
                <w:szCs w:val="18"/>
              </w:rPr>
              <w:t>./202</w:t>
            </w:r>
            <w:r>
              <w:rPr>
                <w:color w:val="000000" w:themeColor="text1"/>
                <w:sz w:val="18"/>
                <w:szCs w:val="18"/>
              </w:rPr>
              <w:t>3</w:t>
            </w:r>
            <w:r w:rsidRPr="00CE3515">
              <w:rPr>
                <w:color w:val="000000" w:themeColor="text1"/>
                <w:sz w:val="18"/>
                <w:szCs w:val="18"/>
              </w:rPr>
              <w:t>. godine</w:t>
            </w:r>
            <w:r>
              <w:rPr>
                <w:color w:val="000000" w:themeColor="text1"/>
                <w:sz w:val="18"/>
                <w:szCs w:val="18"/>
              </w:rPr>
              <w:t xml:space="preserve">. </w:t>
            </w:r>
            <w:r w:rsidRPr="00CE3515">
              <w:rPr>
                <w:sz w:val="18"/>
                <w:szCs w:val="18"/>
              </w:rPr>
              <w:t xml:space="preserve">U zadnjoj fazi nadogradnje </w:t>
            </w:r>
            <w:r w:rsidR="00F97B83">
              <w:rPr>
                <w:sz w:val="18"/>
                <w:szCs w:val="18"/>
              </w:rPr>
              <w:t xml:space="preserve">uvedeno je </w:t>
            </w:r>
            <w:r w:rsidRPr="00CE3515">
              <w:rPr>
                <w:sz w:val="18"/>
                <w:szCs w:val="18"/>
              </w:rPr>
              <w:t xml:space="preserve">razdvajanje predmeta i vođenje postupaka u više klasa, sukladno novom </w:t>
            </w:r>
            <w:r>
              <w:rPr>
                <w:sz w:val="18"/>
                <w:szCs w:val="18"/>
              </w:rPr>
              <w:t>P</w:t>
            </w:r>
            <w:r w:rsidRPr="006014FB">
              <w:rPr>
                <w:sz w:val="18"/>
                <w:szCs w:val="18"/>
              </w:rPr>
              <w:t>lanu</w:t>
            </w:r>
            <w:r w:rsidRPr="00CE3515">
              <w:rPr>
                <w:sz w:val="18"/>
                <w:szCs w:val="18"/>
              </w:rPr>
              <w:t xml:space="preserve"> klasifikacijsk</w:t>
            </w:r>
            <w:r>
              <w:rPr>
                <w:sz w:val="18"/>
                <w:szCs w:val="18"/>
              </w:rPr>
              <w:t>ih oznaka Agencije</w:t>
            </w:r>
            <w:r w:rsidRPr="00CE3515">
              <w:rPr>
                <w:sz w:val="18"/>
                <w:szCs w:val="18"/>
              </w:rPr>
              <w:t xml:space="preserve"> te </w:t>
            </w:r>
            <w:r>
              <w:rPr>
                <w:sz w:val="18"/>
                <w:szCs w:val="18"/>
              </w:rPr>
              <w:t>izmjena obaveznih polja pri uvozu XML datoteke na vigilancijskim postupcima</w:t>
            </w:r>
            <w:r w:rsidRPr="00CE3515">
              <w:rPr>
                <w:sz w:val="18"/>
                <w:szCs w:val="18"/>
              </w:rPr>
              <w:t>.</w:t>
            </w:r>
            <w:r>
              <w:rPr>
                <w:sz w:val="18"/>
                <w:szCs w:val="18"/>
              </w:rPr>
              <w:t xml:space="preserve"> </w:t>
            </w:r>
            <w:r w:rsidRPr="00CD69AC">
              <w:rPr>
                <w:color w:val="000000" w:themeColor="text1"/>
                <w:sz w:val="18"/>
                <w:szCs w:val="18"/>
              </w:rPr>
              <w:t>Provedena je javna nabava i sklopljen novi u</w:t>
            </w:r>
            <w:r>
              <w:rPr>
                <w:color w:val="000000" w:themeColor="text1"/>
                <w:sz w:val="18"/>
                <w:szCs w:val="18"/>
              </w:rPr>
              <w:t xml:space="preserve">govo te je završena prva fazu razvoja. </w:t>
            </w:r>
            <w:r w:rsidRPr="000F264B">
              <w:rPr>
                <w:color w:val="000000" w:themeColor="text1"/>
                <w:sz w:val="18"/>
                <w:szCs w:val="18"/>
              </w:rPr>
              <w:t xml:space="preserve">Sustav HALMED Ekstranet portal postavljen je na produkcijsku okolinu te je spreman za puštanje u rad vanjskim i internim korisnicima. </w:t>
            </w:r>
            <w:r>
              <w:rPr>
                <w:color w:val="000000" w:themeColor="text1"/>
                <w:sz w:val="18"/>
                <w:szCs w:val="18"/>
              </w:rPr>
              <w:t xml:space="preserve">Zamijenjen je način generiranja liste lijekova </w:t>
            </w:r>
            <w:r w:rsidRPr="000F264B">
              <w:rPr>
                <w:color w:val="000000" w:themeColor="text1"/>
                <w:sz w:val="18"/>
                <w:szCs w:val="18"/>
              </w:rPr>
              <w:t>obzirom da se generiranje datoteka s podacima o lijekovima za suglasnosti radi</w:t>
            </w:r>
            <w:r>
              <w:rPr>
                <w:color w:val="000000" w:themeColor="text1"/>
                <w:sz w:val="18"/>
                <w:szCs w:val="18"/>
              </w:rPr>
              <w:t>lo</w:t>
            </w:r>
            <w:r w:rsidRPr="000F264B">
              <w:rPr>
                <w:color w:val="000000" w:themeColor="text1"/>
                <w:sz w:val="18"/>
                <w:szCs w:val="18"/>
              </w:rPr>
              <w:t xml:space="preserve"> u zastarjeloj aplikaciji koja više n</w:t>
            </w:r>
            <w:r>
              <w:rPr>
                <w:color w:val="000000" w:themeColor="text1"/>
                <w:sz w:val="18"/>
                <w:szCs w:val="18"/>
              </w:rPr>
              <w:t>ij</w:t>
            </w:r>
            <w:r w:rsidRPr="000F264B">
              <w:rPr>
                <w:color w:val="000000" w:themeColor="text1"/>
                <w:sz w:val="18"/>
                <w:szCs w:val="18"/>
              </w:rPr>
              <w:t>e podržava</w:t>
            </w:r>
            <w:r>
              <w:rPr>
                <w:color w:val="000000" w:themeColor="text1"/>
                <w:sz w:val="18"/>
                <w:szCs w:val="18"/>
              </w:rPr>
              <w:t>la</w:t>
            </w:r>
            <w:r w:rsidRPr="000F264B">
              <w:rPr>
                <w:color w:val="000000" w:themeColor="text1"/>
                <w:sz w:val="18"/>
                <w:szCs w:val="18"/>
              </w:rPr>
              <w:t xml:space="preserve"> siguran rad, zahtjeva</w:t>
            </w:r>
            <w:r>
              <w:rPr>
                <w:color w:val="000000" w:themeColor="text1"/>
                <w:sz w:val="18"/>
                <w:szCs w:val="18"/>
              </w:rPr>
              <w:t>la je</w:t>
            </w:r>
            <w:r w:rsidRPr="000F264B">
              <w:rPr>
                <w:color w:val="000000" w:themeColor="text1"/>
                <w:sz w:val="18"/>
                <w:szCs w:val="18"/>
              </w:rPr>
              <w:t xml:space="preserve"> instalaciju na računala vanjskih </w:t>
            </w:r>
            <w:r w:rsidR="00F97B83">
              <w:rPr>
                <w:color w:val="000000" w:themeColor="text1"/>
                <w:sz w:val="18"/>
                <w:szCs w:val="18"/>
              </w:rPr>
              <w:t>podnositelja zaht</w:t>
            </w:r>
            <w:r>
              <w:rPr>
                <w:color w:val="000000" w:themeColor="text1"/>
                <w:sz w:val="18"/>
                <w:szCs w:val="18"/>
              </w:rPr>
              <w:t>j</w:t>
            </w:r>
            <w:r w:rsidR="00F97B83">
              <w:rPr>
                <w:color w:val="000000" w:themeColor="text1"/>
                <w:sz w:val="18"/>
                <w:szCs w:val="18"/>
              </w:rPr>
              <w:t>e</w:t>
            </w:r>
            <w:r>
              <w:rPr>
                <w:color w:val="000000" w:themeColor="text1"/>
                <w:sz w:val="18"/>
                <w:szCs w:val="18"/>
              </w:rPr>
              <w:t>va, a struktura podataka nije bila prilagođena novim potrebama</w:t>
            </w:r>
            <w:r w:rsidRPr="000F264B">
              <w:rPr>
                <w:color w:val="000000" w:themeColor="text1"/>
                <w:sz w:val="18"/>
                <w:szCs w:val="18"/>
              </w:rPr>
              <w:t>.</w:t>
            </w:r>
            <w:r w:rsidRPr="000F264B">
              <w:rPr>
                <w:sz w:val="18"/>
                <w:szCs w:val="18"/>
              </w:rPr>
              <w:t xml:space="preserve"> </w:t>
            </w:r>
          </w:p>
          <w:p w14:paraId="031A3361" w14:textId="77777777" w:rsidR="00961D73" w:rsidRPr="00CE3515" w:rsidRDefault="00961D73" w:rsidP="00BA499D">
            <w:pPr>
              <w:jc w:val="both"/>
              <w:rPr>
                <w:sz w:val="18"/>
                <w:szCs w:val="18"/>
              </w:rPr>
            </w:pPr>
            <w:r>
              <w:rPr>
                <w:sz w:val="18"/>
                <w:szCs w:val="18"/>
              </w:rPr>
              <w:t xml:space="preserve">Ostale aktivnosti na projektu odnosile su se na izmjene i nadogradnje za potrebe slanja podataka o lijekovima iz interventnog uvoza u sustav eLijekovi te na dorade modula Suglasnosti na strani Ekstranet portala i sustava OLIMP u cilju podrške svim poslovnim procesima veanim uz izdavanje suglasnosti za uvoz/unos lijeka. </w:t>
            </w:r>
            <w:r w:rsidRPr="00CE3515">
              <w:rPr>
                <w:sz w:val="18"/>
                <w:szCs w:val="18"/>
              </w:rPr>
              <w:t xml:space="preserve"> </w:t>
            </w:r>
          </w:p>
        </w:tc>
      </w:tr>
    </w:tbl>
    <w:p w14:paraId="50EC4F26" w14:textId="77777777" w:rsidR="00961D73" w:rsidRPr="00772B9C" w:rsidRDefault="00961D73" w:rsidP="00961D73">
      <w:pPr>
        <w:spacing w:line="276" w:lineRule="auto"/>
        <w:jc w:val="both"/>
        <w:rPr>
          <w:rFonts w:eastAsia="Times New Roman" w:cstheme="minorHAnsi"/>
          <w:sz w:val="18"/>
          <w:szCs w:val="18"/>
        </w:rPr>
      </w:pPr>
    </w:p>
    <w:p w14:paraId="14A5458A" w14:textId="77777777" w:rsidR="00961D73" w:rsidRPr="00772B9C" w:rsidRDefault="00961D73" w:rsidP="00961D73">
      <w:pPr>
        <w:ind w:firstLine="425"/>
        <w:jc w:val="both"/>
        <w:rPr>
          <w:sz w:val="18"/>
          <w:szCs w:val="18"/>
        </w:rPr>
      </w:pPr>
    </w:p>
    <w:tbl>
      <w:tblPr>
        <w:tblStyle w:val="TableGrid"/>
        <w:tblW w:w="0" w:type="auto"/>
        <w:tblInd w:w="137" w:type="dxa"/>
        <w:tblLook w:val="04A0" w:firstRow="1" w:lastRow="0" w:firstColumn="1" w:lastColumn="0" w:noHBand="0" w:noVBand="1"/>
      </w:tblPr>
      <w:tblGrid>
        <w:gridCol w:w="2268"/>
        <w:gridCol w:w="6657"/>
      </w:tblGrid>
      <w:tr w:rsidR="00961D73" w:rsidRPr="00772B9C" w14:paraId="63C42F7A" w14:textId="77777777" w:rsidTr="00BA499D">
        <w:tc>
          <w:tcPr>
            <w:tcW w:w="2268" w:type="dxa"/>
            <w:shd w:val="clear" w:color="auto" w:fill="A3E7FF"/>
            <w:vAlign w:val="center"/>
          </w:tcPr>
          <w:p w14:paraId="236985B8" w14:textId="77777777" w:rsidR="00961D73" w:rsidRPr="00772B9C" w:rsidRDefault="00961D73" w:rsidP="00BA499D">
            <w:pPr>
              <w:jc w:val="both"/>
              <w:rPr>
                <w:sz w:val="18"/>
                <w:szCs w:val="18"/>
              </w:rPr>
            </w:pPr>
            <w:r w:rsidRPr="00772B9C">
              <w:rPr>
                <w:sz w:val="18"/>
                <w:szCs w:val="18"/>
              </w:rPr>
              <w:t xml:space="preserve">Naziv : </w:t>
            </w:r>
          </w:p>
        </w:tc>
        <w:tc>
          <w:tcPr>
            <w:tcW w:w="6657" w:type="dxa"/>
            <w:shd w:val="clear" w:color="auto" w:fill="A3E7FF"/>
            <w:vAlign w:val="center"/>
          </w:tcPr>
          <w:p w14:paraId="223B9B5E" w14:textId="77777777" w:rsidR="00961D73" w:rsidRPr="0068060A" w:rsidRDefault="00961D73" w:rsidP="00BA499D">
            <w:pPr>
              <w:jc w:val="both"/>
              <w:rPr>
                <w:sz w:val="18"/>
                <w:szCs w:val="18"/>
              </w:rPr>
            </w:pPr>
            <w:r w:rsidRPr="0068060A">
              <w:rPr>
                <w:sz w:val="18"/>
                <w:szCs w:val="18"/>
              </w:rPr>
              <w:t xml:space="preserve">Nadogradnja sustava za upravljanje predmetima (Centrix i Pismohrana) </w:t>
            </w:r>
          </w:p>
        </w:tc>
      </w:tr>
      <w:tr w:rsidR="00961D73" w:rsidRPr="00772B9C" w14:paraId="360A44B8" w14:textId="77777777" w:rsidTr="00BA499D">
        <w:tc>
          <w:tcPr>
            <w:tcW w:w="2268" w:type="dxa"/>
            <w:vAlign w:val="center"/>
          </w:tcPr>
          <w:p w14:paraId="785E3C59" w14:textId="77777777" w:rsidR="00961D73" w:rsidRPr="00772B9C" w:rsidRDefault="00961D73" w:rsidP="00BA499D">
            <w:pPr>
              <w:jc w:val="both"/>
              <w:rPr>
                <w:sz w:val="18"/>
                <w:szCs w:val="18"/>
              </w:rPr>
            </w:pPr>
            <w:r w:rsidRPr="00772B9C">
              <w:rPr>
                <w:sz w:val="18"/>
                <w:szCs w:val="18"/>
              </w:rPr>
              <w:t xml:space="preserve">Vlasnik projekta: </w:t>
            </w:r>
          </w:p>
        </w:tc>
        <w:tc>
          <w:tcPr>
            <w:tcW w:w="6657" w:type="dxa"/>
            <w:vAlign w:val="center"/>
          </w:tcPr>
          <w:p w14:paraId="523E2B26" w14:textId="77777777" w:rsidR="00961D73" w:rsidRPr="0068060A" w:rsidRDefault="00961D73" w:rsidP="00BA499D">
            <w:pPr>
              <w:jc w:val="both"/>
              <w:rPr>
                <w:sz w:val="18"/>
                <w:szCs w:val="18"/>
              </w:rPr>
            </w:pPr>
            <w:r w:rsidRPr="00254B7B">
              <w:rPr>
                <w:sz w:val="18"/>
                <w:szCs w:val="18"/>
              </w:rPr>
              <w:t>Odsjek za pravne poslove i upravljanje dokumentacijom</w:t>
            </w:r>
          </w:p>
        </w:tc>
      </w:tr>
      <w:tr w:rsidR="00961D73" w:rsidRPr="00772B9C" w14:paraId="336CFF63" w14:textId="77777777" w:rsidTr="00BA499D">
        <w:tc>
          <w:tcPr>
            <w:tcW w:w="2268" w:type="dxa"/>
            <w:vAlign w:val="center"/>
          </w:tcPr>
          <w:p w14:paraId="42FB209C" w14:textId="77777777" w:rsidR="00961D73" w:rsidRPr="00772B9C" w:rsidRDefault="00961D73" w:rsidP="00BA499D">
            <w:pPr>
              <w:jc w:val="both"/>
              <w:rPr>
                <w:sz w:val="18"/>
                <w:szCs w:val="18"/>
              </w:rPr>
            </w:pPr>
            <w:r w:rsidRPr="00772B9C">
              <w:rPr>
                <w:sz w:val="18"/>
                <w:szCs w:val="18"/>
              </w:rPr>
              <w:t>Vrijeme realizacije</w:t>
            </w:r>
            <w:r>
              <w:rPr>
                <w:sz w:val="18"/>
                <w:szCs w:val="18"/>
              </w:rPr>
              <w:t xml:space="preserve"> tekućeg projekta</w:t>
            </w:r>
            <w:r w:rsidRPr="00772B9C">
              <w:rPr>
                <w:sz w:val="18"/>
                <w:szCs w:val="18"/>
              </w:rPr>
              <w:t>:</w:t>
            </w:r>
          </w:p>
        </w:tc>
        <w:tc>
          <w:tcPr>
            <w:tcW w:w="6657" w:type="dxa"/>
            <w:vAlign w:val="center"/>
          </w:tcPr>
          <w:p w14:paraId="371ECB60" w14:textId="77777777" w:rsidR="00961D73" w:rsidRPr="00772B9C" w:rsidRDefault="00961D73" w:rsidP="00BA499D">
            <w:pPr>
              <w:jc w:val="both"/>
              <w:rPr>
                <w:sz w:val="18"/>
                <w:szCs w:val="18"/>
              </w:rPr>
            </w:pPr>
            <w:r>
              <w:rPr>
                <w:sz w:val="18"/>
                <w:szCs w:val="18"/>
              </w:rPr>
              <w:t xml:space="preserve">4. </w:t>
            </w:r>
            <w:r w:rsidRPr="00772B9C">
              <w:rPr>
                <w:sz w:val="18"/>
                <w:szCs w:val="18"/>
              </w:rPr>
              <w:t>202</w:t>
            </w:r>
            <w:r>
              <w:rPr>
                <w:sz w:val="18"/>
                <w:szCs w:val="18"/>
              </w:rPr>
              <w:t>3</w:t>
            </w:r>
            <w:r w:rsidRPr="00772B9C">
              <w:rPr>
                <w:sz w:val="18"/>
                <w:szCs w:val="18"/>
              </w:rPr>
              <w:t>.</w:t>
            </w:r>
            <w:r>
              <w:rPr>
                <w:sz w:val="18"/>
                <w:szCs w:val="18"/>
              </w:rPr>
              <w:t xml:space="preserve"> - 4.2024.</w:t>
            </w:r>
          </w:p>
        </w:tc>
      </w:tr>
      <w:tr w:rsidR="00961D73" w:rsidRPr="00772B9C" w14:paraId="29657843" w14:textId="77777777" w:rsidTr="00BA499D">
        <w:tc>
          <w:tcPr>
            <w:tcW w:w="2268" w:type="dxa"/>
            <w:vAlign w:val="center"/>
          </w:tcPr>
          <w:p w14:paraId="778E46D0" w14:textId="77777777" w:rsidR="00961D73" w:rsidRPr="00772B9C" w:rsidRDefault="00961D73" w:rsidP="00BA499D">
            <w:pPr>
              <w:jc w:val="both"/>
              <w:rPr>
                <w:sz w:val="18"/>
                <w:szCs w:val="18"/>
              </w:rPr>
            </w:pPr>
            <w:r w:rsidRPr="00772B9C">
              <w:rPr>
                <w:sz w:val="18"/>
                <w:szCs w:val="18"/>
              </w:rPr>
              <w:t xml:space="preserve">Sredstva: </w:t>
            </w:r>
          </w:p>
        </w:tc>
        <w:tc>
          <w:tcPr>
            <w:tcW w:w="6657" w:type="dxa"/>
            <w:vAlign w:val="center"/>
          </w:tcPr>
          <w:p w14:paraId="283F8F34" w14:textId="77777777" w:rsidR="00961D73" w:rsidRPr="00772B9C" w:rsidRDefault="00961D73" w:rsidP="00BA499D">
            <w:pPr>
              <w:jc w:val="both"/>
              <w:rPr>
                <w:sz w:val="18"/>
                <w:szCs w:val="18"/>
              </w:rPr>
            </w:pPr>
            <w:r>
              <w:rPr>
                <w:sz w:val="18"/>
                <w:szCs w:val="18"/>
              </w:rPr>
              <w:t>90.045 eura</w:t>
            </w:r>
          </w:p>
        </w:tc>
      </w:tr>
      <w:tr w:rsidR="00961D73" w:rsidRPr="00772B9C" w14:paraId="6DA0B517" w14:textId="77777777" w:rsidTr="00BA499D">
        <w:tc>
          <w:tcPr>
            <w:tcW w:w="2268" w:type="dxa"/>
            <w:vAlign w:val="center"/>
          </w:tcPr>
          <w:p w14:paraId="34C368EC" w14:textId="77777777" w:rsidR="00961D73" w:rsidRPr="00772B9C" w:rsidRDefault="00961D73" w:rsidP="00BA499D">
            <w:pPr>
              <w:jc w:val="both"/>
              <w:rPr>
                <w:sz w:val="18"/>
                <w:szCs w:val="18"/>
              </w:rPr>
            </w:pPr>
            <w:r w:rsidRPr="00772B9C">
              <w:rPr>
                <w:sz w:val="18"/>
                <w:szCs w:val="18"/>
              </w:rPr>
              <w:t xml:space="preserve">Voditelj projekta: </w:t>
            </w:r>
          </w:p>
        </w:tc>
        <w:tc>
          <w:tcPr>
            <w:tcW w:w="6657" w:type="dxa"/>
            <w:vAlign w:val="center"/>
          </w:tcPr>
          <w:p w14:paraId="479D039F" w14:textId="77777777" w:rsidR="00961D73" w:rsidRPr="00772B9C" w:rsidRDefault="00961D73" w:rsidP="00BA499D">
            <w:pPr>
              <w:jc w:val="both"/>
              <w:rPr>
                <w:sz w:val="18"/>
                <w:szCs w:val="18"/>
              </w:rPr>
            </w:pPr>
            <w:r>
              <w:rPr>
                <w:sz w:val="18"/>
                <w:szCs w:val="18"/>
              </w:rPr>
              <w:t>Sandra Anjoš Lalić</w:t>
            </w:r>
            <w:r w:rsidRPr="00772B9C">
              <w:rPr>
                <w:sz w:val="18"/>
                <w:szCs w:val="18"/>
              </w:rPr>
              <w:t xml:space="preserve">, zamjena: </w:t>
            </w:r>
            <w:r>
              <w:rPr>
                <w:sz w:val="18"/>
                <w:szCs w:val="18"/>
              </w:rPr>
              <w:t>Tihomir Đuksi</w:t>
            </w:r>
          </w:p>
        </w:tc>
      </w:tr>
      <w:tr w:rsidR="00961D73" w:rsidRPr="00772B9C" w14:paraId="2C256882" w14:textId="77777777" w:rsidTr="00BA499D">
        <w:tc>
          <w:tcPr>
            <w:tcW w:w="2268" w:type="dxa"/>
            <w:vAlign w:val="center"/>
          </w:tcPr>
          <w:p w14:paraId="49501463" w14:textId="77777777" w:rsidR="00961D73" w:rsidRPr="00772B9C" w:rsidRDefault="00961D73" w:rsidP="00BA499D">
            <w:pPr>
              <w:jc w:val="both"/>
              <w:rPr>
                <w:sz w:val="18"/>
                <w:szCs w:val="18"/>
              </w:rPr>
            </w:pPr>
            <w:r w:rsidRPr="00772B9C">
              <w:rPr>
                <w:sz w:val="18"/>
                <w:szCs w:val="18"/>
              </w:rPr>
              <w:t xml:space="preserve">Projektni tim: </w:t>
            </w:r>
          </w:p>
        </w:tc>
        <w:tc>
          <w:tcPr>
            <w:tcW w:w="6657" w:type="dxa"/>
            <w:vAlign w:val="center"/>
          </w:tcPr>
          <w:p w14:paraId="202AFC7F" w14:textId="77777777" w:rsidR="00961D73" w:rsidRPr="00772B9C" w:rsidRDefault="00961D73" w:rsidP="00BA499D">
            <w:pPr>
              <w:jc w:val="both"/>
              <w:rPr>
                <w:sz w:val="18"/>
                <w:szCs w:val="18"/>
              </w:rPr>
            </w:pPr>
            <w:r>
              <w:rPr>
                <w:sz w:val="18"/>
                <w:szCs w:val="18"/>
              </w:rPr>
              <w:t xml:space="preserve">Ana Smokvina, </w:t>
            </w:r>
            <w:r w:rsidRPr="00772B9C">
              <w:rPr>
                <w:sz w:val="18"/>
                <w:szCs w:val="18"/>
              </w:rPr>
              <w:t xml:space="preserve">Anamarija Čukman; Bojan Romčević; </w:t>
            </w:r>
            <w:r>
              <w:rPr>
                <w:sz w:val="18"/>
                <w:szCs w:val="18"/>
              </w:rPr>
              <w:t>Dubravka Sudić</w:t>
            </w:r>
          </w:p>
        </w:tc>
      </w:tr>
      <w:tr w:rsidR="00961D73" w:rsidRPr="00772B9C" w14:paraId="5D1ED2AE" w14:textId="77777777" w:rsidTr="00BA499D">
        <w:tc>
          <w:tcPr>
            <w:tcW w:w="2268" w:type="dxa"/>
            <w:vAlign w:val="center"/>
          </w:tcPr>
          <w:p w14:paraId="32270AEF" w14:textId="77777777" w:rsidR="00961D73" w:rsidRPr="00772B9C" w:rsidRDefault="00961D73" w:rsidP="00BA499D">
            <w:pPr>
              <w:jc w:val="both"/>
              <w:rPr>
                <w:sz w:val="18"/>
                <w:szCs w:val="18"/>
              </w:rPr>
            </w:pPr>
            <w:r w:rsidRPr="00772B9C">
              <w:rPr>
                <w:sz w:val="18"/>
                <w:szCs w:val="18"/>
              </w:rPr>
              <w:t xml:space="preserve">Status projekta: </w:t>
            </w:r>
          </w:p>
        </w:tc>
        <w:tc>
          <w:tcPr>
            <w:tcW w:w="6657" w:type="dxa"/>
            <w:vAlign w:val="center"/>
          </w:tcPr>
          <w:p w14:paraId="1EDB4626" w14:textId="3A997E65" w:rsidR="00961D73" w:rsidRPr="00772B9C" w:rsidRDefault="00961D73" w:rsidP="00F97B83">
            <w:pPr>
              <w:jc w:val="both"/>
              <w:rPr>
                <w:sz w:val="18"/>
                <w:szCs w:val="18"/>
              </w:rPr>
            </w:pPr>
            <w:r w:rsidRPr="00CD69AC">
              <w:rPr>
                <w:sz w:val="18"/>
                <w:szCs w:val="18"/>
              </w:rPr>
              <w:t xml:space="preserve">U </w:t>
            </w:r>
            <w:r>
              <w:rPr>
                <w:sz w:val="18"/>
                <w:szCs w:val="18"/>
              </w:rPr>
              <w:t xml:space="preserve">projektu koji je realiziran u ožujku 2023. </w:t>
            </w:r>
            <w:r w:rsidRPr="00CD69AC">
              <w:rPr>
                <w:sz w:val="18"/>
                <w:szCs w:val="18"/>
              </w:rPr>
              <w:t>godin</w:t>
            </w:r>
            <w:r>
              <w:rPr>
                <w:sz w:val="18"/>
                <w:szCs w:val="18"/>
              </w:rPr>
              <w:t>e uvedena je nova aplikacija Centrix s ciljem us</w:t>
            </w:r>
            <w:r w:rsidRPr="00CD69AC">
              <w:rPr>
                <w:sz w:val="18"/>
                <w:szCs w:val="18"/>
              </w:rPr>
              <w:t>klađivanja s  Uredbom o</w:t>
            </w:r>
            <w:r>
              <w:rPr>
                <w:sz w:val="18"/>
                <w:szCs w:val="18"/>
              </w:rPr>
              <w:t xml:space="preserve"> uredskom poslovanju i povezanom</w:t>
            </w:r>
            <w:r w:rsidRPr="00CD69AC">
              <w:rPr>
                <w:sz w:val="18"/>
                <w:szCs w:val="18"/>
              </w:rPr>
              <w:t xml:space="preserve"> Naputk</w:t>
            </w:r>
            <w:r>
              <w:rPr>
                <w:sz w:val="18"/>
                <w:szCs w:val="18"/>
              </w:rPr>
              <w:t>u</w:t>
            </w:r>
            <w:r w:rsidRPr="00CD69AC">
              <w:rPr>
                <w:sz w:val="18"/>
                <w:szCs w:val="18"/>
              </w:rPr>
              <w:t xml:space="preserve"> u dijelu nadogradnje aplikacije Centrix radi implementacije novog Pravilnika o upravljanju dokumentarnim gradivom izvan arhiva koji je </w:t>
            </w:r>
            <w:r>
              <w:rPr>
                <w:sz w:val="18"/>
                <w:szCs w:val="18"/>
              </w:rPr>
              <w:t>povezan s</w:t>
            </w:r>
            <w:r w:rsidRPr="00CD69AC">
              <w:rPr>
                <w:sz w:val="18"/>
                <w:szCs w:val="18"/>
              </w:rPr>
              <w:t xml:space="preserve"> aplikacij</w:t>
            </w:r>
            <w:r>
              <w:rPr>
                <w:sz w:val="18"/>
                <w:szCs w:val="18"/>
              </w:rPr>
              <w:t>om</w:t>
            </w:r>
            <w:r w:rsidRPr="00CD69AC">
              <w:rPr>
                <w:sz w:val="18"/>
                <w:szCs w:val="18"/>
              </w:rPr>
              <w:t xml:space="preserve"> Pismohrana. U cilju usklađivanja sa Zakonom o općem upravnom postupku koji uključuje i novu verziju sustava ZUP IT </w:t>
            </w:r>
            <w:r w:rsidR="00F97B83">
              <w:rPr>
                <w:sz w:val="18"/>
                <w:szCs w:val="18"/>
              </w:rPr>
              <w:t xml:space="preserve">izrađene </w:t>
            </w:r>
            <w:r w:rsidRPr="00CD69AC">
              <w:rPr>
                <w:sz w:val="18"/>
                <w:szCs w:val="18"/>
              </w:rPr>
              <w:t>su izmjene sučelja, dodana i usklađena polja za sinkronizaciju podataka o predmetima te napravljena certifikacija aplikacije od strane Ministarstva pravosuđa i uprave, napravljeno novo sučelje za rad u pismohrani i migrirani podaci iz prethodne baze podataka. Dodana je i funkcionalnost OutlookAdd-in koja  omogućava urudžbiranje pismena direktno iz aplikacije Outlook u Centrix te modul za elektroničko potpisivanje pismena.</w:t>
            </w:r>
            <w:r>
              <w:rPr>
                <w:sz w:val="18"/>
                <w:szCs w:val="18"/>
              </w:rPr>
              <w:t xml:space="preserve"> Proveden je postupak nabave i sklopljen ugovor za novi ciklus nadogradnji i održavanja sustava u sklopu kojega se nastavilo s prilagodbom modula za slanje podataka u ZUP IT potrebama Agencije te </w:t>
            </w:r>
            <w:r w:rsidR="00F97B83">
              <w:rPr>
                <w:sz w:val="18"/>
                <w:szCs w:val="18"/>
              </w:rPr>
              <w:t xml:space="preserve">su odrađene i </w:t>
            </w:r>
            <w:r>
              <w:rPr>
                <w:sz w:val="18"/>
                <w:szCs w:val="18"/>
              </w:rPr>
              <w:t>više manjih nadogradnji i prilagodbi funkcionalnsoti, sukladno zahtjevima korisnika, a u cilju optimizacije koraka poslovnih procesa.</w:t>
            </w:r>
          </w:p>
        </w:tc>
      </w:tr>
    </w:tbl>
    <w:p w14:paraId="028543DE" w14:textId="77777777" w:rsidR="00961D73" w:rsidRDefault="00961D73" w:rsidP="00961D73">
      <w:pPr>
        <w:keepNext/>
        <w:spacing w:line="276" w:lineRule="auto"/>
        <w:jc w:val="both"/>
        <w:rPr>
          <w:highlight w:val="yellow"/>
        </w:rPr>
      </w:pPr>
    </w:p>
    <w:p w14:paraId="4D894947" w14:textId="77777777" w:rsidR="00961D73" w:rsidRPr="00772B9C" w:rsidRDefault="00961D73" w:rsidP="00961D73">
      <w:pPr>
        <w:ind w:firstLine="425"/>
        <w:jc w:val="both"/>
        <w:rPr>
          <w:sz w:val="18"/>
          <w:szCs w:val="18"/>
        </w:rPr>
      </w:pPr>
    </w:p>
    <w:tbl>
      <w:tblPr>
        <w:tblStyle w:val="TableGrid"/>
        <w:tblW w:w="0" w:type="auto"/>
        <w:tblInd w:w="137" w:type="dxa"/>
        <w:tblLook w:val="04A0" w:firstRow="1" w:lastRow="0" w:firstColumn="1" w:lastColumn="0" w:noHBand="0" w:noVBand="1"/>
      </w:tblPr>
      <w:tblGrid>
        <w:gridCol w:w="2268"/>
        <w:gridCol w:w="6657"/>
      </w:tblGrid>
      <w:tr w:rsidR="00961D73" w:rsidRPr="00772B9C" w14:paraId="593ECFB5" w14:textId="77777777" w:rsidTr="00BA499D">
        <w:tc>
          <w:tcPr>
            <w:tcW w:w="2268" w:type="dxa"/>
            <w:shd w:val="clear" w:color="auto" w:fill="A3E7FF"/>
            <w:vAlign w:val="center"/>
          </w:tcPr>
          <w:p w14:paraId="26CD1A63" w14:textId="77777777" w:rsidR="00961D73" w:rsidRPr="00772B9C" w:rsidRDefault="00961D73" w:rsidP="00BA499D">
            <w:pPr>
              <w:jc w:val="both"/>
              <w:rPr>
                <w:sz w:val="18"/>
                <w:szCs w:val="18"/>
              </w:rPr>
            </w:pPr>
            <w:r w:rsidRPr="00772B9C">
              <w:rPr>
                <w:sz w:val="18"/>
                <w:szCs w:val="18"/>
              </w:rPr>
              <w:t xml:space="preserve">Naziv : </w:t>
            </w:r>
          </w:p>
        </w:tc>
        <w:tc>
          <w:tcPr>
            <w:tcW w:w="6657" w:type="dxa"/>
            <w:shd w:val="clear" w:color="auto" w:fill="A3E7FF"/>
            <w:vAlign w:val="center"/>
          </w:tcPr>
          <w:p w14:paraId="257A2088" w14:textId="77777777" w:rsidR="00961D73" w:rsidRPr="00772B9C" w:rsidRDefault="00961D73" w:rsidP="00BA499D">
            <w:pPr>
              <w:jc w:val="both"/>
              <w:rPr>
                <w:sz w:val="18"/>
                <w:szCs w:val="18"/>
              </w:rPr>
            </w:pPr>
            <w:r>
              <w:rPr>
                <w:sz w:val="18"/>
                <w:szCs w:val="18"/>
              </w:rPr>
              <w:t xml:space="preserve">Izrada sustava </w:t>
            </w:r>
            <w:r w:rsidRPr="00772B9C">
              <w:rPr>
                <w:sz w:val="18"/>
                <w:szCs w:val="18"/>
              </w:rPr>
              <w:t xml:space="preserve"> </w:t>
            </w:r>
            <w:r>
              <w:rPr>
                <w:sz w:val="18"/>
                <w:szCs w:val="18"/>
              </w:rPr>
              <w:t>za izračun najviše dozvoljene cijene lijekova na veliko</w:t>
            </w:r>
          </w:p>
        </w:tc>
      </w:tr>
      <w:tr w:rsidR="00961D73" w:rsidRPr="00772B9C" w14:paraId="5CB57C9A" w14:textId="77777777" w:rsidTr="00BA499D">
        <w:tc>
          <w:tcPr>
            <w:tcW w:w="2268" w:type="dxa"/>
            <w:vAlign w:val="center"/>
          </w:tcPr>
          <w:p w14:paraId="59B32579" w14:textId="77777777" w:rsidR="00961D73" w:rsidRPr="00772B9C" w:rsidRDefault="00961D73" w:rsidP="00BA499D">
            <w:pPr>
              <w:jc w:val="both"/>
              <w:rPr>
                <w:sz w:val="18"/>
                <w:szCs w:val="18"/>
              </w:rPr>
            </w:pPr>
            <w:r w:rsidRPr="00772B9C">
              <w:rPr>
                <w:sz w:val="18"/>
                <w:szCs w:val="18"/>
              </w:rPr>
              <w:t xml:space="preserve">Vlasnik projekta: </w:t>
            </w:r>
          </w:p>
        </w:tc>
        <w:tc>
          <w:tcPr>
            <w:tcW w:w="6657" w:type="dxa"/>
            <w:vAlign w:val="center"/>
          </w:tcPr>
          <w:p w14:paraId="48B1812D" w14:textId="77777777" w:rsidR="00961D73" w:rsidRPr="00772B9C" w:rsidRDefault="00961D73" w:rsidP="00BA499D">
            <w:pPr>
              <w:jc w:val="both"/>
              <w:rPr>
                <w:sz w:val="18"/>
                <w:szCs w:val="18"/>
              </w:rPr>
            </w:pPr>
            <w:r w:rsidRPr="00C317F0">
              <w:rPr>
                <w:sz w:val="18"/>
                <w:szCs w:val="18"/>
              </w:rPr>
              <w:t>Odsjek za potrošnju i cijene lijekova</w:t>
            </w:r>
          </w:p>
        </w:tc>
      </w:tr>
      <w:tr w:rsidR="00961D73" w:rsidRPr="00772B9C" w14:paraId="0659099E" w14:textId="77777777" w:rsidTr="00BA499D">
        <w:tc>
          <w:tcPr>
            <w:tcW w:w="2268" w:type="dxa"/>
            <w:vAlign w:val="center"/>
          </w:tcPr>
          <w:p w14:paraId="397A174F" w14:textId="77777777" w:rsidR="00961D73" w:rsidRPr="00772B9C" w:rsidRDefault="00961D73" w:rsidP="00BA499D">
            <w:pPr>
              <w:jc w:val="both"/>
              <w:rPr>
                <w:sz w:val="18"/>
                <w:szCs w:val="18"/>
              </w:rPr>
            </w:pPr>
            <w:r w:rsidRPr="00772B9C">
              <w:rPr>
                <w:sz w:val="18"/>
                <w:szCs w:val="18"/>
              </w:rPr>
              <w:t>Vrijeme realizacije</w:t>
            </w:r>
            <w:r>
              <w:rPr>
                <w:sz w:val="18"/>
                <w:szCs w:val="18"/>
              </w:rPr>
              <w:t xml:space="preserve"> tekućeg projekta</w:t>
            </w:r>
            <w:r w:rsidRPr="00772B9C">
              <w:rPr>
                <w:sz w:val="18"/>
                <w:szCs w:val="18"/>
              </w:rPr>
              <w:t>:</w:t>
            </w:r>
          </w:p>
        </w:tc>
        <w:tc>
          <w:tcPr>
            <w:tcW w:w="6657" w:type="dxa"/>
            <w:vAlign w:val="center"/>
          </w:tcPr>
          <w:p w14:paraId="1BDCF2BD" w14:textId="77777777" w:rsidR="00961D73" w:rsidRPr="00772B9C" w:rsidRDefault="00961D73" w:rsidP="00BA499D">
            <w:pPr>
              <w:jc w:val="both"/>
              <w:rPr>
                <w:sz w:val="18"/>
                <w:szCs w:val="18"/>
              </w:rPr>
            </w:pPr>
            <w:r>
              <w:rPr>
                <w:sz w:val="18"/>
                <w:szCs w:val="18"/>
              </w:rPr>
              <w:t>2.2023. – 2.2024.</w:t>
            </w:r>
          </w:p>
        </w:tc>
      </w:tr>
      <w:tr w:rsidR="00961D73" w:rsidRPr="00772B9C" w14:paraId="63B8C939" w14:textId="77777777" w:rsidTr="00BA499D">
        <w:tc>
          <w:tcPr>
            <w:tcW w:w="2268" w:type="dxa"/>
            <w:vAlign w:val="center"/>
          </w:tcPr>
          <w:p w14:paraId="20D2946B" w14:textId="77777777" w:rsidR="00961D73" w:rsidRPr="00772B9C" w:rsidRDefault="00961D73" w:rsidP="00BA499D">
            <w:pPr>
              <w:jc w:val="both"/>
              <w:rPr>
                <w:sz w:val="18"/>
                <w:szCs w:val="18"/>
              </w:rPr>
            </w:pPr>
            <w:r w:rsidRPr="00772B9C">
              <w:rPr>
                <w:sz w:val="18"/>
                <w:szCs w:val="18"/>
              </w:rPr>
              <w:t xml:space="preserve">Sredstva: </w:t>
            </w:r>
          </w:p>
        </w:tc>
        <w:tc>
          <w:tcPr>
            <w:tcW w:w="6657" w:type="dxa"/>
            <w:vAlign w:val="center"/>
          </w:tcPr>
          <w:p w14:paraId="4994922E" w14:textId="77777777" w:rsidR="00961D73" w:rsidRPr="00772B9C" w:rsidRDefault="00961D73" w:rsidP="00BA499D">
            <w:pPr>
              <w:jc w:val="both"/>
              <w:rPr>
                <w:sz w:val="18"/>
                <w:szCs w:val="18"/>
              </w:rPr>
            </w:pPr>
            <w:r>
              <w:rPr>
                <w:sz w:val="18"/>
                <w:szCs w:val="18"/>
              </w:rPr>
              <w:t>65.769 eura</w:t>
            </w:r>
          </w:p>
        </w:tc>
      </w:tr>
      <w:tr w:rsidR="00961D73" w:rsidRPr="00772B9C" w14:paraId="2B5D202E" w14:textId="77777777" w:rsidTr="00BA499D">
        <w:tc>
          <w:tcPr>
            <w:tcW w:w="2268" w:type="dxa"/>
            <w:vAlign w:val="center"/>
          </w:tcPr>
          <w:p w14:paraId="430C79BB" w14:textId="77777777" w:rsidR="00961D73" w:rsidRPr="00772B9C" w:rsidRDefault="00961D73" w:rsidP="00BA499D">
            <w:pPr>
              <w:jc w:val="both"/>
              <w:rPr>
                <w:sz w:val="18"/>
                <w:szCs w:val="18"/>
              </w:rPr>
            </w:pPr>
            <w:r w:rsidRPr="00772B9C">
              <w:rPr>
                <w:sz w:val="18"/>
                <w:szCs w:val="18"/>
              </w:rPr>
              <w:t xml:space="preserve">Voditelj projekta: </w:t>
            </w:r>
          </w:p>
        </w:tc>
        <w:tc>
          <w:tcPr>
            <w:tcW w:w="6657" w:type="dxa"/>
            <w:vAlign w:val="center"/>
          </w:tcPr>
          <w:p w14:paraId="50A6D599" w14:textId="77777777" w:rsidR="00961D73" w:rsidRPr="00772B9C" w:rsidRDefault="00961D73" w:rsidP="00BA499D">
            <w:pPr>
              <w:jc w:val="both"/>
              <w:rPr>
                <w:sz w:val="18"/>
                <w:szCs w:val="18"/>
              </w:rPr>
            </w:pPr>
            <w:r>
              <w:rPr>
                <w:sz w:val="18"/>
                <w:szCs w:val="18"/>
              </w:rPr>
              <w:t>Maja Fatiga</w:t>
            </w:r>
            <w:r w:rsidRPr="00772B9C">
              <w:rPr>
                <w:sz w:val="18"/>
                <w:szCs w:val="18"/>
              </w:rPr>
              <w:t xml:space="preserve">, zamjena: </w:t>
            </w:r>
            <w:r>
              <w:rPr>
                <w:sz w:val="18"/>
                <w:szCs w:val="18"/>
              </w:rPr>
              <w:t>Sanja Grčić Plečko</w:t>
            </w:r>
          </w:p>
        </w:tc>
      </w:tr>
      <w:tr w:rsidR="00961D73" w:rsidRPr="00772B9C" w14:paraId="6CCCEF67" w14:textId="77777777" w:rsidTr="00BA499D">
        <w:tc>
          <w:tcPr>
            <w:tcW w:w="2268" w:type="dxa"/>
            <w:vAlign w:val="center"/>
          </w:tcPr>
          <w:p w14:paraId="2EA85722" w14:textId="77777777" w:rsidR="00961D73" w:rsidRPr="00772B9C" w:rsidRDefault="00961D73" w:rsidP="00BA499D">
            <w:pPr>
              <w:jc w:val="both"/>
              <w:rPr>
                <w:sz w:val="18"/>
                <w:szCs w:val="18"/>
              </w:rPr>
            </w:pPr>
            <w:r w:rsidRPr="00772B9C">
              <w:rPr>
                <w:sz w:val="18"/>
                <w:szCs w:val="18"/>
              </w:rPr>
              <w:t xml:space="preserve">Projektni tim: </w:t>
            </w:r>
          </w:p>
        </w:tc>
        <w:tc>
          <w:tcPr>
            <w:tcW w:w="6657" w:type="dxa"/>
            <w:vAlign w:val="center"/>
          </w:tcPr>
          <w:p w14:paraId="0B2385B4" w14:textId="77777777" w:rsidR="00961D73" w:rsidRPr="00772B9C" w:rsidRDefault="00961D73" w:rsidP="00BA499D">
            <w:pPr>
              <w:jc w:val="both"/>
              <w:rPr>
                <w:sz w:val="18"/>
                <w:szCs w:val="18"/>
              </w:rPr>
            </w:pPr>
            <w:r>
              <w:rPr>
                <w:sz w:val="18"/>
                <w:szCs w:val="18"/>
              </w:rPr>
              <w:t>Sanja Matić, Eva Šintić, Josip Kaurinović</w:t>
            </w:r>
          </w:p>
        </w:tc>
      </w:tr>
      <w:tr w:rsidR="00961D73" w:rsidRPr="00772B9C" w14:paraId="5797EE9D" w14:textId="77777777" w:rsidTr="00BA499D">
        <w:tc>
          <w:tcPr>
            <w:tcW w:w="2268" w:type="dxa"/>
            <w:vAlign w:val="center"/>
          </w:tcPr>
          <w:p w14:paraId="0D093849" w14:textId="77777777" w:rsidR="00961D73" w:rsidRPr="00772B9C" w:rsidRDefault="00961D73" w:rsidP="00BA499D">
            <w:pPr>
              <w:jc w:val="both"/>
              <w:rPr>
                <w:sz w:val="18"/>
                <w:szCs w:val="18"/>
              </w:rPr>
            </w:pPr>
            <w:r w:rsidRPr="00772B9C">
              <w:rPr>
                <w:sz w:val="18"/>
                <w:szCs w:val="18"/>
              </w:rPr>
              <w:lastRenderedPageBreak/>
              <w:t xml:space="preserve">Status projekta: </w:t>
            </w:r>
          </w:p>
        </w:tc>
        <w:tc>
          <w:tcPr>
            <w:tcW w:w="6657" w:type="dxa"/>
            <w:vAlign w:val="center"/>
          </w:tcPr>
          <w:p w14:paraId="35C0F15B" w14:textId="37AEF038" w:rsidR="00961D73" w:rsidRDefault="00961D73" w:rsidP="00BA499D">
            <w:pPr>
              <w:jc w:val="both"/>
              <w:rPr>
                <w:sz w:val="18"/>
                <w:szCs w:val="18"/>
              </w:rPr>
            </w:pPr>
            <w:r>
              <w:rPr>
                <w:sz w:val="18"/>
                <w:szCs w:val="18"/>
              </w:rPr>
              <w:t>U veljači je završen projekt i</w:t>
            </w:r>
            <w:r w:rsidRPr="002E5636">
              <w:rPr>
                <w:sz w:val="18"/>
                <w:szCs w:val="18"/>
              </w:rPr>
              <w:t>zrad</w:t>
            </w:r>
            <w:r>
              <w:rPr>
                <w:sz w:val="18"/>
                <w:szCs w:val="18"/>
              </w:rPr>
              <w:t>e</w:t>
            </w:r>
            <w:r w:rsidRPr="002E5636">
              <w:rPr>
                <w:sz w:val="18"/>
                <w:szCs w:val="18"/>
              </w:rPr>
              <w:t xml:space="preserve"> i implementacija informa</w:t>
            </w:r>
            <w:r>
              <w:rPr>
                <w:sz w:val="18"/>
                <w:szCs w:val="18"/>
              </w:rPr>
              <w:t>tičkog</w:t>
            </w:r>
            <w:r w:rsidRPr="002E5636">
              <w:rPr>
                <w:sz w:val="18"/>
                <w:szCs w:val="18"/>
              </w:rPr>
              <w:t xml:space="preserve"> sustava za izračun </w:t>
            </w:r>
            <w:r>
              <w:rPr>
                <w:sz w:val="18"/>
                <w:szCs w:val="18"/>
              </w:rPr>
              <w:t xml:space="preserve">najviše dozvoljene </w:t>
            </w:r>
            <w:r w:rsidRPr="002E5636">
              <w:rPr>
                <w:sz w:val="18"/>
                <w:szCs w:val="18"/>
              </w:rPr>
              <w:t>cijen</w:t>
            </w:r>
            <w:r>
              <w:rPr>
                <w:sz w:val="18"/>
                <w:szCs w:val="18"/>
              </w:rPr>
              <w:t>e</w:t>
            </w:r>
            <w:r w:rsidRPr="002E5636">
              <w:rPr>
                <w:sz w:val="18"/>
                <w:szCs w:val="18"/>
              </w:rPr>
              <w:t xml:space="preserve"> lijeka </w:t>
            </w:r>
            <w:r>
              <w:rPr>
                <w:sz w:val="18"/>
                <w:szCs w:val="18"/>
              </w:rPr>
              <w:t xml:space="preserve">koji </w:t>
            </w:r>
            <w:r w:rsidRPr="002E5636">
              <w:rPr>
                <w:sz w:val="18"/>
                <w:szCs w:val="18"/>
              </w:rPr>
              <w:t>po</w:t>
            </w:r>
            <w:r>
              <w:rPr>
                <w:sz w:val="18"/>
                <w:szCs w:val="18"/>
              </w:rPr>
              <w:t>država</w:t>
            </w:r>
            <w:r w:rsidRPr="002E5636">
              <w:rPr>
                <w:sz w:val="18"/>
                <w:szCs w:val="18"/>
              </w:rPr>
              <w:t xml:space="preserve"> poslovn</w:t>
            </w:r>
            <w:r>
              <w:rPr>
                <w:sz w:val="18"/>
                <w:szCs w:val="18"/>
              </w:rPr>
              <w:t>e</w:t>
            </w:r>
            <w:r w:rsidRPr="002E5636">
              <w:rPr>
                <w:sz w:val="18"/>
                <w:szCs w:val="18"/>
              </w:rPr>
              <w:t xml:space="preserve"> proces</w:t>
            </w:r>
            <w:r>
              <w:rPr>
                <w:sz w:val="18"/>
                <w:szCs w:val="18"/>
              </w:rPr>
              <w:t>e</w:t>
            </w:r>
            <w:r w:rsidRPr="002E5636">
              <w:rPr>
                <w:sz w:val="18"/>
                <w:szCs w:val="18"/>
              </w:rPr>
              <w:t xml:space="preserve"> izračun</w:t>
            </w:r>
            <w:r>
              <w:rPr>
                <w:sz w:val="18"/>
                <w:szCs w:val="18"/>
              </w:rPr>
              <w:t>a</w:t>
            </w:r>
            <w:r w:rsidR="00F97B83">
              <w:rPr>
                <w:sz w:val="18"/>
                <w:szCs w:val="18"/>
              </w:rPr>
              <w:t xml:space="preserve"> cijene lijeka</w:t>
            </w:r>
            <w:r>
              <w:rPr>
                <w:sz w:val="18"/>
                <w:szCs w:val="18"/>
              </w:rPr>
              <w:t xml:space="preserve">. Sustav je razvijen kroz četiri faze, od kojih je svaka bila stavljena u produkciju odmah po izradi i mogla </w:t>
            </w:r>
            <w:r w:rsidR="00F97B83">
              <w:rPr>
                <w:sz w:val="18"/>
                <w:szCs w:val="18"/>
              </w:rPr>
              <w:t xml:space="preserve">se </w:t>
            </w:r>
            <w:r>
              <w:rPr>
                <w:sz w:val="18"/>
                <w:szCs w:val="18"/>
              </w:rPr>
              <w:t>neovisno</w:t>
            </w:r>
            <w:r w:rsidR="0077370C">
              <w:rPr>
                <w:sz w:val="18"/>
                <w:szCs w:val="18"/>
              </w:rPr>
              <w:t xml:space="preserve"> koristiti za </w:t>
            </w:r>
            <w:r>
              <w:rPr>
                <w:sz w:val="18"/>
                <w:szCs w:val="18"/>
              </w:rPr>
              <w:t>neke od procesa i prije završetka cijeloga sustava. P</w:t>
            </w:r>
            <w:r w:rsidRPr="004D2AE9">
              <w:rPr>
                <w:sz w:val="18"/>
                <w:szCs w:val="18"/>
              </w:rPr>
              <w:t>rva faza projekta  uključ</w:t>
            </w:r>
            <w:r>
              <w:rPr>
                <w:sz w:val="18"/>
                <w:szCs w:val="18"/>
              </w:rPr>
              <w:t xml:space="preserve">ivala je </w:t>
            </w:r>
            <w:r w:rsidRPr="004D2AE9">
              <w:rPr>
                <w:sz w:val="18"/>
                <w:szCs w:val="18"/>
              </w:rPr>
              <w:t>izradu sučelja aplikacije, izbornika i osnovnih funkcionalnosti prijave i administracije korisnika sustava te općenitih šifrarnika, poput šifrarnika država, tečaja, farmaceutskih oblika i</w:t>
            </w:r>
            <w:r>
              <w:rPr>
                <w:sz w:val="18"/>
                <w:szCs w:val="18"/>
              </w:rPr>
              <w:t xml:space="preserve"> dr</w:t>
            </w:r>
            <w:r w:rsidR="0077370C">
              <w:rPr>
                <w:sz w:val="18"/>
                <w:szCs w:val="18"/>
              </w:rPr>
              <w:t>..</w:t>
            </w:r>
            <w:r w:rsidRPr="004D2AE9">
              <w:rPr>
                <w:sz w:val="18"/>
                <w:szCs w:val="18"/>
              </w:rPr>
              <w:t xml:space="preserve"> Druga faza uključ</w:t>
            </w:r>
            <w:r>
              <w:rPr>
                <w:sz w:val="18"/>
                <w:szCs w:val="18"/>
              </w:rPr>
              <w:t xml:space="preserve">ivala je </w:t>
            </w:r>
            <w:r w:rsidRPr="004D2AE9">
              <w:rPr>
                <w:sz w:val="18"/>
                <w:szCs w:val="18"/>
              </w:rPr>
              <w:t xml:space="preserve"> pregled i uređivanje liste nacionalnih lijekova </w:t>
            </w:r>
            <w:r>
              <w:rPr>
                <w:sz w:val="18"/>
                <w:szCs w:val="18"/>
              </w:rPr>
              <w:t>i</w:t>
            </w:r>
            <w:r w:rsidRPr="004D2AE9">
              <w:rPr>
                <w:sz w:val="18"/>
                <w:szCs w:val="18"/>
              </w:rPr>
              <w:t xml:space="preserve"> lijekova</w:t>
            </w:r>
            <w:r w:rsidR="0077370C">
              <w:rPr>
                <w:sz w:val="18"/>
                <w:szCs w:val="18"/>
              </w:rPr>
              <w:t xml:space="preserve"> odobrenih centraliziranim postupkom davanja odobrenja</w:t>
            </w:r>
            <w:r w:rsidRPr="004D2AE9">
              <w:rPr>
                <w:sz w:val="18"/>
                <w:szCs w:val="18"/>
              </w:rPr>
              <w:t>, uvoz cjenika referentnih država te pregled i uređivanje lijekova iz tih država</w:t>
            </w:r>
            <w:r>
              <w:rPr>
                <w:sz w:val="18"/>
                <w:szCs w:val="18"/>
              </w:rPr>
              <w:t>.</w:t>
            </w:r>
            <w:r w:rsidRPr="004D2AE9">
              <w:rPr>
                <w:sz w:val="18"/>
                <w:szCs w:val="18"/>
              </w:rPr>
              <w:t xml:space="preserve"> </w:t>
            </w:r>
            <w:r>
              <w:rPr>
                <w:sz w:val="18"/>
                <w:szCs w:val="18"/>
              </w:rPr>
              <w:t>F</w:t>
            </w:r>
            <w:r w:rsidRPr="004D2AE9">
              <w:rPr>
                <w:sz w:val="18"/>
                <w:szCs w:val="18"/>
              </w:rPr>
              <w:t>unkcionalnosti treć</w:t>
            </w:r>
            <w:r>
              <w:rPr>
                <w:sz w:val="18"/>
                <w:szCs w:val="18"/>
              </w:rPr>
              <w:t>e</w:t>
            </w:r>
            <w:r w:rsidRPr="004D2AE9">
              <w:rPr>
                <w:sz w:val="18"/>
                <w:szCs w:val="18"/>
              </w:rPr>
              <w:t xml:space="preserve"> faz</w:t>
            </w:r>
            <w:r>
              <w:rPr>
                <w:sz w:val="18"/>
                <w:szCs w:val="18"/>
              </w:rPr>
              <w:t>e omogućavale su</w:t>
            </w:r>
            <w:r w:rsidRPr="004D2AE9">
              <w:rPr>
                <w:sz w:val="18"/>
                <w:szCs w:val="18"/>
              </w:rPr>
              <w:t xml:space="preserve"> uparivanje nacionalnih lijekova s referentnim lijekovima kao i sami proces godišnjeg izračuna </w:t>
            </w:r>
            <w:r>
              <w:rPr>
                <w:sz w:val="18"/>
                <w:szCs w:val="18"/>
              </w:rPr>
              <w:t>dok je u četvrtoj fazi omogućeno vođenje ostalih postupaka: i</w:t>
            </w:r>
            <w:r w:rsidRPr="00B37708">
              <w:rPr>
                <w:sz w:val="18"/>
                <w:szCs w:val="18"/>
              </w:rPr>
              <w:t xml:space="preserve">zračun na zahtjev </w:t>
            </w:r>
            <w:r w:rsidR="0077370C">
              <w:rPr>
                <w:sz w:val="18"/>
                <w:szCs w:val="18"/>
              </w:rPr>
              <w:t>nositelja odobrenja za stavljanje lijeka u promet</w:t>
            </w:r>
            <w:r>
              <w:rPr>
                <w:sz w:val="18"/>
                <w:szCs w:val="18"/>
              </w:rPr>
              <w:t xml:space="preserve">, </w:t>
            </w:r>
            <w:r w:rsidRPr="00B37708">
              <w:rPr>
                <w:sz w:val="18"/>
                <w:szCs w:val="18"/>
              </w:rPr>
              <w:t xml:space="preserve"> određivanj</w:t>
            </w:r>
            <w:r>
              <w:rPr>
                <w:sz w:val="18"/>
                <w:szCs w:val="18"/>
              </w:rPr>
              <w:t>e</w:t>
            </w:r>
            <w:r w:rsidRPr="00B37708">
              <w:rPr>
                <w:sz w:val="18"/>
                <w:szCs w:val="18"/>
              </w:rPr>
              <w:t xml:space="preserve"> </w:t>
            </w:r>
            <w:r>
              <w:rPr>
                <w:sz w:val="18"/>
                <w:szCs w:val="18"/>
              </w:rPr>
              <w:t>i</w:t>
            </w:r>
            <w:r w:rsidRPr="00B37708">
              <w:rPr>
                <w:sz w:val="18"/>
                <w:szCs w:val="18"/>
              </w:rPr>
              <w:t>znimno više od najviše dozvoljene cijene lijeka na veliko (IVC)</w:t>
            </w:r>
            <w:r>
              <w:rPr>
                <w:sz w:val="18"/>
                <w:szCs w:val="18"/>
              </w:rPr>
              <w:t>, p</w:t>
            </w:r>
            <w:r w:rsidRPr="00B37708">
              <w:rPr>
                <w:sz w:val="18"/>
                <w:szCs w:val="18"/>
              </w:rPr>
              <w:t>ostupak izdavanja potvrde o određivanju najviše dozvoljene cijene</w:t>
            </w:r>
            <w:r>
              <w:rPr>
                <w:sz w:val="18"/>
                <w:szCs w:val="18"/>
              </w:rPr>
              <w:t xml:space="preserve"> te p</w:t>
            </w:r>
            <w:r w:rsidRPr="00260B88">
              <w:rPr>
                <w:sz w:val="18"/>
                <w:szCs w:val="18"/>
              </w:rPr>
              <w:t>ostupak usklađivanja na zahtjev stranke</w:t>
            </w:r>
            <w:r>
              <w:rPr>
                <w:sz w:val="18"/>
                <w:szCs w:val="18"/>
              </w:rPr>
              <w:t>. Sustav je integriran s drugim informatičkim sustavima Agencije: iz sustava NRL automatski se povlače i sinkroniziraju sve promjene u podacima o lijekovima registriranim u nacionalnim</w:t>
            </w:r>
            <w:r w:rsidR="0077370C">
              <w:rPr>
                <w:sz w:val="18"/>
                <w:szCs w:val="18"/>
              </w:rPr>
              <w:t xml:space="preserve"> postupcima</w:t>
            </w:r>
            <w:r>
              <w:rPr>
                <w:sz w:val="18"/>
                <w:szCs w:val="18"/>
              </w:rPr>
              <w:t xml:space="preserve"> i MRP/DCP postupcima, sa sustavom Centrix integriran je na način da se direktno iz aplikacije mogu preuzimati ulazni dokumenti i urudžbirati izlazni, uključujući i automatsko kreiranje i dodavanje priloga dok se svi dokumenti spremaju u </w:t>
            </w:r>
            <w:r w:rsidRPr="0068060A">
              <w:rPr>
                <w:sz w:val="18"/>
                <w:szCs w:val="18"/>
              </w:rPr>
              <w:t>Document Management System DAIS. Također, sustav je integriran s EMA šifrarnicima koje automatski povlači i sinkronizira promjene: RMS (Referential Management Services)</w:t>
            </w:r>
            <w:r>
              <w:rPr>
                <w:sz w:val="18"/>
                <w:szCs w:val="18"/>
              </w:rPr>
              <w:t xml:space="preserve"> </w:t>
            </w:r>
            <w:r w:rsidRPr="0068060A">
              <w:rPr>
                <w:sz w:val="18"/>
                <w:szCs w:val="18"/>
              </w:rPr>
              <w:t>i OMS (Organisation Management Services). U sklopu projekta razvijen je i alat za automatsko uparivanje pojmova iz listi lijekova referentnih zemalja, na način da sustav pamti ranije mapirane pojmove te kod novoga uvoza listi ponavlja „naučene“ radnje i automatski uparuje vrijednosti.</w:t>
            </w:r>
            <w:r>
              <w:rPr>
                <w:sz w:val="18"/>
                <w:szCs w:val="18"/>
              </w:rPr>
              <w:t xml:space="preserve">   </w:t>
            </w:r>
          </w:p>
          <w:p w14:paraId="45F809AC" w14:textId="77777777" w:rsidR="00961D73" w:rsidRPr="00772B9C" w:rsidRDefault="00961D73" w:rsidP="00BA499D">
            <w:pPr>
              <w:jc w:val="both"/>
              <w:rPr>
                <w:sz w:val="18"/>
                <w:szCs w:val="18"/>
              </w:rPr>
            </w:pPr>
            <w:r w:rsidRPr="005D2274">
              <w:rPr>
                <w:sz w:val="18"/>
                <w:szCs w:val="18"/>
              </w:rPr>
              <w:t xml:space="preserve">Proveden je postupak javne nabave i sklopljen ugovor za 1100 sati adaptivne nadogradnje koja se tijekom trajanja projekta koristila za razvoj novih funkcionalnosti u cilju optimizacije procesa i dodatne validacije podataka, prema zahtjevima vlasnika procesa. Za dio adaptivnih sati napravljena je nadogradnja u cilju prilagodbe aplikacije izmjenama </w:t>
            </w:r>
            <w:r>
              <w:rPr>
                <w:sz w:val="18"/>
                <w:szCs w:val="18"/>
              </w:rPr>
              <w:t>P</w:t>
            </w:r>
            <w:r w:rsidRPr="005D2274">
              <w:rPr>
                <w:sz w:val="18"/>
                <w:szCs w:val="18"/>
              </w:rPr>
              <w:t>ravilnik</w:t>
            </w:r>
            <w:r>
              <w:rPr>
                <w:sz w:val="18"/>
                <w:szCs w:val="18"/>
              </w:rPr>
              <w:t xml:space="preserve">a </w:t>
            </w:r>
            <w:r w:rsidRPr="005D2274">
              <w:rPr>
                <w:sz w:val="18"/>
                <w:szCs w:val="18"/>
              </w:rPr>
              <w:t>o izmjenama i dopunama pravilnika o mjerilima za određivanje najviše dozvoljene cijene lijeka na veliko i iznimno više od najviše dozvoljene cijene lijeka na veliko i godišnjeg izračuna cijene lijeka</w:t>
            </w:r>
            <w:r>
              <w:rPr>
                <w:sz w:val="18"/>
                <w:szCs w:val="18"/>
              </w:rPr>
              <w:t>. Izrađena je i funkcionalnosti usklađivanja cijena za istovjetne lijekove te servis za slanje podataka o cijenama lijeka u sustav HeAL u cilju objedinjenog slanja svih podataka o lijeku u sustav eLijekovi.</w:t>
            </w:r>
          </w:p>
        </w:tc>
      </w:tr>
    </w:tbl>
    <w:p w14:paraId="7AA9E2C9" w14:textId="77777777" w:rsidR="00961D73" w:rsidRDefault="00961D73" w:rsidP="00961D73">
      <w:pPr>
        <w:keepNext/>
        <w:spacing w:line="276" w:lineRule="auto"/>
        <w:jc w:val="both"/>
        <w:rPr>
          <w:highlight w:val="yellow"/>
        </w:rPr>
      </w:pPr>
    </w:p>
    <w:p w14:paraId="626E2C7B" w14:textId="77777777" w:rsidR="00961D73" w:rsidRDefault="00961D73" w:rsidP="00961D73">
      <w:pPr>
        <w:keepNext/>
        <w:spacing w:line="276" w:lineRule="auto"/>
        <w:jc w:val="both"/>
        <w:rPr>
          <w:highlight w:val="yellow"/>
        </w:rPr>
      </w:pPr>
    </w:p>
    <w:tbl>
      <w:tblPr>
        <w:tblStyle w:val="TableGrid"/>
        <w:tblW w:w="8930" w:type="dxa"/>
        <w:tblInd w:w="137" w:type="dxa"/>
        <w:tblLook w:val="04A0" w:firstRow="1" w:lastRow="0" w:firstColumn="1" w:lastColumn="0" w:noHBand="0" w:noVBand="1"/>
      </w:tblPr>
      <w:tblGrid>
        <w:gridCol w:w="2268"/>
        <w:gridCol w:w="6662"/>
      </w:tblGrid>
      <w:tr w:rsidR="00961D73" w:rsidRPr="001E3C9A" w14:paraId="729D0922" w14:textId="77777777" w:rsidTr="00BA499D">
        <w:tc>
          <w:tcPr>
            <w:tcW w:w="2268" w:type="dxa"/>
            <w:shd w:val="clear" w:color="auto" w:fill="A3E7FF"/>
            <w:vAlign w:val="center"/>
          </w:tcPr>
          <w:p w14:paraId="37AD6771" w14:textId="77777777" w:rsidR="00961D73" w:rsidRPr="001E3C9A" w:rsidRDefault="00961D73" w:rsidP="00BA499D">
            <w:pPr>
              <w:jc w:val="both"/>
              <w:rPr>
                <w:sz w:val="18"/>
                <w:szCs w:val="18"/>
              </w:rPr>
            </w:pPr>
            <w:r w:rsidRPr="001E3C9A">
              <w:rPr>
                <w:sz w:val="18"/>
                <w:szCs w:val="18"/>
              </w:rPr>
              <w:t xml:space="preserve">Naziv : </w:t>
            </w:r>
          </w:p>
        </w:tc>
        <w:tc>
          <w:tcPr>
            <w:tcW w:w="6662" w:type="dxa"/>
            <w:shd w:val="clear" w:color="auto" w:fill="A3E7FF"/>
            <w:vAlign w:val="center"/>
          </w:tcPr>
          <w:p w14:paraId="12661E17" w14:textId="77777777" w:rsidR="00961D73" w:rsidRPr="001E3C9A" w:rsidRDefault="00961D73" w:rsidP="00BA499D">
            <w:pPr>
              <w:jc w:val="both"/>
              <w:rPr>
                <w:sz w:val="18"/>
                <w:szCs w:val="18"/>
              </w:rPr>
            </w:pPr>
            <w:r>
              <w:rPr>
                <w:sz w:val="18"/>
                <w:szCs w:val="18"/>
              </w:rPr>
              <w:t xml:space="preserve">Nadogradnja </w:t>
            </w:r>
            <w:r w:rsidRPr="001E3C9A">
              <w:rPr>
                <w:sz w:val="18"/>
                <w:szCs w:val="18"/>
              </w:rPr>
              <w:t>financijsko-računovodstven</w:t>
            </w:r>
            <w:r>
              <w:rPr>
                <w:sz w:val="18"/>
                <w:szCs w:val="18"/>
              </w:rPr>
              <w:t>og</w:t>
            </w:r>
            <w:r w:rsidRPr="001E3C9A">
              <w:rPr>
                <w:sz w:val="18"/>
                <w:szCs w:val="18"/>
              </w:rPr>
              <w:t xml:space="preserve"> sustav</w:t>
            </w:r>
            <w:r>
              <w:rPr>
                <w:sz w:val="18"/>
                <w:szCs w:val="18"/>
              </w:rPr>
              <w:t>a</w:t>
            </w:r>
            <w:r w:rsidRPr="001E3C9A">
              <w:rPr>
                <w:sz w:val="18"/>
                <w:szCs w:val="18"/>
              </w:rPr>
              <w:t xml:space="preserve"> i kadrovsk</w:t>
            </w:r>
            <w:r>
              <w:rPr>
                <w:sz w:val="18"/>
                <w:szCs w:val="18"/>
              </w:rPr>
              <w:t>e</w:t>
            </w:r>
            <w:r w:rsidRPr="001E3C9A">
              <w:rPr>
                <w:sz w:val="18"/>
                <w:szCs w:val="18"/>
              </w:rPr>
              <w:t xml:space="preserve"> evidencij</w:t>
            </w:r>
            <w:r>
              <w:rPr>
                <w:sz w:val="18"/>
                <w:szCs w:val="18"/>
              </w:rPr>
              <w:t>e (ERP)</w:t>
            </w:r>
          </w:p>
        </w:tc>
      </w:tr>
      <w:tr w:rsidR="00961D73" w:rsidRPr="001E3C9A" w14:paraId="0A565735" w14:textId="77777777" w:rsidTr="00BA499D">
        <w:tc>
          <w:tcPr>
            <w:tcW w:w="2268" w:type="dxa"/>
            <w:vAlign w:val="center"/>
          </w:tcPr>
          <w:p w14:paraId="0D7440B6" w14:textId="77777777" w:rsidR="00961D73" w:rsidRPr="001E3C9A" w:rsidRDefault="00961D73" w:rsidP="00BA499D">
            <w:pPr>
              <w:jc w:val="both"/>
              <w:rPr>
                <w:sz w:val="18"/>
                <w:szCs w:val="18"/>
              </w:rPr>
            </w:pPr>
            <w:r w:rsidRPr="001E3C9A">
              <w:rPr>
                <w:sz w:val="18"/>
                <w:szCs w:val="18"/>
              </w:rPr>
              <w:t>Vlasnik pro</w:t>
            </w:r>
            <w:r>
              <w:rPr>
                <w:sz w:val="18"/>
                <w:szCs w:val="18"/>
              </w:rPr>
              <w:t>jekt</w:t>
            </w:r>
            <w:r w:rsidRPr="001E3C9A">
              <w:rPr>
                <w:sz w:val="18"/>
                <w:szCs w:val="18"/>
              </w:rPr>
              <w:t xml:space="preserve">a: </w:t>
            </w:r>
          </w:p>
        </w:tc>
        <w:tc>
          <w:tcPr>
            <w:tcW w:w="6662" w:type="dxa"/>
            <w:vAlign w:val="center"/>
          </w:tcPr>
          <w:p w14:paraId="3FE33433" w14:textId="77777777" w:rsidR="00961D73" w:rsidRPr="001E3C9A" w:rsidRDefault="00961D73" w:rsidP="00BA499D">
            <w:pPr>
              <w:jc w:val="both"/>
              <w:rPr>
                <w:sz w:val="18"/>
                <w:szCs w:val="18"/>
              </w:rPr>
            </w:pPr>
            <w:r>
              <w:rPr>
                <w:sz w:val="18"/>
                <w:szCs w:val="18"/>
              </w:rPr>
              <w:t>Odsjek za ekonomske poslove</w:t>
            </w:r>
          </w:p>
        </w:tc>
      </w:tr>
      <w:tr w:rsidR="00961D73" w:rsidRPr="001E3C9A" w14:paraId="16C5E93A" w14:textId="77777777" w:rsidTr="00BA499D">
        <w:tc>
          <w:tcPr>
            <w:tcW w:w="2268" w:type="dxa"/>
            <w:vAlign w:val="center"/>
          </w:tcPr>
          <w:p w14:paraId="2D5C3517" w14:textId="77777777" w:rsidR="00961D73" w:rsidRPr="001E3C9A" w:rsidRDefault="00961D73" w:rsidP="00BA499D">
            <w:pPr>
              <w:jc w:val="both"/>
              <w:rPr>
                <w:sz w:val="18"/>
                <w:szCs w:val="18"/>
              </w:rPr>
            </w:pPr>
            <w:r w:rsidRPr="00772B9C">
              <w:rPr>
                <w:sz w:val="18"/>
                <w:szCs w:val="18"/>
              </w:rPr>
              <w:t>Vrijeme realizacije</w:t>
            </w:r>
            <w:r>
              <w:rPr>
                <w:sz w:val="18"/>
                <w:szCs w:val="18"/>
              </w:rPr>
              <w:t xml:space="preserve"> tekućeg projekta</w:t>
            </w:r>
            <w:r w:rsidRPr="00772B9C">
              <w:rPr>
                <w:sz w:val="18"/>
                <w:szCs w:val="18"/>
              </w:rPr>
              <w:t>:</w:t>
            </w:r>
          </w:p>
        </w:tc>
        <w:tc>
          <w:tcPr>
            <w:tcW w:w="6662" w:type="dxa"/>
            <w:vAlign w:val="center"/>
          </w:tcPr>
          <w:p w14:paraId="456D8CF8" w14:textId="77777777" w:rsidR="00961D73" w:rsidRPr="001E3C9A" w:rsidRDefault="00961D73" w:rsidP="00BA499D">
            <w:pPr>
              <w:jc w:val="both"/>
              <w:rPr>
                <w:sz w:val="18"/>
                <w:szCs w:val="18"/>
              </w:rPr>
            </w:pPr>
            <w:r>
              <w:rPr>
                <w:sz w:val="18"/>
                <w:szCs w:val="18"/>
              </w:rPr>
              <w:t>1. 2023</w:t>
            </w:r>
            <w:r w:rsidRPr="001E3C9A">
              <w:rPr>
                <w:sz w:val="18"/>
                <w:szCs w:val="18"/>
              </w:rPr>
              <w:t>. - 12.202</w:t>
            </w:r>
            <w:r>
              <w:rPr>
                <w:sz w:val="18"/>
                <w:szCs w:val="18"/>
              </w:rPr>
              <w:t>3</w:t>
            </w:r>
            <w:r w:rsidRPr="001E3C9A">
              <w:rPr>
                <w:sz w:val="18"/>
                <w:szCs w:val="18"/>
              </w:rPr>
              <w:t>.</w:t>
            </w:r>
          </w:p>
        </w:tc>
      </w:tr>
      <w:tr w:rsidR="00961D73" w:rsidRPr="001E3C9A" w14:paraId="3DF12C69" w14:textId="77777777" w:rsidTr="00BA499D">
        <w:tc>
          <w:tcPr>
            <w:tcW w:w="2268" w:type="dxa"/>
            <w:vAlign w:val="center"/>
          </w:tcPr>
          <w:p w14:paraId="41911576" w14:textId="77777777" w:rsidR="00961D73" w:rsidRPr="001E3C9A" w:rsidRDefault="00961D73" w:rsidP="00BA499D">
            <w:pPr>
              <w:jc w:val="both"/>
              <w:rPr>
                <w:sz w:val="18"/>
                <w:szCs w:val="18"/>
              </w:rPr>
            </w:pPr>
            <w:r w:rsidRPr="001E3C9A">
              <w:rPr>
                <w:sz w:val="18"/>
                <w:szCs w:val="18"/>
              </w:rPr>
              <w:t xml:space="preserve">Voditelj projekta: </w:t>
            </w:r>
          </w:p>
        </w:tc>
        <w:tc>
          <w:tcPr>
            <w:tcW w:w="6662" w:type="dxa"/>
            <w:vAlign w:val="center"/>
          </w:tcPr>
          <w:p w14:paraId="75F11CF7" w14:textId="77777777" w:rsidR="00961D73" w:rsidRPr="001E3C9A" w:rsidRDefault="00961D73" w:rsidP="00BA499D">
            <w:pPr>
              <w:jc w:val="both"/>
              <w:rPr>
                <w:sz w:val="18"/>
                <w:szCs w:val="18"/>
              </w:rPr>
            </w:pPr>
            <w:r w:rsidRPr="001E3C9A">
              <w:rPr>
                <w:sz w:val="18"/>
                <w:szCs w:val="18"/>
              </w:rPr>
              <w:t>Andrej Ignjatić, zamjena: Marijo Zubec</w:t>
            </w:r>
          </w:p>
        </w:tc>
      </w:tr>
      <w:tr w:rsidR="00961D73" w:rsidRPr="001E3C9A" w14:paraId="145029BE" w14:textId="77777777" w:rsidTr="00BA499D">
        <w:tc>
          <w:tcPr>
            <w:tcW w:w="2268" w:type="dxa"/>
            <w:vAlign w:val="center"/>
          </w:tcPr>
          <w:p w14:paraId="68419B92" w14:textId="77777777" w:rsidR="00961D73" w:rsidRPr="001E3C9A" w:rsidRDefault="00961D73" w:rsidP="00BA499D">
            <w:pPr>
              <w:jc w:val="both"/>
              <w:rPr>
                <w:sz w:val="18"/>
                <w:szCs w:val="18"/>
              </w:rPr>
            </w:pPr>
            <w:r w:rsidRPr="001E3C9A">
              <w:rPr>
                <w:sz w:val="18"/>
                <w:szCs w:val="18"/>
              </w:rPr>
              <w:t xml:space="preserve">Projektni tim: </w:t>
            </w:r>
          </w:p>
        </w:tc>
        <w:tc>
          <w:tcPr>
            <w:tcW w:w="6662" w:type="dxa"/>
            <w:vAlign w:val="center"/>
          </w:tcPr>
          <w:p w14:paraId="37FA31AA" w14:textId="77777777" w:rsidR="00961D73" w:rsidRPr="001E3C9A" w:rsidRDefault="00961D73" w:rsidP="00BA499D">
            <w:pPr>
              <w:jc w:val="both"/>
              <w:rPr>
                <w:sz w:val="18"/>
                <w:szCs w:val="18"/>
              </w:rPr>
            </w:pPr>
            <w:r w:rsidRPr="001E3C9A">
              <w:rPr>
                <w:sz w:val="18"/>
                <w:szCs w:val="18"/>
              </w:rPr>
              <w:t>Zaposlenici Odsjeka za ekonomske poslove</w:t>
            </w:r>
          </w:p>
        </w:tc>
      </w:tr>
      <w:tr w:rsidR="00961D73" w:rsidRPr="001E3C9A" w14:paraId="71AE9F53" w14:textId="77777777" w:rsidTr="00BA499D">
        <w:tc>
          <w:tcPr>
            <w:tcW w:w="2268" w:type="dxa"/>
            <w:vAlign w:val="center"/>
          </w:tcPr>
          <w:p w14:paraId="625E0F79" w14:textId="77777777" w:rsidR="00961D73" w:rsidRPr="001E3C9A" w:rsidRDefault="00961D73" w:rsidP="00BA499D">
            <w:pPr>
              <w:jc w:val="both"/>
              <w:rPr>
                <w:sz w:val="18"/>
                <w:szCs w:val="18"/>
              </w:rPr>
            </w:pPr>
            <w:r w:rsidRPr="001E3C9A">
              <w:rPr>
                <w:sz w:val="18"/>
                <w:szCs w:val="18"/>
              </w:rPr>
              <w:t xml:space="preserve">Status projekta: </w:t>
            </w:r>
          </w:p>
        </w:tc>
        <w:tc>
          <w:tcPr>
            <w:tcW w:w="6662" w:type="dxa"/>
            <w:vAlign w:val="center"/>
          </w:tcPr>
          <w:p w14:paraId="4D8490AA" w14:textId="4A9E46EA" w:rsidR="00961D73" w:rsidRPr="001E3C9A" w:rsidRDefault="00961D73" w:rsidP="0077370C">
            <w:pPr>
              <w:jc w:val="both"/>
              <w:rPr>
                <w:sz w:val="18"/>
                <w:szCs w:val="18"/>
              </w:rPr>
            </w:pPr>
            <w:r>
              <w:rPr>
                <w:sz w:val="18"/>
                <w:szCs w:val="18"/>
              </w:rPr>
              <w:t xml:space="preserve">U 2023. </w:t>
            </w:r>
            <w:r w:rsidR="0077370C">
              <w:rPr>
                <w:sz w:val="18"/>
                <w:szCs w:val="18"/>
              </w:rPr>
              <w:t xml:space="preserve">godini </w:t>
            </w:r>
            <w:r>
              <w:rPr>
                <w:sz w:val="18"/>
                <w:szCs w:val="18"/>
              </w:rPr>
              <w:t xml:space="preserve">proveden je postupak javne nabave za novi ciklus održavanja i nadogradnji sustava. Ugovoreno je mogućih 1800 sati adaptivne nadogradnje koji su se koristili prvenstveno za </w:t>
            </w:r>
            <w:r w:rsidR="0077370C">
              <w:rPr>
                <w:sz w:val="18"/>
                <w:szCs w:val="18"/>
              </w:rPr>
              <w:t xml:space="preserve">implementaciju zakonskih izmjena </w:t>
            </w:r>
            <w:r>
              <w:rPr>
                <w:sz w:val="18"/>
                <w:szCs w:val="18"/>
              </w:rPr>
              <w:t xml:space="preserve">poput </w:t>
            </w:r>
            <w:r w:rsidR="0077370C">
              <w:rPr>
                <w:sz w:val="18"/>
                <w:szCs w:val="18"/>
              </w:rPr>
              <w:t>izmjene</w:t>
            </w:r>
            <w:r>
              <w:rPr>
                <w:sz w:val="18"/>
                <w:szCs w:val="18"/>
              </w:rPr>
              <w:t xml:space="preserve"> načina izračuna poreza na dohodak, ali i za druge nadogradnje </w:t>
            </w:r>
            <w:r w:rsidRPr="00BA13E7">
              <w:rPr>
                <w:sz w:val="18"/>
                <w:szCs w:val="18"/>
              </w:rPr>
              <w:t>koje</w:t>
            </w:r>
            <w:r>
              <w:rPr>
                <w:sz w:val="18"/>
                <w:szCs w:val="18"/>
              </w:rPr>
              <w:t xml:space="preserve"> su </w:t>
            </w:r>
            <w:r w:rsidRPr="00BA13E7">
              <w:rPr>
                <w:sz w:val="18"/>
                <w:szCs w:val="18"/>
              </w:rPr>
              <w:t>dov</w:t>
            </w:r>
            <w:r>
              <w:rPr>
                <w:sz w:val="18"/>
                <w:szCs w:val="18"/>
              </w:rPr>
              <w:t xml:space="preserve">ele </w:t>
            </w:r>
            <w:r w:rsidRPr="00BA13E7">
              <w:rPr>
                <w:sz w:val="18"/>
                <w:szCs w:val="18"/>
              </w:rPr>
              <w:t xml:space="preserve"> do poboljšanja i optimizacije već </w:t>
            </w:r>
            <w:r w:rsidR="0077370C">
              <w:rPr>
                <w:sz w:val="18"/>
                <w:szCs w:val="18"/>
              </w:rPr>
              <w:t>izrađenih f</w:t>
            </w:r>
            <w:r w:rsidRPr="00BA13E7">
              <w:rPr>
                <w:sz w:val="18"/>
                <w:szCs w:val="18"/>
              </w:rPr>
              <w:t>unkcionalnosti u svim modulima financijsko-računovodstvenog sustava, portala web ponuda i portala web zahtjeva</w:t>
            </w:r>
            <w:r>
              <w:rPr>
                <w:sz w:val="18"/>
                <w:szCs w:val="18"/>
              </w:rPr>
              <w:t>. Stavljena je u produkciju nadogradnja  funkcionalnosti za praćenje i evidentiranje rada na izdvojenom mjestu rada te za evidenciju odlaska na sistematski pregled i jedan dan odsustva</w:t>
            </w:r>
            <w:r w:rsidR="0077370C">
              <w:rPr>
                <w:sz w:val="18"/>
                <w:szCs w:val="18"/>
              </w:rPr>
              <w:t xml:space="preserve"> zaposlenika</w:t>
            </w:r>
            <w:r>
              <w:rPr>
                <w:sz w:val="18"/>
                <w:szCs w:val="18"/>
              </w:rPr>
              <w:t xml:space="preserve"> zbog izvanrednih okolnosti. </w:t>
            </w:r>
          </w:p>
        </w:tc>
      </w:tr>
    </w:tbl>
    <w:p w14:paraId="53231DA0" w14:textId="77777777" w:rsidR="00961D73" w:rsidRDefault="00961D73" w:rsidP="00961D73">
      <w:pPr>
        <w:rPr>
          <w:rFonts w:eastAsia="Times New Roman" w:cstheme="minorHAnsi"/>
        </w:rPr>
      </w:pPr>
      <w:r>
        <w:rPr>
          <w:rFonts w:eastAsia="Times New Roman" w:cstheme="minorHAnsi"/>
        </w:rPr>
        <w:br w:type="page"/>
      </w:r>
    </w:p>
    <w:p w14:paraId="05346150" w14:textId="77777777" w:rsidR="00961D73" w:rsidRPr="007F25A9" w:rsidRDefault="00961D73" w:rsidP="00961D73">
      <w:pPr>
        <w:spacing w:after="240" w:line="276" w:lineRule="auto"/>
        <w:jc w:val="both"/>
        <w:rPr>
          <w:rFonts w:eastAsia="Times New Roman" w:cstheme="minorHAnsi"/>
          <w:b/>
        </w:rPr>
      </w:pPr>
      <w:r>
        <w:rPr>
          <w:rFonts w:eastAsia="Times New Roman" w:cstheme="minorHAnsi"/>
          <w:b/>
        </w:rPr>
        <w:lastRenderedPageBreak/>
        <w:t>C</w:t>
      </w:r>
      <w:r w:rsidRPr="007F25A9">
        <w:rPr>
          <w:rFonts w:eastAsia="Times New Roman" w:cstheme="minorHAnsi"/>
          <w:b/>
        </w:rPr>
        <w:t xml:space="preserve">) </w:t>
      </w:r>
      <w:r>
        <w:rPr>
          <w:rFonts w:eastAsia="Times New Roman" w:cstheme="minorHAnsi"/>
          <w:b/>
        </w:rPr>
        <w:t>KIBERNETIČKA SIGURNOST</w:t>
      </w:r>
    </w:p>
    <w:p w14:paraId="4585F9E7" w14:textId="5A22DD61" w:rsidR="00961D73" w:rsidRDefault="00961D73" w:rsidP="00961D73">
      <w:pPr>
        <w:spacing w:before="120" w:line="276" w:lineRule="auto"/>
        <w:jc w:val="both"/>
        <w:rPr>
          <w:rFonts w:eastAsia="Times New Roman" w:cstheme="minorHAnsi"/>
        </w:rPr>
      </w:pPr>
      <w:r>
        <w:rPr>
          <w:rFonts w:eastAsia="Times New Roman" w:cstheme="minorHAnsi"/>
        </w:rPr>
        <w:t>U 2023. godini redovito su se provod</w:t>
      </w:r>
      <w:r w:rsidR="001272C0">
        <w:rPr>
          <w:rFonts w:eastAsia="Times New Roman" w:cstheme="minorHAnsi"/>
        </w:rPr>
        <w:t xml:space="preserve">ile </w:t>
      </w:r>
      <w:r>
        <w:rPr>
          <w:rFonts w:eastAsia="Times New Roman" w:cstheme="minorHAnsi"/>
        </w:rPr>
        <w:t xml:space="preserve">nabave i obnavljale licence i ugovori o održavanju sustava za zaštitu: SIEM </w:t>
      </w:r>
      <w:r w:rsidRPr="002D6786">
        <w:rPr>
          <w:rFonts w:eastAsia="Times New Roman" w:cstheme="minorHAnsi"/>
        </w:rPr>
        <w:t>(</w:t>
      </w:r>
      <w:r w:rsidRPr="002D6786">
        <w:rPr>
          <w:rFonts w:eastAsia="Times New Roman" w:cstheme="minorHAnsi"/>
          <w:i/>
        </w:rPr>
        <w:t>Security Information and Event Management</w:t>
      </w:r>
      <w:r w:rsidRPr="002D6786">
        <w:rPr>
          <w:rFonts w:eastAsia="Times New Roman" w:cstheme="minorHAnsi"/>
        </w:rPr>
        <w:t>)</w:t>
      </w:r>
      <w:r>
        <w:rPr>
          <w:rFonts w:eastAsia="Times New Roman" w:cstheme="minorHAnsi"/>
        </w:rPr>
        <w:t xml:space="preserve"> za </w:t>
      </w:r>
      <w:r w:rsidRPr="002D6786">
        <w:rPr>
          <w:rFonts w:eastAsia="Times New Roman" w:cstheme="minorHAnsi"/>
        </w:rPr>
        <w:t>prikupljanje i analizu sigurnosnih zapisa</w:t>
      </w:r>
      <w:r>
        <w:rPr>
          <w:rFonts w:eastAsia="Times New Roman" w:cstheme="minorHAnsi"/>
        </w:rPr>
        <w:t xml:space="preserve">, </w:t>
      </w:r>
      <w:r w:rsidRPr="002D6786">
        <w:rPr>
          <w:rFonts w:eastAsia="Times New Roman" w:cstheme="minorHAnsi"/>
        </w:rPr>
        <w:t xml:space="preserve">SSL </w:t>
      </w:r>
      <w:r w:rsidRPr="002D6786">
        <w:rPr>
          <w:rFonts w:eastAsia="Times New Roman" w:cstheme="minorHAnsi"/>
          <w:i/>
        </w:rPr>
        <w:t xml:space="preserve">(Secure Socket Layer) </w:t>
      </w:r>
      <w:r>
        <w:rPr>
          <w:rFonts w:eastAsia="Times New Roman" w:cstheme="minorHAnsi"/>
        </w:rPr>
        <w:t xml:space="preserve">certifikata za enkripciju/dekripciju, </w:t>
      </w:r>
      <w:r w:rsidRPr="002D6786">
        <w:rPr>
          <w:rFonts w:eastAsia="Times New Roman" w:cstheme="minorHAnsi"/>
        </w:rPr>
        <w:t>sustava za prevenciju, detekciju i zaštitu od naprednih kibernetičkih napada (</w:t>
      </w:r>
      <w:r w:rsidRPr="002D6786">
        <w:rPr>
          <w:rFonts w:eastAsia="Times New Roman" w:cstheme="minorHAnsi"/>
          <w:i/>
        </w:rPr>
        <w:t>Endpoint Security Appliance</w:t>
      </w:r>
      <w:r w:rsidRPr="002D6786">
        <w:rPr>
          <w:rFonts w:eastAsia="Times New Roman" w:cstheme="minorHAnsi"/>
        </w:rPr>
        <w:t>)</w:t>
      </w:r>
      <w:r>
        <w:rPr>
          <w:rFonts w:eastAsia="Times New Roman" w:cstheme="minorHAnsi"/>
        </w:rPr>
        <w:t xml:space="preserve">, vatrozida, vatrozida za </w:t>
      </w:r>
      <w:r w:rsidRPr="002D6786">
        <w:rPr>
          <w:rFonts w:eastAsia="Times New Roman" w:cstheme="minorHAnsi"/>
        </w:rPr>
        <w:t xml:space="preserve"> </w:t>
      </w:r>
      <w:r>
        <w:rPr>
          <w:rFonts w:eastAsia="Times New Roman" w:cstheme="minorHAnsi"/>
        </w:rPr>
        <w:t xml:space="preserve">zaštitu </w:t>
      </w:r>
      <w:r w:rsidRPr="002D6786">
        <w:rPr>
          <w:rFonts w:eastAsia="Times New Roman" w:cstheme="minorHAnsi"/>
        </w:rPr>
        <w:t>web aplikacij</w:t>
      </w:r>
      <w:r>
        <w:rPr>
          <w:rFonts w:eastAsia="Times New Roman" w:cstheme="minorHAnsi"/>
        </w:rPr>
        <w:t>a</w:t>
      </w:r>
      <w:r w:rsidRPr="002D6786">
        <w:rPr>
          <w:rFonts w:eastAsia="Times New Roman" w:cstheme="minorHAnsi"/>
        </w:rPr>
        <w:t xml:space="preserve"> dostupn</w:t>
      </w:r>
      <w:r>
        <w:rPr>
          <w:rFonts w:eastAsia="Times New Roman" w:cstheme="minorHAnsi"/>
        </w:rPr>
        <w:t>ih</w:t>
      </w:r>
      <w:r w:rsidRPr="002D6786">
        <w:rPr>
          <w:rFonts w:eastAsia="Times New Roman" w:cstheme="minorHAnsi"/>
        </w:rPr>
        <w:t xml:space="preserve"> na agencijskim javnim web adresama</w:t>
      </w:r>
      <w:r>
        <w:rPr>
          <w:rFonts w:eastAsia="Times New Roman" w:cstheme="minorHAnsi"/>
        </w:rPr>
        <w:t xml:space="preserve"> (</w:t>
      </w:r>
      <w:r w:rsidRPr="002D6786">
        <w:rPr>
          <w:rFonts w:eastAsia="Times New Roman" w:cstheme="minorHAnsi"/>
          <w:i/>
        </w:rPr>
        <w:t>Web Application Firewall</w:t>
      </w:r>
      <w:r>
        <w:rPr>
          <w:rFonts w:eastAsia="Times New Roman" w:cstheme="minorHAnsi"/>
        </w:rPr>
        <w:t xml:space="preserve">) te sustava </w:t>
      </w:r>
      <w:r w:rsidRPr="002D6786">
        <w:rPr>
          <w:rFonts w:eastAsia="Times New Roman" w:cstheme="minorHAnsi"/>
        </w:rPr>
        <w:t>za raspodjelu i optimizaciju prometa prema pozadinskim serverima u virtualnom okruženju (</w:t>
      </w:r>
      <w:r w:rsidRPr="00B03626">
        <w:rPr>
          <w:rFonts w:eastAsia="Times New Roman" w:cstheme="minorHAnsi"/>
          <w:i/>
        </w:rPr>
        <w:t>load balancer sustav</w:t>
      </w:r>
      <w:r w:rsidRPr="002D6786">
        <w:rPr>
          <w:rFonts w:eastAsia="Times New Roman" w:cstheme="minorHAnsi"/>
        </w:rPr>
        <w:t>)</w:t>
      </w:r>
      <w:r>
        <w:rPr>
          <w:rFonts w:eastAsia="Times New Roman" w:cstheme="minorHAnsi"/>
        </w:rPr>
        <w:t xml:space="preserve">. Također je postavljen i konfiguriran sustav </w:t>
      </w:r>
      <w:r w:rsidRPr="005C4151">
        <w:rPr>
          <w:rFonts w:eastAsia="Times New Roman" w:cstheme="minorHAnsi"/>
        </w:rPr>
        <w:t>VMWARE NSX-T za mikrosegmentaciju</w:t>
      </w:r>
      <w:r>
        <w:rPr>
          <w:rFonts w:eastAsia="Times New Roman" w:cstheme="minorHAnsi"/>
        </w:rPr>
        <w:t xml:space="preserve">. </w:t>
      </w:r>
    </w:p>
    <w:p w14:paraId="3FD0E377" w14:textId="77777777" w:rsidR="00961D73" w:rsidRDefault="00961D73" w:rsidP="00961D73">
      <w:pPr>
        <w:spacing w:before="120" w:line="276" w:lineRule="auto"/>
        <w:jc w:val="both"/>
        <w:rPr>
          <w:rFonts w:eastAsia="Times New Roman" w:cstheme="minorHAnsi"/>
        </w:rPr>
      </w:pPr>
      <w:r>
        <w:rPr>
          <w:rFonts w:eastAsia="Times New Roman" w:cstheme="minorHAnsi"/>
        </w:rPr>
        <w:t>U cilju rane detekcije i prevencije kibernetičkih napada i ostalih sigurnosnih incidenata proveden je postupak javne nabave i s vanjskim izvođačem ugovorena usluga SOC (</w:t>
      </w:r>
      <w:r w:rsidRPr="00136B03">
        <w:rPr>
          <w:rFonts w:eastAsia="Times New Roman" w:cstheme="minorHAnsi"/>
          <w:i/>
        </w:rPr>
        <w:t>Security Operations Center</w:t>
      </w:r>
      <w:r>
        <w:rPr>
          <w:rFonts w:eastAsia="Times New Roman" w:cstheme="minorHAnsi"/>
        </w:rPr>
        <w:t xml:space="preserve">) radi </w:t>
      </w:r>
      <w:r w:rsidRPr="00B03626">
        <w:rPr>
          <w:rFonts w:eastAsia="Times New Roman" w:cstheme="minorHAnsi"/>
        </w:rPr>
        <w:t>proaktivnog otkrivanja sigurnosnih događaja i reagiranja na sigurnosne incidente i kibernetičke prijetnje i rizike</w:t>
      </w:r>
      <w:r>
        <w:rPr>
          <w:rFonts w:eastAsia="Times New Roman" w:cstheme="minorHAnsi"/>
        </w:rPr>
        <w:t xml:space="preserve">. </w:t>
      </w:r>
      <w:r w:rsidRPr="00B03626">
        <w:rPr>
          <w:rFonts w:eastAsia="Times New Roman" w:cstheme="minorHAnsi"/>
        </w:rPr>
        <w:t>Također se koristi</w:t>
      </w:r>
      <w:r>
        <w:rPr>
          <w:rFonts w:eastAsia="Times New Roman" w:cstheme="minorHAnsi"/>
        </w:rPr>
        <w:t>la</w:t>
      </w:r>
      <w:r w:rsidRPr="00B03626">
        <w:rPr>
          <w:rFonts w:eastAsia="Times New Roman" w:cstheme="minorHAnsi"/>
        </w:rPr>
        <w:t xml:space="preserve"> </w:t>
      </w:r>
      <w:r>
        <w:rPr>
          <w:rFonts w:eastAsia="Times New Roman" w:cstheme="minorHAnsi"/>
        </w:rPr>
        <w:t xml:space="preserve">i </w:t>
      </w:r>
      <w:r w:rsidRPr="00B03626">
        <w:rPr>
          <w:rFonts w:eastAsia="Times New Roman" w:cstheme="minorHAnsi"/>
        </w:rPr>
        <w:t>usluga nadzora putem sustava SK@UT Sigurnosno-obavještajne agencije koji predstavlja središnji sustav za otkrivanje, rano upozorenje i zaštitu od državno sponzoriranih kibernetičkih napada, APT kampanja te drugih kibernetičkih ugroza, a koji je baziran na distribuiranoj mreži senzora u ključnim državnim tijelima i pravnim osobama.</w:t>
      </w:r>
      <w:r>
        <w:rPr>
          <w:rFonts w:eastAsia="Times New Roman" w:cstheme="minorHAnsi"/>
        </w:rPr>
        <w:t xml:space="preserve"> </w:t>
      </w:r>
    </w:p>
    <w:p w14:paraId="4BB3302F" w14:textId="350D1F86" w:rsidR="00961D73" w:rsidRDefault="001272C0" w:rsidP="00961D73">
      <w:pPr>
        <w:spacing w:before="120" w:line="276" w:lineRule="auto"/>
        <w:jc w:val="both"/>
        <w:rPr>
          <w:rFonts w:eastAsia="Times New Roman" w:cstheme="minorHAnsi"/>
        </w:rPr>
      </w:pPr>
      <w:r>
        <w:rPr>
          <w:rFonts w:eastAsia="Times New Roman" w:cstheme="minorHAnsi"/>
        </w:rPr>
        <w:t>S o</w:t>
      </w:r>
      <w:r w:rsidR="00961D73">
        <w:rPr>
          <w:rFonts w:eastAsia="Times New Roman" w:cstheme="minorHAnsi"/>
        </w:rPr>
        <w:t>bzirom na intenzitet kibernetičkih napada u globalnoj internetskoj mreži</w:t>
      </w:r>
      <w:r w:rsidR="00961D73" w:rsidRPr="001E3C9A">
        <w:rPr>
          <w:rFonts w:eastAsia="Times New Roman" w:cstheme="minorHAnsi"/>
        </w:rPr>
        <w:t xml:space="preserve"> </w:t>
      </w:r>
      <w:r w:rsidR="00961D73">
        <w:rPr>
          <w:rFonts w:eastAsia="Times New Roman" w:cstheme="minorHAnsi"/>
        </w:rPr>
        <w:t xml:space="preserve">i na </w:t>
      </w:r>
      <w:r w:rsidR="00961D73" w:rsidRPr="001E3C9A">
        <w:rPr>
          <w:rFonts w:eastAsia="Times New Roman" w:cstheme="minorHAnsi"/>
        </w:rPr>
        <w:t>porast malicioznog prometa</w:t>
      </w:r>
      <w:r w:rsidR="00961D73">
        <w:rPr>
          <w:rFonts w:eastAsia="Times New Roman" w:cstheme="minorHAnsi"/>
        </w:rPr>
        <w:t>,</w:t>
      </w:r>
      <w:r w:rsidR="00961D73" w:rsidRPr="001E3C9A">
        <w:rPr>
          <w:rFonts w:eastAsia="Times New Roman" w:cstheme="minorHAnsi"/>
        </w:rPr>
        <w:t xml:space="preserve"> </w:t>
      </w:r>
      <w:r w:rsidR="00961D73">
        <w:rPr>
          <w:rFonts w:eastAsia="Times New Roman" w:cstheme="minorHAnsi"/>
        </w:rPr>
        <w:t>z</w:t>
      </w:r>
      <w:r w:rsidR="00961D73" w:rsidRPr="001E3C9A">
        <w:rPr>
          <w:rFonts w:eastAsia="Times New Roman" w:cstheme="minorHAnsi"/>
        </w:rPr>
        <w:t xml:space="preserve">aposlenici Odsjeka za informatičke poslove </w:t>
      </w:r>
      <w:r w:rsidR="00961D73">
        <w:rPr>
          <w:rFonts w:eastAsia="Times New Roman" w:cstheme="minorHAnsi"/>
        </w:rPr>
        <w:t xml:space="preserve">pojačano su nadzirali indikatore i </w:t>
      </w:r>
      <w:r w:rsidR="00961D73" w:rsidRPr="001E3C9A">
        <w:rPr>
          <w:rFonts w:eastAsia="Times New Roman" w:cstheme="minorHAnsi"/>
        </w:rPr>
        <w:t>učestalo rad</w:t>
      </w:r>
      <w:r w:rsidR="00961D73">
        <w:rPr>
          <w:rFonts w:eastAsia="Times New Roman" w:cstheme="minorHAnsi"/>
        </w:rPr>
        <w:t xml:space="preserve">ili </w:t>
      </w:r>
      <w:r w:rsidR="00961D73" w:rsidRPr="001E3C9A">
        <w:rPr>
          <w:rFonts w:eastAsia="Times New Roman" w:cstheme="minorHAnsi"/>
        </w:rPr>
        <w:t xml:space="preserve">analize prometa </w:t>
      </w:r>
      <w:r w:rsidR="00961D73">
        <w:rPr>
          <w:rFonts w:eastAsia="Times New Roman" w:cstheme="minorHAnsi"/>
        </w:rPr>
        <w:t>te</w:t>
      </w:r>
      <w:r w:rsidR="00961D73" w:rsidRPr="001E3C9A">
        <w:rPr>
          <w:rFonts w:eastAsia="Times New Roman" w:cstheme="minorHAnsi"/>
        </w:rPr>
        <w:t xml:space="preserve"> </w:t>
      </w:r>
      <w:r w:rsidR="00961D73">
        <w:rPr>
          <w:rFonts w:eastAsia="Times New Roman" w:cstheme="minorHAnsi"/>
        </w:rPr>
        <w:t>po potrebi podešavali</w:t>
      </w:r>
      <w:r w:rsidR="00961D73" w:rsidRPr="001E3C9A">
        <w:rPr>
          <w:rFonts w:eastAsia="Times New Roman" w:cstheme="minorHAnsi"/>
        </w:rPr>
        <w:t xml:space="preserve"> sigurnosne politike na Internet segmentu informatičkog sustava. </w:t>
      </w:r>
      <w:r w:rsidR="00961D73">
        <w:rPr>
          <w:rFonts w:eastAsia="Times New Roman" w:cstheme="minorHAnsi"/>
        </w:rPr>
        <w:t>U promatranom razdoblju bilo je više „nulti dan“ („z</w:t>
      </w:r>
      <w:r w:rsidR="00961D73" w:rsidRPr="00C44C05">
        <w:rPr>
          <w:rFonts w:eastAsia="Times New Roman" w:cstheme="minorHAnsi"/>
        </w:rPr>
        <w:t>ero day</w:t>
      </w:r>
      <w:r w:rsidR="00961D73">
        <w:rPr>
          <w:rFonts w:eastAsia="Times New Roman" w:cstheme="minorHAnsi"/>
        </w:rPr>
        <w:t>“)</w:t>
      </w:r>
      <w:r w:rsidR="00961D73" w:rsidRPr="00C44C05">
        <w:rPr>
          <w:rFonts w:eastAsia="Times New Roman" w:cstheme="minorHAnsi"/>
        </w:rPr>
        <w:t xml:space="preserve"> </w:t>
      </w:r>
      <w:r w:rsidR="00961D73">
        <w:rPr>
          <w:rFonts w:eastAsia="Times New Roman" w:cstheme="minorHAnsi"/>
        </w:rPr>
        <w:t xml:space="preserve">kibernetičkih napada, što znači da je </w:t>
      </w:r>
      <w:r w:rsidR="00961D73" w:rsidRPr="00C44C05">
        <w:rPr>
          <w:rFonts w:eastAsia="Times New Roman" w:cstheme="minorHAnsi"/>
        </w:rPr>
        <w:t xml:space="preserve"> sigurnosni propust poznat napadačima prije</w:t>
      </w:r>
      <w:r w:rsidR="00961D73">
        <w:rPr>
          <w:rFonts w:eastAsia="Times New Roman" w:cstheme="minorHAnsi"/>
        </w:rPr>
        <w:t xml:space="preserve"> </w:t>
      </w:r>
      <w:r w:rsidR="00961D73" w:rsidRPr="00C44C05">
        <w:rPr>
          <w:rFonts w:eastAsia="Times New Roman" w:cstheme="minorHAnsi"/>
        </w:rPr>
        <w:t>nego što za njega zna proizvođač</w:t>
      </w:r>
      <w:r w:rsidR="00961D73">
        <w:rPr>
          <w:rFonts w:eastAsia="Times New Roman" w:cstheme="minorHAnsi"/>
        </w:rPr>
        <w:t xml:space="preserve"> softvera i za takvu </w:t>
      </w:r>
      <w:r w:rsidR="00961D73" w:rsidRPr="00C44C05">
        <w:rPr>
          <w:rFonts w:eastAsia="Times New Roman" w:cstheme="minorHAnsi"/>
        </w:rPr>
        <w:t>ranjivost još nije objavio zakrpe koje</w:t>
      </w:r>
      <w:r w:rsidR="00961D73">
        <w:rPr>
          <w:rFonts w:eastAsia="Times New Roman" w:cstheme="minorHAnsi"/>
        </w:rPr>
        <w:t xml:space="preserve"> u</w:t>
      </w:r>
      <w:r w:rsidR="00961D73" w:rsidRPr="00C44C05">
        <w:rPr>
          <w:rFonts w:eastAsia="Times New Roman" w:cstheme="minorHAnsi"/>
        </w:rPr>
        <w:t>klanjaju problem</w:t>
      </w:r>
      <w:r w:rsidR="00961D73">
        <w:rPr>
          <w:rFonts w:eastAsia="Times New Roman" w:cstheme="minorHAnsi"/>
        </w:rPr>
        <w:t xml:space="preserve"> niti postoji antivirusna zaštita. Isto omogućava </w:t>
      </w:r>
      <w:r w:rsidR="00961D73" w:rsidRPr="00CE252F">
        <w:rPr>
          <w:rFonts w:eastAsia="Times New Roman" w:cstheme="minorHAnsi"/>
        </w:rPr>
        <w:t>zlonamjernom kibernetičkom akteru preuzimanje kritičnih sustava i korisničkih informacija s kojima može nepovratno uništiti podatke na IT infrastrukturi</w:t>
      </w:r>
      <w:r w:rsidR="00961D73">
        <w:rPr>
          <w:rFonts w:eastAsia="Times New Roman" w:cstheme="minorHAnsi"/>
        </w:rPr>
        <w:t xml:space="preserve"> te su žurno radila zatvaranja ulaznih portova, a na svim serverima Agencije i računalima korisnika instalirale sigurnosne nadogradnje odmah po objavi proizvođača.</w:t>
      </w:r>
    </w:p>
    <w:p w14:paraId="344C60C1" w14:textId="5FA8F1DB" w:rsidR="00961D73" w:rsidRPr="001E3C9A" w:rsidRDefault="00961D73" w:rsidP="00961D73">
      <w:pPr>
        <w:spacing w:before="120" w:line="276" w:lineRule="auto"/>
        <w:jc w:val="both"/>
        <w:rPr>
          <w:rFonts w:eastAsia="Times New Roman" w:cstheme="minorHAnsi"/>
        </w:rPr>
      </w:pPr>
      <w:r>
        <w:rPr>
          <w:rFonts w:eastAsia="Times New Roman" w:cstheme="minorHAnsi"/>
        </w:rPr>
        <w:t>U cilju provjere stanja sigurnosti izvršavale su provjere ranjivosti informa</w:t>
      </w:r>
      <w:r w:rsidR="004C0219">
        <w:rPr>
          <w:rFonts w:eastAsia="Times New Roman" w:cstheme="minorHAnsi"/>
        </w:rPr>
        <w:t>tičkog sustava od strane vanjsk</w:t>
      </w:r>
      <w:r>
        <w:rPr>
          <w:rFonts w:eastAsia="Times New Roman" w:cstheme="minorHAnsi"/>
        </w:rPr>
        <w:t xml:space="preserve">ih neovisnih stručnjaka, sukladno smjernicama PTES standarda (Penetration Testing Execution Standard). </w:t>
      </w:r>
    </w:p>
    <w:p w14:paraId="7128923E" w14:textId="77777777" w:rsidR="00961D73" w:rsidRDefault="00961D73" w:rsidP="00961D73">
      <w:pPr>
        <w:spacing w:before="120" w:line="276" w:lineRule="auto"/>
        <w:jc w:val="both"/>
        <w:rPr>
          <w:rFonts w:eastAsia="Times New Roman" w:cstheme="minorHAnsi"/>
        </w:rPr>
      </w:pPr>
      <w:r>
        <w:rPr>
          <w:rFonts w:eastAsia="Times New Roman" w:cstheme="minorHAnsi"/>
        </w:rPr>
        <w:t>U</w:t>
      </w:r>
      <w:r w:rsidRPr="00514D5B">
        <w:rPr>
          <w:rFonts w:eastAsia="Times New Roman" w:cstheme="minorHAnsi"/>
        </w:rPr>
        <w:t xml:space="preserve"> </w:t>
      </w:r>
      <w:r>
        <w:rPr>
          <w:rFonts w:eastAsia="Times New Roman" w:cstheme="minorHAnsi"/>
        </w:rPr>
        <w:t xml:space="preserve">mjesecu </w:t>
      </w:r>
      <w:r w:rsidRPr="00514D5B">
        <w:rPr>
          <w:rFonts w:eastAsia="Times New Roman" w:cstheme="minorHAnsi"/>
        </w:rPr>
        <w:t>studenom</w:t>
      </w:r>
      <w:r>
        <w:rPr>
          <w:rFonts w:eastAsia="Times New Roman" w:cstheme="minorHAnsi"/>
        </w:rPr>
        <w:t xml:space="preserve"> 2023. godine </w:t>
      </w:r>
      <w:r w:rsidRPr="00514D5B">
        <w:rPr>
          <w:rFonts w:eastAsia="Times New Roman" w:cstheme="minorHAnsi"/>
        </w:rPr>
        <w:t xml:space="preserve">provedena </w:t>
      </w:r>
      <w:r>
        <w:rPr>
          <w:rFonts w:eastAsia="Times New Roman" w:cstheme="minorHAnsi"/>
        </w:rPr>
        <w:t>je „</w:t>
      </w:r>
      <w:r w:rsidRPr="00514D5B">
        <w:rPr>
          <w:rFonts w:eastAsia="Times New Roman" w:cstheme="minorHAnsi"/>
        </w:rPr>
        <w:t>phishing kampanja</w:t>
      </w:r>
      <w:r>
        <w:rPr>
          <w:rFonts w:eastAsia="Times New Roman" w:cstheme="minorHAnsi"/>
        </w:rPr>
        <w:t>“ u cilju edukacije zaposlenika Agencije i jačanja svijesti o potrebi pažljivog i odgovornog korištenja informatičkih sustava, kako ne bi došlo do kibernetičke ugroze zbog odavanja poslovnih podataka trećim osobama, posebno podataka o korisničkim računima</w:t>
      </w:r>
      <w:r w:rsidRPr="00514D5B">
        <w:rPr>
          <w:rFonts w:eastAsia="Times New Roman" w:cstheme="minorHAnsi"/>
        </w:rPr>
        <w:t xml:space="preserve">. Kampanju su proveli </w:t>
      </w:r>
      <w:r>
        <w:rPr>
          <w:rFonts w:eastAsia="Times New Roman" w:cstheme="minorHAnsi"/>
        </w:rPr>
        <w:t xml:space="preserve">neovisni vanjski stručnjaci, a rezultati su pokazali </w:t>
      </w:r>
      <w:r w:rsidRPr="00514D5B">
        <w:rPr>
          <w:rFonts w:eastAsia="Times New Roman" w:cstheme="minorHAnsi"/>
        </w:rPr>
        <w:t xml:space="preserve">kako </w:t>
      </w:r>
      <w:r>
        <w:rPr>
          <w:rFonts w:eastAsia="Times New Roman" w:cstheme="minorHAnsi"/>
        </w:rPr>
        <w:t xml:space="preserve">je većina zaposlenika svjesna prijetnji i ispravno je reagirala, no neki su ipak kompromitirali podatke korisničkih računa, </w:t>
      </w:r>
      <w:r w:rsidRPr="00514D5B">
        <w:rPr>
          <w:rFonts w:eastAsia="Times New Roman" w:cstheme="minorHAnsi"/>
        </w:rPr>
        <w:t xml:space="preserve">što je u više provedenih edukacija u Agenciji bilo istaknuto kao </w:t>
      </w:r>
      <w:r>
        <w:rPr>
          <w:rFonts w:eastAsia="Times New Roman" w:cstheme="minorHAnsi"/>
        </w:rPr>
        <w:t xml:space="preserve">opasno i </w:t>
      </w:r>
      <w:r w:rsidRPr="00514D5B">
        <w:rPr>
          <w:rFonts w:eastAsia="Times New Roman" w:cstheme="minorHAnsi"/>
        </w:rPr>
        <w:t xml:space="preserve">zabranjeno. </w:t>
      </w:r>
      <w:r>
        <w:rPr>
          <w:rFonts w:eastAsia="Times New Roman" w:cstheme="minorHAnsi"/>
        </w:rPr>
        <w:t>Nakon provedene kampanje ponovljena je e</w:t>
      </w:r>
      <w:r w:rsidRPr="00514D5B">
        <w:rPr>
          <w:rFonts w:eastAsia="Times New Roman" w:cstheme="minorHAnsi"/>
        </w:rPr>
        <w:t xml:space="preserve">dukacija zaposlenika </w:t>
      </w:r>
      <w:r>
        <w:rPr>
          <w:rFonts w:eastAsia="Times New Roman" w:cstheme="minorHAnsi"/>
        </w:rPr>
        <w:t>o sigurnom načinu rada u zajedničkoj informatičkoj mreži. Također je predloženo da se kao dodatna mjera zaštite uvede obavezna dvofaktorska autentifikacija za pristup informatičkom sustavu.</w:t>
      </w:r>
    </w:p>
    <w:p w14:paraId="3C7F5553" w14:textId="77777777" w:rsidR="00961D73" w:rsidRDefault="00961D73" w:rsidP="00961D73">
      <w:pPr>
        <w:spacing w:line="276" w:lineRule="auto"/>
        <w:jc w:val="both"/>
        <w:rPr>
          <w:rFonts w:eastAsia="Times New Roman" w:cstheme="minorHAnsi"/>
        </w:rPr>
      </w:pPr>
    </w:p>
    <w:p w14:paraId="7BF93447" w14:textId="77777777" w:rsidR="00961D73" w:rsidRPr="007F25A9" w:rsidRDefault="00961D73" w:rsidP="00961D73">
      <w:pPr>
        <w:spacing w:after="240" w:line="276" w:lineRule="auto"/>
        <w:jc w:val="both"/>
        <w:rPr>
          <w:rFonts w:eastAsia="Times New Roman" w:cstheme="minorHAnsi"/>
          <w:b/>
        </w:rPr>
      </w:pPr>
      <w:r>
        <w:rPr>
          <w:rFonts w:eastAsia="Times New Roman" w:cstheme="minorHAnsi"/>
          <w:b/>
        </w:rPr>
        <w:t>D</w:t>
      </w:r>
      <w:r w:rsidRPr="007F25A9">
        <w:rPr>
          <w:rFonts w:eastAsia="Times New Roman" w:cstheme="minorHAnsi"/>
          <w:b/>
        </w:rPr>
        <w:t>) SUDJELOVANJE U RADU EU TIJELA</w:t>
      </w:r>
    </w:p>
    <w:p w14:paraId="225793E9" w14:textId="77777777" w:rsidR="00961D73" w:rsidRDefault="00961D73" w:rsidP="00961D73">
      <w:pPr>
        <w:spacing w:after="240" w:line="276" w:lineRule="auto"/>
        <w:jc w:val="both"/>
      </w:pPr>
      <w:r>
        <w:t>Zaposlenici</w:t>
      </w:r>
      <w:r w:rsidRPr="00A06392">
        <w:t xml:space="preserve"> su nastavili sa sudjelovanjem u radu tijela i radnih grupa Europske agencije </w:t>
      </w:r>
      <w:r>
        <w:t xml:space="preserve">za lijekove </w:t>
      </w:r>
      <w:r w:rsidRPr="00A06392">
        <w:t>(EMA) i Europske komisije (EC)</w:t>
      </w:r>
      <w:r>
        <w:t xml:space="preserve">: </w:t>
      </w:r>
      <w:r w:rsidRPr="00092484">
        <w:t>EUNDB (</w:t>
      </w:r>
      <w:r w:rsidRPr="00092484">
        <w:rPr>
          <w:i/>
        </w:rPr>
        <w:t>EU Network Data Board</w:t>
      </w:r>
      <w:r w:rsidRPr="00092484">
        <w:t>)</w:t>
      </w:r>
      <w:r>
        <w:t xml:space="preserve">, </w:t>
      </w:r>
      <w:r w:rsidRPr="00092484">
        <w:t>ISO IDMP Task Force</w:t>
      </w:r>
      <w:r>
        <w:t xml:space="preserve">, </w:t>
      </w:r>
      <w:r w:rsidRPr="00092484">
        <w:t>eAF and DADI requirements (</w:t>
      </w:r>
      <w:r w:rsidRPr="00092484">
        <w:rPr>
          <w:i/>
        </w:rPr>
        <w:t>Working Group</w:t>
      </w:r>
      <w:r w:rsidRPr="00092484">
        <w:t>)</w:t>
      </w:r>
      <w:r>
        <w:t xml:space="preserve"> i </w:t>
      </w:r>
      <w:r w:rsidRPr="00092484">
        <w:t>IT Directors</w:t>
      </w:r>
      <w:r w:rsidRPr="00A06392">
        <w:t xml:space="preserve">. </w:t>
      </w:r>
      <w:r>
        <w:t>S</w:t>
      </w:r>
      <w:r w:rsidRPr="00A06392">
        <w:t xml:space="preserve">astanci radnih grupa i tijela </w:t>
      </w:r>
      <w:r w:rsidRPr="001E3C9A">
        <w:t>održava</w:t>
      </w:r>
      <w:r>
        <w:t xml:space="preserve">li su </w:t>
      </w:r>
      <w:r w:rsidRPr="001E3C9A">
        <w:t>se</w:t>
      </w:r>
      <w:r w:rsidRPr="00A06392">
        <w:t xml:space="preserve"> </w:t>
      </w:r>
      <w:r>
        <w:t xml:space="preserve">virtualno, a održano je i </w:t>
      </w:r>
      <w:r w:rsidRPr="00A06392">
        <w:t>više sastanak</w:t>
      </w:r>
      <w:r>
        <w:t>a</w:t>
      </w:r>
      <w:r w:rsidRPr="00A06392">
        <w:t xml:space="preserve"> i radionica za realizaciju projekta UNICOM (</w:t>
      </w:r>
      <w:r w:rsidRPr="00A06392">
        <w:rPr>
          <w:i/>
        </w:rPr>
        <w:t xml:space="preserve">Scaling up the univocal Identification of Medicinal </w:t>
      </w:r>
      <w:r w:rsidRPr="00A06392">
        <w:rPr>
          <w:i/>
        </w:rPr>
        <w:lastRenderedPageBreak/>
        <w:t>Products</w:t>
      </w:r>
      <w:r w:rsidRPr="00A06392">
        <w:t>), prvens</w:t>
      </w:r>
      <w:r>
        <w:t>tveno radne grupe za realizaciju</w:t>
      </w:r>
      <w:r w:rsidRPr="00A06392">
        <w:t xml:space="preserve"> radnog paketa WP4: </w:t>
      </w:r>
      <w:r w:rsidRPr="00A06392">
        <w:rPr>
          <w:i/>
        </w:rPr>
        <w:t>IDMP/SPOR implementation at NCAs and healthcare providers</w:t>
      </w:r>
      <w:r w:rsidRPr="00A06392">
        <w:t>.</w:t>
      </w:r>
    </w:p>
    <w:p w14:paraId="14D21EE6" w14:textId="77777777" w:rsidR="00961D73" w:rsidRPr="002269DA" w:rsidRDefault="00961D73" w:rsidP="00961D73">
      <w:pPr>
        <w:spacing w:after="240" w:line="276" w:lineRule="auto"/>
        <w:jc w:val="both"/>
      </w:pPr>
    </w:p>
    <w:p w14:paraId="3D5702E3" w14:textId="613AE672" w:rsidR="00A82C1C" w:rsidRDefault="00A82C1C">
      <w:r>
        <w:br w:type="page"/>
      </w:r>
    </w:p>
    <w:p w14:paraId="7A74AA9C" w14:textId="77777777" w:rsidR="00A82C1C" w:rsidRDefault="00A82C1C" w:rsidP="00A82C1C">
      <w:pPr>
        <w:pStyle w:val="Heading2"/>
      </w:pPr>
      <w:bookmarkStart w:id="309" w:name="_Toc514930211"/>
      <w:bookmarkStart w:id="310" w:name="_Toc530140606"/>
      <w:bookmarkStart w:id="311" w:name="_Toc165035541"/>
      <w:r>
        <w:lastRenderedPageBreak/>
        <w:t>2.14</w:t>
      </w:r>
      <w:r w:rsidRPr="00716794">
        <w:t>. Izvješ</w:t>
      </w:r>
      <w:r>
        <w:t>će</w:t>
      </w:r>
      <w:r w:rsidRPr="00716794">
        <w:t xml:space="preserve"> o suradnji HALMED-a s nacionalnim institucijama u Republici Hrvatskoj</w:t>
      </w:r>
      <w:bookmarkEnd w:id="309"/>
      <w:bookmarkEnd w:id="310"/>
      <w:bookmarkEnd w:id="311"/>
    </w:p>
    <w:p w14:paraId="68C22E7C" w14:textId="77777777" w:rsidR="00A82C1C" w:rsidRPr="008879E4" w:rsidRDefault="00A82C1C" w:rsidP="00A82C1C">
      <w:pPr>
        <w:spacing w:before="120" w:line="276" w:lineRule="auto"/>
        <w:jc w:val="both"/>
      </w:pPr>
      <w:r w:rsidRPr="008879E4">
        <w:t xml:space="preserve">HALMED je u </w:t>
      </w:r>
      <w:r>
        <w:t>2023. godini nastavio suradnju</w:t>
      </w:r>
      <w:r w:rsidRPr="008879E4">
        <w:t xml:space="preserve"> sa sljedećim institucijama u Republici Hrvatskoj na području lijekova i medicinskih proizvoda:</w:t>
      </w:r>
    </w:p>
    <w:p w14:paraId="7C7E4926" w14:textId="77777777" w:rsidR="00A82C1C" w:rsidRPr="008879E4" w:rsidRDefault="00A82C1C" w:rsidP="00A82C1C">
      <w:pPr>
        <w:spacing w:line="276" w:lineRule="auto"/>
        <w:ind w:left="708"/>
      </w:pPr>
    </w:p>
    <w:p w14:paraId="13C92B8C" w14:textId="77777777" w:rsidR="00A82C1C" w:rsidRPr="00D82C12" w:rsidRDefault="00A82C1C" w:rsidP="00A82C1C">
      <w:pPr>
        <w:spacing w:after="240"/>
        <w:rPr>
          <w:b/>
        </w:rPr>
      </w:pPr>
      <w:r w:rsidRPr="00D82C12">
        <w:rPr>
          <w:b/>
        </w:rPr>
        <w:t>A) HRVATSKI ZAVOD ZA JAVNO ZDRAVSTVO (HZJZ)</w:t>
      </w:r>
    </w:p>
    <w:p w14:paraId="27984D56" w14:textId="77777777" w:rsidR="00A82C1C" w:rsidRDefault="00A82C1C" w:rsidP="00A82C1C">
      <w:pPr>
        <w:spacing w:before="120" w:line="276" w:lineRule="auto"/>
        <w:jc w:val="both"/>
        <w:rPr>
          <w:rFonts w:eastAsia="Times New Roman" w:cstheme="minorHAnsi"/>
        </w:rPr>
      </w:pPr>
      <w:r w:rsidRPr="008879E4">
        <w:rPr>
          <w:rFonts w:eastAsia="Times New Roman" w:cstheme="minorHAnsi"/>
        </w:rPr>
        <w:t>HALMED surađuje s HZJZ</w:t>
      </w:r>
      <w:r>
        <w:rPr>
          <w:rFonts w:eastAsia="Times New Roman" w:cstheme="minorHAnsi"/>
        </w:rPr>
        <w:t>-om</w:t>
      </w:r>
      <w:r w:rsidRPr="008879E4">
        <w:rPr>
          <w:rFonts w:eastAsia="Times New Roman" w:cstheme="minorHAnsi"/>
        </w:rPr>
        <w:t xml:space="preserve"> na području farmakovigilancije cjepiva. Ova je suradnja između dviju ustanova ustanovljena 2006. godine na dobrovoljnoj osnovi, osnivanjem Stručne grupe za razmjenu prijava </w:t>
      </w:r>
      <w:r w:rsidRPr="009B0F50">
        <w:rPr>
          <w:rFonts w:eastAsia="Times New Roman" w:cstheme="minorHAnsi"/>
        </w:rPr>
        <w:t>nuspojava cjepiva</w:t>
      </w:r>
      <w:r w:rsidRPr="008879E4">
        <w:rPr>
          <w:rFonts w:eastAsia="Times New Roman" w:cstheme="minorHAnsi"/>
        </w:rPr>
        <w:t xml:space="preserve">. Stručna grupa se sastoji od djelatnika Odsjeka za farmakovigilanciju i racionalnu farmakoterapiju HALMED-a te djelatnika Odjela za prevenciju zaraznih bolesti i cijepljenje Službe za epidemiologiju HZJZ-a. </w:t>
      </w:r>
      <w:r>
        <w:rPr>
          <w:rFonts w:eastAsia="Times New Roman" w:cstheme="minorHAnsi"/>
        </w:rPr>
        <w:t>G</w:t>
      </w:r>
      <w:r w:rsidRPr="008879E4">
        <w:rPr>
          <w:rFonts w:eastAsia="Times New Roman" w:cstheme="minorHAnsi"/>
        </w:rPr>
        <w:t>lavn</w:t>
      </w:r>
      <w:r>
        <w:rPr>
          <w:rFonts w:eastAsia="Times New Roman" w:cstheme="minorHAnsi"/>
        </w:rPr>
        <w:t>e</w:t>
      </w:r>
      <w:r w:rsidRPr="008879E4">
        <w:rPr>
          <w:rFonts w:eastAsia="Times New Roman" w:cstheme="minorHAnsi"/>
        </w:rPr>
        <w:t xml:space="preserve"> zadać</w:t>
      </w:r>
      <w:r>
        <w:rPr>
          <w:rFonts w:eastAsia="Times New Roman" w:cstheme="minorHAnsi"/>
        </w:rPr>
        <w:t>e</w:t>
      </w:r>
      <w:r w:rsidRPr="008879E4">
        <w:rPr>
          <w:rFonts w:eastAsia="Times New Roman" w:cstheme="minorHAnsi"/>
        </w:rPr>
        <w:t xml:space="preserve"> </w:t>
      </w:r>
      <w:r>
        <w:rPr>
          <w:rFonts w:eastAsia="Times New Roman" w:cstheme="minorHAnsi"/>
        </w:rPr>
        <w:t>grupe su</w:t>
      </w:r>
      <w:r w:rsidRPr="008879E4">
        <w:rPr>
          <w:rFonts w:eastAsia="Times New Roman" w:cstheme="minorHAnsi"/>
        </w:rPr>
        <w:t xml:space="preserve">: ocjena izvješća o nuspojavama, razvrstavanje izvješća sukladno njihovom uzorku i stupnju ozbiljnosti, otkrivanje dvostrukog prijavljivanja, međusobno informiranje o poduzetim akcijama, informiranje obje strane o svakom nastavnom izvješću, odluke o potrebi daljnjih akcija (istražne i regulatorne) te izrada zajedničkog godišnjeg izvješća o nuspojavama. Postojanje Stručne grupe propisano je Pravilnikom o farmakovigilanciji iz 2009. godine i potvrđeno </w:t>
      </w:r>
      <w:r>
        <w:rPr>
          <w:rFonts w:eastAsia="Times New Roman" w:cstheme="minorHAnsi"/>
        </w:rPr>
        <w:t>P</w:t>
      </w:r>
      <w:r w:rsidRPr="008879E4">
        <w:rPr>
          <w:rFonts w:eastAsia="Times New Roman" w:cstheme="minorHAnsi"/>
        </w:rPr>
        <w:t xml:space="preserve">ravilnikom </w:t>
      </w:r>
      <w:r>
        <w:rPr>
          <w:rFonts w:eastAsia="Times New Roman" w:cstheme="minorHAnsi"/>
        </w:rPr>
        <w:t xml:space="preserve">o farmakovigilanciji iz </w:t>
      </w:r>
      <w:r w:rsidRPr="008879E4">
        <w:rPr>
          <w:rFonts w:eastAsia="Times New Roman" w:cstheme="minorHAnsi"/>
        </w:rPr>
        <w:t xml:space="preserve">2013. </w:t>
      </w:r>
      <w:r>
        <w:rPr>
          <w:rFonts w:eastAsia="Times New Roman" w:cstheme="minorHAnsi"/>
        </w:rPr>
        <w:t>g</w:t>
      </w:r>
      <w:r w:rsidRPr="008879E4">
        <w:rPr>
          <w:rFonts w:eastAsia="Times New Roman" w:cstheme="minorHAnsi"/>
        </w:rPr>
        <w:t>odine</w:t>
      </w:r>
      <w:r>
        <w:rPr>
          <w:rFonts w:eastAsia="Times New Roman" w:cstheme="minorHAnsi"/>
        </w:rPr>
        <w:t>,</w:t>
      </w:r>
      <w:r w:rsidRPr="008879E4">
        <w:rPr>
          <w:rFonts w:eastAsia="Times New Roman" w:cstheme="minorHAnsi"/>
        </w:rPr>
        <w:t xml:space="preserve"> što je ovu pozitivnu praksu učinilo obveznom. Sastanci Stručne grupe održavaju se redovito te u njima sudjeluju eksperti obje ustanove s ciljem razmjene prijava nuspojava cjepiva i drugih odgovarajućih informacija te razmjene najboljih praksi vezanih za sigurnost cjepiva. Kao nacionalno nadležno tijelo za praćenje sigurne </w:t>
      </w:r>
      <w:r>
        <w:rPr>
          <w:rFonts w:eastAsia="Times New Roman" w:cstheme="minorHAnsi"/>
        </w:rPr>
        <w:t>primjene</w:t>
      </w:r>
      <w:r w:rsidRPr="008879E4">
        <w:rPr>
          <w:rFonts w:eastAsia="Times New Roman" w:cstheme="minorHAnsi"/>
        </w:rPr>
        <w:t xml:space="preserve"> lijekova i racionalnu farmakoterapiju, HALMED je uključen u praćenje nuspojava tijekom nacionalnih masovnih </w:t>
      </w:r>
      <w:r w:rsidRPr="000D5B12">
        <w:rPr>
          <w:rFonts w:eastAsia="Times New Roman" w:cstheme="minorHAnsi"/>
        </w:rPr>
        <w:t xml:space="preserve">kampanja cijepljenja. </w:t>
      </w:r>
    </w:p>
    <w:p w14:paraId="18DBADEB" w14:textId="77777777" w:rsidR="00A82C1C" w:rsidRPr="00F02ED9" w:rsidRDefault="00A82C1C" w:rsidP="00A82C1C">
      <w:pPr>
        <w:spacing w:line="276" w:lineRule="auto"/>
        <w:jc w:val="both"/>
      </w:pPr>
      <w:r w:rsidRPr="00F02ED9">
        <w:t xml:space="preserve">U izvještajnom razdoblju održano je </w:t>
      </w:r>
      <w:r w:rsidRPr="00AF1237">
        <w:t>1</w:t>
      </w:r>
      <w:r>
        <w:t>9</w:t>
      </w:r>
      <w:r w:rsidRPr="00AF1237">
        <w:t xml:space="preserve"> sastanaka Stručne grupe za nuspojave i sigurnu primjenu cjepiva</w:t>
      </w:r>
      <w:r w:rsidRPr="00F02ED9">
        <w:t xml:space="preserve"> koja se sastoji od farmakovigilancijskih stručnjaka HALMED-a i stručnjaka epidemiologa iz HZJZ-a.</w:t>
      </w:r>
    </w:p>
    <w:p w14:paraId="3EABC366" w14:textId="77777777" w:rsidR="00A82C1C" w:rsidRDefault="00A82C1C" w:rsidP="00A82C1C">
      <w:pPr>
        <w:spacing w:after="120" w:line="276" w:lineRule="auto"/>
        <w:jc w:val="both"/>
        <w:rPr>
          <w:color w:val="000000"/>
          <w:sz w:val="18"/>
          <w:szCs w:val="18"/>
        </w:rPr>
      </w:pPr>
      <w:r w:rsidRPr="00AF1237">
        <w:t xml:space="preserve">Na sastancima Stručne grupe ocijenjena je ozbiljnost i uzročno-posljedična povezanost između nuspojave(a) i suspektnog cjepiva za </w:t>
      </w:r>
      <w:r>
        <w:t>157</w:t>
      </w:r>
      <w:r w:rsidRPr="00AF1237">
        <w:t xml:space="preserve"> prijava sumnji na nuspojave cjepiva. Tijekom </w:t>
      </w:r>
      <w:r>
        <w:t>6</w:t>
      </w:r>
      <w:r w:rsidRPr="00AF1237">
        <w:t xml:space="preserve"> sastan</w:t>
      </w:r>
      <w:r>
        <w:t>a</w:t>
      </w:r>
      <w:r w:rsidRPr="00AF1237">
        <w:t>ka održan</w:t>
      </w:r>
      <w:r>
        <w:t>ih</w:t>
      </w:r>
      <w:r w:rsidRPr="00AF1237">
        <w:t xml:space="preserve"> za COVID-19 cjepiva ocijenjena je ozbiljnost i uzročno-posljedična povezanost između nuspojave(a) i suspektnog cjepiva za 2</w:t>
      </w:r>
      <w:r>
        <w:t>4</w:t>
      </w:r>
      <w:r w:rsidRPr="00AF1237">
        <w:t xml:space="preserve"> prijav</w:t>
      </w:r>
      <w:r>
        <w:t>e</w:t>
      </w:r>
      <w:r w:rsidRPr="00AF1237">
        <w:t xml:space="preserve"> sumnji na nuspojave. Tijekom </w:t>
      </w:r>
      <w:r>
        <w:t>13</w:t>
      </w:r>
      <w:r w:rsidRPr="00AF1237">
        <w:t xml:space="preserve"> sastanaka održanih za druga cjepiva ocijenjena je ozbiljnost i uzročno-posljedična povezanost između nuspojave(a) i suspektnog cjepiva za </w:t>
      </w:r>
      <w:r>
        <w:t>133</w:t>
      </w:r>
      <w:r w:rsidRPr="00AF1237">
        <w:t xml:space="preserve"> prijav</w:t>
      </w:r>
      <w:r>
        <w:t>e sumnji na nuspojave</w:t>
      </w:r>
      <w:r w:rsidRPr="00AF1237">
        <w:t>.</w:t>
      </w:r>
    </w:p>
    <w:p w14:paraId="5E73EE47" w14:textId="77777777" w:rsidR="00A82C1C" w:rsidRPr="0010027E" w:rsidRDefault="00A82C1C" w:rsidP="00A82C1C">
      <w:pPr>
        <w:spacing w:line="276" w:lineRule="auto"/>
        <w:ind w:left="708"/>
        <w:rPr>
          <w:rFonts w:cstheme="minorHAnsi"/>
        </w:rPr>
      </w:pPr>
    </w:p>
    <w:p w14:paraId="20890BE9" w14:textId="77777777" w:rsidR="00A82C1C" w:rsidRPr="008879E4" w:rsidRDefault="00A82C1C" w:rsidP="00A82C1C">
      <w:pPr>
        <w:spacing w:after="240" w:line="276" w:lineRule="auto"/>
        <w:jc w:val="both"/>
        <w:rPr>
          <w:rFonts w:eastAsia="Times New Roman" w:cstheme="minorHAnsi"/>
          <w:b/>
        </w:rPr>
      </w:pPr>
      <w:r>
        <w:rPr>
          <w:rFonts w:eastAsia="Times New Roman" w:cstheme="minorHAnsi"/>
          <w:b/>
        </w:rPr>
        <w:t xml:space="preserve">B) </w:t>
      </w:r>
      <w:r w:rsidRPr="008879E4">
        <w:rPr>
          <w:rFonts w:eastAsia="Times New Roman" w:cstheme="minorHAnsi"/>
          <w:b/>
        </w:rPr>
        <w:t xml:space="preserve">MINISTARSTVO FINANCIJA </w:t>
      </w:r>
      <w:r>
        <w:rPr>
          <w:rFonts w:eastAsia="Times New Roman" w:cstheme="minorHAnsi"/>
          <w:b/>
        </w:rPr>
        <w:t>–</w:t>
      </w:r>
      <w:r w:rsidRPr="008879E4">
        <w:rPr>
          <w:rFonts w:eastAsia="Times New Roman" w:cstheme="minorHAnsi"/>
          <w:b/>
        </w:rPr>
        <w:t xml:space="preserve"> CARINSKA UPRAVA, MINISTARSTVO UNUTARNJIH POSLOVA –POLICIJSKE UPRAVE I DRŽAVNO ODVJETNIŠTVO REPUBLIKE HRVATSKE</w:t>
      </w:r>
    </w:p>
    <w:p w14:paraId="449AB59F" w14:textId="77777777" w:rsidR="00A82C1C" w:rsidRDefault="00A82C1C" w:rsidP="00A82C1C">
      <w:pPr>
        <w:spacing w:before="120" w:line="276" w:lineRule="auto"/>
        <w:jc w:val="both"/>
        <w:rPr>
          <w:rFonts w:cstheme="minorHAnsi"/>
        </w:rPr>
      </w:pPr>
      <w:r w:rsidRPr="001F2F7A">
        <w:rPr>
          <w:rFonts w:cstheme="minorHAnsi"/>
        </w:rPr>
        <w:t>U 202</w:t>
      </w:r>
      <w:r>
        <w:rPr>
          <w:rFonts w:cstheme="minorHAnsi"/>
        </w:rPr>
        <w:t>3</w:t>
      </w:r>
      <w:r w:rsidRPr="001F2F7A">
        <w:rPr>
          <w:rFonts w:cstheme="minorHAnsi"/>
        </w:rPr>
        <w:t>. godini nastavila se suradnja s Carinskom upravom Ministarstva financija, Državnim odvjetništvom i Ministarstvom unutarnjih poslova vezano uz ilegalne lijekove i krivotvorine. HALMED sudjeluje u razvrstavanju i davanju mišljenja dostavljenih uzoraka ilegalnih i potencijalno krivotvorenih lijekova, a u svrhu pokretanja sudskog postupka.</w:t>
      </w:r>
      <w:r>
        <w:rPr>
          <w:rFonts w:cstheme="minorHAnsi"/>
        </w:rPr>
        <w:t xml:space="preserve"> </w:t>
      </w:r>
    </w:p>
    <w:p w14:paraId="7E3675A4" w14:textId="77777777" w:rsidR="00A82C1C" w:rsidRPr="008879E4" w:rsidRDefault="00A82C1C" w:rsidP="00A82C1C">
      <w:pPr>
        <w:spacing w:before="120" w:line="276" w:lineRule="auto"/>
        <w:jc w:val="both"/>
        <w:rPr>
          <w:rFonts w:cstheme="minorHAnsi"/>
        </w:rPr>
      </w:pPr>
      <w:r>
        <w:rPr>
          <w:rFonts w:cstheme="minorHAnsi"/>
        </w:rPr>
        <w:t xml:space="preserve">U izvještajnom razdoblju na zahtjev Općinskog državnog odvjetništva i Ministarstva unutarnjih poslova provedena su </w:t>
      </w:r>
      <w:r w:rsidRPr="00FF7745">
        <w:rPr>
          <w:rFonts w:cstheme="minorHAnsi"/>
        </w:rPr>
        <w:t xml:space="preserve">razvrstavanja i klasifikacije za ukupno </w:t>
      </w:r>
      <w:r w:rsidRPr="005C04CA">
        <w:rPr>
          <w:rFonts w:cstheme="minorHAnsi"/>
        </w:rPr>
        <w:t>60</w:t>
      </w:r>
      <w:r w:rsidRPr="00FF7745">
        <w:rPr>
          <w:rFonts w:cstheme="minorHAnsi"/>
        </w:rPr>
        <w:t xml:space="preserve"> proizvoda</w:t>
      </w:r>
      <w:r>
        <w:rPr>
          <w:rFonts w:cstheme="minorHAnsi"/>
        </w:rPr>
        <w:t xml:space="preserve"> sa sumnjom da se radi o krivotvorenom lijeku. Na zahtjev Općinskog državnog odvjetništva provedeno je </w:t>
      </w:r>
      <w:r w:rsidRPr="00FF7745">
        <w:rPr>
          <w:rFonts w:cstheme="minorHAnsi"/>
        </w:rPr>
        <w:t>vještačenje za 13 proizvoda</w:t>
      </w:r>
      <w:r>
        <w:rPr>
          <w:rFonts w:cstheme="minorHAnsi"/>
        </w:rPr>
        <w:t>.</w:t>
      </w:r>
    </w:p>
    <w:p w14:paraId="0A4C0F77" w14:textId="77777777" w:rsidR="00A82C1C" w:rsidRPr="008879E4" w:rsidRDefault="00A82C1C" w:rsidP="00A82C1C">
      <w:pPr>
        <w:spacing w:line="276" w:lineRule="auto"/>
        <w:rPr>
          <w:rFonts w:eastAsia="Times New Roman" w:cstheme="minorHAnsi"/>
          <w:b/>
        </w:rPr>
      </w:pPr>
    </w:p>
    <w:p w14:paraId="22F9F783" w14:textId="77777777" w:rsidR="00A82C1C" w:rsidRPr="008879E4" w:rsidRDefault="00A82C1C" w:rsidP="00A82C1C">
      <w:pPr>
        <w:spacing w:after="240" w:line="276" w:lineRule="auto"/>
        <w:jc w:val="both"/>
        <w:rPr>
          <w:rFonts w:eastAsia="Times New Roman" w:cstheme="minorHAnsi"/>
          <w:b/>
          <w:lang w:eastAsia="ja-JP"/>
        </w:rPr>
      </w:pPr>
      <w:r>
        <w:rPr>
          <w:rFonts w:eastAsia="Times New Roman" w:cstheme="minorHAnsi"/>
          <w:b/>
          <w:lang w:eastAsia="ja-JP"/>
        </w:rPr>
        <w:t xml:space="preserve">C) </w:t>
      </w:r>
      <w:r w:rsidRPr="008879E4">
        <w:rPr>
          <w:rFonts w:eastAsia="Times New Roman" w:cstheme="minorHAnsi"/>
          <w:b/>
          <w:lang w:eastAsia="ja-JP"/>
        </w:rPr>
        <w:t>HRVATSKI ZAVOD ZA ZDRAVSTVENO OSIGURANJE (HZZO)</w:t>
      </w:r>
    </w:p>
    <w:p w14:paraId="6A9927AA" w14:textId="77777777" w:rsidR="00A82C1C" w:rsidRDefault="00A82C1C" w:rsidP="00A82C1C">
      <w:pPr>
        <w:spacing w:after="240" w:line="276" w:lineRule="auto"/>
        <w:jc w:val="both"/>
        <w:rPr>
          <w:rFonts w:cstheme="minorHAnsi"/>
        </w:rPr>
      </w:pPr>
      <w:r w:rsidRPr="00B7251F">
        <w:rPr>
          <w:rFonts w:cstheme="minorHAnsi"/>
        </w:rPr>
        <w:lastRenderedPageBreak/>
        <w:t xml:space="preserve">HALMED surađuje s Hrvatskim zavodom za zdravstveno osiguranje (HZZO) kroz obavještavanje zdravstvenih djelatnika o važnim sigurnosnim pitanjima </w:t>
      </w:r>
      <w:r>
        <w:rPr>
          <w:rFonts w:cstheme="minorHAnsi"/>
        </w:rPr>
        <w:t>putem</w:t>
      </w:r>
      <w:r w:rsidRPr="00B7251F">
        <w:rPr>
          <w:rFonts w:cstheme="minorHAnsi"/>
        </w:rPr>
        <w:t xml:space="preserve"> Centraln</w:t>
      </w:r>
      <w:r>
        <w:rPr>
          <w:rFonts w:cstheme="minorHAnsi"/>
        </w:rPr>
        <w:t>og</w:t>
      </w:r>
      <w:r w:rsidRPr="00B7251F">
        <w:rPr>
          <w:rFonts w:cstheme="minorHAnsi"/>
        </w:rPr>
        <w:t xml:space="preserve"> zdravstven</w:t>
      </w:r>
      <w:r>
        <w:rPr>
          <w:rFonts w:cstheme="minorHAnsi"/>
        </w:rPr>
        <w:t>og</w:t>
      </w:r>
      <w:r w:rsidRPr="00B7251F">
        <w:rPr>
          <w:rFonts w:cstheme="minorHAnsi"/>
        </w:rPr>
        <w:t xml:space="preserve"> informacijsk</w:t>
      </w:r>
      <w:r>
        <w:rPr>
          <w:rFonts w:cstheme="minorHAnsi"/>
        </w:rPr>
        <w:t>og</w:t>
      </w:r>
      <w:r w:rsidRPr="00B7251F">
        <w:rPr>
          <w:rFonts w:cstheme="minorHAnsi"/>
        </w:rPr>
        <w:t xml:space="preserve"> sustav</w:t>
      </w:r>
      <w:r>
        <w:rPr>
          <w:rFonts w:cstheme="minorHAnsi"/>
        </w:rPr>
        <w:t>a</w:t>
      </w:r>
      <w:r w:rsidRPr="00B7251F">
        <w:rPr>
          <w:rFonts w:cstheme="minorHAnsi"/>
        </w:rPr>
        <w:t xml:space="preserve"> RH (CEZIH) i Bolničk</w:t>
      </w:r>
      <w:r>
        <w:rPr>
          <w:rFonts w:cstheme="minorHAnsi"/>
        </w:rPr>
        <w:t>ih</w:t>
      </w:r>
      <w:r w:rsidRPr="00B7251F">
        <w:rPr>
          <w:rFonts w:cstheme="minorHAnsi"/>
        </w:rPr>
        <w:t xml:space="preserve"> informacijsk</w:t>
      </w:r>
      <w:r>
        <w:rPr>
          <w:rFonts w:cstheme="minorHAnsi"/>
        </w:rPr>
        <w:t>ih</w:t>
      </w:r>
      <w:r w:rsidRPr="00B7251F">
        <w:rPr>
          <w:rFonts w:cstheme="minorHAnsi"/>
        </w:rPr>
        <w:t xml:space="preserve"> sustav</w:t>
      </w:r>
      <w:r>
        <w:rPr>
          <w:rFonts w:cstheme="minorHAnsi"/>
        </w:rPr>
        <w:t>a</w:t>
      </w:r>
      <w:r w:rsidRPr="00B7251F">
        <w:rPr>
          <w:rFonts w:cstheme="minorHAnsi"/>
        </w:rPr>
        <w:t xml:space="preserve"> (BIS)</w:t>
      </w:r>
      <w:r>
        <w:rPr>
          <w:rFonts w:cstheme="minorHAnsi"/>
        </w:rPr>
        <w:t xml:space="preserve">. </w:t>
      </w:r>
    </w:p>
    <w:p w14:paraId="1093A51D" w14:textId="77777777" w:rsidR="00A82C1C" w:rsidRDefault="00A82C1C" w:rsidP="00A82C1C">
      <w:pPr>
        <w:spacing w:line="276" w:lineRule="auto"/>
        <w:jc w:val="both"/>
        <w:rPr>
          <w:rFonts w:cstheme="minorHAnsi"/>
        </w:rPr>
      </w:pPr>
      <w:r w:rsidRPr="00B7251F">
        <w:rPr>
          <w:rFonts w:cstheme="minorHAnsi"/>
        </w:rPr>
        <w:t xml:space="preserve">Informiranje zdravstvenih </w:t>
      </w:r>
      <w:r w:rsidRPr="00DF6327">
        <w:rPr>
          <w:rFonts w:cstheme="minorHAnsi"/>
        </w:rPr>
        <w:t xml:space="preserve">radnika kroz CEZIH o važnim sigurnosnim pitanjima za koja je upućeno pismo zdravstvenim radnicima u potpunosti je ustrojeno tijekom 2015. godine. Tijekom </w:t>
      </w:r>
      <w:r>
        <w:rPr>
          <w:rFonts w:cstheme="minorHAnsi"/>
        </w:rPr>
        <w:t>izvještajnog razdoblja</w:t>
      </w:r>
      <w:r w:rsidRPr="00DF6327">
        <w:rPr>
          <w:rFonts w:cstheme="minorHAnsi"/>
        </w:rPr>
        <w:t xml:space="preserve"> </w:t>
      </w:r>
      <w:r>
        <w:rPr>
          <w:rFonts w:cstheme="minorHAnsi"/>
        </w:rPr>
        <w:t>prosljeđena je informacija o četiri pisma zdravstvenim radnicima za lijekove uvrštene na listu lijekova HZZO-a.</w:t>
      </w:r>
    </w:p>
    <w:p w14:paraId="0B3202C9" w14:textId="77777777" w:rsidR="00A82C1C" w:rsidRDefault="00A82C1C" w:rsidP="00A82C1C">
      <w:pPr>
        <w:spacing w:line="276" w:lineRule="auto"/>
        <w:jc w:val="both"/>
        <w:rPr>
          <w:rFonts w:cstheme="minorHAnsi"/>
        </w:rPr>
      </w:pPr>
      <w:r>
        <w:rPr>
          <w:rFonts w:cstheme="minorHAnsi"/>
        </w:rPr>
        <w:t xml:space="preserve">HALMED surađuje s HZZOom na realizaciji projekta eLijekovi koji je opisan u poglavlju 2.15. </w:t>
      </w:r>
    </w:p>
    <w:p w14:paraId="18A183CE" w14:textId="77777777" w:rsidR="00A82C1C" w:rsidRDefault="00A82C1C" w:rsidP="00A82C1C">
      <w:pPr>
        <w:spacing w:line="276" w:lineRule="auto"/>
        <w:jc w:val="both"/>
        <w:rPr>
          <w:rFonts w:eastAsia="Times New Roman" w:cstheme="minorHAnsi"/>
          <w:b/>
        </w:rPr>
      </w:pPr>
    </w:p>
    <w:p w14:paraId="074A44D0" w14:textId="77777777" w:rsidR="00A82C1C" w:rsidRDefault="00A82C1C" w:rsidP="00A82C1C">
      <w:pPr>
        <w:spacing w:line="276" w:lineRule="auto"/>
        <w:jc w:val="both"/>
        <w:rPr>
          <w:rFonts w:eastAsia="Times New Roman" w:cstheme="minorHAnsi"/>
          <w:b/>
        </w:rPr>
      </w:pPr>
    </w:p>
    <w:p w14:paraId="473EA446" w14:textId="77777777" w:rsidR="00A82C1C" w:rsidRPr="007230E0" w:rsidRDefault="00A82C1C" w:rsidP="00A82C1C">
      <w:pPr>
        <w:spacing w:after="240" w:line="276" w:lineRule="auto"/>
        <w:jc w:val="both"/>
        <w:rPr>
          <w:rFonts w:eastAsia="Times New Roman" w:cstheme="minorHAnsi"/>
          <w:b/>
        </w:rPr>
      </w:pPr>
      <w:r>
        <w:rPr>
          <w:rFonts w:eastAsia="Times New Roman" w:cstheme="minorHAnsi"/>
          <w:b/>
        </w:rPr>
        <w:t>D</w:t>
      </w:r>
      <w:r w:rsidRPr="007230E0">
        <w:rPr>
          <w:rFonts w:eastAsia="Times New Roman" w:cstheme="minorHAnsi"/>
          <w:b/>
        </w:rPr>
        <w:t>) MINISTARSTVO POLJOPRIVREDE</w:t>
      </w:r>
      <w:r>
        <w:rPr>
          <w:rFonts w:eastAsia="Times New Roman" w:cstheme="minorHAnsi"/>
          <w:b/>
        </w:rPr>
        <w:t xml:space="preserve"> I HRVATSKI VETERINARSKI INSTITUT</w:t>
      </w:r>
    </w:p>
    <w:p w14:paraId="4930DA8F" w14:textId="1629801D" w:rsidR="00A82C1C" w:rsidRDefault="00A007AF" w:rsidP="00A82C1C">
      <w:pPr>
        <w:spacing w:after="240" w:line="276" w:lineRule="auto"/>
        <w:jc w:val="both"/>
        <w:rPr>
          <w:rFonts w:eastAsia="Times New Roman" w:cstheme="minorHAnsi"/>
        </w:rPr>
      </w:pPr>
      <w:r>
        <w:rPr>
          <w:rFonts w:eastAsia="Times New Roman" w:cstheme="minorHAnsi"/>
        </w:rPr>
        <w:t xml:space="preserve">U 2023. godini </w:t>
      </w:r>
      <w:r w:rsidR="00A82C1C" w:rsidRPr="002A6C31">
        <w:rPr>
          <w:rFonts w:eastAsia="Times New Roman" w:cstheme="minorHAnsi"/>
        </w:rPr>
        <w:t xml:space="preserve">HALMED </w:t>
      </w:r>
      <w:r>
        <w:rPr>
          <w:rFonts w:eastAsia="Times New Roman" w:cstheme="minorHAnsi"/>
        </w:rPr>
        <w:t xml:space="preserve">je </w:t>
      </w:r>
      <w:r w:rsidR="00A82C1C" w:rsidRPr="002A6C31">
        <w:rPr>
          <w:rFonts w:eastAsia="Times New Roman" w:cstheme="minorHAnsi"/>
        </w:rPr>
        <w:t>u suradnji s Ministarstvom poljoprivrede sudjel</w:t>
      </w:r>
      <w:r>
        <w:rPr>
          <w:rFonts w:eastAsia="Times New Roman" w:cstheme="minorHAnsi"/>
        </w:rPr>
        <w:t>ovao</w:t>
      </w:r>
      <w:r w:rsidR="00A82C1C" w:rsidRPr="002A6C31">
        <w:rPr>
          <w:rFonts w:eastAsia="Times New Roman" w:cstheme="minorHAnsi"/>
        </w:rPr>
        <w:t xml:space="preserve"> u izradi nacrta novog Zakona o veterinarskim lijekovima radi provođenja Uredbe (EU) 2019/6 Europskog Parlamenta i Vijeća od 11. prosinca 2018. o veterinarsko-medicinskim proizvodima i stavljanju izvan snage Direktive 2001/82/EZ. </w:t>
      </w:r>
    </w:p>
    <w:p w14:paraId="723D8493" w14:textId="77777777" w:rsidR="00A82C1C" w:rsidRDefault="00A82C1C" w:rsidP="00A82C1C">
      <w:pPr>
        <w:spacing w:after="240" w:line="276" w:lineRule="auto"/>
        <w:jc w:val="both"/>
        <w:rPr>
          <w:rFonts w:eastAsia="Times New Roman" w:cstheme="minorHAnsi"/>
          <w:b/>
        </w:rPr>
      </w:pPr>
      <w:r w:rsidRPr="007230E0">
        <w:rPr>
          <w:rFonts w:eastAsia="Times New Roman" w:cstheme="minorHAnsi"/>
        </w:rPr>
        <w:t>HALMED surađuje s Ministarstvom poljoprivrede</w:t>
      </w:r>
      <w:r>
        <w:rPr>
          <w:rFonts w:eastAsia="Times New Roman" w:cstheme="minorHAnsi"/>
        </w:rPr>
        <w:t xml:space="preserve"> temeljem Tripartitnog sporazuma o suradnji u području veterinarsko-medicinskih proizvoda od listopada 2019. godine, koji su zaključili Ministarstvo poljoprivrede, Hrvatski veterinarski institut i HALMED. Predmet navedenog Sporazuma je suradnja koja se odnosi na razmjenu znanja i dokumentacije na području veterinarsko-medicinskih proizvoda, a cilj suradnje je kontinuirano unaprjeđivanje kvalitete javnog zdravstva na području veterine. </w:t>
      </w:r>
      <w:r w:rsidRPr="00714A6E">
        <w:rPr>
          <w:rFonts w:eastAsia="Times New Roman" w:cstheme="minorHAnsi"/>
        </w:rPr>
        <w:t>Odluko</w:t>
      </w:r>
      <w:r>
        <w:rPr>
          <w:rFonts w:eastAsia="Times New Roman" w:cstheme="minorHAnsi"/>
        </w:rPr>
        <w:t>m Ministarstva poljoprivrede od 2019. godine OMCL</w:t>
      </w:r>
      <w:r w:rsidRPr="00714A6E">
        <w:rPr>
          <w:rFonts w:eastAsia="Times New Roman" w:cstheme="minorHAnsi"/>
        </w:rPr>
        <w:t xml:space="preserve"> </w:t>
      </w:r>
      <w:r>
        <w:rPr>
          <w:rFonts w:eastAsia="Times New Roman" w:cstheme="minorHAnsi"/>
        </w:rPr>
        <w:t>HALMED-a</w:t>
      </w:r>
      <w:r w:rsidRPr="00714A6E">
        <w:rPr>
          <w:rFonts w:eastAsia="Times New Roman" w:cstheme="minorHAnsi"/>
        </w:rPr>
        <w:t xml:space="preserve"> ovlašten je za kontrolu kvalitete veterinarsko­medicinskih proizvoda u prometu.</w:t>
      </w:r>
    </w:p>
    <w:p w14:paraId="3D13F96F" w14:textId="77777777" w:rsidR="00A82C1C" w:rsidRPr="008879E4" w:rsidRDefault="00A82C1C" w:rsidP="00A82C1C">
      <w:pPr>
        <w:spacing w:after="240" w:line="276" w:lineRule="auto"/>
        <w:jc w:val="both"/>
        <w:rPr>
          <w:rFonts w:eastAsia="Times New Roman" w:cstheme="minorHAnsi"/>
          <w:b/>
        </w:rPr>
      </w:pPr>
      <w:r>
        <w:rPr>
          <w:rFonts w:eastAsia="Times New Roman" w:cstheme="minorHAnsi"/>
          <w:b/>
        </w:rPr>
        <w:t xml:space="preserve">E) </w:t>
      </w:r>
      <w:r w:rsidRPr="008879E4">
        <w:rPr>
          <w:rFonts w:eastAsia="Times New Roman" w:cstheme="minorHAnsi"/>
          <w:b/>
        </w:rPr>
        <w:t>HRVATSKO FARMACEUTSKO DRUŠTVO (HFD)</w:t>
      </w:r>
    </w:p>
    <w:p w14:paraId="4254DEE2" w14:textId="77777777" w:rsidR="00A82C1C" w:rsidRDefault="00A82C1C" w:rsidP="00A82C1C">
      <w:pPr>
        <w:spacing w:after="240" w:line="276" w:lineRule="auto"/>
        <w:jc w:val="both"/>
        <w:rPr>
          <w:rFonts w:eastAsia="Times New Roman" w:cstheme="minorHAnsi"/>
          <w:b/>
        </w:rPr>
      </w:pPr>
      <w:r>
        <w:rPr>
          <w:bCs/>
          <w:color w:val="000000"/>
        </w:rPr>
        <w:t>HALMED je nastavio suradnju s HFD-om</w:t>
      </w:r>
      <w:r w:rsidRPr="00EA6C8F">
        <w:rPr>
          <w:bCs/>
          <w:color w:val="000000"/>
        </w:rPr>
        <w:t xml:space="preserve"> </w:t>
      </w:r>
      <w:r>
        <w:rPr>
          <w:bCs/>
          <w:color w:val="000000"/>
        </w:rPr>
        <w:t>kroz aktivno članstvo zaposlenika HALMED-a u stručnim s</w:t>
      </w:r>
      <w:r w:rsidRPr="00E628BB">
        <w:rPr>
          <w:bCs/>
          <w:color w:val="000000"/>
        </w:rPr>
        <w:t>ekcij</w:t>
      </w:r>
      <w:r>
        <w:rPr>
          <w:bCs/>
          <w:color w:val="000000"/>
        </w:rPr>
        <w:t xml:space="preserve">ama HFD-a. HALMED također surađuje s HFD-om kroz pripremu sadržaja za Farmaceutski glasnik, časopis HFD-a.  </w:t>
      </w:r>
    </w:p>
    <w:p w14:paraId="4CF7497C" w14:textId="77777777" w:rsidR="00A82C1C" w:rsidRPr="008879E4" w:rsidRDefault="00A82C1C" w:rsidP="00A82C1C">
      <w:pPr>
        <w:spacing w:after="240" w:line="276" w:lineRule="auto"/>
        <w:jc w:val="both"/>
        <w:rPr>
          <w:rFonts w:eastAsia="Times New Roman" w:cstheme="minorHAnsi"/>
          <w:b/>
        </w:rPr>
      </w:pPr>
      <w:r>
        <w:rPr>
          <w:rFonts w:eastAsia="Times New Roman" w:cstheme="minorHAnsi"/>
          <w:b/>
        </w:rPr>
        <w:t xml:space="preserve">F) </w:t>
      </w:r>
      <w:r w:rsidRPr="008879E4">
        <w:rPr>
          <w:rFonts w:eastAsia="Times New Roman" w:cstheme="minorHAnsi"/>
          <w:b/>
        </w:rPr>
        <w:t>HRVATSKA LJEKARNIČKA KOMORA (HLJK)</w:t>
      </w:r>
    </w:p>
    <w:p w14:paraId="45CAFB87" w14:textId="77777777" w:rsidR="00A82C1C" w:rsidRDefault="00A82C1C" w:rsidP="00A82C1C">
      <w:pPr>
        <w:spacing w:line="276" w:lineRule="auto"/>
        <w:jc w:val="both"/>
        <w:rPr>
          <w:rFonts w:eastAsia="Times New Roman" w:cstheme="minorHAnsi"/>
        </w:rPr>
      </w:pPr>
      <w:r>
        <w:rPr>
          <w:rFonts w:eastAsia="Times New Roman" w:cstheme="minorHAnsi"/>
        </w:rPr>
        <w:t xml:space="preserve">HALMED surađuje s </w:t>
      </w:r>
      <w:r w:rsidRPr="00E628BB">
        <w:rPr>
          <w:rFonts w:eastAsia="Times New Roman" w:cstheme="minorHAnsi"/>
        </w:rPr>
        <w:t>HLJK-</w:t>
      </w:r>
      <w:r>
        <w:rPr>
          <w:rFonts w:eastAsia="Times New Roman" w:cstheme="minorHAnsi"/>
        </w:rPr>
        <w:t>om</w:t>
      </w:r>
      <w:r w:rsidRPr="00E628BB">
        <w:rPr>
          <w:rFonts w:eastAsia="Times New Roman" w:cstheme="minorHAnsi"/>
        </w:rPr>
        <w:t xml:space="preserve"> </w:t>
      </w:r>
      <w:r>
        <w:rPr>
          <w:rFonts w:eastAsia="Times New Roman" w:cstheme="minorHAnsi"/>
        </w:rPr>
        <w:t xml:space="preserve">na području unaprjeđenja regulacije lijekova i medicinskih proizvoda, informiranja njenih članova o važnim i novim sigurnosnim pitanjima za lijekove i cjepiva te zajednički organizira edukacije za zdravstvene radnike. </w:t>
      </w:r>
    </w:p>
    <w:p w14:paraId="17204FF3" w14:textId="77777777" w:rsidR="00A82C1C" w:rsidRDefault="00A82C1C" w:rsidP="00A82C1C">
      <w:pPr>
        <w:spacing w:line="276" w:lineRule="auto"/>
        <w:jc w:val="both"/>
        <w:rPr>
          <w:rFonts w:eastAsia="Times New Roman" w:cstheme="minorHAnsi"/>
        </w:rPr>
      </w:pPr>
      <w:r>
        <w:rPr>
          <w:rFonts w:eastAsia="Times New Roman" w:cstheme="minorHAnsi"/>
        </w:rPr>
        <w:t xml:space="preserve">HALMED je u suradnji s HLJK proveo anketu među ljekarnicima zaposlenima u javnim ljekarnama </w:t>
      </w:r>
      <w:r w:rsidRPr="00915874">
        <w:rPr>
          <w:rFonts w:eastAsia="Times New Roman" w:cstheme="minorHAnsi"/>
        </w:rPr>
        <w:t xml:space="preserve">o učinkovitosti </w:t>
      </w:r>
      <w:r>
        <w:rPr>
          <w:rFonts w:eastAsia="Times New Roman" w:cstheme="minorHAnsi"/>
        </w:rPr>
        <w:t xml:space="preserve">provedenih </w:t>
      </w:r>
      <w:r w:rsidRPr="00915874">
        <w:rPr>
          <w:rFonts w:eastAsia="Times New Roman" w:cstheme="minorHAnsi"/>
        </w:rPr>
        <w:t>mjera minimizacije rizika u sprječavanju medi</w:t>
      </w:r>
      <w:r>
        <w:rPr>
          <w:rFonts w:eastAsia="Times New Roman" w:cstheme="minorHAnsi"/>
        </w:rPr>
        <w:t xml:space="preserve">kacijskih pogrešaka uzrokovanih </w:t>
      </w:r>
      <w:r w:rsidRPr="00915874">
        <w:rPr>
          <w:rFonts w:eastAsia="Times New Roman" w:cstheme="minorHAnsi"/>
        </w:rPr>
        <w:t>primjenom salbutamola u pedijatrijskoj populaci</w:t>
      </w:r>
      <w:r>
        <w:rPr>
          <w:rFonts w:eastAsia="Times New Roman" w:cstheme="minorHAnsi"/>
        </w:rPr>
        <w:t>ji. Anketa je provedena putem informacijskog sustava OPeN u razdoblju od 01. ožujka 2023. godine do 01. travnja 2023. godine. Na anketu je odgovorilo 137 magistara farmacije.</w:t>
      </w:r>
    </w:p>
    <w:p w14:paraId="4DA7D1F4" w14:textId="77777777" w:rsidR="00A82C1C" w:rsidRPr="000C36FD" w:rsidRDefault="00A82C1C" w:rsidP="00A82C1C">
      <w:pPr>
        <w:spacing w:line="276" w:lineRule="auto"/>
      </w:pPr>
      <w:r>
        <w:t>U veljači 2023. godine HLJK u suradnji s HALMED-om održana je on-line edukacija za ljekarnike na kojoj je predstavljena uputa za pripremu pedijatrijskih oblika beta-laktamskih antibiotika iz dostupnih odobrenih čvrstih farmaceutskih oblika u javnim ljekarnama uslijed nestašica.</w:t>
      </w:r>
      <w:r w:rsidRPr="004616CD">
        <w:t xml:space="preserve"> </w:t>
      </w:r>
    </w:p>
    <w:p w14:paraId="3A2E4BB7" w14:textId="77777777" w:rsidR="00A82C1C" w:rsidRDefault="00A82C1C" w:rsidP="00A82C1C">
      <w:pPr>
        <w:spacing w:line="276" w:lineRule="auto"/>
        <w:jc w:val="both"/>
      </w:pPr>
      <w:r w:rsidRPr="00AF1237">
        <w:t>Sudjelovanje u projektu „Lijekovi u zdravstvenim ustanovama-bez upute o lijeku“</w:t>
      </w:r>
      <w:r>
        <w:t xml:space="preserve"> za koji je voditelj projekta Hrvatska ljekarnička komora (HLJK), a trajat će 48 mjeseci. U projekt se krenulo na inicijativu Udruge </w:t>
      </w:r>
      <w:r>
        <w:lastRenderedPageBreak/>
        <w:t xml:space="preserve">inovativnih proizvođača lijekova (IFI), koji se na jednak način provodi u još nekim od država članica EU (Belgija, Luksemburg, Baltičke zemlje). Ideja projekta je da se u bolničke ustanove u RH za definirane lijekove distribuiraju pakiranja bez papirnate upute o lijeku. Navedeni projekt je na određeni način uvod u buduće promjene u legislativi lijekova koja bi naglasak između ostaloga trebala staviti na elektroničku uputu o lijeku. </w:t>
      </w:r>
    </w:p>
    <w:p w14:paraId="1D1B8FA9" w14:textId="77777777" w:rsidR="00A82C1C" w:rsidRDefault="00A82C1C" w:rsidP="00A82C1C">
      <w:pPr>
        <w:spacing w:line="276" w:lineRule="auto"/>
        <w:jc w:val="both"/>
      </w:pPr>
    </w:p>
    <w:p w14:paraId="45631A9D" w14:textId="77777777" w:rsidR="00A82C1C" w:rsidRDefault="00A82C1C" w:rsidP="00A82C1C">
      <w:pPr>
        <w:spacing w:line="276" w:lineRule="auto"/>
        <w:jc w:val="both"/>
      </w:pPr>
      <w:r>
        <w:t>HALMED je  angažirao predsjednicu komore Anu Soldo, mr. pharm. da održi predavanje na „</w:t>
      </w:r>
      <w:r w:rsidRPr="005C04CA">
        <w:rPr>
          <w:i/>
        </w:rPr>
        <w:t>Biosimilars multistakeholder event-u“</w:t>
      </w:r>
      <w:r>
        <w:t xml:space="preserve"> pri Europskoj komisiji o ulozi farmaceuta u izdavanju biosličnih lijekova.</w:t>
      </w:r>
    </w:p>
    <w:p w14:paraId="0600D92C" w14:textId="77777777" w:rsidR="00A82C1C" w:rsidRPr="00AF1237" w:rsidRDefault="00A82C1C" w:rsidP="00A82C1C">
      <w:pPr>
        <w:spacing w:line="276" w:lineRule="auto"/>
        <w:ind w:left="708"/>
      </w:pPr>
    </w:p>
    <w:p w14:paraId="6998222E" w14:textId="77777777" w:rsidR="00A82C1C" w:rsidRDefault="00A82C1C" w:rsidP="00A82C1C">
      <w:pPr>
        <w:spacing w:line="276" w:lineRule="auto"/>
        <w:jc w:val="both"/>
        <w:rPr>
          <w:rFonts w:eastAsia="Times New Roman" w:cstheme="minorHAnsi"/>
        </w:rPr>
      </w:pPr>
      <w:r>
        <w:rPr>
          <w:rFonts w:eastAsia="Times New Roman" w:cstheme="minorHAnsi"/>
          <w:b/>
        </w:rPr>
        <w:t>G) HRVATSKA LIJEČNIČKA KOMORA (HLK)</w:t>
      </w:r>
      <w:r w:rsidRPr="00E628BB">
        <w:rPr>
          <w:rFonts w:eastAsia="Times New Roman" w:cstheme="minorHAnsi"/>
        </w:rPr>
        <w:t xml:space="preserve"> </w:t>
      </w:r>
    </w:p>
    <w:p w14:paraId="0C643D91" w14:textId="77777777" w:rsidR="00A82C1C" w:rsidRDefault="00A82C1C" w:rsidP="00A82C1C">
      <w:pPr>
        <w:spacing w:line="276" w:lineRule="auto"/>
        <w:jc w:val="both"/>
        <w:rPr>
          <w:rFonts w:eastAsia="Times New Roman" w:cstheme="minorHAnsi"/>
        </w:rPr>
      </w:pPr>
    </w:p>
    <w:p w14:paraId="7C9AAB01" w14:textId="77777777" w:rsidR="00A82C1C" w:rsidRDefault="00A82C1C" w:rsidP="00A82C1C">
      <w:pPr>
        <w:spacing w:line="276" w:lineRule="auto"/>
        <w:jc w:val="both"/>
        <w:rPr>
          <w:rFonts w:eastAsia="Times New Roman" w:cstheme="minorHAnsi"/>
        </w:rPr>
      </w:pPr>
      <w:r>
        <w:rPr>
          <w:rFonts w:eastAsia="Times New Roman" w:cstheme="minorHAnsi"/>
        </w:rPr>
        <w:t>HALMED surađuje s HLK-om na području informiranja njenih članova o važnim sigurnosnim pitanjima za lijekove i cjepiva te zajednički organizira edukacije za zdravstvene radnike.</w:t>
      </w:r>
    </w:p>
    <w:p w14:paraId="549F4291" w14:textId="77777777" w:rsidR="00A82C1C" w:rsidRDefault="00A82C1C" w:rsidP="00A82C1C">
      <w:pPr>
        <w:spacing w:line="276" w:lineRule="auto"/>
        <w:jc w:val="both"/>
        <w:rPr>
          <w:rFonts w:eastAsia="Times New Roman" w:cstheme="minorHAnsi"/>
        </w:rPr>
      </w:pPr>
    </w:p>
    <w:p w14:paraId="7CC9A298" w14:textId="77777777" w:rsidR="00A82C1C" w:rsidRDefault="00A82C1C" w:rsidP="00A82C1C">
      <w:pPr>
        <w:spacing w:line="276" w:lineRule="auto"/>
        <w:jc w:val="both"/>
        <w:rPr>
          <w:rFonts w:eastAsia="Times New Roman" w:cstheme="minorHAnsi"/>
          <w:b/>
        </w:rPr>
      </w:pPr>
      <w:r>
        <w:rPr>
          <w:rFonts w:eastAsia="Times New Roman" w:cstheme="minorHAnsi"/>
          <w:b/>
        </w:rPr>
        <w:t>H) HRVATSKA KOMORA MEDICINSKIH SESTARA (HKMS)</w:t>
      </w:r>
    </w:p>
    <w:p w14:paraId="5E6F8CF7" w14:textId="77777777" w:rsidR="00A82C1C" w:rsidRDefault="00A82C1C" w:rsidP="00A82C1C">
      <w:pPr>
        <w:spacing w:line="276" w:lineRule="auto"/>
        <w:jc w:val="both"/>
        <w:rPr>
          <w:rFonts w:eastAsia="Times New Roman" w:cstheme="minorHAnsi"/>
          <w:b/>
        </w:rPr>
      </w:pPr>
    </w:p>
    <w:p w14:paraId="787FC15C" w14:textId="77777777" w:rsidR="00A82C1C" w:rsidRDefault="00A82C1C" w:rsidP="00A82C1C">
      <w:pPr>
        <w:spacing w:line="276" w:lineRule="auto"/>
        <w:jc w:val="both"/>
        <w:rPr>
          <w:rFonts w:eastAsia="Times New Roman" w:cstheme="minorHAnsi"/>
        </w:rPr>
      </w:pPr>
      <w:r>
        <w:rPr>
          <w:rFonts w:eastAsia="Times New Roman" w:cstheme="minorHAnsi"/>
        </w:rPr>
        <w:t>HALMED i HKMS u suradnji organiziraju edukacije za medicinske sestre te surađuju na području informiranja o važnim sigurnosnim pitanjima o lijekovima i cjepivima.</w:t>
      </w:r>
    </w:p>
    <w:p w14:paraId="5829DA43" w14:textId="77777777" w:rsidR="00A82C1C" w:rsidRDefault="00A82C1C" w:rsidP="00A82C1C">
      <w:pPr>
        <w:spacing w:line="276" w:lineRule="auto"/>
        <w:jc w:val="both"/>
        <w:rPr>
          <w:rFonts w:eastAsia="Times New Roman" w:cstheme="minorHAnsi"/>
        </w:rPr>
      </w:pPr>
    </w:p>
    <w:p w14:paraId="58A70F49" w14:textId="77777777" w:rsidR="00A82C1C" w:rsidRPr="008879E4" w:rsidRDefault="00A82C1C" w:rsidP="00A82C1C">
      <w:pPr>
        <w:spacing w:after="240" w:line="276" w:lineRule="auto"/>
        <w:jc w:val="both"/>
        <w:rPr>
          <w:rFonts w:eastAsia="Times New Roman" w:cstheme="minorHAnsi"/>
          <w:b/>
        </w:rPr>
      </w:pPr>
      <w:r>
        <w:rPr>
          <w:rFonts w:eastAsia="Times New Roman" w:cstheme="minorHAnsi"/>
          <w:b/>
        </w:rPr>
        <w:t xml:space="preserve">I) </w:t>
      </w:r>
      <w:r w:rsidRPr="008879E4">
        <w:rPr>
          <w:rFonts w:eastAsia="Times New Roman" w:cstheme="minorHAnsi"/>
          <w:b/>
        </w:rPr>
        <w:t>INSTITUT ZA MEDICINSKA ISTRAŽIVANJA (IMI)</w:t>
      </w:r>
    </w:p>
    <w:p w14:paraId="1C024049" w14:textId="77777777" w:rsidR="00A82C1C" w:rsidRPr="008879E4" w:rsidRDefault="00A82C1C" w:rsidP="00A82C1C">
      <w:pPr>
        <w:spacing w:line="276" w:lineRule="auto"/>
        <w:jc w:val="both"/>
        <w:rPr>
          <w:rFonts w:eastAsia="Times New Roman" w:cstheme="minorHAnsi"/>
          <w:b/>
        </w:rPr>
      </w:pPr>
      <w:r>
        <w:rPr>
          <w:rFonts w:eastAsia="Times New Roman" w:cstheme="minorHAnsi"/>
          <w:lang w:eastAsia="ja-JP"/>
        </w:rPr>
        <w:t xml:space="preserve">HALMED je </w:t>
      </w:r>
      <w:r w:rsidRPr="000D5B12">
        <w:rPr>
          <w:rFonts w:eastAsia="Times New Roman" w:cstheme="minorHAnsi"/>
          <w:lang w:eastAsia="ja-JP"/>
        </w:rPr>
        <w:t xml:space="preserve">s Institutom za medicinska istraživanja (IMI) nastavio suradnju na području praćenja predoziranja lijekovima, uspostavljenu u ožujku 2016. godine. Cilj suradnje je unapređenje sigurnosti primjene lijekova i zaštita javnog zdravlja. U sklopu suradnje, stručnjaci Centra za kontrolu otrovanja IMI-ja na redovnoj bazi prosljeđuju informacije o sumnjama na trovanje lijekovima stručnjacima Odsjeka za farmakovigilanciju i racionalnu farmakoterapiju HALMED-a, koji navedene informacije obrađuju kao prijave sumnji na nuspojave i pohranjuju ih u nacionalnu, europsku i svjetsku bazu nuspojava. HALMED na godišnjoj razini zaprima iznimno nizak broj prijava sumnji na nuspojave lijekova koje su posljedica predoziranja, što otežava poduzimanje mjera kojima bi se smanjio rizik od predoziranja. S druge strane, IMI, koji daje stručnu pomoć u liječenju otrovanja, na godišnjoj razini zaprima značajan broj poziva koji se odnose na trovanja lijekovima. Informacije koje HALMED zaprimi od IMI-ja korisne su za otkrivanje čimbenika vezanih uz lijek na koje će se moći utjecati kako bi se rizik od predoziranja smanjio. Mjere koje HALMED može poduzeti kako bi se navedeni rizik smanjio uključuju, primjerice, izmjenu vrste, veličine i izgleda pakiranja, uvrštavanje upozorenja na pakiranje, izmjene u načinu propisivanja i izdavanja, izmjene u informacijama o lijeku te informiranje i edukaciju liječnika, ljekarnika i bolesnika. </w:t>
      </w:r>
    </w:p>
    <w:p w14:paraId="1D68DF0D" w14:textId="77777777" w:rsidR="00A82C1C" w:rsidRDefault="00A82C1C" w:rsidP="00A82C1C">
      <w:pPr>
        <w:spacing w:after="240" w:line="276" w:lineRule="auto"/>
        <w:ind w:left="708"/>
        <w:jc w:val="both"/>
        <w:rPr>
          <w:rFonts w:eastAsia="Times New Roman" w:cstheme="minorHAnsi"/>
          <w:b/>
        </w:rPr>
      </w:pPr>
    </w:p>
    <w:p w14:paraId="5B41C7D8" w14:textId="77777777" w:rsidR="00A82C1C" w:rsidRPr="008879E4" w:rsidRDefault="00A82C1C" w:rsidP="00A82C1C">
      <w:pPr>
        <w:spacing w:after="240" w:line="276" w:lineRule="auto"/>
        <w:jc w:val="both"/>
        <w:rPr>
          <w:rFonts w:eastAsia="Times New Roman" w:cstheme="minorHAnsi"/>
          <w:b/>
        </w:rPr>
      </w:pPr>
      <w:r>
        <w:rPr>
          <w:rFonts w:eastAsia="Times New Roman" w:cstheme="minorHAnsi"/>
          <w:b/>
        </w:rPr>
        <w:t xml:space="preserve">J) </w:t>
      </w:r>
      <w:r w:rsidRPr="008879E4">
        <w:rPr>
          <w:rFonts w:eastAsia="Times New Roman" w:cstheme="minorHAnsi"/>
          <w:b/>
        </w:rPr>
        <w:t>KLINIČKI BOLNIČKI CENTAR ZAGREB (KBC ZAGREB)</w:t>
      </w:r>
    </w:p>
    <w:p w14:paraId="059C864F" w14:textId="77777777" w:rsidR="00A82C1C" w:rsidRDefault="00A82C1C" w:rsidP="00A82C1C">
      <w:pPr>
        <w:spacing w:after="240" w:line="276" w:lineRule="auto"/>
        <w:jc w:val="both"/>
        <w:rPr>
          <w:rFonts w:cstheme="minorHAnsi"/>
        </w:rPr>
      </w:pPr>
      <w:r w:rsidRPr="008879E4">
        <w:rPr>
          <w:rFonts w:cstheme="minorHAnsi"/>
        </w:rPr>
        <w:t xml:space="preserve">HALMED ima uspostavljenu suradnju </w:t>
      </w:r>
      <w:r>
        <w:rPr>
          <w:rFonts w:cstheme="minorHAnsi"/>
        </w:rPr>
        <w:t xml:space="preserve">u </w:t>
      </w:r>
      <w:r w:rsidRPr="008879E4">
        <w:rPr>
          <w:rFonts w:cstheme="minorHAnsi"/>
        </w:rPr>
        <w:t xml:space="preserve">području sigurnosti primjene lijekova i nuspojava lijekova sa Zavodom za kliničku farmakologiju i Kliničkom jedinicom za farmakogenomiku i individualizaciju terapije Kliničkog bolničkog centra Zagreb (KBC Zagreb). Suradnja sa Zavodom za kliničku farmakologiju KBC-a Zagreb uspostavljena je početkom 2016. godine, a odnosi se na suradnju u pripremi stručnog dijela odgovora na prijavu nuspojave, u što su uključeni zaposlenici Zavoda – specijalisti i specijalizanti kliničke farmakologije. Zaposlenici Zavoda pregledavaju prijave nuspojava koje im proslijede djelatnici HALMED-a </w:t>
      </w:r>
      <w:r w:rsidRPr="008879E4">
        <w:rPr>
          <w:rFonts w:cstheme="minorHAnsi"/>
        </w:rPr>
        <w:lastRenderedPageBreak/>
        <w:t xml:space="preserve">te na temelju dostupnih informacija pripremaju stručni dio odgovora koji se potom uvrštava u pismo koje se šalje prijavitelju kao odgovor na prijavu nuspojave. </w:t>
      </w:r>
    </w:p>
    <w:p w14:paraId="60D93A32" w14:textId="77777777" w:rsidR="00A82C1C" w:rsidRDefault="00A82C1C" w:rsidP="00A82C1C">
      <w:pPr>
        <w:rPr>
          <w:b/>
        </w:rPr>
      </w:pPr>
      <w:r>
        <w:rPr>
          <w:rFonts w:eastAsiaTheme="minorEastAsia"/>
          <w:b/>
        </w:rPr>
        <w:t>K</w:t>
      </w:r>
      <w:r w:rsidRPr="00E7712B">
        <w:rPr>
          <w:rFonts w:eastAsiaTheme="minorEastAsia"/>
          <w:b/>
        </w:rPr>
        <w:t xml:space="preserve">) </w:t>
      </w:r>
      <w:r w:rsidRPr="00E7712B">
        <w:rPr>
          <w:b/>
        </w:rPr>
        <w:t>SVEUČILIŠTA</w:t>
      </w:r>
    </w:p>
    <w:p w14:paraId="089A8488" w14:textId="77777777" w:rsidR="00A82C1C" w:rsidRPr="00E7712B" w:rsidRDefault="00A82C1C" w:rsidP="00A82C1C">
      <w:pPr>
        <w:rPr>
          <w:b/>
        </w:rPr>
      </w:pPr>
    </w:p>
    <w:p w14:paraId="0A807BD0" w14:textId="76D2B564" w:rsidR="00781E09" w:rsidRPr="00781E09" w:rsidRDefault="00D331BE" w:rsidP="00781E09">
      <w:pPr>
        <w:jc w:val="both"/>
        <w:rPr>
          <w:rFonts w:ascii="Calibri" w:eastAsia="Calibri" w:hAnsi="Calibri" w:cs="Calibri"/>
        </w:rPr>
      </w:pPr>
      <w:r>
        <w:rPr>
          <w:rFonts w:ascii="Calibri" w:eastAsia="Calibri" w:hAnsi="Calibri" w:cs="Calibri"/>
        </w:rPr>
        <w:t xml:space="preserve">U 2023. </w:t>
      </w:r>
      <w:r w:rsidR="00781E09" w:rsidRPr="00781E09">
        <w:rPr>
          <w:rFonts w:ascii="Calibri" w:eastAsia="Calibri" w:hAnsi="Calibri" w:cs="Calibri"/>
        </w:rPr>
        <w:t>godini nastavljena je suradnja sa sveučilištima. Zaposlenici HALMED-a održali su slijedeća predavanja:</w:t>
      </w:r>
    </w:p>
    <w:p w14:paraId="7E1A9B72" w14:textId="2EEAED8C" w:rsidR="00781E09" w:rsidRPr="00781E09" w:rsidRDefault="00781E09" w:rsidP="00781E09">
      <w:pPr>
        <w:jc w:val="both"/>
        <w:rPr>
          <w:rFonts w:ascii="Calibri" w:eastAsia="Calibri" w:hAnsi="Calibri" w:cs="Calibri"/>
        </w:rPr>
      </w:pPr>
      <w:r w:rsidRPr="00781E09">
        <w:rPr>
          <w:rFonts w:ascii="Calibri" w:eastAsia="Calibri" w:hAnsi="Calibri" w:cs="Calibri"/>
        </w:rPr>
        <w:t>•             na Odjelu za biotehnologiju Sveučilišta u Rijeci (U</w:t>
      </w:r>
      <w:r>
        <w:rPr>
          <w:rFonts w:ascii="Calibri" w:eastAsia="Calibri" w:hAnsi="Calibri" w:cs="Calibri"/>
        </w:rPr>
        <w:t xml:space="preserve">NIRI) na preddiplomskom studiju </w:t>
      </w:r>
      <w:r w:rsidRPr="00781E09">
        <w:rPr>
          <w:rFonts w:ascii="Calibri" w:eastAsia="Calibri" w:hAnsi="Calibri" w:cs="Calibri"/>
        </w:rPr>
        <w:t>„Zakonodavstvo za lijekove</w:t>
      </w:r>
      <w:r>
        <w:rPr>
          <w:rFonts w:ascii="Calibri" w:eastAsia="Calibri" w:hAnsi="Calibri" w:cs="Calibri"/>
        </w:rPr>
        <w:t>“</w:t>
      </w:r>
    </w:p>
    <w:p w14:paraId="5DCA7027" w14:textId="1BA12ECF" w:rsidR="00781E09" w:rsidRPr="00781E09" w:rsidRDefault="00781E09" w:rsidP="00781E09">
      <w:pPr>
        <w:jc w:val="both"/>
        <w:rPr>
          <w:rFonts w:ascii="Calibri" w:eastAsia="Calibri" w:hAnsi="Calibri" w:cs="Calibri"/>
        </w:rPr>
      </w:pPr>
      <w:r w:rsidRPr="00781E09">
        <w:rPr>
          <w:rFonts w:ascii="Calibri" w:eastAsia="Calibri" w:hAnsi="Calibri" w:cs="Calibri"/>
        </w:rPr>
        <w:t>•             na Odjelu za farmaciju Medicinskog fakulteta u Splitu na dodiplomskom studiju „Farmaceutsko nazivlje“, „Istraživanje i razvoj lijekova“</w:t>
      </w:r>
      <w:r w:rsidR="00D331BE">
        <w:rPr>
          <w:rFonts w:ascii="Calibri" w:eastAsia="Calibri" w:hAnsi="Calibri" w:cs="Calibri"/>
        </w:rPr>
        <w:t>.</w:t>
      </w:r>
    </w:p>
    <w:p w14:paraId="32A96397" w14:textId="77777777" w:rsidR="00781E09" w:rsidRDefault="00781E09" w:rsidP="00A82C1C">
      <w:pPr>
        <w:spacing w:line="276" w:lineRule="auto"/>
        <w:jc w:val="both"/>
        <w:rPr>
          <w:lang w:eastAsia="hr-HR"/>
        </w:rPr>
      </w:pPr>
    </w:p>
    <w:p w14:paraId="4A151123" w14:textId="53E5D1AB" w:rsidR="00A82C1C" w:rsidRDefault="00A82C1C" w:rsidP="00A82C1C">
      <w:pPr>
        <w:spacing w:line="276" w:lineRule="auto"/>
        <w:jc w:val="both"/>
        <w:rPr>
          <w:rFonts w:eastAsia="Times New Roman" w:cstheme="minorHAnsi"/>
          <w:color w:val="000000"/>
        </w:rPr>
      </w:pPr>
      <w:r w:rsidRPr="00283DAB">
        <w:rPr>
          <w:lang w:eastAsia="hr-HR"/>
        </w:rPr>
        <w:t xml:space="preserve">U HALMED-u je studentsku praksu provelo </w:t>
      </w:r>
      <w:r>
        <w:rPr>
          <w:lang w:eastAsia="hr-HR"/>
        </w:rPr>
        <w:t>sedmoro</w:t>
      </w:r>
      <w:r w:rsidRPr="00283DAB">
        <w:rPr>
          <w:lang w:eastAsia="hr-HR"/>
        </w:rPr>
        <w:t xml:space="preserve"> studenata.</w:t>
      </w:r>
      <w:r>
        <w:rPr>
          <w:lang w:eastAsia="hr-HR"/>
        </w:rPr>
        <w:t xml:space="preserve"> </w:t>
      </w:r>
      <w:r w:rsidRPr="00283DAB">
        <w:rPr>
          <w:lang w:eastAsia="hr-HR"/>
        </w:rPr>
        <w:t>U sklopu programa prakse djelatnici HALMED-a održavaju edukacije te vođenje kroz praktičan rad na području ocjene kliničke dokumentacije, farmakovigilancije, ocjene kakvoće, QRD provjere za CP lijekove i davanja odobrenja lijekova u Republici Hrvatskoj. Studenti se u sklopu prakse upoznaju i s radom Odjela službenog laboratorija za provjeru lijekova, Hrvatske farmakopeje i baze Nacionalnog registra lijekova.</w:t>
      </w:r>
      <w:r>
        <w:rPr>
          <w:lang w:eastAsia="hr-HR"/>
        </w:rPr>
        <w:t xml:space="preserve"> </w:t>
      </w:r>
      <w:r w:rsidRPr="00283DAB">
        <w:rPr>
          <w:lang w:eastAsia="hr-HR"/>
        </w:rPr>
        <w:t>Jednako tako, u izvještajnom razdoblju održana su</w:t>
      </w:r>
      <w:r>
        <w:rPr>
          <w:lang w:eastAsia="hr-HR"/>
        </w:rPr>
        <w:t xml:space="preserve"> dva terenska posjeta učenika</w:t>
      </w:r>
      <w:r w:rsidRPr="00283DAB">
        <w:rPr>
          <w:lang w:eastAsia="hr-HR"/>
        </w:rPr>
        <w:t xml:space="preserve"> drugih i trećih razreda kemijskih tehničara Prirodoslovne škole Vladimir Prelog</w:t>
      </w:r>
      <w:r>
        <w:rPr>
          <w:lang w:eastAsia="hr-HR"/>
        </w:rPr>
        <w:t xml:space="preserve"> OMCL-u HALMED-a u sklopu stručne prakse rada u laboratoriju.</w:t>
      </w:r>
    </w:p>
    <w:p w14:paraId="253F58D0" w14:textId="77777777" w:rsidR="00A82C1C" w:rsidRDefault="00A82C1C" w:rsidP="00A82C1C">
      <w:pPr>
        <w:spacing w:line="276" w:lineRule="auto"/>
      </w:pPr>
    </w:p>
    <w:p w14:paraId="2BA79169" w14:textId="2C31BA84" w:rsidR="00C545B1" w:rsidRDefault="00C545B1">
      <w:r>
        <w:br w:type="page"/>
      </w:r>
    </w:p>
    <w:p w14:paraId="681E9C31" w14:textId="77777777" w:rsidR="00C545B1" w:rsidRDefault="00C545B1" w:rsidP="00C545B1">
      <w:pPr>
        <w:pStyle w:val="Heading2"/>
      </w:pPr>
      <w:bookmarkStart w:id="312" w:name="_Toc165035542"/>
      <w:r>
        <w:lastRenderedPageBreak/>
        <w:t>2.15</w:t>
      </w:r>
      <w:r w:rsidRPr="00716794">
        <w:t>. Izvješće o provedbi projekata</w:t>
      </w:r>
      <w:bookmarkEnd w:id="312"/>
    </w:p>
    <w:p w14:paraId="795B04F9" w14:textId="77777777" w:rsidR="00C545B1" w:rsidRDefault="00C545B1" w:rsidP="00C545B1">
      <w:pPr>
        <w:spacing w:after="120" w:line="276" w:lineRule="auto"/>
        <w:jc w:val="both"/>
        <w:rPr>
          <w:rFonts w:ascii="Calibri" w:eastAsia="Times New Roman" w:hAnsi="Calibri" w:cs="Calibri"/>
          <w:bCs/>
        </w:rPr>
      </w:pPr>
      <w:r>
        <w:rPr>
          <w:rFonts w:ascii="Calibri" w:eastAsia="Times New Roman" w:hAnsi="Calibri" w:cs="Calibri"/>
          <w:bCs/>
        </w:rPr>
        <w:t xml:space="preserve">U 2023. godini HALMED je bio uključen u sljedeće projekte: </w:t>
      </w:r>
    </w:p>
    <w:p w14:paraId="33DACA5B" w14:textId="77777777" w:rsidR="00C545B1" w:rsidRDefault="00C545B1" w:rsidP="00C545B1">
      <w:pPr>
        <w:spacing w:before="240" w:after="240" w:line="276" w:lineRule="auto"/>
        <w:jc w:val="both"/>
        <w:rPr>
          <w:rFonts w:eastAsia="Times New Roman" w:cstheme="minorHAnsi"/>
          <w:b/>
        </w:rPr>
      </w:pPr>
      <w:r w:rsidRPr="00B76A1D">
        <w:rPr>
          <w:rFonts w:eastAsia="Times New Roman" w:cstheme="minorHAnsi"/>
          <w:b/>
        </w:rPr>
        <w:t>A) Projekt eLijekovi</w:t>
      </w:r>
    </w:p>
    <w:p w14:paraId="6B91CF4F" w14:textId="77777777" w:rsidR="00C545B1" w:rsidRPr="00490785" w:rsidRDefault="00C545B1" w:rsidP="00C545B1">
      <w:pPr>
        <w:spacing w:after="240" w:line="276" w:lineRule="auto"/>
        <w:contextualSpacing/>
        <w:jc w:val="both"/>
        <w:rPr>
          <w:rFonts w:eastAsia="Times New Roman" w:cstheme="minorHAnsi"/>
        </w:rPr>
      </w:pPr>
      <w:r w:rsidRPr="00490785">
        <w:rPr>
          <w:rFonts w:eastAsia="Times New Roman" w:cstheme="minorHAnsi"/>
        </w:rPr>
        <w:t xml:space="preserve">U proteklom izvještajnom razdoblju HALMED je sudjelovao kao partner u projektu eLijekovi - Integrirani informatički sustav za upravljanje lijekovima. Radi se o projektu ukupne vrijednosti 16.816.500,00 kn koji je sufinanciran od strane Europske unije iz Europskog fonda za regionalni razvoj. Voditelj projekta je Hrvatski zavod za zdravstveno osiguranje (HZZO), a partneri u projektu su HALMED i Ministarstvo zdravstva. </w:t>
      </w:r>
    </w:p>
    <w:p w14:paraId="53CB0A20" w14:textId="77777777" w:rsidR="00C545B1" w:rsidRPr="00490785" w:rsidRDefault="00C545B1" w:rsidP="00C545B1">
      <w:pPr>
        <w:spacing w:after="240" w:line="276" w:lineRule="auto"/>
        <w:contextualSpacing/>
        <w:jc w:val="both"/>
        <w:rPr>
          <w:rFonts w:eastAsia="Times New Roman" w:cstheme="minorHAnsi"/>
        </w:rPr>
      </w:pPr>
    </w:p>
    <w:p w14:paraId="2F50545A" w14:textId="77777777" w:rsidR="00C545B1" w:rsidRDefault="00C545B1" w:rsidP="00C545B1">
      <w:pPr>
        <w:spacing w:after="240" w:line="276" w:lineRule="auto"/>
        <w:contextualSpacing/>
        <w:jc w:val="both"/>
        <w:rPr>
          <w:rFonts w:eastAsia="Times New Roman" w:cstheme="minorHAnsi"/>
        </w:rPr>
      </w:pPr>
      <w:r w:rsidRPr="00490785">
        <w:rPr>
          <w:rFonts w:eastAsia="Times New Roman" w:cstheme="minorHAnsi"/>
        </w:rPr>
        <w:t xml:space="preserve">Svrha projekta je ostvariti integrirano upravljanje podacima o lijekovima na nacionalnoj razini. </w:t>
      </w:r>
    </w:p>
    <w:p w14:paraId="37C0DBA9" w14:textId="77777777" w:rsidR="00C545B1" w:rsidRDefault="00C545B1" w:rsidP="00C545B1">
      <w:pPr>
        <w:spacing w:after="240" w:line="276" w:lineRule="auto"/>
        <w:contextualSpacing/>
        <w:jc w:val="both"/>
        <w:rPr>
          <w:rFonts w:eastAsia="Times New Roman" w:cstheme="minorHAnsi"/>
        </w:rPr>
      </w:pPr>
    </w:p>
    <w:p w14:paraId="7CB7A980" w14:textId="77777777" w:rsidR="00C545B1" w:rsidRPr="00490785" w:rsidRDefault="00C545B1" w:rsidP="00C545B1">
      <w:pPr>
        <w:spacing w:after="240" w:line="276" w:lineRule="auto"/>
        <w:contextualSpacing/>
        <w:jc w:val="both"/>
        <w:rPr>
          <w:rFonts w:eastAsia="Times New Roman" w:cstheme="minorHAnsi"/>
        </w:rPr>
      </w:pPr>
      <w:r w:rsidRPr="00490785">
        <w:rPr>
          <w:rFonts w:eastAsia="Times New Roman" w:cstheme="minorHAnsi"/>
        </w:rPr>
        <w:t>Projekt obuhvaća:</w:t>
      </w:r>
    </w:p>
    <w:p w14:paraId="2CEE7BCD" w14:textId="77777777" w:rsidR="00C545B1" w:rsidRPr="00490785" w:rsidRDefault="00C545B1" w:rsidP="00C545B1">
      <w:pPr>
        <w:spacing w:after="240" w:line="276" w:lineRule="auto"/>
        <w:contextualSpacing/>
        <w:jc w:val="both"/>
        <w:rPr>
          <w:rFonts w:eastAsia="Times New Roman" w:cstheme="minorHAnsi"/>
        </w:rPr>
      </w:pPr>
      <w:r w:rsidRPr="00490785">
        <w:rPr>
          <w:rFonts w:eastAsia="Times New Roman" w:cstheme="minorHAnsi"/>
        </w:rPr>
        <w:t>•</w:t>
      </w:r>
      <w:r w:rsidRPr="00490785">
        <w:rPr>
          <w:rFonts w:eastAsia="Times New Roman" w:cstheme="minorHAnsi"/>
        </w:rPr>
        <w:tab/>
        <w:t>stvaranje jedinstvene nacionalne baze lijekova</w:t>
      </w:r>
    </w:p>
    <w:p w14:paraId="54103B51" w14:textId="77777777" w:rsidR="00C545B1" w:rsidRPr="00490785" w:rsidRDefault="00C545B1" w:rsidP="00C545B1">
      <w:pPr>
        <w:spacing w:after="240" w:line="276" w:lineRule="auto"/>
        <w:contextualSpacing/>
        <w:jc w:val="both"/>
        <w:rPr>
          <w:rFonts w:eastAsia="Times New Roman" w:cstheme="minorHAnsi"/>
        </w:rPr>
      </w:pPr>
      <w:r w:rsidRPr="00490785">
        <w:rPr>
          <w:rFonts w:eastAsia="Times New Roman" w:cstheme="minorHAnsi"/>
        </w:rPr>
        <w:t>•</w:t>
      </w:r>
      <w:r w:rsidRPr="00490785">
        <w:rPr>
          <w:rFonts w:eastAsia="Times New Roman" w:cstheme="minorHAnsi"/>
        </w:rPr>
        <w:tab/>
        <w:t>uvođenje sustava za provjeru interakcija prilikom propisivanja lijekova</w:t>
      </w:r>
    </w:p>
    <w:p w14:paraId="0DC07615" w14:textId="77777777" w:rsidR="00C545B1" w:rsidRPr="00490785" w:rsidRDefault="00C545B1" w:rsidP="00C545B1">
      <w:pPr>
        <w:spacing w:after="240" w:line="276" w:lineRule="auto"/>
        <w:contextualSpacing/>
        <w:jc w:val="both"/>
        <w:rPr>
          <w:rFonts w:eastAsia="Times New Roman" w:cstheme="minorHAnsi"/>
        </w:rPr>
      </w:pPr>
      <w:r w:rsidRPr="00490785">
        <w:rPr>
          <w:rFonts w:eastAsia="Times New Roman" w:cstheme="minorHAnsi"/>
        </w:rPr>
        <w:t>•</w:t>
      </w:r>
      <w:r w:rsidRPr="00490785">
        <w:rPr>
          <w:rFonts w:eastAsia="Times New Roman" w:cstheme="minorHAnsi"/>
        </w:rPr>
        <w:tab/>
        <w:t>razvoj funkcionalnosti izravnog prijavljivanja nuspojava iz CEZIH-a prema HALMED-u. Za građane će ista funkcionalnost biti razvijena unutar sustava e-Građani.</w:t>
      </w:r>
    </w:p>
    <w:p w14:paraId="2B7ECD6F" w14:textId="77777777" w:rsidR="00C545B1" w:rsidRPr="00490785" w:rsidRDefault="00C545B1" w:rsidP="00C545B1">
      <w:pPr>
        <w:spacing w:after="240" w:line="276" w:lineRule="auto"/>
        <w:contextualSpacing/>
        <w:jc w:val="both"/>
        <w:rPr>
          <w:rFonts w:eastAsia="Times New Roman" w:cstheme="minorHAnsi"/>
        </w:rPr>
      </w:pPr>
    </w:p>
    <w:p w14:paraId="395EB0BE" w14:textId="77777777" w:rsidR="003D7746" w:rsidRDefault="003D7746" w:rsidP="003D7746">
      <w:pPr>
        <w:spacing w:line="276" w:lineRule="auto"/>
        <w:jc w:val="both"/>
        <w:rPr>
          <w:rFonts w:eastAsia="Times New Roman" w:cstheme="minorHAnsi"/>
        </w:rPr>
      </w:pPr>
      <w:r w:rsidRPr="0091307E">
        <w:rPr>
          <w:rFonts w:eastAsia="Times New Roman" w:cstheme="minorHAnsi"/>
        </w:rPr>
        <w:t xml:space="preserve">U izvještajnom periodu dovršen je i nakon korisničkog testiranja </w:t>
      </w:r>
      <w:r>
        <w:rPr>
          <w:rFonts w:eastAsia="Times New Roman" w:cstheme="minorHAnsi"/>
        </w:rPr>
        <w:t xml:space="preserve">uspješno </w:t>
      </w:r>
      <w:r w:rsidRPr="0091307E">
        <w:rPr>
          <w:rFonts w:eastAsia="Times New Roman" w:cstheme="minorHAnsi"/>
        </w:rPr>
        <w:t xml:space="preserve">pušten u produkciju integrirani informatički sustav za upravljanje lijekovima koji sadrži objedinjene podatke o svim lijekovima dostupnim u Republici Hrvatskoj. Sustav se sastoji od </w:t>
      </w:r>
      <w:r>
        <w:rPr>
          <w:rFonts w:eastAsia="Times New Roman" w:cstheme="minorHAnsi"/>
        </w:rPr>
        <w:t>vše</w:t>
      </w:r>
      <w:r w:rsidRPr="0091307E">
        <w:rPr>
          <w:rFonts w:eastAsia="Times New Roman" w:cstheme="minorHAnsi"/>
        </w:rPr>
        <w:t xml:space="preserve"> komponent</w:t>
      </w:r>
      <w:r>
        <w:rPr>
          <w:rFonts w:eastAsia="Times New Roman" w:cstheme="minorHAnsi"/>
        </w:rPr>
        <w:t>i</w:t>
      </w:r>
      <w:r w:rsidRPr="0091307E">
        <w:rPr>
          <w:rFonts w:eastAsia="Times New Roman" w:cstheme="minorHAnsi"/>
        </w:rPr>
        <w:t xml:space="preserve">: </w:t>
      </w:r>
    </w:p>
    <w:p w14:paraId="00AF46EA" w14:textId="77777777" w:rsidR="003D7746" w:rsidRPr="00B76A1D" w:rsidRDefault="003D7746" w:rsidP="00AC375F">
      <w:pPr>
        <w:pStyle w:val="ListParagraph"/>
        <w:numPr>
          <w:ilvl w:val="0"/>
          <w:numId w:val="55"/>
        </w:numPr>
        <w:jc w:val="both"/>
        <w:rPr>
          <w:rFonts w:eastAsia="Times New Roman" w:cstheme="minorHAnsi"/>
          <w:sz w:val="22"/>
          <w:szCs w:val="22"/>
        </w:rPr>
      </w:pPr>
      <w:r w:rsidRPr="00B76A1D">
        <w:rPr>
          <w:rFonts w:eastAsia="Times New Roman" w:cstheme="minorHAnsi"/>
          <w:sz w:val="22"/>
          <w:szCs w:val="22"/>
        </w:rPr>
        <w:t xml:space="preserve">Javno dostupna Nacionalna baza lijekova (NBL), u koju se u realnom vremenu putem servisa za slanje podataka iz HALMED poslovnih baza podataka šalju podaci i dokumenti. Model podataka izrađen je u skladu s ISO IDMP standardom i dokumentom EU IDMP Implementation Guide (EU IG) Europske medicinske agencije te su korišteni jedinstveni europski širarnici propisani istim dokumentom, čime je omogućena buduća razmjena podataka s ostalim zemljama članicama i jedinstvenom europskom bazom lijekova (PMS). </w:t>
      </w:r>
    </w:p>
    <w:p w14:paraId="5F4022F9" w14:textId="77777777" w:rsidR="003D7746" w:rsidRPr="00B76A1D" w:rsidRDefault="003D7746" w:rsidP="00AC375F">
      <w:pPr>
        <w:pStyle w:val="ListParagraph"/>
        <w:numPr>
          <w:ilvl w:val="0"/>
          <w:numId w:val="55"/>
        </w:numPr>
        <w:jc w:val="both"/>
        <w:rPr>
          <w:rFonts w:eastAsia="Times New Roman" w:cstheme="minorHAnsi"/>
          <w:sz w:val="22"/>
          <w:szCs w:val="22"/>
        </w:rPr>
      </w:pPr>
      <w:r w:rsidRPr="00B76A1D">
        <w:rPr>
          <w:rFonts w:eastAsia="Times New Roman" w:cstheme="minorHAnsi"/>
          <w:sz w:val="22"/>
          <w:szCs w:val="22"/>
        </w:rPr>
        <w:t>Javno dostupna web stranica s mogućnošću pregleda detaljnih podataka o lijekovima iz nadležnosti HALMED-a i HZZO-a, koje je moguće pretraživati po više kiterija.</w:t>
      </w:r>
    </w:p>
    <w:p w14:paraId="3A8A8B7E" w14:textId="77777777" w:rsidR="003D7746" w:rsidRPr="00B76A1D" w:rsidRDefault="003D7746" w:rsidP="00AC375F">
      <w:pPr>
        <w:pStyle w:val="ListParagraph"/>
        <w:numPr>
          <w:ilvl w:val="0"/>
          <w:numId w:val="55"/>
        </w:numPr>
        <w:jc w:val="both"/>
        <w:rPr>
          <w:rFonts w:eastAsia="Times New Roman" w:cstheme="minorHAnsi"/>
          <w:sz w:val="22"/>
          <w:szCs w:val="22"/>
        </w:rPr>
      </w:pPr>
      <w:r w:rsidRPr="00B76A1D">
        <w:rPr>
          <w:rFonts w:eastAsia="Times New Roman" w:cstheme="minorHAnsi"/>
          <w:sz w:val="22"/>
          <w:szCs w:val="22"/>
        </w:rPr>
        <w:t>Javno dostupan servis za dohvat podataka o lijekovima elektroničkim putem, čime je omogućeno automatsko preuzimanje podataka o lijekovima iz druhih informatičkih sustava u zdravstvu, industriji i ostalim zainteresiranim stranama.</w:t>
      </w:r>
    </w:p>
    <w:p w14:paraId="70162854" w14:textId="77777777" w:rsidR="003D7746" w:rsidRPr="00B76A1D" w:rsidRDefault="003D7746" w:rsidP="00AC375F">
      <w:pPr>
        <w:pStyle w:val="ListParagraph"/>
        <w:numPr>
          <w:ilvl w:val="0"/>
          <w:numId w:val="55"/>
        </w:numPr>
        <w:jc w:val="both"/>
        <w:rPr>
          <w:rFonts w:eastAsia="Times New Roman" w:cstheme="minorHAnsi"/>
          <w:sz w:val="22"/>
          <w:szCs w:val="22"/>
        </w:rPr>
      </w:pPr>
      <w:r w:rsidRPr="00B76A1D">
        <w:rPr>
          <w:rFonts w:eastAsia="Times New Roman" w:cstheme="minorHAnsi"/>
          <w:sz w:val="22"/>
          <w:szCs w:val="22"/>
        </w:rPr>
        <w:t xml:space="preserve">Servis za preuzimanje podataka o sumnjama na nuspojave lijeka prijavljenih od strane zdravstvenih radnika    iz sustava CEZIH u HALMED-ov sustav za ocjenu i obradu  podataka o nuspojavama lijeka. </w:t>
      </w:r>
    </w:p>
    <w:p w14:paraId="1D160A44" w14:textId="77777777" w:rsidR="003D7746" w:rsidRPr="00B76A1D" w:rsidRDefault="003D7746" w:rsidP="00AC375F">
      <w:pPr>
        <w:pStyle w:val="ListParagraph"/>
        <w:numPr>
          <w:ilvl w:val="0"/>
          <w:numId w:val="55"/>
        </w:numPr>
        <w:jc w:val="both"/>
        <w:rPr>
          <w:rFonts w:eastAsia="Times New Roman" w:cstheme="minorHAnsi"/>
          <w:sz w:val="22"/>
          <w:szCs w:val="22"/>
        </w:rPr>
      </w:pPr>
      <w:r w:rsidRPr="00B76A1D">
        <w:rPr>
          <w:rFonts w:eastAsia="Times New Roman" w:cstheme="minorHAnsi"/>
          <w:sz w:val="22"/>
          <w:szCs w:val="22"/>
        </w:rPr>
        <w:t xml:space="preserve">E-usluga za građane putem koje mogu Provjeriti recepte realizirane u posljednjih 6 mjeseci te za lijekove prijaviti sumnju na nuspojavu, koja se također putem servisa automatski šalje u HALMED-ov sustav za ocjenu i obradu podataka o nuspojavama. </w:t>
      </w:r>
    </w:p>
    <w:p w14:paraId="71948DF8" w14:textId="77777777" w:rsidR="003D7746" w:rsidRPr="0091307E" w:rsidRDefault="003D7746" w:rsidP="003D7746">
      <w:pPr>
        <w:spacing w:after="240" w:line="276" w:lineRule="auto"/>
        <w:jc w:val="both"/>
        <w:rPr>
          <w:rFonts w:eastAsia="Times New Roman" w:cstheme="minorHAnsi"/>
        </w:rPr>
      </w:pPr>
      <w:r w:rsidRPr="0091307E">
        <w:rPr>
          <w:rFonts w:eastAsia="Times New Roman" w:cstheme="minorHAnsi"/>
        </w:rPr>
        <w:t xml:space="preserve">Održano je 25 internih sastanaka i sastanaka s partnerima, organizirano je zajedničko predstavljanje projekta HZZO-a, Ministarstva zdravstva i HALMED-a te prezentacija za članove Hrvatske ljekarničke komore. U realizaciji projekta sudjelovali su zaposlenici Odsjeka za informatičke poslove, Odjela za odobravanje lijekova, Odsjeka za farmakovigilanciju i racionalnu farmakoterapiju, Odsjeka za dostupnost </w:t>
      </w:r>
      <w:r w:rsidRPr="0091307E">
        <w:rPr>
          <w:rFonts w:eastAsia="Times New Roman" w:cstheme="minorHAnsi"/>
        </w:rPr>
        <w:lastRenderedPageBreak/>
        <w:t>lijekova, Odsjeka za potrošnju i cijene lijekova, Ureda za odnose s javnošću i Odsjeka za ekonomske i opće poslove. Projekt je završio u prosincu 2023. godine.</w:t>
      </w:r>
    </w:p>
    <w:p w14:paraId="0B9D837F" w14:textId="1D1BCCF4" w:rsidR="00C545B1" w:rsidRDefault="00C545B1" w:rsidP="00C545B1">
      <w:pPr>
        <w:spacing w:before="120" w:after="240" w:line="276" w:lineRule="auto"/>
        <w:jc w:val="both"/>
        <w:rPr>
          <w:rFonts w:eastAsia="Times New Roman" w:cstheme="minorHAnsi"/>
          <w:b/>
        </w:rPr>
      </w:pPr>
    </w:p>
    <w:p w14:paraId="34CA438E" w14:textId="77777777" w:rsidR="00C545B1" w:rsidRDefault="00C545B1" w:rsidP="00C545B1">
      <w:pPr>
        <w:spacing w:before="120" w:after="240" w:line="276" w:lineRule="auto"/>
        <w:jc w:val="both"/>
        <w:rPr>
          <w:rFonts w:eastAsia="Times New Roman" w:cstheme="minorHAnsi"/>
          <w:b/>
        </w:rPr>
      </w:pPr>
      <w:r>
        <w:rPr>
          <w:rFonts w:eastAsia="Times New Roman" w:cstheme="minorHAnsi"/>
          <w:b/>
        </w:rPr>
        <w:t xml:space="preserve">B) Projekt UNICOM </w:t>
      </w:r>
      <w:r w:rsidRPr="00B77B85">
        <w:rPr>
          <w:rFonts w:eastAsia="Times New Roman" w:cstheme="minorHAnsi"/>
          <w:b/>
        </w:rPr>
        <w:t>(Scaling up the univocal identification of Medicinal products)</w:t>
      </w:r>
    </w:p>
    <w:p w14:paraId="4E8E5CB3" w14:textId="77777777" w:rsidR="00C545B1" w:rsidRDefault="00C545B1" w:rsidP="00C545B1">
      <w:pPr>
        <w:tabs>
          <w:tab w:val="left" w:pos="2268"/>
        </w:tabs>
        <w:spacing w:line="276" w:lineRule="auto"/>
        <w:ind w:left="2268" w:hanging="2268"/>
        <w:rPr>
          <w:rFonts w:cs="Calibri"/>
        </w:rPr>
      </w:pPr>
      <w:r w:rsidRPr="003708CB">
        <w:rPr>
          <w:rFonts w:cs="Calibri"/>
        </w:rPr>
        <w:t>Koordinator projekta:</w:t>
      </w:r>
      <w:r>
        <w:rPr>
          <w:rFonts w:cs="Calibri"/>
        </w:rPr>
        <w:t xml:space="preserve"> </w:t>
      </w:r>
      <w:r>
        <w:rPr>
          <w:rFonts w:cs="Calibri"/>
        </w:rPr>
        <w:tab/>
      </w:r>
      <w:r w:rsidRPr="003708CB">
        <w:rPr>
          <w:rFonts w:cs="Calibri"/>
        </w:rPr>
        <w:t>EMPIRICA GESELLSCHAFT FUR KOMMUNIKATIONS UND TECHNOLOGIEFORSCHUNG MBH (EMP)</w:t>
      </w:r>
    </w:p>
    <w:p w14:paraId="46872F1F" w14:textId="77777777" w:rsidR="00C545B1" w:rsidRPr="003708CB" w:rsidRDefault="00C545B1" w:rsidP="00C545B1">
      <w:pPr>
        <w:tabs>
          <w:tab w:val="left" w:pos="2268"/>
        </w:tabs>
        <w:spacing w:line="276" w:lineRule="auto"/>
        <w:ind w:left="2268" w:hanging="2268"/>
        <w:jc w:val="both"/>
        <w:rPr>
          <w:rFonts w:cs="Calibri"/>
        </w:rPr>
      </w:pPr>
      <w:r>
        <w:rPr>
          <w:rFonts w:cs="Calibri"/>
        </w:rPr>
        <w:t xml:space="preserve">Partneri na projektu: </w:t>
      </w:r>
      <w:r>
        <w:rPr>
          <w:rFonts w:cs="Calibri"/>
        </w:rPr>
        <w:tab/>
        <w:t xml:space="preserve">39 partnera </w:t>
      </w:r>
    </w:p>
    <w:p w14:paraId="4B2787E9" w14:textId="77777777" w:rsidR="00C545B1" w:rsidRPr="003708CB" w:rsidRDefault="00C545B1" w:rsidP="00C545B1">
      <w:pPr>
        <w:tabs>
          <w:tab w:val="left" w:pos="2268"/>
        </w:tabs>
        <w:spacing w:line="276" w:lineRule="auto"/>
        <w:ind w:left="2268" w:hanging="2268"/>
        <w:jc w:val="both"/>
        <w:rPr>
          <w:rFonts w:cs="Calibri"/>
        </w:rPr>
      </w:pPr>
      <w:r w:rsidRPr="003708CB">
        <w:rPr>
          <w:rFonts w:cs="Calibri"/>
        </w:rPr>
        <w:t xml:space="preserve">Partneri </w:t>
      </w:r>
      <w:r>
        <w:rPr>
          <w:rFonts w:cs="Calibri"/>
        </w:rPr>
        <w:t xml:space="preserve">u RH: </w:t>
      </w:r>
      <w:r>
        <w:rPr>
          <w:rFonts w:cs="Calibri"/>
        </w:rPr>
        <w:tab/>
      </w:r>
      <w:r w:rsidRPr="003708CB">
        <w:rPr>
          <w:rFonts w:cs="Calibri"/>
        </w:rPr>
        <w:t>HALMED i HZZO</w:t>
      </w:r>
    </w:p>
    <w:p w14:paraId="4695D2B5" w14:textId="77777777" w:rsidR="00C545B1" w:rsidRPr="003708CB" w:rsidRDefault="00C545B1" w:rsidP="00C545B1">
      <w:pPr>
        <w:tabs>
          <w:tab w:val="left" w:pos="2268"/>
        </w:tabs>
        <w:spacing w:line="276" w:lineRule="auto"/>
        <w:ind w:left="2268" w:hanging="2268"/>
        <w:jc w:val="both"/>
        <w:rPr>
          <w:rFonts w:cs="Calibri"/>
        </w:rPr>
      </w:pPr>
      <w:r w:rsidRPr="003708CB">
        <w:rPr>
          <w:rFonts w:cs="Calibri"/>
        </w:rPr>
        <w:t xml:space="preserve">Početak projekta: </w:t>
      </w:r>
      <w:r w:rsidRPr="003708CB">
        <w:rPr>
          <w:rFonts w:cs="Calibri"/>
        </w:rPr>
        <w:tab/>
        <w:t>01.12.2019.</w:t>
      </w:r>
    </w:p>
    <w:p w14:paraId="7CC13428" w14:textId="77777777" w:rsidR="00C545B1" w:rsidRDefault="00C545B1" w:rsidP="00C545B1">
      <w:pPr>
        <w:tabs>
          <w:tab w:val="left" w:pos="2268"/>
        </w:tabs>
        <w:spacing w:line="276" w:lineRule="auto"/>
        <w:ind w:left="2268" w:hanging="2268"/>
        <w:jc w:val="both"/>
        <w:rPr>
          <w:rFonts w:cs="Calibri"/>
        </w:rPr>
      </w:pPr>
      <w:r w:rsidRPr="003708CB">
        <w:rPr>
          <w:rFonts w:cs="Calibri"/>
        </w:rPr>
        <w:t xml:space="preserve">Vrijeme realizacije: </w:t>
      </w:r>
      <w:r w:rsidRPr="003708CB">
        <w:rPr>
          <w:rFonts w:cs="Calibri"/>
        </w:rPr>
        <w:tab/>
        <w:t xml:space="preserve">30.11.2023. </w:t>
      </w:r>
    </w:p>
    <w:p w14:paraId="1AFACA89" w14:textId="77777777" w:rsidR="00C545B1" w:rsidRDefault="00C545B1" w:rsidP="00C545B1">
      <w:pPr>
        <w:tabs>
          <w:tab w:val="left" w:pos="2268"/>
        </w:tabs>
        <w:spacing w:line="276" w:lineRule="auto"/>
        <w:ind w:left="2268" w:hanging="2268"/>
        <w:jc w:val="both"/>
        <w:rPr>
          <w:rFonts w:cs="Calibri"/>
        </w:rPr>
      </w:pPr>
      <w:r>
        <w:rPr>
          <w:rFonts w:cs="Calibri"/>
        </w:rPr>
        <w:t>Ukupan budžet:</w:t>
      </w:r>
      <w:r>
        <w:rPr>
          <w:rFonts w:cs="Calibri"/>
        </w:rPr>
        <w:tab/>
        <w:t>21.000.000</w:t>
      </w:r>
      <w:r w:rsidRPr="00E40F42">
        <w:rPr>
          <w:rFonts w:cs="Calibri"/>
        </w:rPr>
        <w:t>€</w:t>
      </w:r>
    </w:p>
    <w:p w14:paraId="2238A1BE" w14:textId="77777777" w:rsidR="00C545B1" w:rsidRPr="003708CB" w:rsidRDefault="00C545B1" w:rsidP="00C545B1">
      <w:pPr>
        <w:tabs>
          <w:tab w:val="left" w:pos="2268"/>
        </w:tabs>
        <w:spacing w:line="276" w:lineRule="auto"/>
        <w:ind w:left="2268" w:hanging="2268"/>
        <w:rPr>
          <w:rFonts w:cs="Calibri"/>
        </w:rPr>
      </w:pPr>
      <w:r>
        <w:rPr>
          <w:rFonts w:cs="Calibri"/>
        </w:rPr>
        <w:t>Financiranje:</w:t>
      </w:r>
      <w:r>
        <w:rPr>
          <w:rFonts w:cs="Calibri"/>
        </w:rPr>
        <w:tab/>
      </w:r>
      <w:r w:rsidRPr="00E40F42">
        <w:rPr>
          <w:rFonts w:cs="Calibri"/>
        </w:rPr>
        <w:t xml:space="preserve">Europska komisija </w:t>
      </w:r>
      <w:r>
        <w:rPr>
          <w:rFonts w:cs="Calibri"/>
        </w:rPr>
        <w:t xml:space="preserve">iz programa financiranja HORIZON 2020, </w:t>
      </w:r>
      <w:r>
        <w:t>Reserch&amp;Innovation Funding Program i  Nacionalno sufinanciranje</w:t>
      </w:r>
    </w:p>
    <w:p w14:paraId="71A1C3CC" w14:textId="77777777" w:rsidR="00C545B1" w:rsidRDefault="00C545B1" w:rsidP="00C545B1">
      <w:pPr>
        <w:tabs>
          <w:tab w:val="left" w:pos="2268"/>
        </w:tabs>
        <w:spacing w:line="276" w:lineRule="auto"/>
        <w:ind w:left="2268" w:hanging="2268"/>
        <w:rPr>
          <w:rFonts w:cs="Calibri"/>
        </w:rPr>
      </w:pPr>
      <w:r w:rsidRPr="00E40F42">
        <w:rPr>
          <w:rFonts w:cs="Calibri"/>
        </w:rPr>
        <w:t xml:space="preserve">Budžet HALMED-a: </w:t>
      </w:r>
      <w:r w:rsidRPr="00E40F42">
        <w:rPr>
          <w:rFonts w:cs="Calibri"/>
        </w:rPr>
        <w:tab/>
      </w:r>
      <w:r w:rsidRPr="0098299A">
        <w:rPr>
          <w:rFonts w:cs="Calibri"/>
        </w:rPr>
        <w:t>421.250 € (7.500 € je dodano na inicijalni budžet, kao re-distribucija alokacija budžeta iz radne grupe WP3), od čega 150.000 €</w:t>
      </w:r>
      <w:r>
        <w:rPr>
          <w:rFonts w:cs="Calibri"/>
        </w:rPr>
        <w:t xml:space="preserve"> za nadogradnju sustava NRL, </w:t>
      </w:r>
      <w:r>
        <w:rPr>
          <w:rFonts w:eastAsia="Times New Roman" w:cstheme="minorHAnsi"/>
        </w:rPr>
        <w:t xml:space="preserve">realizirati  kroz tri ciklusa: </w:t>
      </w:r>
      <w:r w:rsidRPr="008D7A2F">
        <w:t>2021./2022.</w:t>
      </w:r>
      <w:r>
        <w:t>,</w:t>
      </w:r>
      <w:r w:rsidRPr="008D7A2F">
        <w:t xml:space="preserve"> 2022</w:t>
      </w:r>
      <w:r>
        <w:t>.</w:t>
      </w:r>
      <w:r w:rsidRPr="008D7A2F">
        <w:t>/2023.</w:t>
      </w:r>
      <w:r>
        <w:t xml:space="preserve"> i 2023./2024.</w:t>
      </w:r>
    </w:p>
    <w:p w14:paraId="65E157C7" w14:textId="77777777" w:rsidR="00C545B1" w:rsidRDefault="00C545B1" w:rsidP="00C545B1">
      <w:pPr>
        <w:tabs>
          <w:tab w:val="left" w:pos="2268"/>
        </w:tabs>
        <w:spacing w:line="276" w:lineRule="auto"/>
        <w:ind w:left="2268" w:hanging="2268"/>
        <w:rPr>
          <w:rFonts w:cs="Calibri"/>
        </w:rPr>
      </w:pPr>
      <w:r>
        <w:rPr>
          <w:rFonts w:cs="Calibri"/>
        </w:rPr>
        <w:t>Sudjelovanje HALMED-a:</w:t>
      </w:r>
      <w:r>
        <w:rPr>
          <w:rFonts w:cs="Calibri"/>
        </w:rPr>
        <w:tab/>
        <w:t>W</w:t>
      </w:r>
      <w:r w:rsidRPr="00B32BB2">
        <w:rPr>
          <w:rFonts w:cs="Calibri"/>
        </w:rPr>
        <w:t xml:space="preserve">ork </w:t>
      </w:r>
      <w:r>
        <w:rPr>
          <w:rFonts w:cs="Calibri"/>
        </w:rPr>
        <w:t>P</w:t>
      </w:r>
      <w:r w:rsidRPr="00B32BB2">
        <w:rPr>
          <w:rFonts w:cs="Calibri"/>
        </w:rPr>
        <w:t>ackage</w:t>
      </w:r>
      <w:r>
        <w:rPr>
          <w:rFonts w:cs="Calibri"/>
        </w:rPr>
        <w:t xml:space="preserve"> 4: </w:t>
      </w:r>
      <w:r w:rsidRPr="00B32BB2">
        <w:rPr>
          <w:rFonts w:cs="Calibri"/>
        </w:rPr>
        <w:t xml:space="preserve">IDMP implementation at </w:t>
      </w:r>
      <w:r w:rsidRPr="007E0D6A">
        <w:rPr>
          <w:rFonts w:cs="Calibri"/>
        </w:rPr>
        <w:t xml:space="preserve">National Drug Agencies </w:t>
      </w:r>
      <w:r>
        <w:rPr>
          <w:rFonts w:cs="Calibri"/>
        </w:rPr>
        <w:t>(WP4)</w:t>
      </w:r>
    </w:p>
    <w:p w14:paraId="10F15213" w14:textId="77777777" w:rsidR="00C545B1" w:rsidRPr="00B32BB2" w:rsidRDefault="00C545B1" w:rsidP="00C545B1">
      <w:pPr>
        <w:tabs>
          <w:tab w:val="left" w:pos="2268"/>
        </w:tabs>
        <w:spacing w:line="276" w:lineRule="auto"/>
        <w:ind w:left="2268" w:hanging="2268"/>
        <w:rPr>
          <w:rFonts w:cs="Calibri"/>
        </w:rPr>
      </w:pPr>
      <w:r>
        <w:rPr>
          <w:rFonts w:cs="Calibri"/>
        </w:rPr>
        <w:tab/>
        <w:t>W</w:t>
      </w:r>
      <w:r w:rsidRPr="00B32BB2">
        <w:rPr>
          <w:rFonts w:cs="Calibri"/>
        </w:rPr>
        <w:t xml:space="preserve">ork </w:t>
      </w:r>
      <w:r>
        <w:rPr>
          <w:rFonts w:cs="Calibri"/>
        </w:rPr>
        <w:t>P</w:t>
      </w:r>
      <w:r w:rsidRPr="00B32BB2">
        <w:rPr>
          <w:rFonts w:cs="Calibri"/>
        </w:rPr>
        <w:t>ackage</w:t>
      </w:r>
      <w:r>
        <w:rPr>
          <w:rFonts w:cs="Calibri"/>
        </w:rPr>
        <w:t xml:space="preserve"> 8: </w:t>
      </w:r>
      <w:r>
        <w:t>Clinical Care, Patients, Pharmacies, Research and Pharmacovigilance (WP8)</w:t>
      </w:r>
    </w:p>
    <w:p w14:paraId="14E66225" w14:textId="77777777" w:rsidR="00C545B1" w:rsidRDefault="00C545B1" w:rsidP="00C545B1">
      <w:pPr>
        <w:spacing w:line="276" w:lineRule="auto"/>
        <w:jc w:val="both"/>
        <w:rPr>
          <w:rFonts w:cs="Calibri"/>
        </w:rPr>
      </w:pPr>
    </w:p>
    <w:p w14:paraId="654FE49B" w14:textId="77777777" w:rsidR="00C545B1" w:rsidRDefault="00C545B1" w:rsidP="00C545B1">
      <w:pPr>
        <w:tabs>
          <w:tab w:val="left" w:pos="1418"/>
        </w:tabs>
        <w:spacing w:line="276" w:lineRule="auto"/>
        <w:ind w:left="1416" w:hanging="1416"/>
        <w:jc w:val="both"/>
      </w:pPr>
      <w:r>
        <w:rPr>
          <w:rFonts w:cs="Calibri"/>
        </w:rPr>
        <w:t xml:space="preserve">Cilj projekta: </w:t>
      </w:r>
      <w:r>
        <w:rPr>
          <w:rFonts w:cs="Calibri"/>
        </w:rPr>
        <w:tab/>
      </w:r>
      <w:r>
        <w:t>Poboljšanje sigurnosti pacijenata kroz uspostavu normi o strukturi podataka o lijeku i uspostavu informatičkih sustava za razmjenu podataka o lijeku na razini Europske unije. Fokus projekta UNICOM je na implementaciji paketa ISO (International Standard Organisation) standarda – ISO IDMP (IDentification of Medicinal and pharmaceutical Products), a rad će uključivati njihov daljnji razvoj, testiranje, implementaciju i primjenu u:</w:t>
      </w:r>
    </w:p>
    <w:p w14:paraId="4501ECDE" w14:textId="77777777" w:rsidR="00C545B1" w:rsidRPr="00136B03" w:rsidRDefault="00C545B1" w:rsidP="00AC375F">
      <w:pPr>
        <w:pStyle w:val="NormalWeb"/>
        <w:numPr>
          <w:ilvl w:val="2"/>
          <w:numId w:val="27"/>
        </w:numPr>
        <w:spacing w:before="0" w:beforeAutospacing="0" w:after="0" w:afterAutospacing="0" w:line="276" w:lineRule="auto"/>
        <w:jc w:val="both"/>
        <w:rPr>
          <w:rFonts w:asciiTheme="minorHAnsi" w:hAnsiTheme="minorHAnsi" w:cstheme="minorHAnsi"/>
          <w:sz w:val="22"/>
          <w:szCs w:val="22"/>
          <w:lang w:eastAsia="en-US"/>
        </w:rPr>
      </w:pPr>
      <w:r w:rsidRPr="00136B03">
        <w:rPr>
          <w:rFonts w:asciiTheme="minorHAnsi" w:hAnsiTheme="minorHAnsi" w:cstheme="minorHAnsi"/>
          <w:sz w:val="22"/>
          <w:szCs w:val="22"/>
          <w:lang w:eastAsia="en-US"/>
        </w:rPr>
        <w:t xml:space="preserve">regulatorne svrhe u NCA-evima, </w:t>
      </w:r>
    </w:p>
    <w:p w14:paraId="75E8E353" w14:textId="77777777" w:rsidR="00C545B1" w:rsidRPr="00136B03" w:rsidRDefault="00C545B1" w:rsidP="00AC375F">
      <w:pPr>
        <w:pStyle w:val="NormalWeb"/>
        <w:numPr>
          <w:ilvl w:val="2"/>
          <w:numId w:val="27"/>
        </w:numPr>
        <w:spacing w:before="0" w:beforeAutospacing="0" w:after="0" w:afterAutospacing="0" w:line="276" w:lineRule="auto"/>
        <w:jc w:val="both"/>
        <w:rPr>
          <w:rFonts w:asciiTheme="minorHAnsi" w:hAnsiTheme="minorHAnsi" w:cstheme="minorHAnsi"/>
          <w:sz w:val="22"/>
          <w:szCs w:val="22"/>
          <w:lang w:eastAsia="en-US"/>
        </w:rPr>
      </w:pPr>
      <w:r w:rsidRPr="00136B03">
        <w:rPr>
          <w:rFonts w:asciiTheme="minorHAnsi" w:hAnsiTheme="minorHAnsi" w:cstheme="minorHAnsi"/>
          <w:sz w:val="22"/>
          <w:szCs w:val="22"/>
          <w:lang w:eastAsia="en-US"/>
        </w:rPr>
        <w:t>globalnoj farmakovigilanciji</w:t>
      </w:r>
    </w:p>
    <w:p w14:paraId="0265EFD3" w14:textId="77777777" w:rsidR="00C545B1" w:rsidRPr="00136B03" w:rsidRDefault="00C545B1" w:rsidP="00AC375F">
      <w:pPr>
        <w:pStyle w:val="NormalWeb"/>
        <w:numPr>
          <w:ilvl w:val="2"/>
          <w:numId w:val="27"/>
        </w:numPr>
        <w:spacing w:before="0" w:beforeAutospacing="0" w:after="0" w:afterAutospacing="0" w:line="276" w:lineRule="auto"/>
        <w:jc w:val="both"/>
        <w:rPr>
          <w:rFonts w:asciiTheme="minorHAnsi" w:hAnsiTheme="minorHAnsi" w:cstheme="minorHAnsi"/>
          <w:sz w:val="22"/>
          <w:szCs w:val="22"/>
          <w:lang w:eastAsia="en-US"/>
        </w:rPr>
      </w:pPr>
      <w:r w:rsidRPr="00136B03">
        <w:rPr>
          <w:rFonts w:asciiTheme="minorHAnsi" w:hAnsiTheme="minorHAnsi" w:cstheme="minorHAnsi"/>
          <w:sz w:val="22"/>
          <w:szCs w:val="22"/>
          <w:lang w:eastAsia="en-US"/>
        </w:rPr>
        <w:t>izradi servisa za prekograničnu razmjenu recepata (ePrescription).</w:t>
      </w:r>
    </w:p>
    <w:p w14:paraId="1BAE311F" w14:textId="0CBDA768" w:rsidR="00C545B1" w:rsidRPr="000D2876" w:rsidRDefault="00C545B1" w:rsidP="00C545B1">
      <w:pPr>
        <w:spacing w:line="276" w:lineRule="auto"/>
        <w:ind w:left="2" w:hanging="2"/>
        <w:jc w:val="both"/>
        <w:rPr>
          <w:rFonts w:cstheme="minorHAnsi"/>
        </w:rPr>
      </w:pPr>
      <w:r w:rsidRPr="000D2876">
        <w:rPr>
          <w:rFonts w:cstheme="minorHAnsi"/>
        </w:rPr>
        <w:t xml:space="preserve">Cilj radne grupe WP4 u kojoj HALMED sudjeluje kao jedan od 11 NCA je postavljanje modela podataka i semantike koje će koristiti i ostala tijela i tvrtke iz </w:t>
      </w:r>
      <w:r w:rsidR="00C4086D">
        <w:rPr>
          <w:rFonts w:cstheme="minorHAnsi"/>
        </w:rPr>
        <w:t>država</w:t>
      </w:r>
      <w:r w:rsidRPr="000D2876">
        <w:rPr>
          <w:rFonts w:cstheme="minorHAnsi"/>
        </w:rPr>
        <w:t xml:space="preserve"> članica EU u svojim bazama podataka te osiguranje kvalitete podataka. Partneri u radnoj grupi WP4 nadogradit će svoje sustave i baze podataka o lijekovima, implementirajući dogovoreni standard načina zapisivanja podataka o lijekovima te na taj način osigurati interoperabilnost i mogućnost povezivanja i razmjene podataka o lijekovima među </w:t>
      </w:r>
      <w:r w:rsidR="00C4086D">
        <w:rPr>
          <w:rFonts w:cstheme="minorHAnsi"/>
        </w:rPr>
        <w:t>državama</w:t>
      </w:r>
      <w:r w:rsidRPr="000D2876">
        <w:rPr>
          <w:rFonts w:cstheme="minorHAnsi"/>
        </w:rPr>
        <w:t xml:space="preserve"> koje implementiraju dogovoreni standard (poput projekta ePrescription). Radna grupa WP4 osigurat će prenošenje znanja i iskustava te će pripremiti vodič  koji bi trebao olakšali implementaciju ISO IDMP standarda regulatornim tijelima i industriji.</w:t>
      </w:r>
    </w:p>
    <w:p w14:paraId="049F1FF9" w14:textId="5C572FFF" w:rsidR="00C545B1" w:rsidRDefault="00C545B1" w:rsidP="00C545B1">
      <w:pPr>
        <w:spacing w:after="240" w:line="276" w:lineRule="auto"/>
        <w:contextualSpacing/>
        <w:jc w:val="both"/>
        <w:rPr>
          <w:rFonts w:eastAsia="Times New Roman" w:cstheme="minorHAnsi"/>
        </w:rPr>
      </w:pPr>
      <w:r w:rsidRPr="007E0D6A">
        <w:rPr>
          <w:rFonts w:eastAsia="Times New Roman" w:cstheme="minorHAnsi"/>
        </w:rPr>
        <w:t xml:space="preserve">Predstavnici HALMED-a su </w:t>
      </w:r>
      <w:r w:rsidRPr="007F5116">
        <w:rPr>
          <w:rFonts w:eastAsia="Times New Roman" w:cstheme="minorHAnsi"/>
        </w:rPr>
        <w:t xml:space="preserve">u </w:t>
      </w:r>
      <w:r>
        <w:rPr>
          <w:rFonts w:eastAsia="Times New Roman" w:cstheme="minorHAnsi"/>
        </w:rPr>
        <w:t xml:space="preserve">siječnju 2023. </w:t>
      </w:r>
      <w:r w:rsidRPr="007E0D6A">
        <w:rPr>
          <w:rFonts w:eastAsia="Times New Roman" w:cstheme="minorHAnsi"/>
        </w:rPr>
        <w:t xml:space="preserve">godine predali godišnje izvješće o </w:t>
      </w:r>
      <w:r w:rsidRPr="007E0D6A">
        <w:rPr>
          <w:bCs/>
        </w:rPr>
        <w:t>napretku u izradi, odnosno refaktoriranju koda i modela baze podataka nacionalnog IT sustava</w:t>
      </w:r>
      <w:r w:rsidRPr="007E0D6A">
        <w:rPr>
          <w:rFonts w:eastAsia="Times New Roman" w:cstheme="minorHAnsi"/>
        </w:rPr>
        <w:t xml:space="preserve"> (</w:t>
      </w:r>
      <w:r w:rsidRPr="007E0D6A">
        <w:rPr>
          <w:rFonts w:eastAsia="Times New Roman" w:cstheme="minorHAnsi"/>
          <w:i/>
        </w:rPr>
        <w:t>progress report</w:t>
      </w:r>
      <w:r w:rsidRPr="007E0D6A">
        <w:rPr>
          <w:rFonts w:eastAsia="Times New Roman" w:cstheme="minorHAnsi"/>
        </w:rPr>
        <w:t xml:space="preserve">), u sklopu radnog zadatka </w:t>
      </w:r>
      <w:r w:rsidRPr="007E0D6A">
        <w:rPr>
          <w:rFonts w:eastAsia="Times New Roman" w:cstheme="minorHAnsi"/>
          <w:i/>
        </w:rPr>
        <w:t>D4.10:</w:t>
      </w:r>
      <w:r w:rsidRPr="007E0D6A">
        <w:t xml:space="preserve"> </w:t>
      </w:r>
      <w:r w:rsidRPr="007E0D6A">
        <w:rPr>
          <w:rFonts w:eastAsia="Times New Roman" w:cstheme="minorHAnsi"/>
          <w:i/>
        </w:rPr>
        <w:t xml:space="preserve">Progress report on refactoring or new build of national IT systems, migration of national data, and data interfaces to EMA’s SPOR. </w:t>
      </w:r>
      <w:r w:rsidRPr="007E0D6A">
        <w:rPr>
          <w:rFonts w:eastAsia="Times New Roman" w:cstheme="minorHAnsi"/>
        </w:rPr>
        <w:t>Izvješće</w:t>
      </w:r>
      <w:r w:rsidRPr="007E0D6A">
        <w:rPr>
          <w:rFonts w:eastAsia="Times New Roman" w:cstheme="minorHAnsi"/>
          <w:i/>
        </w:rPr>
        <w:t xml:space="preserve"> </w:t>
      </w:r>
      <w:r w:rsidRPr="007E0D6A">
        <w:rPr>
          <w:rFonts w:eastAsia="Times New Roman" w:cstheme="minorHAnsi"/>
        </w:rPr>
        <w:t xml:space="preserve">su prethodno pregledali predstavnici nacionalnih regulatornih tijela Švedske (SEMPA) i Belgije (AFMPS), dok su predstavnici HALMED-a u </w:t>
      </w:r>
      <w:r>
        <w:rPr>
          <w:rFonts w:eastAsia="Times New Roman" w:cstheme="minorHAnsi"/>
        </w:rPr>
        <w:t>siječnju 2023.</w:t>
      </w:r>
      <w:r w:rsidRPr="007E0D6A">
        <w:rPr>
          <w:rFonts w:eastAsia="Times New Roman" w:cstheme="minorHAnsi"/>
        </w:rPr>
        <w:t xml:space="preserve"> godine pregledali izvješća nacionalnih regulatornih tijela Austrije (AGES) i Portugala (NFARMED, I.P.).</w:t>
      </w:r>
      <w:r>
        <w:rPr>
          <w:rFonts w:eastAsia="Times New Roman" w:cstheme="minorHAnsi"/>
        </w:rPr>
        <w:t xml:space="preserve"> Do </w:t>
      </w:r>
      <w:r>
        <w:rPr>
          <w:rFonts w:eastAsia="Times New Roman" w:cstheme="minorHAnsi"/>
        </w:rPr>
        <w:lastRenderedPageBreak/>
        <w:t>kraja studenog 2022. je završilo 18-mjesečno razdoblje, za koje je bio predviđen tehnički pregled (</w:t>
      </w:r>
      <w:r>
        <w:rPr>
          <w:rFonts w:eastAsia="Times New Roman" w:cstheme="minorHAnsi"/>
          <w:i/>
        </w:rPr>
        <w:t>technical review</w:t>
      </w:r>
      <w:r>
        <w:rPr>
          <w:rFonts w:eastAsia="Times New Roman" w:cstheme="minorHAnsi"/>
        </w:rPr>
        <w:t>) od strane Europske komisije te je HALMED uspješno i na vrijeme pripremio tražene financijske izvještaje, a u siječnju su sva nacionalna regulatorna tijela koja sudjeluju u radu radne grupe WP4 sudjelovala u pripremi prezentacije za tehn</w:t>
      </w:r>
      <w:r w:rsidR="00C4086D">
        <w:rPr>
          <w:rFonts w:eastAsia="Times New Roman" w:cstheme="minorHAnsi"/>
        </w:rPr>
        <w:t xml:space="preserve">ički pregled koji se održao </w:t>
      </w:r>
      <w:r w:rsidR="004E0936">
        <w:rPr>
          <w:rFonts w:eastAsia="Times New Roman" w:cstheme="minorHAnsi"/>
        </w:rPr>
        <w:t xml:space="preserve">početkom </w:t>
      </w:r>
      <w:r w:rsidR="00C4086D">
        <w:rPr>
          <w:rFonts w:eastAsia="Times New Roman" w:cstheme="minorHAnsi"/>
        </w:rPr>
        <w:t xml:space="preserve">veljače </w:t>
      </w:r>
      <w:r>
        <w:rPr>
          <w:rFonts w:eastAsia="Times New Roman" w:cstheme="minorHAnsi"/>
        </w:rPr>
        <w:t>2023.</w:t>
      </w:r>
      <w:r w:rsidR="0085173D">
        <w:rPr>
          <w:rFonts w:eastAsia="Times New Roman" w:cstheme="minorHAnsi"/>
        </w:rPr>
        <w:t xml:space="preserve"> godine.</w:t>
      </w:r>
    </w:p>
    <w:p w14:paraId="679A564A" w14:textId="6133D122" w:rsidR="00C545B1" w:rsidRDefault="00C545B1" w:rsidP="00C545B1">
      <w:pPr>
        <w:spacing w:before="120" w:line="276" w:lineRule="auto"/>
        <w:jc w:val="both"/>
        <w:rPr>
          <w:rFonts w:eastAsia="Times New Roman" w:cstheme="minorHAnsi"/>
        </w:rPr>
      </w:pPr>
      <w:r>
        <w:t>U izvještajnom razdoblju redovito su održavane virtualne (</w:t>
      </w:r>
      <w:r w:rsidRPr="00D2316C">
        <w:rPr>
          <w:i/>
        </w:rPr>
        <w:t>online</w:t>
      </w:r>
      <w:r>
        <w:t xml:space="preserve">) radionice na temu </w:t>
      </w:r>
      <w:r w:rsidRPr="000D3A54">
        <w:rPr>
          <w:bCs/>
        </w:rPr>
        <w:t xml:space="preserve">modela podataka </w:t>
      </w:r>
      <w:r>
        <w:rPr>
          <w:bCs/>
        </w:rPr>
        <w:t xml:space="preserve">o lijeku, </w:t>
      </w:r>
      <w:r w:rsidRPr="000D3A54">
        <w:rPr>
          <w:bCs/>
        </w:rPr>
        <w:t>povezivanj</w:t>
      </w:r>
      <w:r>
        <w:rPr>
          <w:bCs/>
        </w:rPr>
        <w:t xml:space="preserve">a s EMA SPOR servisima te strukture FHIR </w:t>
      </w:r>
      <w:r w:rsidRPr="00D2316C">
        <w:rPr>
          <w:bCs/>
        </w:rPr>
        <w:t>poruke za razmjenu podataka</w:t>
      </w:r>
      <w:r w:rsidR="004E0936">
        <w:rPr>
          <w:bCs/>
        </w:rPr>
        <w:t>: u veljači</w:t>
      </w:r>
      <w:r>
        <w:rPr>
          <w:bCs/>
        </w:rPr>
        <w:t xml:space="preserve"> je organizirana radionica „UNICOM</w:t>
      </w:r>
      <w:r w:rsidRPr="008B7025">
        <w:rPr>
          <w:bCs/>
        </w:rPr>
        <w:t>: Sources of medication data</w:t>
      </w:r>
      <w:r w:rsidR="004E0936">
        <w:rPr>
          <w:bCs/>
        </w:rPr>
        <w:t>“, a u ožujku</w:t>
      </w:r>
      <w:r>
        <w:rPr>
          <w:bCs/>
        </w:rPr>
        <w:t xml:space="preserve"> je </w:t>
      </w:r>
      <w:r w:rsidRPr="00D2316C">
        <w:rPr>
          <w:bCs/>
        </w:rPr>
        <w:t>organiziran</w:t>
      </w:r>
      <w:r>
        <w:rPr>
          <w:bCs/>
        </w:rPr>
        <w:t xml:space="preserve">a  </w:t>
      </w:r>
      <w:r w:rsidRPr="00D2316C">
        <w:rPr>
          <w:bCs/>
        </w:rPr>
        <w:t>radionic</w:t>
      </w:r>
      <w:r>
        <w:rPr>
          <w:bCs/>
        </w:rPr>
        <w:t>a</w:t>
      </w:r>
      <w:r w:rsidRPr="00D2316C">
        <w:rPr>
          <w:bCs/>
        </w:rPr>
        <w:t xml:space="preserve"> </w:t>
      </w:r>
      <w:r>
        <w:rPr>
          <w:bCs/>
        </w:rPr>
        <w:t xml:space="preserve">namijenjena </w:t>
      </w:r>
      <w:r w:rsidRPr="00C530F4">
        <w:rPr>
          <w:bCs/>
        </w:rPr>
        <w:t>nacionalnim regulatornim tijelima: „</w:t>
      </w:r>
      <w:r w:rsidRPr="00C530F4">
        <w:rPr>
          <w:rFonts w:eastAsia="Times New Roman" w:cstheme="minorHAnsi"/>
        </w:rPr>
        <w:t xml:space="preserve">Basic Training IDMP &amp; FHIR for NCAs staff“, </w:t>
      </w:r>
      <w:r w:rsidRPr="00C530F4">
        <w:rPr>
          <w:bCs/>
        </w:rPr>
        <w:t>na kojoj su predstavnici austrijske agencije AGES izdvojili deset najtraženijih atributa za opisivanje podataka o lijeku prema ISO IDMP standardima te su pojasnili kako čitati FHIR poruke i koristiti XPath.</w:t>
      </w:r>
      <w:r>
        <w:rPr>
          <w:bCs/>
        </w:rPr>
        <w:t xml:space="preserve"> </w:t>
      </w:r>
      <w:r w:rsidRPr="00D2316C">
        <w:rPr>
          <w:bCs/>
        </w:rPr>
        <w:t xml:space="preserve"> </w:t>
      </w:r>
    </w:p>
    <w:p w14:paraId="26ED55FC" w14:textId="08186A01" w:rsidR="00C545B1" w:rsidRDefault="00C545B1" w:rsidP="00C545B1">
      <w:pPr>
        <w:spacing w:after="240" w:line="276" w:lineRule="auto"/>
        <w:contextualSpacing/>
        <w:jc w:val="both"/>
        <w:rPr>
          <w:bCs/>
        </w:rPr>
      </w:pPr>
      <w:r>
        <w:rPr>
          <w:rFonts w:eastAsia="Times New Roman" w:cstheme="minorHAnsi"/>
        </w:rPr>
        <w:t xml:space="preserve">U sklopu Ugovora </w:t>
      </w:r>
      <w:r w:rsidRPr="004B6B34">
        <w:rPr>
          <w:rFonts w:eastAsia="Times New Roman" w:cstheme="minorHAnsi"/>
        </w:rPr>
        <w:t>o nadogradnji i održavanju sustava za nacionalni registar lijekova (NRL), provjeru kakvoće lijeka (PKL) i farmakovigilanciju (PhV)</w:t>
      </w:r>
      <w:r>
        <w:rPr>
          <w:rFonts w:eastAsia="Times New Roman" w:cstheme="minorHAnsi"/>
        </w:rPr>
        <w:t xml:space="preserve">, potpisanog </w:t>
      </w:r>
      <w:r w:rsidR="0085173D">
        <w:rPr>
          <w:rFonts w:eastAsia="Times New Roman" w:cstheme="minorHAnsi"/>
        </w:rPr>
        <w:t xml:space="preserve">dana </w:t>
      </w:r>
      <w:r>
        <w:rPr>
          <w:rFonts w:eastAsia="Times New Roman" w:cstheme="minorHAnsi"/>
        </w:rPr>
        <w:t xml:space="preserve">11.7.2022. godine, provodi se zadatak koji HALMED ima kao član radne grupe WP4: rekonstrukcija baze podataka i sučelja NRL aplikacije. Do sada je </w:t>
      </w:r>
      <w:r w:rsidR="0085173D">
        <w:rPr>
          <w:rFonts w:eastAsia="Times New Roman" w:cstheme="minorHAnsi"/>
        </w:rPr>
        <w:t xml:space="preserve">pripremljena </w:t>
      </w:r>
      <w:r>
        <w:rPr>
          <w:rFonts w:eastAsia="Times New Roman" w:cstheme="minorHAnsi"/>
        </w:rPr>
        <w:t xml:space="preserve">detaljna analiza postojećeg stanja i usporedba s modelom podataka definiranim ISO IDMP standardima, predložen je novi model podataka i rekonstrukcija sučelja te je pripremljena funkcionalna specifikacija za uvođenje novih SPOR šifrarnika i izmjena u bazi podataka, koje su potrebne kako bi se u model uveli podaci o lijeku koji opisuju </w:t>
      </w:r>
      <w:r>
        <w:rPr>
          <w:rFonts w:eastAsia="Times New Roman" w:cstheme="minorHAnsi"/>
          <w:i/>
        </w:rPr>
        <w:t xml:space="preserve">Proizvedenu jedinku </w:t>
      </w:r>
      <w:r>
        <w:rPr>
          <w:rFonts w:eastAsia="Times New Roman" w:cstheme="minorHAnsi"/>
        </w:rPr>
        <w:t>(i njezin sastav)</w:t>
      </w:r>
      <w:r>
        <w:rPr>
          <w:rFonts w:eastAsia="Times New Roman" w:cstheme="minorHAnsi"/>
          <w:i/>
        </w:rPr>
        <w:t xml:space="preserve">, Spremnik </w:t>
      </w:r>
      <w:r>
        <w:rPr>
          <w:rFonts w:eastAsia="Times New Roman" w:cstheme="minorHAnsi"/>
        </w:rPr>
        <w:t xml:space="preserve">i </w:t>
      </w:r>
      <w:r>
        <w:rPr>
          <w:rFonts w:eastAsia="Times New Roman" w:cstheme="minorHAnsi"/>
          <w:i/>
        </w:rPr>
        <w:t>Medicinske proizvode</w:t>
      </w:r>
      <w:r>
        <w:rPr>
          <w:rFonts w:eastAsia="Times New Roman" w:cstheme="minorHAnsi"/>
        </w:rPr>
        <w:t xml:space="preserve">. U prvom tromjesečju 2023. </w:t>
      </w:r>
      <w:r w:rsidR="0085173D">
        <w:rPr>
          <w:rFonts w:eastAsia="Times New Roman" w:cstheme="minorHAnsi"/>
        </w:rPr>
        <w:t>godine uvedene su</w:t>
      </w:r>
      <w:r>
        <w:rPr>
          <w:rFonts w:eastAsia="Times New Roman" w:cstheme="minorHAnsi"/>
        </w:rPr>
        <w:t xml:space="preserve"> i potrebne promjene u sučelju koje omogućavaju na novoj kartici „Pakiranja“ u modulu „Obrada predmeta“ upis svih atributa koji opisuju pakiranje lijeka prema ISO IDMP standardu i smjernicama iz EU ISO IDMP Implementation guidea koji je pripremila EMA te omogućuju evidentiranje podataka o svim spremnicima, rokovima valjanosti, proizvedenoj jedinki i njezinom sastavu. </w:t>
      </w:r>
      <w:r>
        <w:rPr>
          <w:bCs/>
        </w:rPr>
        <w:t>U sklopu UNICOM projekta organizirana je u ožujku (29.03.2023) virtualna (</w:t>
      </w:r>
      <w:r w:rsidRPr="008B7025">
        <w:rPr>
          <w:bCs/>
          <w:i/>
        </w:rPr>
        <w:t>online</w:t>
      </w:r>
      <w:r>
        <w:rPr>
          <w:bCs/>
        </w:rPr>
        <w:t xml:space="preserve">) </w:t>
      </w:r>
      <w:r w:rsidRPr="008B7025">
        <w:rPr>
          <w:bCs/>
        </w:rPr>
        <w:t>radionica</w:t>
      </w:r>
      <w:r>
        <w:rPr>
          <w:bCs/>
        </w:rPr>
        <w:t xml:space="preserve"> (webinar) na kojoj smo svima zainteresiranima imali priliku prezentirati novu karticu Pakiranja u modulu Obrada predmeta aplikacije NRL, koja je u potpunosti usklađena sa smjernicama iz EU ISO IDMP Implementation guidea i koja omogućava upisivanje podataka o proizvedenoj jedinki i njezinom sastavu.</w:t>
      </w:r>
    </w:p>
    <w:p w14:paraId="7A087D1C" w14:textId="3E9E1BDF" w:rsidR="00C545B1" w:rsidRPr="006D2F6F" w:rsidRDefault="0085173D" w:rsidP="00C545B1">
      <w:pPr>
        <w:spacing w:line="276" w:lineRule="auto"/>
        <w:jc w:val="both"/>
        <w:rPr>
          <w:b/>
        </w:rPr>
      </w:pPr>
      <w:r>
        <w:rPr>
          <w:rFonts w:eastAsia="Times New Roman" w:cstheme="minorHAnsi"/>
        </w:rPr>
        <w:t xml:space="preserve">HALMED je bio </w:t>
      </w:r>
      <w:r w:rsidR="00C545B1" w:rsidRPr="00E60AE4">
        <w:rPr>
          <w:rFonts w:eastAsia="Times New Roman" w:cstheme="minorHAnsi"/>
        </w:rPr>
        <w:t xml:space="preserve">domaćin sastanka dviju radnih grupa u sklopu projekta koji je </w:t>
      </w:r>
      <w:r>
        <w:rPr>
          <w:rFonts w:eastAsia="Times New Roman" w:cstheme="minorHAnsi"/>
        </w:rPr>
        <w:t>održan u Zagrebu dana</w:t>
      </w:r>
      <w:r w:rsidR="00C545B1" w:rsidRPr="00E60AE4">
        <w:rPr>
          <w:rFonts w:eastAsia="Times New Roman" w:cstheme="minorHAnsi"/>
        </w:rPr>
        <w:t xml:space="preserve"> 12. i 13</w:t>
      </w:r>
      <w:r w:rsidR="0059357C">
        <w:rPr>
          <w:rFonts w:eastAsia="Times New Roman" w:cstheme="minorHAnsi"/>
        </w:rPr>
        <w:t>.</w:t>
      </w:r>
      <w:r w:rsidR="00C545B1" w:rsidRPr="00E60AE4">
        <w:rPr>
          <w:rFonts w:eastAsia="Times New Roman" w:cstheme="minorHAnsi"/>
        </w:rPr>
        <w:t xml:space="preserve"> lipnja 2023. godine.</w:t>
      </w:r>
      <w:r w:rsidR="00C545B1">
        <w:rPr>
          <w:rFonts w:eastAsia="Times New Roman" w:cstheme="minorHAnsi"/>
        </w:rPr>
        <w:t xml:space="preserve"> </w:t>
      </w:r>
      <w:r w:rsidR="00C545B1" w:rsidRPr="00C77928">
        <w:rPr>
          <w:rFonts w:eastAsia="Times New Roman" w:cstheme="minorHAnsi"/>
        </w:rPr>
        <w:t>Sastanku je prisustvovalo više od 20 stručnjaka za informatičke poslove i analizu podataka iz nacionalnih agencija za lijekove i medicinske proizvode zemalja članica Europske unije</w:t>
      </w:r>
      <w:r w:rsidR="00C545B1">
        <w:rPr>
          <w:rFonts w:eastAsia="Times New Roman" w:cstheme="minorHAnsi"/>
        </w:rPr>
        <w:t xml:space="preserve">. </w:t>
      </w:r>
      <w:r w:rsidR="00C545B1" w:rsidRPr="00E60AE4">
        <w:rPr>
          <w:rFonts w:eastAsia="Times New Roman" w:cstheme="minorHAnsi"/>
        </w:rPr>
        <w:t xml:space="preserve"> Radna grupa WP3 raspravljala je o promjenama koje je potrebno provesti u europskom elektroničkom obrascu za podnošenje prijave, kao i procesu davanja odobrenja za stavljanje lijeka u promet kako bi se struktura podataka o lijeku prilagodila ISO IDMP standardu. </w:t>
      </w:r>
      <w:r w:rsidR="00C545B1">
        <w:rPr>
          <w:rFonts w:eastAsia="Times New Roman" w:cstheme="minorHAnsi"/>
        </w:rPr>
        <w:t>Radna</w:t>
      </w:r>
      <w:r w:rsidR="00C545B1" w:rsidRPr="00E60AE4">
        <w:rPr>
          <w:rFonts w:eastAsia="Times New Roman" w:cstheme="minorHAnsi"/>
        </w:rPr>
        <w:t xml:space="preserve"> grupe WP4</w:t>
      </w:r>
      <w:r w:rsidR="00C545B1">
        <w:rPr>
          <w:rFonts w:eastAsia="Times New Roman" w:cstheme="minorHAnsi"/>
        </w:rPr>
        <w:t>, u kojoj sudjeluje</w:t>
      </w:r>
      <w:r w:rsidR="00C545B1" w:rsidRPr="00E60AE4">
        <w:rPr>
          <w:rFonts w:eastAsia="Times New Roman" w:cstheme="minorHAnsi"/>
        </w:rPr>
        <w:t xml:space="preserve"> 11 europskih nacionalnih agencija, uključujući HALMED, </w:t>
      </w:r>
      <w:r w:rsidR="00C545B1">
        <w:rPr>
          <w:rFonts w:eastAsia="Times New Roman" w:cstheme="minorHAnsi"/>
        </w:rPr>
        <w:t xml:space="preserve">raspravljala je o </w:t>
      </w:r>
      <w:r w:rsidR="00C545B1" w:rsidRPr="00E60AE4">
        <w:rPr>
          <w:rFonts w:eastAsia="Times New Roman" w:cstheme="minorHAnsi"/>
        </w:rPr>
        <w:t>prilago</w:t>
      </w:r>
      <w:r w:rsidR="00C545B1">
        <w:rPr>
          <w:rFonts w:eastAsia="Times New Roman" w:cstheme="minorHAnsi"/>
        </w:rPr>
        <w:t xml:space="preserve">dbama svojih </w:t>
      </w:r>
      <w:r w:rsidR="00C545B1" w:rsidRPr="00E60AE4">
        <w:rPr>
          <w:rFonts w:eastAsia="Times New Roman" w:cstheme="minorHAnsi"/>
        </w:rPr>
        <w:t>informatičk</w:t>
      </w:r>
      <w:r w:rsidR="00C545B1">
        <w:rPr>
          <w:rFonts w:eastAsia="Times New Roman" w:cstheme="minorHAnsi"/>
        </w:rPr>
        <w:t>ih</w:t>
      </w:r>
      <w:r w:rsidR="00C545B1" w:rsidRPr="00E60AE4">
        <w:rPr>
          <w:rFonts w:eastAsia="Times New Roman" w:cstheme="minorHAnsi"/>
        </w:rPr>
        <w:t xml:space="preserve"> sustav</w:t>
      </w:r>
      <w:r w:rsidR="00C545B1">
        <w:rPr>
          <w:rFonts w:eastAsia="Times New Roman" w:cstheme="minorHAnsi"/>
        </w:rPr>
        <w:t>a</w:t>
      </w:r>
      <w:r w:rsidR="00C545B1" w:rsidRPr="00E60AE4">
        <w:rPr>
          <w:rFonts w:eastAsia="Times New Roman" w:cstheme="minorHAnsi"/>
        </w:rPr>
        <w:t xml:space="preserve"> i baz</w:t>
      </w:r>
      <w:r w:rsidR="00C545B1">
        <w:rPr>
          <w:rFonts w:eastAsia="Times New Roman" w:cstheme="minorHAnsi"/>
        </w:rPr>
        <w:t>a</w:t>
      </w:r>
      <w:r w:rsidR="00C545B1" w:rsidRPr="00E60AE4">
        <w:rPr>
          <w:rFonts w:eastAsia="Times New Roman" w:cstheme="minorHAnsi"/>
        </w:rPr>
        <w:t xml:space="preserve"> podataka o lijekovima implementirajući predmetne standarde u cilju interoperabilnosti te mogućnosti povezivanja i razmjene podataka o lijekovima među </w:t>
      </w:r>
      <w:r>
        <w:rPr>
          <w:rFonts w:eastAsia="Times New Roman" w:cstheme="minorHAnsi"/>
        </w:rPr>
        <w:t xml:space="preserve">državama </w:t>
      </w:r>
      <w:r w:rsidR="00C545B1" w:rsidRPr="00E60AE4">
        <w:rPr>
          <w:rFonts w:eastAsia="Times New Roman" w:cstheme="minorHAnsi"/>
        </w:rPr>
        <w:t xml:space="preserve">EU-a. Na sastanku se </w:t>
      </w:r>
      <w:r w:rsidR="00C545B1">
        <w:rPr>
          <w:rFonts w:eastAsia="Times New Roman" w:cstheme="minorHAnsi"/>
        </w:rPr>
        <w:t xml:space="preserve">također </w:t>
      </w:r>
      <w:r w:rsidR="00C545B1" w:rsidRPr="00E60AE4">
        <w:rPr>
          <w:rFonts w:eastAsia="Times New Roman" w:cstheme="minorHAnsi"/>
        </w:rPr>
        <w:t>raspravljalo o mogućnostima uključivanja drugih nacionalnih nadležnih tijela za lijekove te o eventualnom pokretanju dodatnog projekta za standardizaciju podataka o lijekovima.</w:t>
      </w:r>
    </w:p>
    <w:p w14:paraId="32B48FD6" w14:textId="77777777" w:rsidR="00C545B1" w:rsidRDefault="00C545B1" w:rsidP="00C545B1">
      <w:pPr>
        <w:spacing w:line="276" w:lineRule="auto"/>
        <w:jc w:val="both"/>
        <w:rPr>
          <w:b/>
        </w:rPr>
      </w:pPr>
    </w:p>
    <w:p w14:paraId="53FED789" w14:textId="77777777" w:rsidR="00C545B1" w:rsidRPr="006D2F6F" w:rsidRDefault="00C545B1" w:rsidP="00C545B1">
      <w:pPr>
        <w:spacing w:line="276" w:lineRule="auto"/>
        <w:jc w:val="both"/>
        <w:rPr>
          <w:b/>
        </w:rPr>
      </w:pPr>
      <w:r>
        <w:rPr>
          <w:b/>
        </w:rPr>
        <w:t>C</w:t>
      </w:r>
      <w:r w:rsidRPr="006D2F6F">
        <w:rPr>
          <w:b/>
        </w:rPr>
        <w:t>) Projekt ACCESS (</w:t>
      </w:r>
      <w:r w:rsidRPr="006D2F6F">
        <w:rPr>
          <w:b/>
          <w:i/>
        </w:rPr>
        <w:t>vACCine covid-19 monitoring readinESS)</w:t>
      </w:r>
    </w:p>
    <w:p w14:paraId="729F97F4" w14:textId="77777777" w:rsidR="00C545B1" w:rsidRDefault="00C545B1" w:rsidP="00C545B1">
      <w:pPr>
        <w:spacing w:line="276" w:lineRule="auto"/>
        <w:jc w:val="both"/>
      </w:pPr>
    </w:p>
    <w:p w14:paraId="6F956F23" w14:textId="77777777" w:rsidR="00C545B1" w:rsidRDefault="00C545B1" w:rsidP="00C545B1">
      <w:pPr>
        <w:spacing w:line="276" w:lineRule="auto"/>
        <w:jc w:val="both"/>
      </w:pPr>
      <w:r>
        <w:t>HALMED je uključen</w:t>
      </w:r>
      <w:r w:rsidRPr="00CE2906">
        <w:t xml:space="preserve"> u neintervencijsko ispitivanje pod nazivom </w:t>
      </w:r>
      <w:r w:rsidRPr="00CE2906">
        <w:rPr>
          <w:i/>
        </w:rPr>
        <w:t>Prospektivno praćenje sigurnosti cjepiva protiv bolesti COVID-19 u Europi na temelju ishoda koje su prijavile cijepljene osobe</w:t>
      </w:r>
      <w:r w:rsidRPr="00CE2906">
        <w:t xml:space="preserve">, koje se provodi na razini Europske unije u sklopu projekta </w:t>
      </w:r>
      <w:r w:rsidRPr="00CE2906">
        <w:rPr>
          <w:i/>
        </w:rPr>
        <w:t>vACCine covid-19 monitoring readinESS (ACCESS)</w:t>
      </w:r>
      <w:r w:rsidRPr="00CE2906">
        <w:t xml:space="preserve">. Naručitelj ispitivanja je Europska agencija za lijekove. Riječ je o prospektivnom intenzivnom praćenju cjepiva protiv bolesti COVID-19 koje omogućuje prikupljanje podataka o cjepivima, uključujući podatke o nuspojavama nakon cijepljenja, </w:t>
      </w:r>
      <w:r w:rsidRPr="00CE2906">
        <w:lastRenderedPageBreak/>
        <w:t xml:space="preserve">njihovom tijeku i ishodu, težini i ozbiljnosti te potencijalnim čimbenicima </w:t>
      </w:r>
      <w:r w:rsidRPr="004F1325">
        <w:t>rizika, izravno od cijepljenih osoba u gotovo stvarnom vremenu. Projekt je započeo krajem 2020. godine</w:t>
      </w:r>
      <w:r>
        <w:t xml:space="preserve">. Uključivanje pacijenata u studiju i prikupljanje podataka započelo je u veljači 2021. godine. </w:t>
      </w:r>
      <w:r w:rsidRPr="00CE2906">
        <w:t xml:space="preserve">U </w:t>
      </w:r>
      <w:r>
        <w:t>cjelokupnom</w:t>
      </w:r>
      <w:r w:rsidRPr="00CE2906">
        <w:t xml:space="preserve"> razdoblju HALMED je u ispitivanje uključio 3</w:t>
      </w:r>
      <w:r>
        <w:t>74</w:t>
      </w:r>
      <w:r w:rsidRPr="00CE2906">
        <w:t xml:space="preserve"> ispitanika.</w:t>
      </w:r>
      <w:r>
        <w:t xml:space="preserve"> Projekt je završio u listopadu 2023. godine.</w:t>
      </w:r>
    </w:p>
    <w:p w14:paraId="52D58986" w14:textId="77777777" w:rsidR="00C545B1" w:rsidRDefault="00C545B1" w:rsidP="00C545B1">
      <w:pPr>
        <w:spacing w:line="276" w:lineRule="auto"/>
        <w:jc w:val="both"/>
      </w:pPr>
    </w:p>
    <w:p w14:paraId="6509C49A" w14:textId="77777777" w:rsidR="00C545B1" w:rsidRPr="00630094" w:rsidRDefault="00C545B1" w:rsidP="00C545B1">
      <w:pPr>
        <w:spacing w:after="240" w:line="276" w:lineRule="auto"/>
        <w:jc w:val="both"/>
        <w:rPr>
          <w:b/>
        </w:rPr>
      </w:pPr>
      <w:r>
        <w:rPr>
          <w:b/>
        </w:rPr>
        <w:t>D</w:t>
      </w:r>
      <w:r w:rsidRPr="00630094">
        <w:rPr>
          <w:b/>
        </w:rPr>
        <w:t xml:space="preserve">) Projekt implementacije ISO IDMP normi u EU-u (SPOR) </w:t>
      </w:r>
    </w:p>
    <w:p w14:paraId="42C82981" w14:textId="77777777" w:rsidR="00C545B1" w:rsidRPr="000867D0" w:rsidRDefault="00C545B1" w:rsidP="00C545B1">
      <w:pPr>
        <w:spacing w:before="120" w:after="240" w:line="276" w:lineRule="auto"/>
        <w:jc w:val="both"/>
        <w:rPr>
          <w:rFonts w:cstheme="minorHAnsi"/>
          <w:i/>
        </w:rPr>
      </w:pPr>
      <w:r w:rsidRPr="00630094">
        <w:rPr>
          <w:rFonts w:cstheme="minorHAnsi"/>
        </w:rPr>
        <w:t>Projekt implementacije ISO IDMP normi u Europskoj uniji (SPOR)</w:t>
      </w:r>
      <w:r w:rsidRPr="00630094">
        <w:rPr>
          <w:rFonts w:cstheme="minorHAnsi"/>
          <w:b/>
        </w:rPr>
        <w:t xml:space="preserve"> </w:t>
      </w:r>
      <w:r w:rsidRPr="00630094">
        <w:rPr>
          <w:rFonts w:cstheme="minorHAnsi"/>
        </w:rPr>
        <w:t xml:space="preserve">provodi Europska medicinska agencija (EMA) prema </w:t>
      </w:r>
      <w:r w:rsidRPr="00630094">
        <w:rPr>
          <w:rFonts w:cstheme="minorHAnsi"/>
          <w:shd w:val="clear" w:color="auto" w:fill="FFFFFF"/>
        </w:rPr>
        <w:t>Provedbenoj uredbi Komisije (EU) br. 520/2012 od 19. lipnja 2012. o provedbi farmakovigilancijskih aktivnosti predviđenih Uredbom (EZ) br. 726/2004 Europskog parlamenta i Vijeća i Direktivom 2001/83/EZ Europskog parlamenta i Vijeća Tekst značajan za EGP.</w:t>
      </w:r>
      <w:r w:rsidRPr="00630094">
        <w:rPr>
          <w:rFonts w:cstheme="minorHAnsi"/>
        </w:rPr>
        <w:t xml:space="preserve">  Ovim projektom postojeći format zapisa podataka o lijeku  Extended EudraVigilance Product Report Message (xEVPRM) treba biti zamijenjen novim, kompatibilnim s ISO IDMP normama. </w:t>
      </w:r>
      <w:r>
        <w:rPr>
          <w:rFonts w:cstheme="minorHAnsi"/>
        </w:rPr>
        <w:t>Do sada su uspostavljeni servisi: OMS (</w:t>
      </w:r>
      <w:r w:rsidRPr="00B0409D">
        <w:rPr>
          <w:rFonts w:cstheme="minorHAnsi"/>
          <w:i/>
        </w:rPr>
        <w:t>Organisation Management Services</w:t>
      </w:r>
      <w:r>
        <w:rPr>
          <w:rFonts w:cstheme="minorHAnsi"/>
        </w:rPr>
        <w:t>) i RMS (</w:t>
      </w:r>
      <w:r w:rsidRPr="00B0409D">
        <w:rPr>
          <w:rFonts w:cstheme="minorHAnsi"/>
          <w:i/>
        </w:rPr>
        <w:t>Referential Management Services</w:t>
      </w:r>
      <w:r>
        <w:rPr>
          <w:rFonts w:cstheme="minorHAnsi"/>
        </w:rPr>
        <w:t>) te je u završnoj fazi uspostava servisa SMS (</w:t>
      </w:r>
      <w:r w:rsidRPr="00B0409D">
        <w:rPr>
          <w:rFonts w:cstheme="minorHAnsi"/>
          <w:i/>
        </w:rPr>
        <w:t>Substance Management Services</w:t>
      </w:r>
      <w:r>
        <w:rPr>
          <w:rFonts w:cstheme="minorHAnsi"/>
        </w:rPr>
        <w:t xml:space="preserve">). Također je u studenome 2022. godine stavljen u produkciju, a u veljači 2023. nadograđen novi portal </w:t>
      </w:r>
      <w:hyperlink r:id="rId32" w:history="1">
        <w:r w:rsidRPr="00AE558F">
          <w:rPr>
            <w:rStyle w:val="Hyperlink"/>
            <w:color w:val="auto"/>
            <w:u w:val="none"/>
          </w:rPr>
          <w:t>Product Lifecycle Management (PLM)</w:t>
        </w:r>
      </w:hyperlink>
      <w:r w:rsidRPr="00342496">
        <w:rPr>
          <w:rFonts w:cstheme="minorHAnsi"/>
        </w:rPr>
        <w:t xml:space="preserve">. </w:t>
      </w:r>
      <w:r>
        <w:rPr>
          <w:rFonts w:cstheme="minorHAnsi"/>
        </w:rPr>
        <w:t>Za sada je putem portala omogućena izrada web forme E</w:t>
      </w:r>
      <w:r w:rsidRPr="008A6814">
        <w:rPr>
          <w:rFonts w:cstheme="minorHAnsi"/>
        </w:rPr>
        <w:t>lectronic Application Form (eAF)</w:t>
      </w:r>
      <w:r>
        <w:rPr>
          <w:rFonts w:cstheme="minorHAnsi"/>
        </w:rPr>
        <w:t xml:space="preserve"> za postupke izmjena za humane lijekove za centralizirane postupke, a planirano je da portal bude </w:t>
      </w:r>
      <w:r w:rsidRPr="008A6814">
        <w:rPr>
          <w:rFonts w:cstheme="minorHAnsi"/>
        </w:rPr>
        <w:t xml:space="preserve">online </w:t>
      </w:r>
      <w:r>
        <w:rPr>
          <w:rFonts w:cstheme="minorHAnsi"/>
        </w:rPr>
        <w:t>mjesto za upravljanje eAF</w:t>
      </w:r>
      <w:r w:rsidRPr="008A6814">
        <w:rPr>
          <w:rFonts w:cstheme="minorHAnsi"/>
        </w:rPr>
        <w:t xml:space="preserve"> </w:t>
      </w:r>
      <w:r>
        <w:rPr>
          <w:rFonts w:cstheme="minorHAnsi"/>
        </w:rPr>
        <w:t>web formama za sve postupke</w:t>
      </w:r>
      <w:r w:rsidRPr="008A6814">
        <w:rPr>
          <w:rFonts w:cstheme="minorHAnsi"/>
        </w:rPr>
        <w:t xml:space="preserve">, </w:t>
      </w:r>
      <w:r>
        <w:rPr>
          <w:rFonts w:cstheme="minorHAnsi"/>
        </w:rPr>
        <w:t>elektroničkim uputama o lijeku (</w:t>
      </w:r>
      <w:r w:rsidRPr="008A6814">
        <w:rPr>
          <w:rFonts w:cstheme="minorHAnsi"/>
        </w:rPr>
        <w:t xml:space="preserve"> Product Information (ePI)</w:t>
      </w:r>
      <w:r>
        <w:rPr>
          <w:rFonts w:cstheme="minorHAnsi"/>
        </w:rPr>
        <w:t xml:space="preserve">),  autoriziranim podacima o lijekovima u Europskoj uniji </w:t>
      </w:r>
      <w:r w:rsidRPr="008A6814">
        <w:rPr>
          <w:rFonts w:cstheme="minorHAnsi"/>
        </w:rPr>
        <w:t xml:space="preserve">(PMS) </w:t>
      </w:r>
      <w:r>
        <w:rPr>
          <w:rFonts w:cstheme="minorHAnsi"/>
        </w:rPr>
        <w:t xml:space="preserve"> te</w:t>
      </w:r>
      <w:r w:rsidRPr="008A6814">
        <w:rPr>
          <w:rFonts w:cstheme="minorHAnsi"/>
        </w:rPr>
        <w:t xml:space="preserve"> </w:t>
      </w:r>
      <w:r>
        <w:rPr>
          <w:rFonts w:cstheme="minorHAnsi"/>
        </w:rPr>
        <w:t xml:space="preserve">mjesto za razmjenu podataka svih europskih nacionalnih nadležnih tijela na području lijekova. </w:t>
      </w:r>
      <w:r w:rsidRPr="00630094">
        <w:rPr>
          <w:rFonts w:cstheme="minorHAnsi"/>
        </w:rPr>
        <w:t xml:space="preserve">Puna realizacija projekta </w:t>
      </w:r>
      <w:r>
        <w:rPr>
          <w:rFonts w:cstheme="minorHAnsi"/>
        </w:rPr>
        <w:t xml:space="preserve">SPOR </w:t>
      </w:r>
      <w:r w:rsidRPr="00630094">
        <w:rPr>
          <w:rFonts w:cstheme="minorHAnsi"/>
        </w:rPr>
        <w:t xml:space="preserve">s ciljem uspostave ISO normi na podatke o lijeku u svrhu omogućavanja jedinstvene identifikacije lijeka i unificirane razmjene podataka o lijeku na razini EU zahtijevat će i nadalje značajna sredstva i dodatni angažman svih dionika.  Zaposlenici HALMED-a </w:t>
      </w:r>
      <w:r>
        <w:rPr>
          <w:rFonts w:cstheme="minorHAnsi"/>
        </w:rPr>
        <w:t>su</w:t>
      </w:r>
      <w:r w:rsidRPr="00630094">
        <w:rPr>
          <w:rFonts w:cstheme="minorHAnsi"/>
        </w:rPr>
        <w:t xml:space="preserve"> u 202</w:t>
      </w:r>
      <w:r>
        <w:rPr>
          <w:rFonts w:cstheme="minorHAnsi"/>
        </w:rPr>
        <w:t>3</w:t>
      </w:r>
      <w:r w:rsidRPr="00630094">
        <w:rPr>
          <w:rFonts w:cstheme="minorHAnsi"/>
        </w:rPr>
        <w:t>. godini nastavi</w:t>
      </w:r>
      <w:r>
        <w:rPr>
          <w:rFonts w:cstheme="minorHAnsi"/>
        </w:rPr>
        <w:t>li</w:t>
      </w:r>
      <w:r w:rsidRPr="00630094">
        <w:rPr>
          <w:rFonts w:cstheme="minorHAnsi"/>
        </w:rPr>
        <w:t xml:space="preserve"> s aktivnim sudjelovanjem na realizaciji projekta kroz rad radnih grupa i tijela Europske medicinske agencije:  </w:t>
      </w:r>
      <w:r w:rsidRPr="00630094">
        <w:rPr>
          <w:rFonts w:cstheme="minorHAnsi"/>
          <w:i/>
        </w:rPr>
        <w:t>EU Network Data Bord</w:t>
      </w:r>
      <w:r w:rsidRPr="00630094">
        <w:rPr>
          <w:rFonts w:cstheme="minorHAnsi"/>
        </w:rPr>
        <w:t xml:space="preserve"> (</w:t>
      </w:r>
      <w:r w:rsidRPr="00630094">
        <w:rPr>
          <w:rFonts w:cstheme="minorHAnsi"/>
          <w:i/>
        </w:rPr>
        <w:t>EUNDB), ISO IDMP Task Force i podgrup</w:t>
      </w:r>
      <w:r>
        <w:rPr>
          <w:rFonts w:cstheme="minorHAnsi"/>
          <w:i/>
        </w:rPr>
        <w:t>e:</w:t>
      </w:r>
      <w:r w:rsidRPr="00630094">
        <w:rPr>
          <w:rFonts w:cstheme="minorHAnsi"/>
          <w:i/>
        </w:rPr>
        <w:t xml:space="preserve"> OMS (Organisation Management Services)</w:t>
      </w:r>
      <w:r>
        <w:rPr>
          <w:rFonts w:cstheme="minorHAnsi"/>
          <w:i/>
        </w:rPr>
        <w:t>, PMS (Product Management Service)</w:t>
      </w:r>
      <w:r w:rsidRPr="00630094">
        <w:rPr>
          <w:rFonts w:cstheme="minorHAnsi"/>
          <w:i/>
        </w:rPr>
        <w:t xml:space="preserve"> i SMS</w:t>
      </w:r>
      <w:r w:rsidRPr="00630094">
        <w:rPr>
          <w:rFonts w:cstheme="minorHAnsi"/>
        </w:rPr>
        <w:t xml:space="preserve"> (</w:t>
      </w:r>
      <w:r w:rsidRPr="00630094">
        <w:rPr>
          <w:rFonts w:cstheme="minorHAnsi"/>
          <w:i/>
        </w:rPr>
        <w:t xml:space="preserve">Substance Management Services) </w:t>
      </w:r>
      <w:r w:rsidRPr="00E7336F">
        <w:rPr>
          <w:rFonts w:cstheme="minorHAnsi"/>
        </w:rPr>
        <w:t xml:space="preserve">te </w:t>
      </w:r>
      <w:r>
        <w:rPr>
          <w:rFonts w:cstheme="minorHAnsi"/>
        </w:rPr>
        <w:t>kroz rad na projektu UNICOM čiji je cilj podrška uspostavi ISO standarda u podate o lijeku u EU.</w:t>
      </w:r>
      <w:r w:rsidRPr="00630094">
        <w:rPr>
          <w:rFonts w:cstheme="minorHAnsi"/>
          <w:i/>
        </w:rPr>
        <w:t>.</w:t>
      </w:r>
    </w:p>
    <w:p w14:paraId="13ED0060" w14:textId="77777777" w:rsidR="00C545B1" w:rsidRDefault="00C545B1" w:rsidP="00C545B1">
      <w:pPr>
        <w:spacing w:line="276" w:lineRule="auto"/>
        <w:jc w:val="both"/>
        <w:rPr>
          <w:b/>
        </w:rPr>
      </w:pPr>
    </w:p>
    <w:p w14:paraId="0634136F" w14:textId="77777777" w:rsidR="00C545B1" w:rsidRPr="009F5A10" w:rsidRDefault="00C545B1" w:rsidP="00C545B1">
      <w:pPr>
        <w:spacing w:line="276" w:lineRule="auto"/>
        <w:jc w:val="both"/>
        <w:rPr>
          <w:b/>
        </w:rPr>
      </w:pPr>
      <w:r>
        <w:rPr>
          <w:b/>
        </w:rPr>
        <w:t>E</w:t>
      </w:r>
      <w:r w:rsidRPr="009F5A10">
        <w:rPr>
          <w:b/>
        </w:rPr>
        <w:t>) Projekt</w:t>
      </w:r>
      <w:r>
        <w:rPr>
          <w:b/>
        </w:rPr>
        <w:t>ni</w:t>
      </w:r>
      <w:r w:rsidRPr="009F5A10">
        <w:rPr>
          <w:b/>
        </w:rPr>
        <w:t xml:space="preserve"> Program EU za zdravlje 2021.-2027. (EU4Hea</w:t>
      </w:r>
      <w:r>
        <w:rPr>
          <w:b/>
        </w:rPr>
        <w:t>l</w:t>
      </w:r>
      <w:r w:rsidRPr="009F5A10">
        <w:rPr>
          <w:b/>
        </w:rPr>
        <w:t>th Programme):</w:t>
      </w:r>
    </w:p>
    <w:p w14:paraId="16DA316A" w14:textId="77777777" w:rsidR="00C545B1" w:rsidRDefault="00C545B1" w:rsidP="00C545B1">
      <w:pPr>
        <w:spacing w:line="276" w:lineRule="auto"/>
        <w:jc w:val="both"/>
      </w:pPr>
    </w:p>
    <w:p w14:paraId="4BA669CD" w14:textId="77777777" w:rsidR="00C545B1" w:rsidRPr="00E3060F" w:rsidRDefault="00C545B1" w:rsidP="00C545B1">
      <w:pPr>
        <w:spacing w:line="276" w:lineRule="auto"/>
        <w:jc w:val="both"/>
      </w:pPr>
      <w:r w:rsidRPr="00E3060F">
        <w:t xml:space="preserve">U okviru programa „EU za zdravlje” Europska Unija će investirati 5,3 milijarde eura (u sadašnjim cijenama) u mjere s dodanom vrijednošću EU-a u području zdravlja, dopunjavajući politike država članica </w:t>
      </w:r>
      <w:r>
        <w:t xml:space="preserve">kako bi se provodila  </w:t>
      </w:r>
      <w:r w:rsidRPr="00E3060F">
        <w:t xml:space="preserve">4 općenita cilja </w:t>
      </w:r>
      <w:r>
        <w:t xml:space="preserve">programa </w:t>
      </w:r>
      <w:r w:rsidRPr="00D71DC3">
        <w:t xml:space="preserve">u okviru kojih je </w:t>
      </w:r>
      <w:r w:rsidRPr="00E3060F">
        <w:t xml:space="preserve">preciznije definirano 10 </w:t>
      </w:r>
      <w:r>
        <w:t xml:space="preserve">specifičnih </w:t>
      </w:r>
      <w:r w:rsidRPr="00E3060F">
        <w:t>ciljeva.</w:t>
      </w:r>
      <w:r>
        <w:t xml:space="preserve"> Program</w:t>
      </w:r>
      <w:r w:rsidRPr="00040527">
        <w:t xml:space="preserve"> „EU za zdravlje”</w:t>
      </w:r>
      <w:r>
        <w:t xml:space="preserve"> se implementira kroz godišnje programe rada koji obuhvaćaju različite projekte za ispunjenje gore navedenih ciljeva, a</w:t>
      </w:r>
    </w:p>
    <w:p w14:paraId="4A35C373" w14:textId="77777777" w:rsidR="00C545B1" w:rsidRPr="00E3060F" w:rsidRDefault="00C545B1" w:rsidP="00C545B1">
      <w:pPr>
        <w:spacing w:line="276" w:lineRule="auto"/>
        <w:jc w:val="both"/>
      </w:pPr>
      <w:r w:rsidRPr="00E3060F">
        <w:t xml:space="preserve">HALMED sudjeluje u </w:t>
      </w:r>
      <w:r>
        <w:t>sljedećim projektima</w:t>
      </w:r>
      <w:r w:rsidRPr="00E3060F">
        <w:t>:</w:t>
      </w:r>
    </w:p>
    <w:p w14:paraId="0B97F4C9" w14:textId="77777777" w:rsidR="00C545B1" w:rsidRDefault="00C545B1" w:rsidP="00C545B1">
      <w:pPr>
        <w:spacing w:line="276" w:lineRule="auto"/>
        <w:jc w:val="both"/>
      </w:pPr>
    </w:p>
    <w:p w14:paraId="5F968CF9" w14:textId="77777777" w:rsidR="00C545B1" w:rsidRPr="009F5A10" w:rsidRDefault="00C545B1" w:rsidP="00C545B1">
      <w:pPr>
        <w:spacing w:line="276" w:lineRule="auto"/>
        <w:jc w:val="both"/>
        <w:rPr>
          <w:b/>
        </w:rPr>
      </w:pPr>
      <w:r w:rsidRPr="003920FB">
        <w:rPr>
          <w:b/>
        </w:rPr>
        <w:t>a)</w:t>
      </w:r>
      <w:r w:rsidRPr="009F5A10">
        <w:rPr>
          <w:b/>
        </w:rPr>
        <w:t xml:space="preserve"> </w:t>
      </w:r>
      <w:r>
        <w:rPr>
          <w:b/>
        </w:rPr>
        <w:t>Projekt SAFE CT (</w:t>
      </w:r>
      <w:r w:rsidRPr="009F5A10">
        <w:rPr>
          <w:b/>
          <w:i/>
        </w:rPr>
        <w:t>EU4H-2021-JA-12: safety assessment cooperation and facilitated conduct of clinical trials</w:t>
      </w:r>
      <w:r>
        <w:rPr>
          <w:b/>
          <w:i/>
        </w:rPr>
        <w:t>)</w:t>
      </w:r>
    </w:p>
    <w:p w14:paraId="2DAB1103" w14:textId="77777777" w:rsidR="00C545B1" w:rsidRDefault="00C545B1" w:rsidP="00C545B1">
      <w:pPr>
        <w:spacing w:line="276" w:lineRule="auto"/>
        <w:jc w:val="both"/>
      </w:pPr>
    </w:p>
    <w:p w14:paraId="16B870CA" w14:textId="77777777" w:rsidR="00C545B1" w:rsidRDefault="00C545B1" w:rsidP="00C545B1">
      <w:pPr>
        <w:spacing w:line="276" w:lineRule="auto"/>
        <w:jc w:val="both"/>
      </w:pPr>
      <w:r>
        <w:t>Koordinator projekta: HALMED</w:t>
      </w:r>
    </w:p>
    <w:p w14:paraId="3CCBC0E9" w14:textId="77777777" w:rsidR="00C545B1" w:rsidRDefault="00C545B1" w:rsidP="00C545B1">
      <w:pPr>
        <w:spacing w:line="276" w:lineRule="auto"/>
        <w:jc w:val="both"/>
      </w:pPr>
      <w:r>
        <w:t>Broj projekta : 101082328</w:t>
      </w:r>
    </w:p>
    <w:p w14:paraId="6FB48814" w14:textId="77777777" w:rsidR="00C545B1" w:rsidRDefault="00C545B1" w:rsidP="00C545B1">
      <w:pPr>
        <w:spacing w:line="276" w:lineRule="auto"/>
        <w:jc w:val="both"/>
      </w:pPr>
      <w:r>
        <w:lastRenderedPageBreak/>
        <w:t>Partneri: 22 partnera (HALMED, HPRA, ANSM, FAMHP, Swedish MPA, BfArM, AGES, Fimea, NLNA, NOMA, SUKL, DKMA, SAM, EOF, NNGYK, AIFA, SAM LV, SMCA, MMA, INFARMED, JAZMP, AEMPS)</w:t>
      </w:r>
    </w:p>
    <w:p w14:paraId="7BD55482" w14:textId="77777777" w:rsidR="00C545B1" w:rsidRDefault="00C545B1" w:rsidP="00C545B1">
      <w:pPr>
        <w:spacing w:line="276" w:lineRule="auto"/>
        <w:jc w:val="both"/>
      </w:pPr>
      <w:r>
        <w:t>Tip projekta: EU4H-2021-JA-12 - Safety assessment cooperation and facilitated conduct of clinical trials</w:t>
      </w:r>
    </w:p>
    <w:p w14:paraId="4217F923" w14:textId="77777777" w:rsidR="00C545B1" w:rsidRDefault="00C545B1" w:rsidP="00C545B1">
      <w:pPr>
        <w:spacing w:line="276" w:lineRule="auto"/>
        <w:jc w:val="both"/>
      </w:pPr>
      <w:r>
        <w:t xml:space="preserve">Trajanje: 36 mjeseci </w:t>
      </w:r>
    </w:p>
    <w:p w14:paraId="2CBD7B93" w14:textId="77777777" w:rsidR="00C545B1" w:rsidRDefault="00C545B1" w:rsidP="00C545B1">
      <w:pPr>
        <w:spacing w:line="276" w:lineRule="auto"/>
        <w:jc w:val="both"/>
      </w:pPr>
      <w:r>
        <w:t>Početak projekta: 01.05.2022.</w:t>
      </w:r>
    </w:p>
    <w:p w14:paraId="7C3A714B" w14:textId="77777777" w:rsidR="00C545B1" w:rsidRDefault="00C545B1" w:rsidP="00C545B1">
      <w:pPr>
        <w:spacing w:line="276" w:lineRule="auto"/>
        <w:jc w:val="both"/>
      </w:pPr>
      <w:r>
        <w:t>Kraj projekta: 30.04.2025.</w:t>
      </w:r>
    </w:p>
    <w:p w14:paraId="6919419B" w14:textId="77777777" w:rsidR="00C545B1" w:rsidRDefault="00C545B1" w:rsidP="00C545B1">
      <w:pPr>
        <w:spacing w:line="276" w:lineRule="auto"/>
        <w:jc w:val="both"/>
      </w:pPr>
      <w:r>
        <w:t xml:space="preserve">Financiranje: </w:t>
      </w:r>
      <w:r w:rsidRPr="0028172C">
        <w:t xml:space="preserve">Europska komisija iz programa financiranja </w:t>
      </w:r>
      <w:r>
        <w:t xml:space="preserve"> Eu4Health (“EU za zdravlje” 2021. – 2027.) (80%) i n</w:t>
      </w:r>
      <w:r w:rsidRPr="0028172C">
        <w:t>acionalno sufinanciranje</w:t>
      </w:r>
      <w:r>
        <w:t xml:space="preserve"> (20%)</w:t>
      </w:r>
    </w:p>
    <w:p w14:paraId="08F6BECA" w14:textId="77777777" w:rsidR="00C545B1" w:rsidRDefault="00C545B1" w:rsidP="00C545B1">
      <w:pPr>
        <w:spacing w:line="276" w:lineRule="auto"/>
        <w:jc w:val="both"/>
      </w:pPr>
      <w:r>
        <w:t>Ukupan budžet: 6.250.000,00 €</w:t>
      </w:r>
    </w:p>
    <w:p w14:paraId="7D01F8F0" w14:textId="77777777" w:rsidR="00C545B1" w:rsidRDefault="00C545B1" w:rsidP="00C545B1">
      <w:pPr>
        <w:spacing w:line="276" w:lineRule="auto"/>
        <w:jc w:val="both"/>
      </w:pPr>
      <w:r>
        <w:t>Budžet HALMED-a: 287.364,51 €</w:t>
      </w:r>
      <w:r>
        <w:tab/>
      </w:r>
    </w:p>
    <w:p w14:paraId="4FB7F9CF" w14:textId="77777777" w:rsidR="00C545B1" w:rsidRDefault="00C545B1" w:rsidP="00C545B1">
      <w:pPr>
        <w:spacing w:line="276" w:lineRule="auto"/>
        <w:jc w:val="both"/>
      </w:pPr>
    </w:p>
    <w:p w14:paraId="5FF76652" w14:textId="77777777" w:rsidR="00C545B1" w:rsidRDefault="00C545B1" w:rsidP="00C545B1">
      <w:pPr>
        <w:spacing w:line="276" w:lineRule="auto"/>
        <w:jc w:val="both"/>
      </w:pPr>
      <w:r>
        <w:t xml:space="preserve">Opći cilj SAFE CT projekta je uspješna implementacija Uredbe o kliničkim ispitivanjima (EU) br. 536/2014 (engl. </w:t>
      </w:r>
      <w:r w:rsidRPr="005C04CA">
        <w:rPr>
          <w:i/>
        </w:rPr>
        <w:t>Clinical Trials Regulation</w:t>
      </w:r>
      <w:r>
        <w:t>, CTR) koja je stupila na snagu 31. siječnja 2022. godine. Ovom Uredbom se po prvi put uvodi koncept suradnje u ocjeni sigurnosti između država članica.</w:t>
      </w:r>
    </w:p>
    <w:p w14:paraId="311D35C0" w14:textId="77777777" w:rsidR="00C545B1" w:rsidRDefault="00C545B1" w:rsidP="00C545B1">
      <w:pPr>
        <w:spacing w:line="276" w:lineRule="auto"/>
        <w:jc w:val="both"/>
      </w:pPr>
    </w:p>
    <w:p w14:paraId="48A3D80C" w14:textId="7FF3CB83" w:rsidR="00C545B1" w:rsidRDefault="00C545B1" w:rsidP="00C545B1">
      <w:pPr>
        <w:spacing w:line="276" w:lineRule="auto"/>
        <w:jc w:val="both"/>
      </w:pPr>
      <w:r>
        <w:t xml:space="preserve">Ovim projektom podići će se organizacijska i stručna osposobljenost za ocjenu sigurnosti u kliničkim </w:t>
      </w:r>
      <w:r w:rsidR="008F5212">
        <w:t xml:space="preserve">ispitivanjima pružanjem </w:t>
      </w:r>
      <w:r>
        <w:t>potrebnih resursa za zapošljavanje i edukaciju novih ocjenitelja u državama EU/EEA. Projekt će osigurati mentorske programe za ocjenitelje te ustrojiti mrežu stručnjaka, koja će ojačati komunikaciju i razmjenu znanja među državama.</w:t>
      </w:r>
    </w:p>
    <w:p w14:paraId="50A42145" w14:textId="77777777" w:rsidR="00C545B1" w:rsidRDefault="00C545B1" w:rsidP="00C545B1">
      <w:pPr>
        <w:spacing w:line="276" w:lineRule="auto"/>
        <w:jc w:val="both"/>
      </w:pPr>
    </w:p>
    <w:p w14:paraId="439D36E6" w14:textId="77777777" w:rsidR="00C545B1" w:rsidRDefault="00C545B1" w:rsidP="00C545B1">
      <w:pPr>
        <w:spacing w:line="276" w:lineRule="auto"/>
        <w:jc w:val="both"/>
      </w:pPr>
      <w:r w:rsidRPr="00B7198E">
        <w:t>Projekt se sastoj</w:t>
      </w:r>
      <w:r>
        <w:t>i od 5 radnih paketa u čijim aktivnostima sudjeluje</w:t>
      </w:r>
      <w:r w:rsidRPr="00B7198E">
        <w:t xml:space="preserve"> 22 zemlje iz EU/EEA te EMA kao doprinositelj.</w:t>
      </w:r>
      <w:r>
        <w:t xml:space="preserve"> </w:t>
      </w:r>
    </w:p>
    <w:p w14:paraId="014FDF70" w14:textId="77777777" w:rsidR="00C545B1" w:rsidRDefault="00C545B1" w:rsidP="00C545B1">
      <w:pPr>
        <w:spacing w:line="276" w:lineRule="auto"/>
        <w:jc w:val="both"/>
      </w:pPr>
      <w:r>
        <w:rPr>
          <w:color w:val="000000"/>
        </w:rPr>
        <w:t xml:space="preserve">SAFE CT je postao dio šire europske inicijative </w:t>
      </w:r>
      <w:hyperlink r:id="rId33" w:history="1">
        <w:r w:rsidRPr="001D77DE">
          <w:rPr>
            <w:rStyle w:val="Hyperlink"/>
            <w:color w:val="auto"/>
            <w:u w:val="none"/>
          </w:rPr>
          <w:t>ACT EU</w:t>
        </w:r>
      </w:hyperlink>
      <w:r w:rsidRPr="001D77DE">
        <w:t xml:space="preserve"> </w:t>
      </w:r>
      <w:r>
        <w:rPr>
          <w:color w:val="000000"/>
        </w:rPr>
        <w:t>(</w:t>
      </w:r>
      <w:r>
        <w:rPr>
          <w:i/>
          <w:iCs/>
          <w:color w:val="000000"/>
        </w:rPr>
        <w:t>Accelerating Clinical Trials in the EU 2022-2026</w:t>
      </w:r>
      <w:r>
        <w:rPr>
          <w:color w:val="000000"/>
        </w:rPr>
        <w:t>) pokrenute u siječnju 2022. godine. Inicijativom zajednički upravljaju EK, EMA-e i HMA, a cilj joj je</w:t>
      </w:r>
      <w:r w:rsidRPr="007272AF">
        <w:rPr>
          <w:color w:val="000000"/>
        </w:rPr>
        <w:t xml:space="preserve"> </w:t>
      </w:r>
      <w:r w:rsidRPr="007272AF">
        <w:t xml:space="preserve">daljnji razvoj EU kao konkurentnog centra za </w:t>
      </w:r>
      <w:r>
        <w:t>inovativna klinička ispitivanja</w:t>
      </w:r>
      <w:r w:rsidRPr="007272AF">
        <w:t>. Radni plan i dio krajnjih rezultata SAFE CT projekta uvršteni su pod prioritetnu akciju 9: Sigurnost kliničkih Ispitivanja, koja podupire uspješnu uspostavu praćenja sigurnosti kliničkih ispitivanja.</w:t>
      </w:r>
    </w:p>
    <w:p w14:paraId="703B82E8" w14:textId="77777777" w:rsidR="00C545B1" w:rsidRDefault="00C545B1" w:rsidP="00C545B1">
      <w:pPr>
        <w:spacing w:line="276" w:lineRule="auto"/>
        <w:jc w:val="both"/>
      </w:pPr>
      <w:r w:rsidRPr="00B7106A">
        <w:t xml:space="preserve">U proteklom izvještajnom razdoblju HALMED je nastavio s aktivnostima koordinatora projekta koje uključuju praćenje cjelokupne provedbe i kvalitete projekta, osiguravanje postizanja projektnih ciljeva i rezultata, administrativno i financijsko upravljanje, komunikaciju s Europskom komisijom, </w:t>
      </w:r>
      <w:r>
        <w:t>komunikaciju s HaDEA-om,</w:t>
      </w:r>
      <w:r w:rsidRPr="00B7106A">
        <w:t xml:space="preserve"> upravljanje rizicima, podršku partnerima i dr.</w:t>
      </w:r>
      <w:r>
        <w:t xml:space="preserve"> </w:t>
      </w:r>
    </w:p>
    <w:p w14:paraId="3619F977" w14:textId="77777777" w:rsidR="00C545B1" w:rsidRDefault="00C545B1" w:rsidP="00C545B1">
      <w:pPr>
        <w:spacing w:line="276" w:lineRule="auto"/>
        <w:jc w:val="both"/>
      </w:pPr>
    </w:p>
    <w:p w14:paraId="1D8420ED" w14:textId="66F76784" w:rsidR="00C545B1" w:rsidRDefault="008F5212" w:rsidP="00C545B1">
      <w:pPr>
        <w:spacing w:line="276" w:lineRule="auto"/>
        <w:jc w:val="both"/>
      </w:pPr>
      <w:r>
        <w:t xml:space="preserve">U </w:t>
      </w:r>
      <w:r w:rsidR="00C545B1">
        <w:t>siječnj</w:t>
      </w:r>
      <w:r>
        <w:t>u je</w:t>
      </w:r>
      <w:r w:rsidR="00C545B1">
        <w:t xml:space="preserve"> održan sastanak </w:t>
      </w:r>
      <w:r w:rsidR="00C545B1" w:rsidRPr="008009C5">
        <w:t>HALMED-</w:t>
      </w:r>
      <w:r w:rsidR="00C545B1">
        <w:t xml:space="preserve">ovog tima </w:t>
      </w:r>
      <w:r w:rsidR="00C545B1" w:rsidRPr="008009C5">
        <w:t>i voditelja radnog paketa 5</w:t>
      </w:r>
      <w:r w:rsidR="00C545B1">
        <w:t xml:space="preserve"> (BE i SE) na kojem je raspravljena mogućnost dijeljenja pozicije „Junior Safety Assessor“ u projektu. </w:t>
      </w:r>
    </w:p>
    <w:p w14:paraId="70EFDDA4" w14:textId="77777777" w:rsidR="00C545B1" w:rsidRDefault="00C545B1" w:rsidP="00C545B1">
      <w:pPr>
        <w:spacing w:line="276" w:lineRule="auto"/>
        <w:jc w:val="both"/>
      </w:pPr>
    </w:p>
    <w:p w14:paraId="3D16C999" w14:textId="77777777" w:rsidR="00C545B1" w:rsidRDefault="00C545B1" w:rsidP="00C545B1">
      <w:pPr>
        <w:spacing w:line="276" w:lineRule="auto"/>
        <w:jc w:val="both"/>
      </w:pPr>
      <w:r>
        <w:t xml:space="preserve">U siječnju je u Amsterdamu održana konferencija „SAFE CT Yearly Safety Assessors Event“. Riječ je o prvoj od tri konferencije planirane u SAFE CT projektu. Na konferenciji su se okupili svi partneri u projektu i održana su predavanja iz područja praćenja sigurnosti lijekova u kliničkim ispitivanjima te radionice na temu ocjene ASR-a (engl. </w:t>
      </w:r>
      <w:r w:rsidRPr="005C04CA">
        <w:rPr>
          <w:i/>
        </w:rPr>
        <w:t>Annual Safety Report</w:t>
      </w:r>
      <w:r>
        <w:t xml:space="preserve">) i SUSAR-a (engl. </w:t>
      </w:r>
      <w:r w:rsidRPr="005C04CA">
        <w:rPr>
          <w:i/>
        </w:rPr>
        <w:t>Serious Unexpected Serious Adverse Reactions</w:t>
      </w:r>
      <w:r>
        <w:t xml:space="preserve">). Za organizaciju konferencije zadužen je nizozemski partner CCMO (engl. </w:t>
      </w:r>
      <w:r w:rsidRPr="005C04CA">
        <w:rPr>
          <w:i/>
        </w:rPr>
        <w:t>Central Committee on Research Involving Human Subjects</w:t>
      </w:r>
      <w:r>
        <w:t>), voditelj radnog zadatka u sklopu radnog paketa 5.</w:t>
      </w:r>
    </w:p>
    <w:p w14:paraId="2E40D783" w14:textId="77777777" w:rsidR="00C545B1" w:rsidRDefault="00C545B1" w:rsidP="00C545B1">
      <w:pPr>
        <w:spacing w:line="276" w:lineRule="auto"/>
        <w:jc w:val="both"/>
      </w:pPr>
    </w:p>
    <w:p w14:paraId="089889C5" w14:textId="77777777" w:rsidR="00C545B1" w:rsidRDefault="00C545B1" w:rsidP="00C545B1">
      <w:pPr>
        <w:spacing w:line="276" w:lineRule="auto"/>
        <w:jc w:val="both"/>
      </w:pPr>
      <w:r>
        <w:t xml:space="preserve">U izvještajnom razdoblju održana su 3 sastanka </w:t>
      </w:r>
      <w:r w:rsidRPr="00D36470">
        <w:t>upravljačkog odbora projekta (Steering Committee)</w:t>
      </w:r>
      <w:r>
        <w:t>, u ožujku, lipnju i rujnu</w:t>
      </w:r>
      <w:r w:rsidRPr="00D36470">
        <w:t xml:space="preserve">. Cilj sastanaka je praćenje svih projektnih aktivnosti te analiza postignuća planiranih </w:t>
      </w:r>
      <w:r w:rsidRPr="00D36470">
        <w:lastRenderedPageBreak/>
        <w:t>rezultata u radnim paketima u svrhu poboljšanja i donošenja odluka pri provedbi projekta.</w:t>
      </w:r>
      <w:r>
        <w:t xml:space="preserve"> HALMED organizira i predsjeda sastancima, a uz HALMED, voditelja radnog paketa 1, sudionici su svi voditelji radnih paketa.</w:t>
      </w:r>
    </w:p>
    <w:p w14:paraId="5EEA017D" w14:textId="77777777" w:rsidR="00C545B1" w:rsidRDefault="00C545B1" w:rsidP="00C545B1">
      <w:pPr>
        <w:spacing w:line="276" w:lineRule="auto"/>
        <w:jc w:val="both"/>
      </w:pPr>
    </w:p>
    <w:p w14:paraId="5247F7B8" w14:textId="77777777" w:rsidR="00C545B1" w:rsidRDefault="00C545B1" w:rsidP="00C545B1">
      <w:pPr>
        <w:spacing w:line="276" w:lineRule="auto"/>
        <w:jc w:val="both"/>
      </w:pPr>
      <w:r>
        <w:t>U ožujku je održan sastanak u organizaciji HALMED-a s voditeljima radnog paketa 5 (BE i SE) i voditeljem radnog zadatka 5.1. (FI) na kojem je definirano postupanje vezano za praćenje radnih aktivnosti novih (junior) ocjenitelja sigurnosti u kliničkim ispitivanjima, sudionika projekta.</w:t>
      </w:r>
    </w:p>
    <w:p w14:paraId="2DF7297C" w14:textId="77777777" w:rsidR="00C545B1" w:rsidRDefault="00C545B1" w:rsidP="00C545B1">
      <w:pPr>
        <w:spacing w:line="276" w:lineRule="auto"/>
        <w:jc w:val="both"/>
      </w:pPr>
    </w:p>
    <w:p w14:paraId="7DFF3324" w14:textId="56FB49A3" w:rsidR="00C545B1" w:rsidRDefault="008F5212" w:rsidP="00C545B1">
      <w:pPr>
        <w:spacing w:line="276" w:lineRule="auto"/>
        <w:jc w:val="both"/>
      </w:pPr>
      <w:r>
        <w:t xml:space="preserve">U </w:t>
      </w:r>
      <w:r w:rsidR="00C545B1">
        <w:t>travnj</w:t>
      </w:r>
      <w:r>
        <w:t xml:space="preserve">u je završilo </w:t>
      </w:r>
      <w:r w:rsidR="00C545B1">
        <w:t>drugo šestomjesečno financijsko razdoblje te je HALMED prikupio financijske izvještaje svih partnera u projektu.</w:t>
      </w:r>
    </w:p>
    <w:p w14:paraId="4259D5A7" w14:textId="77777777" w:rsidR="00C545B1" w:rsidRDefault="00C545B1" w:rsidP="00C545B1">
      <w:pPr>
        <w:spacing w:line="276" w:lineRule="auto"/>
        <w:jc w:val="both"/>
      </w:pPr>
    </w:p>
    <w:p w14:paraId="0B663EF7" w14:textId="174DC42F" w:rsidR="00C545B1" w:rsidRDefault="008F5212" w:rsidP="00C545B1">
      <w:pPr>
        <w:spacing w:line="276" w:lineRule="auto"/>
        <w:jc w:val="both"/>
      </w:pPr>
      <w:r>
        <w:t xml:space="preserve">U </w:t>
      </w:r>
      <w:r w:rsidR="00C545B1">
        <w:t>travnj</w:t>
      </w:r>
      <w:r w:rsidR="004C0219">
        <w:t>u</w:t>
      </w:r>
      <w:r w:rsidR="00C545B1">
        <w:t xml:space="preserve"> je održana 8. radionica u organizaciji ANSM (FR) tima, voditelja radnog paketa 3. Na radionici je raspravljena ekstenzija upitnika upućenog ocjeniteljima koji sudjeluju u SAFE CT projektu.</w:t>
      </w:r>
    </w:p>
    <w:p w14:paraId="6C8A2E4B" w14:textId="77777777" w:rsidR="00C545B1" w:rsidRDefault="00C545B1" w:rsidP="00C545B1">
      <w:pPr>
        <w:spacing w:line="276" w:lineRule="auto"/>
        <w:jc w:val="both"/>
      </w:pPr>
    </w:p>
    <w:p w14:paraId="0C1EE5AA" w14:textId="77777777" w:rsidR="00C545B1" w:rsidRDefault="00C545B1" w:rsidP="00C545B1">
      <w:pPr>
        <w:spacing w:line="276" w:lineRule="auto"/>
        <w:jc w:val="both"/>
      </w:pPr>
      <w:r>
        <w:t>U izvještajnom razdoblju održan je 1 F2F (Bonn) okrugli stol (</w:t>
      </w:r>
      <w:r w:rsidRPr="003F6CBB">
        <w:rPr>
          <w:i/>
        </w:rPr>
        <w:t>SAFE CT Roundtables</w:t>
      </w:r>
      <w:r>
        <w:t>) i 12 virtualnih okruglih stolova mreže stručnjaka iz područja farmakovigilancije kliničkih ispitivanja u organizaciji BfArM-a, voditelja radnog paketa 4. Na ovim sastancima zemlje članice razmjenjuju iskustva i zajednički donose rješenja aktualnih pitanja iz područja ocjene sigurnosti.</w:t>
      </w:r>
    </w:p>
    <w:p w14:paraId="185D6C53" w14:textId="77777777" w:rsidR="00C545B1" w:rsidRDefault="00C545B1" w:rsidP="00C545B1">
      <w:pPr>
        <w:spacing w:line="276" w:lineRule="auto"/>
        <w:jc w:val="both"/>
      </w:pPr>
    </w:p>
    <w:p w14:paraId="53115D28" w14:textId="0B89A564" w:rsidR="00C545B1" w:rsidRDefault="008F5212" w:rsidP="00C545B1">
      <w:pPr>
        <w:spacing w:line="276" w:lineRule="auto"/>
        <w:jc w:val="both"/>
      </w:pPr>
      <w:r>
        <w:t xml:space="preserve">U </w:t>
      </w:r>
      <w:r w:rsidR="00C545B1">
        <w:t>rujn</w:t>
      </w:r>
      <w:r>
        <w:t>u je održan</w:t>
      </w:r>
      <w:r w:rsidR="00C545B1">
        <w:t xml:space="preserve"> 3. sastanak upravnog odbora konzorcija. Odbor je sastavljen od predstavnika svih partnera i najviše je tijelo odlučivanja u SAFE CT. HALMED predsjeda sastancima i zadužen je za njihovu organizaciju. Na sastanku su predstavljene sve aktivnosti i rezultati u projektu od strane voditelja svih radnih paketa, kao i administrativne i financijske aktivnosti te aktivnosti upravljanja rizikom. </w:t>
      </w:r>
    </w:p>
    <w:p w14:paraId="5C2F996D" w14:textId="77777777" w:rsidR="00C545B1" w:rsidRDefault="00C545B1" w:rsidP="00C545B1">
      <w:pPr>
        <w:spacing w:line="276" w:lineRule="auto"/>
        <w:jc w:val="both"/>
      </w:pPr>
    </w:p>
    <w:p w14:paraId="291DD8E5" w14:textId="77777777" w:rsidR="00C545B1" w:rsidRDefault="00C545B1" w:rsidP="00C545B1">
      <w:pPr>
        <w:spacing w:line="276" w:lineRule="auto"/>
        <w:jc w:val="both"/>
      </w:pPr>
      <w:r>
        <w:t xml:space="preserve">HALMED je </w:t>
      </w:r>
      <w:r w:rsidRPr="00B32E56">
        <w:t xml:space="preserve">30. listopada 2023. godine završio </w:t>
      </w:r>
      <w:r>
        <w:t xml:space="preserve">izvještaj D2.1 „Interim Progess report“ kojim se opisuju sve aktivnosti i rezultati svih radnih paketa u projektu. </w:t>
      </w:r>
    </w:p>
    <w:p w14:paraId="79168B0D" w14:textId="77777777" w:rsidR="00C545B1" w:rsidRDefault="00C545B1" w:rsidP="00C545B1">
      <w:pPr>
        <w:spacing w:line="276" w:lineRule="auto"/>
        <w:jc w:val="both"/>
      </w:pPr>
    </w:p>
    <w:p w14:paraId="70E164F6" w14:textId="77777777" w:rsidR="00C545B1" w:rsidRDefault="00C545B1" w:rsidP="00C545B1">
      <w:pPr>
        <w:spacing w:line="276" w:lineRule="auto"/>
        <w:jc w:val="both"/>
      </w:pPr>
      <w:r>
        <w:t>Tijekom studenog i prosinca HALMED je prikupio financijske izvještaje svih partnera u projektu za razdoblje od 01.05.2022. do 31.10.2023.</w:t>
      </w:r>
    </w:p>
    <w:p w14:paraId="11EB194C" w14:textId="45F238DE" w:rsidR="00C545B1" w:rsidRDefault="00C545B1" w:rsidP="00C545B1">
      <w:pPr>
        <w:spacing w:line="276" w:lineRule="auto"/>
        <w:jc w:val="both"/>
      </w:pPr>
      <w:r>
        <w:t xml:space="preserve">HALMED je </w:t>
      </w:r>
      <w:r w:rsidR="008F5212">
        <w:t xml:space="preserve">u </w:t>
      </w:r>
      <w:r>
        <w:t>prosinc</w:t>
      </w:r>
      <w:r w:rsidR="008F5212">
        <w:t>u</w:t>
      </w:r>
      <w:r>
        <w:t xml:space="preserve"> 2023. godine, kao voditelj projekta, podnio izvještaj Europskoj Komisiji koji se sastoji od tehičkog i financijskog opisa implementacije projekta.</w:t>
      </w:r>
    </w:p>
    <w:p w14:paraId="033629B1" w14:textId="77777777" w:rsidR="00C545B1" w:rsidRDefault="00C545B1" w:rsidP="00C545B1">
      <w:pPr>
        <w:spacing w:line="276" w:lineRule="auto"/>
        <w:jc w:val="both"/>
      </w:pPr>
    </w:p>
    <w:p w14:paraId="4FEA1DCD" w14:textId="77777777" w:rsidR="00C545B1" w:rsidRDefault="00C545B1" w:rsidP="00C545B1">
      <w:pPr>
        <w:spacing w:line="276" w:lineRule="auto"/>
        <w:jc w:val="both"/>
      </w:pPr>
      <w:r>
        <w:t xml:space="preserve">HALMED-ov tim za upravljanje projektom čine djelatnice Odsjeka za farmakovigilanciju i racionalnu farmakoterapiju uz podršku djelatnice Odsjeka za regulatorne poslove. </w:t>
      </w:r>
    </w:p>
    <w:p w14:paraId="63862BA6" w14:textId="77777777" w:rsidR="00C545B1" w:rsidRDefault="00C545B1" w:rsidP="00C545B1">
      <w:pPr>
        <w:spacing w:line="276" w:lineRule="auto"/>
        <w:jc w:val="both"/>
      </w:pPr>
    </w:p>
    <w:p w14:paraId="2D45588C" w14:textId="77777777" w:rsidR="00C545B1" w:rsidRDefault="00C545B1" w:rsidP="00C545B1">
      <w:pPr>
        <w:spacing w:line="276" w:lineRule="auto"/>
        <w:jc w:val="both"/>
        <w:rPr>
          <w:b/>
        </w:rPr>
      </w:pPr>
    </w:p>
    <w:p w14:paraId="5862B326" w14:textId="77777777" w:rsidR="00C545B1" w:rsidRPr="009F5A10" w:rsidRDefault="00C545B1" w:rsidP="00C545B1">
      <w:pPr>
        <w:spacing w:line="276" w:lineRule="auto"/>
        <w:jc w:val="both"/>
        <w:rPr>
          <w:b/>
          <w:i/>
        </w:rPr>
      </w:pPr>
      <w:r w:rsidRPr="009F5A10">
        <w:rPr>
          <w:b/>
        </w:rPr>
        <w:t xml:space="preserve">b) </w:t>
      </w:r>
      <w:r w:rsidRPr="009F5A10">
        <w:rPr>
          <w:b/>
          <w:i/>
        </w:rPr>
        <w:t>EU4H-2021-JA-11: to promote quality of medicines and to increase cooperation between the Member States and between the Union and third countries through trainings, joint audits, reassessments and inspections on good manufacturing and good distribution practices (GDP). Implementation of international mutual recognition agreements on pharmaceutical good manufacturing practices (GMP) with the United States, Switzerland, Australia, Japan, New Zealand, Canada, Israel, the UK, and cooperation with third countries such as China and India</w:t>
      </w:r>
    </w:p>
    <w:p w14:paraId="5D7F8CCC" w14:textId="77777777" w:rsidR="00C545B1" w:rsidRDefault="00C545B1" w:rsidP="00C545B1">
      <w:pPr>
        <w:spacing w:line="276" w:lineRule="auto"/>
        <w:jc w:val="both"/>
      </w:pPr>
    </w:p>
    <w:p w14:paraId="01495FB4" w14:textId="77777777" w:rsidR="00C545B1" w:rsidRDefault="00C545B1" w:rsidP="00C545B1">
      <w:pPr>
        <w:spacing w:line="276" w:lineRule="auto"/>
        <w:jc w:val="both"/>
      </w:pPr>
      <w:r>
        <w:t>Koordinator projekta: AGES, Austrija</w:t>
      </w:r>
    </w:p>
    <w:p w14:paraId="76E93DF3" w14:textId="77777777" w:rsidR="00C545B1" w:rsidRDefault="00C545B1" w:rsidP="00C545B1">
      <w:pPr>
        <w:spacing w:line="276" w:lineRule="auto"/>
        <w:jc w:val="both"/>
      </w:pPr>
      <w:r>
        <w:lastRenderedPageBreak/>
        <w:t>Broj projekta : 101082515</w:t>
      </w:r>
    </w:p>
    <w:p w14:paraId="6CFA9101" w14:textId="77777777" w:rsidR="00C545B1" w:rsidRDefault="00C545B1" w:rsidP="00C545B1">
      <w:pPr>
        <w:spacing w:line="276" w:lineRule="auto"/>
        <w:jc w:val="both"/>
      </w:pPr>
      <w:r>
        <w:t>Naziv projekta: Joint Action on quality of medicines and implementation of the pharmaceutical legislation/strategy (EU4H 11)</w:t>
      </w:r>
    </w:p>
    <w:p w14:paraId="6399D729" w14:textId="77777777" w:rsidR="00C545B1" w:rsidRDefault="00C545B1" w:rsidP="00C545B1">
      <w:pPr>
        <w:spacing w:line="276" w:lineRule="auto"/>
        <w:jc w:val="both"/>
      </w:pPr>
      <w:r>
        <w:t>Početak projekta: 1.11.2022.</w:t>
      </w:r>
    </w:p>
    <w:p w14:paraId="1FE02D38" w14:textId="77777777" w:rsidR="00C545B1" w:rsidRDefault="00C545B1" w:rsidP="00C545B1">
      <w:pPr>
        <w:spacing w:line="276" w:lineRule="auto"/>
        <w:jc w:val="both"/>
      </w:pPr>
      <w:r>
        <w:t>Završetak projekta: 31.10.2025.</w:t>
      </w:r>
    </w:p>
    <w:p w14:paraId="76337157" w14:textId="77777777" w:rsidR="00C545B1" w:rsidRDefault="00C545B1" w:rsidP="00C545B1">
      <w:pPr>
        <w:spacing w:line="276" w:lineRule="auto"/>
        <w:jc w:val="both"/>
      </w:pPr>
      <w:r>
        <w:t>Trajanje projekta: 36 mjeseci</w:t>
      </w:r>
    </w:p>
    <w:p w14:paraId="2E90190F" w14:textId="77777777" w:rsidR="00C545B1" w:rsidRDefault="00C545B1" w:rsidP="00C545B1">
      <w:pPr>
        <w:spacing w:line="276" w:lineRule="auto"/>
        <w:jc w:val="both"/>
      </w:pPr>
      <w:r>
        <w:t>Partneri/sudionici: 28 partnera (AGES, ANSM, ANSES, AIFA, MoH-DGSAF-IT, DKMA, FAMHP, HALMED, INFARMED, DGAV, OGYEI/NIPN, SUKL, MPA, ZVA, JAZMP, HPRA, VVKT, PHS MOH, MALTA MA, ANMDMR, NOMA, LYFJASTOFNUN, MOHLUX, ZLG, AEMPS, FIMEA, EOF, SUKL-SK, IGJ-NL, CPI, RAVIMIAMET)</w:t>
      </w:r>
    </w:p>
    <w:p w14:paraId="691E1110" w14:textId="77777777" w:rsidR="00C545B1" w:rsidRDefault="00C545B1" w:rsidP="00C545B1">
      <w:pPr>
        <w:spacing w:line="276" w:lineRule="auto"/>
        <w:jc w:val="both"/>
      </w:pPr>
      <w:r>
        <w:t>Ukupan budžet: 2 739 758.97 €</w:t>
      </w:r>
    </w:p>
    <w:p w14:paraId="418190FE" w14:textId="77777777" w:rsidR="00C545B1" w:rsidRDefault="00C545B1" w:rsidP="00C545B1">
      <w:pPr>
        <w:spacing w:line="276" w:lineRule="auto"/>
        <w:jc w:val="both"/>
      </w:pPr>
      <w:r>
        <w:t xml:space="preserve">Budžet HALMED-a: 135 997.00 €  </w:t>
      </w:r>
    </w:p>
    <w:p w14:paraId="22A4359E" w14:textId="77777777" w:rsidR="00C545B1" w:rsidRDefault="00C545B1" w:rsidP="00C545B1">
      <w:pPr>
        <w:spacing w:line="276" w:lineRule="auto"/>
        <w:jc w:val="both"/>
      </w:pPr>
      <w:r>
        <w:t xml:space="preserve">Radni paketi/Work Packages (WPs): WP1: Coordination, WP2: Dissemination, WP3: Evaluation, WP4: Sustainability, WP5: JAP-process proposal and training of JAP auditors, WP6: JAP: Inclusion of GDP i WP7: Training and qualification of GMP inspectors </w:t>
      </w:r>
    </w:p>
    <w:p w14:paraId="10A9C3F8" w14:textId="77777777" w:rsidR="00C545B1" w:rsidRDefault="00C545B1" w:rsidP="00C545B1">
      <w:pPr>
        <w:spacing w:line="276" w:lineRule="auto"/>
        <w:jc w:val="both"/>
      </w:pPr>
      <w:r>
        <w:t>Uloga HALMED-a: voditelj paketa WP3 Evaluation te sudjelovanje u paketima WP5 i WP7</w:t>
      </w:r>
    </w:p>
    <w:p w14:paraId="5BCFC534" w14:textId="77777777" w:rsidR="00C545B1" w:rsidRDefault="00C545B1" w:rsidP="00C545B1">
      <w:pPr>
        <w:spacing w:line="276" w:lineRule="auto"/>
        <w:jc w:val="both"/>
      </w:pPr>
    </w:p>
    <w:p w14:paraId="4CCD3A00" w14:textId="77777777" w:rsidR="00C545B1" w:rsidRPr="003C1E5C" w:rsidRDefault="00C545B1" w:rsidP="00C545B1">
      <w:pPr>
        <w:spacing w:line="276" w:lineRule="auto"/>
        <w:jc w:val="both"/>
      </w:pPr>
      <w:r w:rsidRPr="003C1E5C">
        <w:t>Projekt EU4H 11 je dio programa EU4Health, koji financira Europska komisija, a za cilj ima jačanje kapaciteta inspektorata dobre proizvođačke prakse (GMP) i dobre distribucijske prakse (GDP) unutar EU/EGP-a. Ukupni proračun projekta iznosi više od 3 milijuna eura, pri čemu 80 % troškova sufinancira Europska komisija. Realizaciju projekta provodi Izvršna agencija za zdravlje i digitalno gospodarstvo (engl. </w:t>
      </w:r>
      <w:r w:rsidRPr="003C1E5C">
        <w:rPr>
          <w:i/>
          <w:iCs/>
        </w:rPr>
        <w:t>European Health and Digital Executive Agency</w:t>
      </w:r>
      <w:r w:rsidRPr="003C1E5C">
        <w:t>, HaDEA).</w:t>
      </w:r>
    </w:p>
    <w:p w14:paraId="7836F13B" w14:textId="77777777" w:rsidR="00C545B1" w:rsidRPr="003C1E5C" w:rsidRDefault="00C545B1" w:rsidP="00C545B1">
      <w:pPr>
        <w:spacing w:line="276" w:lineRule="auto"/>
        <w:jc w:val="both"/>
      </w:pPr>
      <w:r w:rsidRPr="003C1E5C">
        <w:t>Projekt EU4H 11 podupire prioritetnu politiku Europske komisije vezanu uz provedbu Farmaceutske strategije za Europu. Glavni ciljevi projekta su:</w:t>
      </w:r>
    </w:p>
    <w:p w14:paraId="6ED15F77" w14:textId="77777777" w:rsidR="00C545B1" w:rsidRPr="003C1E5C" w:rsidRDefault="00C545B1" w:rsidP="00AC375F">
      <w:pPr>
        <w:numPr>
          <w:ilvl w:val="0"/>
          <w:numId w:val="40"/>
        </w:numPr>
        <w:spacing w:line="276" w:lineRule="auto"/>
        <w:jc w:val="both"/>
        <w:rPr>
          <w:rFonts w:eastAsia="Times New Roman"/>
        </w:rPr>
      </w:pPr>
      <w:r w:rsidRPr="003C1E5C">
        <w:rPr>
          <w:rFonts w:eastAsia="Times New Roman"/>
        </w:rPr>
        <w:t>Jačanje</w:t>
      </w:r>
      <w:r w:rsidRPr="003C1E5C">
        <w:rPr>
          <w:rFonts w:eastAsia="Times New Roman"/>
          <w:i/>
          <w:iCs/>
        </w:rPr>
        <w:t xml:space="preserve"> Joint Audit Programme </w:t>
      </w:r>
      <w:r w:rsidRPr="003C1E5C">
        <w:rPr>
          <w:rFonts w:eastAsia="Times New Roman"/>
        </w:rPr>
        <w:t>(JAP) za GMP inspektorate u EU/EGP-u:</w:t>
      </w:r>
      <w:r w:rsidRPr="003C1E5C">
        <w:rPr>
          <w:rFonts w:eastAsia="Times New Roman"/>
        </w:rPr>
        <w:br/>
        <w:t>Program JAP je važan alat kontinuiranog poboljšanja kojim se provjerava implementacija EU direktiva u nacionalno zakonodavstvo, kao i ujednačenost unutar EU/EGP-a u provedbi GMP inspekcija, a sukladno postupcima iz Zbirke postupaka Zajednice o nadzorima i razmjeni podataka (engl. </w:t>
      </w:r>
      <w:r w:rsidRPr="003C1E5C">
        <w:rPr>
          <w:rFonts w:eastAsia="Times New Roman"/>
          <w:i/>
          <w:iCs/>
        </w:rPr>
        <w:t>Compilation of Union Procedures on Inspections and Exchange of Information</w:t>
      </w:r>
      <w:r w:rsidRPr="003C1E5C">
        <w:rPr>
          <w:rFonts w:eastAsia="Times New Roman"/>
        </w:rPr>
        <w:t>). Cilj mu je održati uzajamno povjerenje među GMP inspekcijskim sustavima u EU/EGP-u, a posljedično i povjerenje u inspekcijsku mrežu EU/EGP-a. Dodatno, program JAP služi kao osnova za sporazume o međusobnom priznavanju (</w:t>
      </w:r>
      <w:r w:rsidRPr="003C1E5C">
        <w:rPr>
          <w:rFonts w:eastAsia="Times New Roman"/>
          <w:i/>
          <w:iCs/>
        </w:rPr>
        <w:t>Mutual Recognition Agreements, </w:t>
      </w:r>
      <w:r w:rsidRPr="003C1E5C">
        <w:rPr>
          <w:rFonts w:eastAsia="Times New Roman"/>
        </w:rPr>
        <w:t>MRA) s trećim zemljama. Projektom je predviđen rad na optimizaciji procesa edukacije i kvalifikacije auditora te procedura za JAP. Troškovi vezani uz aktivnosti JAP-a bit će sufinancirani iz projekta kako bi se podržalo sudjelovanje svih zemalja članica u programu JAP.</w:t>
      </w:r>
    </w:p>
    <w:p w14:paraId="71483BF5" w14:textId="77777777" w:rsidR="00C545B1" w:rsidRPr="003C1E5C" w:rsidRDefault="00C545B1" w:rsidP="00AC375F">
      <w:pPr>
        <w:numPr>
          <w:ilvl w:val="0"/>
          <w:numId w:val="40"/>
        </w:numPr>
        <w:spacing w:line="276" w:lineRule="auto"/>
        <w:jc w:val="both"/>
        <w:rPr>
          <w:rFonts w:eastAsia="Times New Roman"/>
        </w:rPr>
      </w:pPr>
      <w:r w:rsidRPr="003C1E5C">
        <w:rPr>
          <w:rFonts w:eastAsia="Times New Roman"/>
        </w:rPr>
        <w:t>Pregled implementacije EU legislative za GDP u nacionalna zakonodavstva i izrada prijedloga za uključivanje GDP-a u postojeći program JAP. Navedeno ima za cilj jačanje GDP mreže inspektorata i harmonizaciju GDP inspekcijskog standarda unutar EU/EGP-a.</w:t>
      </w:r>
    </w:p>
    <w:p w14:paraId="7B311D36" w14:textId="77777777" w:rsidR="00C545B1" w:rsidRPr="003C1E5C" w:rsidRDefault="00C545B1" w:rsidP="00AC375F">
      <w:pPr>
        <w:numPr>
          <w:ilvl w:val="0"/>
          <w:numId w:val="40"/>
        </w:numPr>
        <w:spacing w:line="276" w:lineRule="auto"/>
        <w:jc w:val="both"/>
        <w:rPr>
          <w:rFonts w:eastAsia="Times New Roman"/>
        </w:rPr>
      </w:pPr>
      <w:r w:rsidRPr="003C1E5C">
        <w:rPr>
          <w:rFonts w:eastAsia="Times New Roman"/>
        </w:rPr>
        <w:t>Jačanje EU/EGP kapaciteta za provedbu inspekcija kroz uspostavu harmoniziranih procesa edukacije i kvalifikacije GMP inspektora, u suradnji s Akademijom PIC/S (PIA). Troškovi edukacije bit će sufinancirani iz projekta kako bi se podržalo sudjelovanje svih zemalja članica.</w:t>
      </w:r>
    </w:p>
    <w:p w14:paraId="263AA086" w14:textId="77777777" w:rsidR="00C545B1" w:rsidRPr="003C1E5C" w:rsidRDefault="00C545B1" w:rsidP="00C545B1">
      <w:pPr>
        <w:spacing w:line="276" w:lineRule="auto"/>
        <w:jc w:val="both"/>
      </w:pPr>
    </w:p>
    <w:p w14:paraId="322CEA8E" w14:textId="77777777" w:rsidR="00C545B1" w:rsidRPr="003C1E5C" w:rsidRDefault="00C545B1" w:rsidP="00C545B1">
      <w:pPr>
        <w:spacing w:line="276" w:lineRule="auto"/>
        <w:jc w:val="both"/>
      </w:pPr>
      <w:r w:rsidRPr="003C1E5C">
        <w:t>U realizaciji projekta sudjeluju zaposlenici Odsjeka za inspekcijske poslove uz podršku djelatnice Odsjeka za ekonomske i opće poslove vezano uz financijske izvještaje.</w:t>
      </w:r>
    </w:p>
    <w:p w14:paraId="002F1412" w14:textId="77777777" w:rsidR="00C545B1" w:rsidRPr="003C1E5C" w:rsidRDefault="00C545B1" w:rsidP="00C545B1">
      <w:pPr>
        <w:spacing w:line="276" w:lineRule="auto"/>
        <w:jc w:val="both"/>
      </w:pPr>
    </w:p>
    <w:p w14:paraId="292198C8" w14:textId="77777777" w:rsidR="00C545B1" w:rsidRDefault="00C545B1" w:rsidP="00C545B1">
      <w:pPr>
        <w:spacing w:line="276" w:lineRule="auto"/>
        <w:jc w:val="both"/>
      </w:pPr>
      <w:r>
        <w:lastRenderedPageBreak/>
        <w:t xml:space="preserve">HALMED je voditelj radnog paketa </w:t>
      </w:r>
      <w:r>
        <w:rPr>
          <w:i/>
          <w:iCs/>
        </w:rPr>
        <w:t>WP3: Evaluation</w:t>
      </w:r>
      <w:r>
        <w:t xml:space="preserve"> te su predstavnici HALMED-a članovi Upravnog vijeća  projekta. Kao nositelji radnog paketa </w:t>
      </w:r>
      <w:r>
        <w:rPr>
          <w:i/>
          <w:iCs/>
        </w:rPr>
        <w:t>WP3: Evaluation</w:t>
      </w:r>
      <w:r>
        <w:t>,</w:t>
      </w:r>
      <w:r>
        <w:rPr>
          <w:i/>
          <w:iCs/>
        </w:rPr>
        <w:t xml:space="preserve"> </w:t>
      </w:r>
      <w:r>
        <w:t>predstavnici HALMED-a zaduženi su za praćenje realizacije i evaluaciju projekta te su u tu svrhu na početku projekta (u veljači 2023. godine) izradili plan evaluacije (</w:t>
      </w:r>
      <w:r>
        <w:rPr>
          <w:i/>
          <w:iCs/>
        </w:rPr>
        <w:t>D3.1 Evaluation plan</w:t>
      </w:r>
      <w:r>
        <w:t xml:space="preserve">). Planom evaluacije definirana je strategija evaluacije projekta i ključni pokazatelji uspješnosti (KPI) koji će se pratiti tijekom cijelog trajanja projekta. KPI-evi su usuglašeni s voditeljima svih radnih paketa te su u okviru plana evaluacije navedeni za svaki radni paket i pripadajuće zadatke. Kao sastavni dio plana evaluacije, izrađena je i sumarna evaluacijska tablica, </w:t>
      </w:r>
      <w:r>
        <w:rPr>
          <w:i/>
          <w:iCs/>
        </w:rPr>
        <w:t>WP3 Evaluation Summary Table</w:t>
      </w:r>
      <w:r>
        <w:t xml:space="preserve">, koja je integralni dio plana evaluacije (Dodatak 1). Sumarnom evaluacijskom tablicom osiguran je sveobuhvatan prikaz svih KPI-eva i povezanih informacija te se ista kontinuirano ažurira. Tijekom tromjesečnih sastanaka Upravnog vijeća projekta (Steering Committee), voditelji radnih paketa izvještavaju o statusu izvršenja zadataka na projektu. </w:t>
      </w:r>
    </w:p>
    <w:p w14:paraId="08EF0AE0" w14:textId="77777777" w:rsidR="00C545B1" w:rsidRDefault="00C545B1" w:rsidP="00C545B1">
      <w:pPr>
        <w:spacing w:line="276" w:lineRule="auto"/>
        <w:jc w:val="both"/>
      </w:pPr>
      <w:r w:rsidRPr="00EB435A">
        <w:t>U izvještajnom razdoblju, predstavnici HALMED-a sudjelovali su u radu na projektu sukladno planu aktivnosti projekta. Pri tome su prisustvovali sastancima (sastancima Upravnog vijeća projekta i drugim radnim sastancima), radili na pregledu i izradi dokumenata vezanih uz projekt te pratili provedbu zadataka putem indikatora definiranih planom evaluacije.</w:t>
      </w:r>
    </w:p>
    <w:p w14:paraId="5580E98C" w14:textId="77777777" w:rsidR="00C545B1" w:rsidRPr="009F5A10" w:rsidRDefault="00C545B1" w:rsidP="00C545B1">
      <w:pPr>
        <w:spacing w:line="276" w:lineRule="auto"/>
        <w:jc w:val="both"/>
        <w:rPr>
          <w:b/>
        </w:rPr>
      </w:pPr>
    </w:p>
    <w:p w14:paraId="4D8C8636" w14:textId="77777777" w:rsidR="00C545B1" w:rsidRDefault="00C545B1" w:rsidP="00C545B1">
      <w:pPr>
        <w:spacing w:line="276" w:lineRule="auto"/>
        <w:jc w:val="both"/>
        <w:rPr>
          <w:b/>
          <w:bCs/>
          <w:i/>
          <w:iCs/>
        </w:rPr>
      </w:pPr>
      <w:r w:rsidRPr="009F5A10">
        <w:rPr>
          <w:b/>
        </w:rPr>
        <w:t xml:space="preserve">c) </w:t>
      </w:r>
      <w:r w:rsidRPr="009F5A10">
        <w:rPr>
          <w:b/>
          <w:i/>
        </w:rPr>
        <w:t xml:space="preserve">EU4H-2021-JA-06: </w:t>
      </w:r>
      <w:r w:rsidRPr="009F5A10">
        <w:rPr>
          <w:b/>
          <w:bCs/>
          <w:i/>
          <w:iCs/>
        </w:rPr>
        <w:t>availability of medicines, shortages and security of supply</w:t>
      </w:r>
    </w:p>
    <w:p w14:paraId="2305A41B" w14:textId="77777777" w:rsidR="00C545B1" w:rsidRDefault="00C545B1" w:rsidP="00C545B1">
      <w:pPr>
        <w:spacing w:line="276" w:lineRule="auto"/>
        <w:jc w:val="both"/>
        <w:rPr>
          <w:b/>
          <w:bCs/>
          <w:i/>
          <w:iCs/>
        </w:rPr>
      </w:pPr>
    </w:p>
    <w:p w14:paraId="2A755529" w14:textId="77777777" w:rsidR="00C545B1" w:rsidRDefault="00C545B1" w:rsidP="00C545B1">
      <w:pPr>
        <w:spacing w:line="276" w:lineRule="auto"/>
        <w:jc w:val="both"/>
      </w:pPr>
      <w:r>
        <w:t>Koordinator projekta: AIFA, Italija</w:t>
      </w:r>
    </w:p>
    <w:p w14:paraId="7250C5F5" w14:textId="77777777" w:rsidR="00C545B1" w:rsidRDefault="00C545B1" w:rsidP="00C545B1">
      <w:pPr>
        <w:spacing w:line="276" w:lineRule="auto"/>
        <w:jc w:val="both"/>
      </w:pPr>
      <w:r>
        <w:t>Uloga HALMED-a: partner u WP7 „Digital Information Exchange for Monitoring and reporting medicine shortages“</w:t>
      </w:r>
    </w:p>
    <w:p w14:paraId="1FC72D76" w14:textId="77777777" w:rsidR="00C545B1" w:rsidRDefault="00C545B1" w:rsidP="00C545B1">
      <w:pPr>
        <w:spacing w:line="276" w:lineRule="auto"/>
        <w:jc w:val="both"/>
      </w:pPr>
      <w:r>
        <w:t>Broj projekta: 101082419</w:t>
      </w:r>
    </w:p>
    <w:p w14:paraId="3727B93F" w14:textId="77777777" w:rsidR="00C545B1" w:rsidRDefault="00C545B1" w:rsidP="00C545B1">
      <w:pPr>
        <w:spacing w:line="276" w:lineRule="auto"/>
        <w:jc w:val="both"/>
      </w:pPr>
      <w:r>
        <w:t>Naziv projekta: Coordination and Harmonization of the Existing Systems against Shortage of Medicine - European Network (EU4H-2021-JA-06) CHESSMEN</w:t>
      </w:r>
    </w:p>
    <w:p w14:paraId="09FA7444" w14:textId="77777777" w:rsidR="00C545B1" w:rsidRDefault="00C545B1" w:rsidP="00C545B1">
      <w:pPr>
        <w:spacing w:line="276" w:lineRule="auto"/>
        <w:jc w:val="both"/>
      </w:pPr>
      <w:r>
        <w:t>Početak projekta: 16. siječnja 2023.</w:t>
      </w:r>
    </w:p>
    <w:p w14:paraId="684B0807" w14:textId="77777777" w:rsidR="00C545B1" w:rsidRDefault="00C545B1" w:rsidP="00C545B1">
      <w:pPr>
        <w:spacing w:line="276" w:lineRule="auto"/>
        <w:jc w:val="both"/>
      </w:pPr>
      <w:r>
        <w:t>Trajanje projekta: 36 mjeseci</w:t>
      </w:r>
    </w:p>
    <w:p w14:paraId="217FDEA5" w14:textId="77777777" w:rsidR="00C545B1" w:rsidRDefault="00C545B1" w:rsidP="00C545B1">
      <w:pPr>
        <w:spacing w:line="276" w:lineRule="auto"/>
        <w:jc w:val="both"/>
      </w:pPr>
      <w:r>
        <w:t>Partneri: 22 partnera (AIFA, ISS_CNS-CNT, BASG, AGES, GOG, FAMHP, HALMED, PHS-CY, SUKL, DMA, SAM, ANSM, BfArM, PEI, OGYET, HPRA, MOHLUX, NLNA, INFARMED, MS-MoH RO, NAMMDR, JAZMP, AEMPS, MPA, FIMEA i ESSC)</w:t>
      </w:r>
    </w:p>
    <w:p w14:paraId="418D1B36" w14:textId="77777777" w:rsidR="00C545B1" w:rsidRDefault="00C545B1" w:rsidP="00C545B1">
      <w:pPr>
        <w:spacing w:line="276" w:lineRule="auto"/>
        <w:jc w:val="both"/>
      </w:pPr>
      <w:r>
        <w:t>Procijenjeni budžet: ukupno 7 846 345.03 € od čega 245 770.44 € za HALMED</w:t>
      </w:r>
    </w:p>
    <w:p w14:paraId="5D59B417" w14:textId="77777777" w:rsidR="00C545B1" w:rsidRPr="00A905B8" w:rsidRDefault="00C545B1" w:rsidP="00C545B1">
      <w:pPr>
        <w:spacing w:line="276" w:lineRule="auto"/>
        <w:jc w:val="both"/>
      </w:pPr>
    </w:p>
    <w:p w14:paraId="555ECF83" w14:textId="77777777" w:rsidR="00C545B1" w:rsidRDefault="00C545B1" w:rsidP="004E0936">
      <w:pPr>
        <w:spacing w:line="276" w:lineRule="auto"/>
        <w:jc w:val="both"/>
      </w:pPr>
      <w:r w:rsidRPr="00A905B8">
        <w:t>Predmetni projekt dio je programa „EU za zdravlje (EU4Health)” 2021.–2027. te uključuje sudjelovanje 27 organizacija iz 22 države članice EU-a.</w:t>
      </w:r>
    </w:p>
    <w:p w14:paraId="314BC9C7" w14:textId="77777777" w:rsidR="00C545B1" w:rsidRPr="0093299C" w:rsidRDefault="00C545B1" w:rsidP="004E0936">
      <w:pPr>
        <w:spacing w:line="276" w:lineRule="auto"/>
        <w:jc w:val="both"/>
        <w:rPr>
          <w:rFonts w:cstheme="minorHAnsi"/>
          <w:color w:val="262626"/>
        </w:rPr>
      </w:pPr>
      <w:r w:rsidRPr="0093299C">
        <w:rPr>
          <w:rFonts w:cstheme="minorHAnsi"/>
          <w:color w:val="262626"/>
        </w:rPr>
        <w:t xml:space="preserve">HALMED-ov tim, osim u općim radnim paketima (WP1-4) projekta, sudjeluje u sljedećim tematski specifičnim, tehničkim radnim paketima te su od početka projekta </w:t>
      </w:r>
      <w:r w:rsidRPr="000E6777">
        <w:rPr>
          <w:rFonts w:cstheme="minorHAnsi"/>
          <w:color w:val="262626"/>
        </w:rPr>
        <w:t>(</w:t>
      </w:r>
      <w:r>
        <w:rPr>
          <w:rFonts w:cstheme="minorHAnsi"/>
          <w:color w:val="262626"/>
        </w:rPr>
        <w:t xml:space="preserve">16.01.2023.) </w:t>
      </w:r>
      <w:r w:rsidRPr="000E6777">
        <w:rPr>
          <w:rFonts w:cstheme="minorHAnsi"/>
          <w:color w:val="262626"/>
        </w:rPr>
        <w:t>provedene sljedeće aktivnosti</w:t>
      </w:r>
      <w:r w:rsidRPr="0093299C">
        <w:rPr>
          <w:rFonts w:cstheme="minorHAnsi"/>
          <w:color w:val="262626"/>
        </w:rPr>
        <w:t>:</w:t>
      </w:r>
    </w:p>
    <w:p w14:paraId="4388B46E" w14:textId="77777777" w:rsidR="00C545B1" w:rsidRPr="0093299C" w:rsidRDefault="00C545B1" w:rsidP="00C545B1">
      <w:pPr>
        <w:spacing w:line="276" w:lineRule="auto"/>
        <w:rPr>
          <w:rFonts w:cstheme="minorHAnsi"/>
          <w:color w:val="262626"/>
        </w:rPr>
      </w:pPr>
    </w:p>
    <w:p w14:paraId="6E7EB155" w14:textId="77777777" w:rsidR="00C545B1" w:rsidRPr="0093299C" w:rsidRDefault="00C545B1" w:rsidP="00C545B1">
      <w:pPr>
        <w:spacing w:line="276" w:lineRule="auto"/>
        <w:rPr>
          <w:rFonts w:cstheme="minorHAnsi"/>
          <w:color w:val="262626"/>
        </w:rPr>
      </w:pPr>
      <w:r w:rsidRPr="0093299C">
        <w:rPr>
          <w:rFonts w:cstheme="minorHAnsi"/>
          <w:color w:val="262626"/>
        </w:rPr>
        <w:t xml:space="preserve">WP6 Identification of best practices </w:t>
      </w:r>
    </w:p>
    <w:p w14:paraId="0D65EDC3" w14:textId="77777777" w:rsidR="00C545B1" w:rsidRPr="0093299C" w:rsidRDefault="00C545B1" w:rsidP="00AC375F">
      <w:pPr>
        <w:pStyle w:val="ListParagraph"/>
        <w:numPr>
          <w:ilvl w:val="0"/>
          <w:numId w:val="39"/>
        </w:numPr>
        <w:spacing w:before="0" w:after="0"/>
        <w:contextualSpacing w:val="0"/>
        <w:rPr>
          <w:rFonts w:cstheme="minorHAnsi"/>
          <w:color w:val="262626"/>
          <w:sz w:val="22"/>
          <w:szCs w:val="22"/>
        </w:rPr>
      </w:pPr>
      <w:r w:rsidRPr="0093299C">
        <w:rPr>
          <w:rFonts w:cstheme="minorHAnsi"/>
          <w:color w:val="262626"/>
          <w:sz w:val="22"/>
          <w:szCs w:val="22"/>
        </w:rPr>
        <w:t>završetak zadatka T6.1 “Collection of existing topic-related documents and circulation among interested WPs” i pripadnog izvješća D6.1</w:t>
      </w:r>
    </w:p>
    <w:p w14:paraId="1A5F0A43" w14:textId="77777777" w:rsidR="00C545B1" w:rsidRPr="0093299C" w:rsidRDefault="00C545B1" w:rsidP="00AC375F">
      <w:pPr>
        <w:pStyle w:val="ListParagraph"/>
        <w:numPr>
          <w:ilvl w:val="0"/>
          <w:numId w:val="39"/>
        </w:numPr>
        <w:spacing w:before="0" w:after="0"/>
        <w:contextualSpacing w:val="0"/>
        <w:rPr>
          <w:rFonts w:cstheme="minorHAnsi"/>
          <w:color w:val="262626"/>
          <w:sz w:val="22"/>
          <w:szCs w:val="22"/>
        </w:rPr>
      </w:pPr>
      <w:r w:rsidRPr="0093299C">
        <w:rPr>
          <w:rFonts w:cstheme="minorHAnsi"/>
          <w:color w:val="262626"/>
          <w:sz w:val="22"/>
          <w:szCs w:val="22"/>
        </w:rPr>
        <w:t>završetak zadatka T6.2 “Mapping of best practices in monitoring, reporting, and managing medicine shortages”</w:t>
      </w:r>
    </w:p>
    <w:p w14:paraId="4B197D90" w14:textId="77777777" w:rsidR="00C545B1" w:rsidRPr="0093299C" w:rsidRDefault="00C545B1" w:rsidP="00AC375F">
      <w:pPr>
        <w:pStyle w:val="ListParagraph"/>
        <w:numPr>
          <w:ilvl w:val="0"/>
          <w:numId w:val="39"/>
        </w:numPr>
        <w:spacing w:before="0" w:after="0"/>
        <w:contextualSpacing w:val="0"/>
        <w:rPr>
          <w:rFonts w:cstheme="minorHAnsi"/>
          <w:color w:val="262626"/>
          <w:sz w:val="22"/>
          <w:szCs w:val="22"/>
        </w:rPr>
      </w:pPr>
      <w:r>
        <w:rPr>
          <w:rFonts w:cstheme="minorHAnsi"/>
          <w:color w:val="262626"/>
          <w:sz w:val="22"/>
          <w:szCs w:val="22"/>
        </w:rPr>
        <w:lastRenderedPageBreak/>
        <w:t>dogovorena je</w:t>
      </w:r>
      <w:r w:rsidRPr="0093299C">
        <w:rPr>
          <w:rFonts w:cstheme="minorHAnsi"/>
          <w:color w:val="262626"/>
          <w:sz w:val="22"/>
          <w:szCs w:val="22"/>
        </w:rPr>
        <w:t xml:space="preserve"> metodologije za uspostavu EU popisa kritičnih lijekova (suradnja s </w:t>
      </w:r>
      <w:r>
        <w:rPr>
          <w:rFonts w:cstheme="minorHAnsi"/>
          <w:color w:val="262626"/>
          <w:sz w:val="22"/>
          <w:szCs w:val="22"/>
        </w:rPr>
        <w:t xml:space="preserve">radnim </w:t>
      </w:r>
      <w:r w:rsidRPr="0093299C">
        <w:rPr>
          <w:rFonts w:cstheme="minorHAnsi"/>
          <w:color w:val="262626"/>
          <w:sz w:val="22"/>
          <w:szCs w:val="22"/>
        </w:rPr>
        <w:t>grup</w:t>
      </w:r>
      <w:r>
        <w:rPr>
          <w:rFonts w:cstheme="minorHAnsi"/>
          <w:color w:val="262626"/>
          <w:sz w:val="22"/>
          <w:szCs w:val="22"/>
        </w:rPr>
        <w:t xml:space="preserve">ama </w:t>
      </w:r>
      <w:r w:rsidRPr="0093299C">
        <w:rPr>
          <w:rFonts w:cstheme="minorHAnsi"/>
          <w:color w:val="262626"/>
          <w:sz w:val="22"/>
          <w:szCs w:val="22"/>
        </w:rPr>
        <w:t xml:space="preserve"> HMA/EMA TF AAM</w:t>
      </w:r>
      <w:r>
        <w:rPr>
          <w:rFonts w:cstheme="minorHAnsi"/>
          <w:color w:val="262626"/>
          <w:sz w:val="22"/>
          <w:szCs w:val="22"/>
        </w:rPr>
        <w:t xml:space="preserve"> i EMA SPOC WP</w:t>
      </w:r>
      <w:r w:rsidRPr="0093299C">
        <w:rPr>
          <w:rFonts w:cstheme="minorHAnsi"/>
          <w:color w:val="262626"/>
          <w:sz w:val="22"/>
          <w:szCs w:val="22"/>
        </w:rPr>
        <w:t>)</w:t>
      </w:r>
      <w:r>
        <w:rPr>
          <w:rFonts w:cstheme="minorHAnsi"/>
          <w:color w:val="262626"/>
          <w:sz w:val="22"/>
          <w:szCs w:val="22"/>
        </w:rPr>
        <w:t xml:space="preserve"> te uspješno završena prva faza klasifikacije kritičnosti za odabrane skupine lijekova</w:t>
      </w:r>
    </w:p>
    <w:p w14:paraId="2BF2D342" w14:textId="77777777" w:rsidR="00C545B1" w:rsidRPr="0093299C" w:rsidRDefault="00C545B1" w:rsidP="00C545B1">
      <w:pPr>
        <w:spacing w:line="276" w:lineRule="auto"/>
        <w:rPr>
          <w:rFonts w:cstheme="minorHAnsi"/>
          <w:color w:val="262626"/>
        </w:rPr>
      </w:pPr>
    </w:p>
    <w:p w14:paraId="1D9F4B91" w14:textId="77777777" w:rsidR="00C545B1" w:rsidRPr="0093299C" w:rsidRDefault="00C545B1" w:rsidP="00C545B1">
      <w:pPr>
        <w:spacing w:line="276" w:lineRule="auto"/>
        <w:rPr>
          <w:rFonts w:cstheme="minorHAnsi"/>
          <w:color w:val="262626"/>
        </w:rPr>
      </w:pPr>
      <w:r w:rsidRPr="0093299C">
        <w:rPr>
          <w:rFonts w:cstheme="minorHAnsi"/>
          <w:color w:val="262626"/>
        </w:rPr>
        <w:t>WP7 Digital information exchange</w:t>
      </w:r>
    </w:p>
    <w:p w14:paraId="0322C32F" w14:textId="77777777" w:rsidR="00C545B1" w:rsidRPr="0093299C" w:rsidRDefault="00C545B1" w:rsidP="00AC375F">
      <w:pPr>
        <w:pStyle w:val="ListParagraph"/>
        <w:numPr>
          <w:ilvl w:val="0"/>
          <w:numId w:val="39"/>
        </w:numPr>
        <w:spacing w:before="0" w:after="0"/>
        <w:contextualSpacing w:val="0"/>
        <w:rPr>
          <w:rFonts w:cstheme="minorHAnsi"/>
          <w:color w:val="262626"/>
          <w:sz w:val="22"/>
          <w:szCs w:val="22"/>
        </w:rPr>
      </w:pPr>
      <w:r w:rsidRPr="0093299C">
        <w:rPr>
          <w:rFonts w:cstheme="minorHAnsi"/>
          <w:color w:val="262626"/>
          <w:sz w:val="22"/>
          <w:szCs w:val="22"/>
        </w:rPr>
        <w:t>prikupljeni su podaci različitih nacionalnih praks</w:t>
      </w:r>
      <w:r>
        <w:rPr>
          <w:rFonts w:cstheme="minorHAnsi"/>
          <w:color w:val="262626"/>
          <w:sz w:val="22"/>
          <w:szCs w:val="22"/>
        </w:rPr>
        <w:t xml:space="preserve">i korištenja IT alata </w:t>
      </w:r>
      <w:r w:rsidRPr="0093299C">
        <w:rPr>
          <w:rFonts w:cstheme="minorHAnsi"/>
          <w:color w:val="262626"/>
          <w:sz w:val="22"/>
          <w:szCs w:val="22"/>
        </w:rPr>
        <w:t xml:space="preserve"> u praćenju nestašica lijekova te </w:t>
      </w:r>
      <w:r>
        <w:rPr>
          <w:rFonts w:cstheme="minorHAnsi"/>
          <w:color w:val="262626"/>
          <w:sz w:val="22"/>
          <w:szCs w:val="22"/>
        </w:rPr>
        <w:t>provedena</w:t>
      </w:r>
      <w:r w:rsidRPr="0093299C">
        <w:rPr>
          <w:rFonts w:cstheme="minorHAnsi"/>
          <w:color w:val="262626"/>
          <w:sz w:val="22"/>
          <w:szCs w:val="22"/>
        </w:rPr>
        <w:t xml:space="preserve"> SWOT </w:t>
      </w:r>
      <w:r>
        <w:rPr>
          <w:rFonts w:cstheme="minorHAnsi"/>
          <w:color w:val="262626"/>
          <w:sz w:val="22"/>
          <w:szCs w:val="22"/>
        </w:rPr>
        <w:t xml:space="preserve">analiza (D7.1 Report) u svrhu identificiranja minimalnog zajedničkog skupa podataka </w:t>
      </w:r>
      <w:r w:rsidRPr="0093299C">
        <w:rPr>
          <w:rFonts w:cstheme="minorHAnsi"/>
          <w:color w:val="262626"/>
          <w:sz w:val="22"/>
          <w:szCs w:val="22"/>
        </w:rPr>
        <w:t xml:space="preserve"> kojeg je potrebno implementirati u nacionalne sustave praćenja radi komplementarnosti s budućom EU platformom za praćenje nestašica (ESMP)</w:t>
      </w:r>
    </w:p>
    <w:p w14:paraId="67A69CD1" w14:textId="77777777" w:rsidR="00C545B1" w:rsidRPr="0093299C" w:rsidRDefault="00C545B1" w:rsidP="00C545B1">
      <w:pPr>
        <w:pStyle w:val="ListParagraph"/>
        <w:rPr>
          <w:rFonts w:cstheme="minorHAnsi"/>
          <w:color w:val="262626"/>
          <w:sz w:val="22"/>
          <w:szCs w:val="22"/>
        </w:rPr>
      </w:pPr>
    </w:p>
    <w:p w14:paraId="7DDAE759" w14:textId="77777777" w:rsidR="00C545B1" w:rsidRPr="0093299C" w:rsidRDefault="00C545B1" w:rsidP="00C545B1">
      <w:pPr>
        <w:spacing w:line="276" w:lineRule="auto"/>
        <w:rPr>
          <w:rFonts w:cstheme="minorHAnsi"/>
          <w:color w:val="262626"/>
        </w:rPr>
      </w:pPr>
      <w:r w:rsidRPr="0093299C">
        <w:rPr>
          <w:rFonts w:cstheme="minorHAnsi"/>
          <w:color w:val="262626"/>
        </w:rPr>
        <w:t>WP8 Reducing likelihood of shortage</w:t>
      </w:r>
      <w:r w:rsidRPr="000E6777">
        <w:rPr>
          <w:rFonts w:cstheme="minorHAnsi"/>
          <w:color w:val="262626"/>
        </w:rPr>
        <w:t xml:space="preserve">s </w:t>
      </w:r>
    </w:p>
    <w:p w14:paraId="51EA47FA" w14:textId="77777777" w:rsidR="00C545B1" w:rsidRPr="0093299C" w:rsidRDefault="00C545B1" w:rsidP="00AC375F">
      <w:pPr>
        <w:pStyle w:val="ListParagraph"/>
        <w:numPr>
          <w:ilvl w:val="0"/>
          <w:numId w:val="39"/>
        </w:numPr>
        <w:spacing w:before="0" w:after="0"/>
        <w:contextualSpacing w:val="0"/>
        <w:rPr>
          <w:rFonts w:cstheme="minorHAnsi"/>
          <w:color w:val="262626"/>
          <w:sz w:val="22"/>
          <w:szCs w:val="22"/>
        </w:rPr>
      </w:pPr>
      <w:r w:rsidRPr="0093299C">
        <w:rPr>
          <w:rFonts w:cstheme="minorHAnsi"/>
          <w:color w:val="262626"/>
          <w:sz w:val="22"/>
          <w:szCs w:val="22"/>
        </w:rPr>
        <w:t>završen zadatak „Mapping the WP8 documents“</w:t>
      </w:r>
    </w:p>
    <w:p w14:paraId="23D82B65" w14:textId="77777777" w:rsidR="00C545B1" w:rsidRPr="0093299C" w:rsidRDefault="00C545B1" w:rsidP="00AC375F">
      <w:pPr>
        <w:pStyle w:val="ListParagraph"/>
        <w:numPr>
          <w:ilvl w:val="0"/>
          <w:numId w:val="39"/>
        </w:numPr>
        <w:spacing w:before="0" w:after="0"/>
        <w:contextualSpacing w:val="0"/>
        <w:rPr>
          <w:rFonts w:cstheme="minorHAnsi"/>
          <w:color w:val="262626"/>
          <w:sz w:val="22"/>
          <w:szCs w:val="22"/>
        </w:rPr>
      </w:pPr>
      <w:r>
        <w:rPr>
          <w:rFonts w:cstheme="minorHAnsi"/>
          <w:color w:val="262626"/>
          <w:sz w:val="22"/>
          <w:szCs w:val="22"/>
        </w:rPr>
        <w:t>završen je rad na nacrtu dokumenta Analysis Report on existing preventive and mitigation of shortages of MOs at national level (D 8.1.) koji je upućen na razmatranje Odboru za upravljanje projektom</w:t>
      </w:r>
    </w:p>
    <w:p w14:paraId="370598E9" w14:textId="77777777" w:rsidR="00C545B1" w:rsidRPr="00A905B8" w:rsidRDefault="00C545B1" w:rsidP="00C545B1">
      <w:pPr>
        <w:spacing w:line="276" w:lineRule="auto"/>
        <w:jc w:val="both"/>
      </w:pPr>
    </w:p>
    <w:p w14:paraId="6CC7E69A" w14:textId="77777777" w:rsidR="00C545B1" w:rsidRPr="00A905B8" w:rsidRDefault="00C545B1" w:rsidP="00C545B1">
      <w:pPr>
        <w:spacing w:line="276" w:lineRule="auto"/>
        <w:jc w:val="both"/>
      </w:pPr>
      <w:r w:rsidRPr="00A905B8">
        <w:t>HALMED-ov tim</w:t>
      </w:r>
      <w:r>
        <w:t xml:space="preserve"> u projektu čine </w:t>
      </w:r>
      <w:r w:rsidRPr="00A905B8">
        <w:t>djelatnici Odsjeka za dostupnost lijekova uz podršku djelatnice IT Odsjeka.</w:t>
      </w:r>
    </w:p>
    <w:p w14:paraId="4BE6987B" w14:textId="77777777" w:rsidR="00C545B1" w:rsidRDefault="00C545B1" w:rsidP="00C545B1">
      <w:pPr>
        <w:rPr>
          <w:b/>
        </w:rPr>
      </w:pPr>
    </w:p>
    <w:p w14:paraId="68748E4F" w14:textId="77777777" w:rsidR="00C545B1" w:rsidRPr="004B6CA8" w:rsidRDefault="00C545B1" w:rsidP="00C545B1">
      <w:pPr>
        <w:spacing w:line="276" w:lineRule="auto"/>
        <w:jc w:val="both"/>
        <w:rPr>
          <w:b/>
          <w:bCs/>
          <w:i/>
          <w:iCs/>
        </w:rPr>
      </w:pPr>
      <w:r w:rsidRPr="004B6CA8">
        <w:rPr>
          <w:b/>
        </w:rPr>
        <w:t xml:space="preserve">d) </w:t>
      </w:r>
      <w:r w:rsidRPr="004B6CA8">
        <w:rPr>
          <w:b/>
          <w:i/>
        </w:rPr>
        <w:t xml:space="preserve">EU4H-2022-JA-06: </w:t>
      </w:r>
      <w:r>
        <w:rPr>
          <w:b/>
          <w:bCs/>
          <w:i/>
          <w:iCs/>
        </w:rPr>
        <w:t>I</w:t>
      </w:r>
      <w:r w:rsidRPr="004B6CA8">
        <w:rPr>
          <w:b/>
          <w:bCs/>
          <w:i/>
          <w:iCs/>
        </w:rPr>
        <w:t>ncreasing capacity building of the EU medicines regulatory network</w:t>
      </w:r>
    </w:p>
    <w:p w14:paraId="5A844E8E" w14:textId="77777777" w:rsidR="00C545B1" w:rsidRPr="004B6CA8" w:rsidRDefault="00C545B1" w:rsidP="00C545B1">
      <w:pPr>
        <w:spacing w:line="276" w:lineRule="auto"/>
        <w:jc w:val="both"/>
        <w:rPr>
          <w:b/>
          <w:bCs/>
          <w:i/>
          <w:iCs/>
        </w:rPr>
      </w:pPr>
    </w:p>
    <w:p w14:paraId="20C67FF8" w14:textId="77777777" w:rsidR="00C545B1" w:rsidRPr="00D91580" w:rsidRDefault="00C545B1" w:rsidP="00C545B1">
      <w:pPr>
        <w:spacing w:line="276" w:lineRule="auto"/>
        <w:jc w:val="both"/>
      </w:pPr>
      <w:r w:rsidRPr="00484720">
        <w:t xml:space="preserve">Naziv projekta: </w:t>
      </w:r>
      <w:r w:rsidRPr="00D6202C">
        <w:t>Supporting the increased capacity and competence building of the EU medicines regulatory network</w:t>
      </w:r>
      <w:r w:rsidRPr="00D91580">
        <w:t xml:space="preserve"> </w:t>
      </w:r>
    </w:p>
    <w:p w14:paraId="7A281386" w14:textId="77777777" w:rsidR="00C545B1" w:rsidRDefault="00C545B1" w:rsidP="00C545B1">
      <w:pPr>
        <w:spacing w:line="276" w:lineRule="auto"/>
        <w:jc w:val="both"/>
      </w:pPr>
      <w:r w:rsidRPr="00484720">
        <w:t>Akronim: IncreaseNET</w:t>
      </w:r>
    </w:p>
    <w:p w14:paraId="6E81F1FD" w14:textId="77777777" w:rsidR="00C545B1" w:rsidRPr="00484720" w:rsidRDefault="00C545B1" w:rsidP="00C545B1">
      <w:pPr>
        <w:spacing w:line="276" w:lineRule="auto"/>
        <w:jc w:val="both"/>
      </w:pPr>
      <w:r w:rsidRPr="00B35406">
        <w:t>Broj projekta: 101124540</w:t>
      </w:r>
    </w:p>
    <w:p w14:paraId="0A2D6FEC" w14:textId="77777777" w:rsidR="00C545B1" w:rsidRPr="00484720" w:rsidRDefault="00C545B1" w:rsidP="00C545B1">
      <w:pPr>
        <w:spacing w:line="276" w:lineRule="auto"/>
        <w:jc w:val="both"/>
      </w:pPr>
      <w:r w:rsidRPr="00484720">
        <w:t xml:space="preserve">Početak projekta: </w:t>
      </w:r>
      <w:r>
        <w:t>01.01.2024.</w:t>
      </w:r>
    </w:p>
    <w:p w14:paraId="0C2B71B3" w14:textId="77777777" w:rsidR="00C545B1" w:rsidRPr="00484720" w:rsidRDefault="00C545B1" w:rsidP="00C545B1">
      <w:pPr>
        <w:spacing w:line="276" w:lineRule="auto"/>
        <w:jc w:val="both"/>
      </w:pPr>
      <w:r w:rsidRPr="00484720">
        <w:t xml:space="preserve">Završetak projekta: </w:t>
      </w:r>
      <w:r>
        <w:t>31.12.2026.</w:t>
      </w:r>
    </w:p>
    <w:p w14:paraId="79B5A602" w14:textId="77777777" w:rsidR="00C545B1" w:rsidRPr="00484720" w:rsidRDefault="00C545B1" w:rsidP="00C545B1">
      <w:pPr>
        <w:spacing w:line="276" w:lineRule="auto"/>
        <w:jc w:val="both"/>
      </w:pPr>
      <w:r w:rsidRPr="00484720">
        <w:t>Trajanje projekta: 36 mjeseci</w:t>
      </w:r>
    </w:p>
    <w:p w14:paraId="48AE8D97" w14:textId="77777777" w:rsidR="00C545B1" w:rsidRPr="00484720" w:rsidRDefault="00C545B1" w:rsidP="00C545B1">
      <w:pPr>
        <w:spacing w:line="276" w:lineRule="auto"/>
        <w:jc w:val="both"/>
      </w:pPr>
      <w:r w:rsidRPr="00484720">
        <w:t>Koordinator projekta: JAZMP, Slovenija</w:t>
      </w:r>
    </w:p>
    <w:p w14:paraId="6B7AC53A" w14:textId="77777777" w:rsidR="00C545B1" w:rsidRPr="00484720" w:rsidRDefault="00C545B1" w:rsidP="00C545B1">
      <w:pPr>
        <w:spacing w:line="276" w:lineRule="auto"/>
        <w:jc w:val="both"/>
      </w:pPr>
      <w:r w:rsidRPr="00484720">
        <w:t xml:space="preserve">Partneri: </w:t>
      </w:r>
      <w:r>
        <w:t>29</w:t>
      </w:r>
      <w:r w:rsidRPr="00484720">
        <w:t xml:space="preserve"> partner</w:t>
      </w:r>
      <w:r>
        <w:t>a</w:t>
      </w:r>
      <w:r w:rsidRPr="00484720">
        <w:t xml:space="preserve"> (JAZMP, HALMED, MALTA MMA, DKMA, HPRA,  BfArM, PEI, SE MPA, ANSM, AGES, FAMHP, MOH CY-PHS, SÚKL, EE SAM, FIMEA, </w:t>
      </w:r>
      <w:r>
        <w:t xml:space="preserve">NNGYK, </w:t>
      </w:r>
      <w:r w:rsidRPr="00484720">
        <w:t>AIFA, SMCA, CBG-MEB, NOMA, MUL, INFARMED, NAMMDR, ŠÚKL, AEMPS, SECMOH, BDA, GR EOF, IMA</w:t>
      </w:r>
      <w:r w:rsidRPr="004C49B7">
        <w:t xml:space="preserve"> </w:t>
      </w:r>
      <w:r w:rsidRPr="00484720">
        <w:t>IS, SAM</w:t>
      </w:r>
      <w:r w:rsidRPr="004C49B7">
        <w:t xml:space="preserve"> </w:t>
      </w:r>
      <w:r w:rsidRPr="00484720">
        <w:t>LV, DISA LUX.</w:t>
      </w:r>
    </w:p>
    <w:p w14:paraId="5FED2712" w14:textId="77777777" w:rsidR="00C545B1" w:rsidRPr="00484720" w:rsidRDefault="00C545B1" w:rsidP="00C545B1">
      <w:pPr>
        <w:spacing w:line="276" w:lineRule="auto"/>
        <w:jc w:val="both"/>
      </w:pPr>
      <w:r w:rsidRPr="00484720">
        <w:t xml:space="preserve">Uloga HALMED-a: </w:t>
      </w:r>
      <w:r>
        <w:t xml:space="preserve">voditelj WP2 te sudjelovanje u </w:t>
      </w:r>
      <w:r w:rsidRPr="00484720">
        <w:t xml:space="preserve">WP5, WP6, WP7 i WP8 </w:t>
      </w:r>
    </w:p>
    <w:p w14:paraId="2800D80C" w14:textId="77777777" w:rsidR="00C545B1" w:rsidRPr="00484720" w:rsidRDefault="00C545B1" w:rsidP="00C545B1">
      <w:pPr>
        <w:spacing w:line="276" w:lineRule="auto"/>
        <w:jc w:val="both"/>
      </w:pPr>
      <w:r w:rsidRPr="00484720">
        <w:t>Radni paketi/Work Packages (WPs): WP1: Project management and coordination, WP2</w:t>
      </w:r>
      <w:r>
        <w:t>:</w:t>
      </w:r>
      <w:r w:rsidRPr="00484720">
        <w:t xml:space="preserve"> Dissemination and communication, WP3: Evaluation, WP4: Sustainability and collaboration with EU-NTC, WP5</w:t>
      </w:r>
      <w:r>
        <w:t>:</w:t>
      </w:r>
      <w:r w:rsidRPr="00484720">
        <w:t xml:space="preserve"> Delivery of training materials, WP6</w:t>
      </w:r>
      <w:r>
        <w:t>:</w:t>
      </w:r>
      <w:r w:rsidRPr="00484720">
        <w:t xml:space="preserve"> On-the-job training program, WP7</w:t>
      </w:r>
      <w:r>
        <w:t>:</w:t>
      </w:r>
      <w:r w:rsidRPr="00484720">
        <w:t xml:space="preserve"> Efficient use of resources i WP8</w:t>
      </w:r>
      <w:r>
        <w:t>:</w:t>
      </w:r>
      <w:r w:rsidRPr="00484720">
        <w:t xml:space="preserve"> Supporting innovation</w:t>
      </w:r>
    </w:p>
    <w:p w14:paraId="436D1D86" w14:textId="77777777" w:rsidR="00C545B1" w:rsidRPr="00484720" w:rsidRDefault="00C545B1" w:rsidP="00C545B1">
      <w:pPr>
        <w:spacing w:line="276" w:lineRule="auto"/>
        <w:jc w:val="both"/>
      </w:pPr>
      <w:r w:rsidRPr="00484720">
        <w:t xml:space="preserve">Ukupan procijenjeni budžet: </w:t>
      </w:r>
      <w:r>
        <w:t>10 000 059.72</w:t>
      </w:r>
      <w:r w:rsidRPr="00484720">
        <w:t xml:space="preserve"> € (EU kontribucija: 7 999 997</w:t>
      </w:r>
      <w:r>
        <w:t>.</w:t>
      </w:r>
      <w:r w:rsidRPr="00484720">
        <w:t>70 €)</w:t>
      </w:r>
    </w:p>
    <w:p w14:paraId="4C127D5D" w14:textId="77777777" w:rsidR="00C545B1" w:rsidRPr="00484720" w:rsidRDefault="00C545B1" w:rsidP="00C545B1">
      <w:pPr>
        <w:spacing w:line="276" w:lineRule="auto"/>
        <w:jc w:val="both"/>
      </w:pPr>
      <w:r w:rsidRPr="00484720">
        <w:t xml:space="preserve">Procijenjeni budžet HALMED-a: </w:t>
      </w:r>
      <w:r>
        <w:t>519 630.52</w:t>
      </w:r>
      <w:r w:rsidRPr="00484720">
        <w:t xml:space="preserve"> € (EU kontribucija: </w:t>
      </w:r>
      <w:r>
        <w:t>415 704.41</w:t>
      </w:r>
      <w:r w:rsidRPr="00484720">
        <w:t xml:space="preserve"> €) </w:t>
      </w:r>
    </w:p>
    <w:p w14:paraId="7C6030E6" w14:textId="77777777" w:rsidR="00C545B1" w:rsidRDefault="00C545B1" w:rsidP="00C545B1">
      <w:pPr>
        <w:spacing w:line="276" w:lineRule="auto"/>
        <w:jc w:val="both"/>
      </w:pPr>
    </w:p>
    <w:p w14:paraId="1140D8C6" w14:textId="77777777" w:rsidR="00C545B1" w:rsidRDefault="00C545B1" w:rsidP="00C545B1">
      <w:pPr>
        <w:spacing w:line="276" w:lineRule="auto"/>
        <w:jc w:val="both"/>
      </w:pPr>
      <w:r w:rsidRPr="00B340D0">
        <w:t>Cilj projekta je identifikacija i povećanje potrebnih ekspertiza i kompetencij</w:t>
      </w:r>
      <w:r>
        <w:t>a unutar EU regulatorne mreže,</w:t>
      </w:r>
      <w:r w:rsidRPr="00B340D0">
        <w:t xml:space="preserve"> razvoj dodatnih kapaciteta potrebnih za sučeljavanje s izazovom koji predstavlja razvoj znanosti u području lijekova i medicinskih proizvoda</w:t>
      </w:r>
      <w:r>
        <w:t xml:space="preserve"> te povećanje postojećih kapaciteta fokusiranjem na učinkovitu uporabu </w:t>
      </w:r>
      <w:r>
        <w:lastRenderedPageBreak/>
        <w:t>resursa</w:t>
      </w:r>
      <w:r w:rsidRPr="00B340D0">
        <w:t>.</w:t>
      </w:r>
      <w:r>
        <w:t xml:space="preserve"> U fokusu projekta će biti uspostava i provođenje sustava za edukaciju</w:t>
      </w:r>
      <w:r w:rsidRPr="00B340D0">
        <w:t xml:space="preserve"> ocjenitelja i regulatornih stručnjaka (n</w:t>
      </w:r>
      <w:r>
        <w:t>ovih i iskusnih) te suradnja i zajednički rad unutar EU regulatorne mreže</w:t>
      </w:r>
      <w:r w:rsidRPr="00B340D0">
        <w:t>.</w:t>
      </w:r>
    </w:p>
    <w:p w14:paraId="7FC8E916" w14:textId="77777777" w:rsidR="00C545B1" w:rsidRDefault="00C545B1" w:rsidP="00C545B1">
      <w:pPr>
        <w:spacing w:line="276" w:lineRule="auto"/>
        <w:jc w:val="both"/>
      </w:pPr>
    </w:p>
    <w:p w14:paraId="59A2E3EE" w14:textId="77777777" w:rsidR="00C545B1" w:rsidRDefault="00C545B1" w:rsidP="00C545B1">
      <w:pPr>
        <w:spacing w:line="276" w:lineRule="auto"/>
        <w:jc w:val="both"/>
      </w:pPr>
      <w:r w:rsidRPr="00B340D0">
        <w:t xml:space="preserve">Kako bi se osigurala komplementarnost s drugim projektima i inicijativama koje se provode u EU, provoditi će se kontinuirana suradnja s </w:t>
      </w:r>
      <w:r w:rsidRPr="00CD7E69">
        <w:t>Europskom agencijom za lijekove (EMA), Mrežom nacionalnih agencija za lijekove (HMA; engl. Heads of Medicines Agencies) te njihovim inicijativama i ključnim skupinama, kao što su Centar za obuku mreže EU (EU NTC), „Ubrzavanje kliničkih ispitivanja u EU“ (ACT EU; engl. Accelerating Clinical Trials in the EU), Povjerenstvo za lijekove za ljudsku uporabu (CHMP; engl. Committee for Medicinal Products for Human Use), Koordinacijska skupina za međusobno priznavanje i decentralizirane postupke – lijekovi za ljudsku uporabu (CMDh; engl. Coordination Group for Mutual Recognition and Decentralised Procedures - Human), Povjerenstvo za napredne terapije (CAT; engl. Com</w:t>
      </w:r>
      <w:r>
        <w:t xml:space="preserve">mittee for Advanced Therapies) </w:t>
      </w:r>
      <w:r w:rsidRPr="00CD7E69">
        <w:t>i EU Innovation Network (EU-IN).</w:t>
      </w:r>
      <w:r w:rsidRPr="00B340D0">
        <w:t>.</w:t>
      </w:r>
    </w:p>
    <w:p w14:paraId="590F13E0" w14:textId="77777777" w:rsidR="00C545B1" w:rsidRDefault="00C545B1" w:rsidP="00C545B1">
      <w:pPr>
        <w:spacing w:line="276" w:lineRule="auto"/>
        <w:jc w:val="both"/>
      </w:pPr>
    </w:p>
    <w:p w14:paraId="327A603A" w14:textId="55059B01" w:rsidR="00C545B1" w:rsidRDefault="00C545B1" w:rsidP="00C545B1">
      <w:pPr>
        <w:spacing w:line="276" w:lineRule="auto"/>
        <w:jc w:val="both"/>
      </w:pPr>
      <w:r w:rsidRPr="00A93EC1">
        <w:t xml:space="preserve">U </w:t>
      </w:r>
      <w:r>
        <w:t>izvještajnom razdoblju</w:t>
      </w:r>
      <w:r w:rsidRPr="00A93EC1">
        <w:t>, HALMED je sudjelovao u izradi prijedloga projekta za ostvarivanje Ugovora o dodjeli bespovratnih sredstava (</w:t>
      </w:r>
      <w:r w:rsidRPr="00A53672">
        <w:rPr>
          <w:i/>
        </w:rPr>
        <w:t>Grant Agreement</w:t>
      </w:r>
      <w:r w:rsidRPr="00A93EC1">
        <w:t xml:space="preserve">), </w:t>
      </w:r>
      <w:r>
        <w:t xml:space="preserve">koji je predan </w:t>
      </w:r>
      <w:r w:rsidRPr="00A93EC1">
        <w:t>Europskoj komisiji 15. veljače 2023.</w:t>
      </w:r>
      <w:r w:rsidRPr="00766927">
        <w:t xml:space="preserve"> </w:t>
      </w:r>
      <w:r w:rsidRPr="006A35F5">
        <w:t>Europska izvršna agencija za zdravlje i digitalno gospodarstvo (</w:t>
      </w:r>
      <w:r w:rsidRPr="00AA5151">
        <w:t>engl. European Health and</w:t>
      </w:r>
      <w:r>
        <w:t xml:space="preserve"> Digital Executive Agency, HaDE</w:t>
      </w:r>
      <w:r w:rsidRPr="006A35F5">
        <w:t xml:space="preserve">A), nadležna za provedbu EU4H programa, je </w:t>
      </w:r>
      <w:r>
        <w:t>23. lipnja 2023. pozitivno ocijenila prijedlog projekta</w:t>
      </w:r>
      <w:r w:rsidRPr="006A35F5">
        <w:t xml:space="preserve"> te je </w:t>
      </w:r>
      <w:r>
        <w:t>15. studenog 2023. godine potpisan Ugovor</w:t>
      </w:r>
      <w:r w:rsidRPr="00A93EC1">
        <w:t xml:space="preserve">. </w:t>
      </w:r>
      <w:r w:rsidR="00B609FC">
        <w:t>Također je</w:t>
      </w:r>
      <w:r>
        <w:t xml:space="preserve"> pripremljen i u prosincu 2023. godine potpisan konzorcijski ugovor (</w:t>
      </w:r>
      <w:r w:rsidRPr="00C02F35">
        <w:t>Consortium Agreement</w:t>
      </w:r>
      <w:r>
        <w:t>) između partnera u projektu</w:t>
      </w:r>
      <w:r w:rsidR="00B609FC">
        <w:t>.</w:t>
      </w:r>
    </w:p>
    <w:p w14:paraId="1BCA6179" w14:textId="77777777" w:rsidR="00C545B1" w:rsidRDefault="00C545B1" w:rsidP="00C545B1">
      <w:pPr>
        <w:spacing w:line="276" w:lineRule="auto"/>
        <w:jc w:val="both"/>
      </w:pPr>
    </w:p>
    <w:p w14:paraId="3E0A0E9D" w14:textId="77777777" w:rsidR="00C545B1" w:rsidRDefault="00C545B1" w:rsidP="00C545B1">
      <w:pPr>
        <w:spacing w:line="276" w:lineRule="auto"/>
        <w:jc w:val="both"/>
      </w:pPr>
      <w:r>
        <w:t>U studenom 2023. godine započele su pripreme za početak projekta (01. siječanj 2024.), obzirom je HALMED zadužen za izradu vizualnog identiteta projekta te je pripremljen i proveden natječaj za dizajnera (odobreni podugovaratelj za kojeg je u Ugovoru odobren iznos od 7500 eura).</w:t>
      </w:r>
    </w:p>
    <w:p w14:paraId="22DF6498" w14:textId="77777777" w:rsidR="00C545B1" w:rsidRPr="00A93EC1" w:rsidRDefault="00C545B1" w:rsidP="00C545B1">
      <w:pPr>
        <w:spacing w:line="276" w:lineRule="auto"/>
        <w:jc w:val="both"/>
      </w:pPr>
    </w:p>
    <w:p w14:paraId="6F22E09A" w14:textId="77777777" w:rsidR="00C545B1" w:rsidRPr="000E79D6" w:rsidRDefault="00C545B1" w:rsidP="00C545B1">
      <w:pPr>
        <w:spacing w:line="276" w:lineRule="auto"/>
        <w:jc w:val="both"/>
      </w:pPr>
      <w:r w:rsidRPr="000E79D6">
        <w:t>U realizaciji projekta sudjeluju zaposlenici Odjela za odobravanje lijekova</w:t>
      </w:r>
      <w:r>
        <w:t>,</w:t>
      </w:r>
      <w:r w:rsidRPr="000E79D6">
        <w:t xml:space="preserve"> uz podršku Ureda za odnose s javnošću. </w:t>
      </w:r>
    </w:p>
    <w:p w14:paraId="610261FA" w14:textId="131DF3AA" w:rsidR="00BD699B" w:rsidRDefault="00BD699B"/>
    <w:p w14:paraId="7F197CD9" w14:textId="1D04A273" w:rsidR="00BD699B" w:rsidRDefault="00BD699B"/>
    <w:p w14:paraId="55D8C49B" w14:textId="3895255C" w:rsidR="00BD699B" w:rsidRDefault="00BD699B"/>
    <w:p w14:paraId="4CC7135C" w14:textId="2CE18B44" w:rsidR="00BD699B" w:rsidRDefault="00BD699B"/>
    <w:p w14:paraId="63A87A7B" w14:textId="31668632" w:rsidR="00BD699B" w:rsidRDefault="00BD699B"/>
    <w:p w14:paraId="4536F2D2" w14:textId="1029471A" w:rsidR="00BD699B" w:rsidRDefault="00BD699B"/>
    <w:p w14:paraId="1A997010" w14:textId="34053265" w:rsidR="00BD699B" w:rsidRDefault="00BD699B"/>
    <w:p w14:paraId="466B2D6C" w14:textId="0589CFE1" w:rsidR="00BD699B" w:rsidRDefault="00BD699B"/>
    <w:p w14:paraId="12F8AB68" w14:textId="5BA05AEE" w:rsidR="00BD699B" w:rsidRDefault="00BD699B"/>
    <w:p w14:paraId="31CD3421" w14:textId="2D543445" w:rsidR="00BD699B" w:rsidRDefault="00BD699B"/>
    <w:p w14:paraId="12660087" w14:textId="66CB7D6D" w:rsidR="00BD699B" w:rsidRDefault="00BD699B"/>
    <w:p w14:paraId="27979C56" w14:textId="172124FB" w:rsidR="00BD699B" w:rsidRDefault="00BD699B"/>
    <w:p w14:paraId="6D94736B" w14:textId="1B726567" w:rsidR="00BD699B" w:rsidRDefault="00BD699B"/>
    <w:p w14:paraId="0EA8D432" w14:textId="75522036" w:rsidR="00BD699B" w:rsidRDefault="00BD699B"/>
    <w:p w14:paraId="6AAAA922" w14:textId="13809510" w:rsidR="00BD699B" w:rsidRDefault="00BD699B"/>
    <w:p w14:paraId="46E34B12" w14:textId="414E9B3E" w:rsidR="00BD699B" w:rsidRDefault="00BD699B"/>
    <w:p w14:paraId="7FA66592" w14:textId="24766840" w:rsidR="00BD699B" w:rsidRDefault="00BD699B"/>
    <w:p w14:paraId="6D8A1233" w14:textId="01BCF928" w:rsidR="00BD699B" w:rsidRDefault="00BD699B"/>
    <w:p w14:paraId="49AF11A7" w14:textId="67418CBB" w:rsidR="00BD699B" w:rsidRDefault="00BD699B"/>
    <w:p w14:paraId="58C0CA15" w14:textId="3476D8F3" w:rsidR="00BD699B" w:rsidRDefault="00BD699B"/>
    <w:p w14:paraId="695451D8" w14:textId="27EE0875" w:rsidR="00BD699B" w:rsidRDefault="00BD699B"/>
    <w:p w14:paraId="71C7495E" w14:textId="77777777" w:rsidR="00BD699B" w:rsidRDefault="00BD699B"/>
    <w:p w14:paraId="549E9E02" w14:textId="605FEE2F" w:rsidR="00BD699B" w:rsidRDefault="00BD699B" w:rsidP="00400391">
      <w:pPr>
        <w:pStyle w:val="Heading1"/>
      </w:pPr>
      <w:bookmarkStart w:id="313" w:name="_Toc50540992"/>
      <w:bookmarkStart w:id="314" w:name="_Toc83636907"/>
      <w:bookmarkStart w:id="315" w:name="_Toc88031860"/>
      <w:bookmarkStart w:id="316" w:name="_Toc107229663"/>
      <w:bookmarkStart w:id="317" w:name="_Toc165035543"/>
      <w:r w:rsidRPr="00085855">
        <w:t>3. IZVJEŠĆE O IZVRŠENJU FINANCIJSKOG PLANA</w:t>
      </w:r>
      <w:bookmarkEnd w:id="313"/>
      <w:bookmarkEnd w:id="314"/>
      <w:bookmarkEnd w:id="315"/>
      <w:bookmarkEnd w:id="316"/>
      <w:bookmarkEnd w:id="317"/>
    </w:p>
    <w:p w14:paraId="642098DA" w14:textId="77777777" w:rsidR="00BD699B" w:rsidRPr="00F36DA9" w:rsidRDefault="00BD699B" w:rsidP="00BD699B">
      <w:pPr>
        <w:pStyle w:val="Heading2"/>
      </w:pPr>
      <w:bookmarkStart w:id="318" w:name="_Toc50540993"/>
      <w:bookmarkStart w:id="319" w:name="_Toc107229664"/>
      <w:bookmarkStart w:id="320" w:name="_Toc165035544"/>
      <w:r w:rsidRPr="00F36DA9">
        <w:t>3.1. Zakonska regulativa</w:t>
      </w:r>
      <w:bookmarkEnd w:id="318"/>
      <w:bookmarkEnd w:id="319"/>
      <w:bookmarkEnd w:id="320"/>
    </w:p>
    <w:p w14:paraId="5194D323" w14:textId="77777777" w:rsidR="00BD699B" w:rsidRPr="002A6222" w:rsidRDefault="00BD699B" w:rsidP="00BD699B">
      <w:pPr>
        <w:spacing w:after="240" w:line="276" w:lineRule="auto"/>
        <w:jc w:val="both"/>
        <w:rPr>
          <w:rFonts w:cstheme="minorHAnsi"/>
          <w:color w:val="000000"/>
        </w:rPr>
      </w:pPr>
      <w:r w:rsidRPr="002A6222">
        <w:rPr>
          <w:rFonts w:cstheme="minorHAnsi"/>
          <w:color w:val="000000"/>
        </w:rPr>
        <w:t>Sukladno članku 36. Statuta, HALMED vodi poslovne knjige u skladu s propisima koji uređuju računovodstvo profitnih organizacija.</w:t>
      </w:r>
      <w:r>
        <w:rPr>
          <w:rFonts w:cstheme="minorHAnsi"/>
          <w:color w:val="000000"/>
        </w:rPr>
        <w:t xml:space="preserve"> Računovodstvo profitnih organi</w:t>
      </w:r>
      <w:r w:rsidRPr="002A6222">
        <w:rPr>
          <w:rFonts w:cstheme="minorHAnsi"/>
          <w:color w:val="000000"/>
        </w:rPr>
        <w:t>zacija propisano je Zakonom o računovodstvu. Prihodi i rashodi se evidentiraju prema načelu nastanka poslovnog događaja i u izvještajnom razdoblju na koja se odnose neovisno o naplati odnosno plaćanju.</w:t>
      </w:r>
      <w:r>
        <w:rPr>
          <w:rFonts w:cstheme="minorHAnsi"/>
          <w:color w:val="000000"/>
        </w:rPr>
        <w:t xml:space="preserve"> </w:t>
      </w:r>
    </w:p>
    <w:p w14:paraId="5574CDCA" w14:textId="77777777" w:rsidR="00BD699B" w:rsidRDefault="00BD699B" w:rsidP="00BD699B">
      <w:pPr>
        <w:spacing w:line="276" w:lineRule="auto"/>
        <w:jc w:val="both"/>
        <w:rPr>
          <w:rFonts w:cstheme="minorHAnsi"/>
          <w:color w:val="000000"/>
        </w:rPr>
      </w:pPr>
      <w:r w:rsidRPr="002A6222">
        <w:rPr>
          <w:rFonts w:cstheme="minorHAnsi"/>
          <w:color w:val="000000"/>
        </w:rPr>
        <w:t xml:space="preserve">HALMED nije korisnik sredstava iz državnog proračuna, a sredstva za poslovanje osiguravaju se naplaćivanjem usluga, godišnjim pristojbama </w:t>
      </w:r>
      <w:r w:rsidRPr="009D7B55">
        <w:rPr>
          <w:rFonts w:cstheme="minorHAnsi"/>
          <w:color w:val="000000"/>
        </w:rPr>
        <w:t>i iz drugih izvora sukladno članku 222. Zakona o lijekovima.</w:t>
      </w:r>
      <w:r w:rsidRPr="002A6222">
        <w:rPr>
          <w:rFonts w:cstheme="minorHAnsi"/>
          <w:color w:val="000000"/>
        </w:rPr>
        <w:t xml:space="preserve"> Cjenik usluga koje obavlja HALMED donosi Upravno vijeće, uz suglasnost m</w:t>
      </w:r>
      <w:r>
        <w:rPr>
          <w:rFonts w:cstheme="minorHAnsi"/>
          <w:color w:val="000000"/>
        </w:rPr>
        <w:t xml:space="preserve">inistra nadležnog za zdravstvo, odnosno ministra poljoprivrede za usluge koje obavlja temeljem Zakona o veterinarsko – medicinskim proizvodima. </w:t>
      </w:r>
    </w:p>
    <w:p w14:paraId="7D07A3AF" w14:textId="77777777" w:rsidR="00BD699B" w:rsidRPr="007D54F1" w:rsidRDefault="00BD699B" w:rsidP="00BD699B">
      <w:pPr>
        <w:spacing w:line="276" w:lineRule="auto"/>
        <w:jc w:val="both"/>
        <w:rPr>
          <w:rFonts w:cstheme="minorHAnsi"/>
          <w:color w:val="000000"/>
        </w:rPr>
      </w:pPr>
    </w:p>
    <w:p w14:paraId="291F6098" w14:textId="77777777" w:rsidR="00BD699B" w:rsidRDefault="00BD699B" w:rsidP="00BD699B">
      <w:pPr>
        <w:spacing w:after="240" w:line="276" w:lineRule="auto"/>
        <w:jc w:val="both"/>
        <w:rPr>
          <w:rFonts w:cstheme="minorHAnsi"/>
          <w:color w:val="000000"/>
        </w:rPr>
      </w:pPr>
      <w:r w:rsidRPr="002A6222">
        <w:rPr>
          <w:rFonts w:cstheme="minorHAnsi"/>
          <w:color w:val="000000"/>
        </w:rPr>
        <w:t xml:space="preserve">Statutom je propisano da HALMED posluje u svoje ime i za svoj račun. Ukoliko HALMED u zaključnom računu poslovanja iskaže dobit, ostvareni iznos dobiti usmjerava se za obavljanje i razvoj djelatnosti. Pod razvojem djelatnosti podrazumijeva se ulaganje sredstava u nabavu opreme, uređenje i izgradnju prostora, edukaciju i stručno usavršavanja radnika. </w:t>
      </w:r>
    </w:p>
    <w:p w14:paraId="33C96FFA" w14:textId="77777777" w:rsidR="00BD699B" w:rsidRPr="002A6222" w:rsidRDefault="00BD699B" w:rsidP="00BD699B">
      <w:pPr>
        <w:spacing w:after="240" w:line="276" w:lineRule="auto"/>
        <w:jc w:val="both"/>
        <w:rPr>
          <w:rFonts w:cstheme="minorHAnsi"/>
          <w:color w:val="000000"/>
        </w:rPr>
      </w:pPr>
      <w:r w:rsidRPr="002A6222">
        <w:rPr>
          <w:rFonts w:cstheme="minorHAnsi"/>
          <w:color w:val="000000"/>
        </w:rPr>
        <w:t xml:space="preserve">Od 2013. godine HALMED je obveznik plaćanja poreza na dobit temeljem Rješenja Ministarstva financija Klasa: UP/I-410-23/12-016/43, Urudžbeni broj: 513-07-01-65/12-02. </w:t>
      </w:r>
    </w:p>
    <w:p w14:paraId="51D98B9B" w14:textId="77777777" w:rsidR="00BD699B" w:rsidRDefault="00BD699B" w:rsidP="00BD699B">
      <w:pPr>
        <w:spacing w:after="240" w:line="276" w:lineRule="auto"/>
        <w:contextualSpacing/>
        <w:jc w:val="both"/>
        <w:rPr>
          <w:color w:val="4BACC6"/>
          <w:sz w:val="28"/>
          <w:szCs w:val="32"/>
        </w:rPr>
      </w:pPr>
      <w:r w:rsidRPr="002A6222">
        <w:rPr>
          <w:rFonts w:cstheme="minorHAnsi"/>
          <w:color w:val="000000"/>
        </w:rPr>
        <w:t>Financijsko poslovanje u 20</w:t>
      </w:r>
      <w:r>
        <w:rPr>
          <w:rFonts w:cstheme="minorHAnsi"/>
          <w:color w:val="000000"/>
        </w:rPr>
        <w:t>23</w:t>
      </w:r>
      <w:r w:rsidRPr="002A6222">
        <w:rPr>
          <w:rFonts w:cstheme="minorHAnsi"/>
          <w:color w:val="000000"/>
        </w:rPr>
        <w:t xml:space="preserve">. godini temelji se na Financijskom planu kojeg je usvojilo Upravno vijeće na </w:t>
      </w:r>
      <w:r>
        <w:rPr>
          <w:rFonts w:cstheme="minorHAnsi"/>
          <w:color w:val="000000"/>
        </w:rPr>
        <w:t>28</w:t>
      </w:r>
      <w:r w:rsidRPr="002A6222">
        <w:rPr>
          <w:rFonts w:cstheme="minorHAnsi"/>
          <w:color w:val="000000"/>
        </w:rPr>
        <w:t xml:space="preserve">. sjednici </w:t>
      </w:r>
      <w:r>
        <w:rPr>
          <w:rFonts w:cstheme="minorHAnsi"/>
          <w:color w:val="000000"/>
        </w:rPr>
        <w:t xml:space="preserve">održanoj </w:t>
      </w:r>
      <w:r w:rsidRPr="002A6222">
        <w:rPr>
          <w:rFonts w:cstheme="minorHAnsi"/>
          <w:color w:val="000000"/>
        </w:rPr>
        <w:t xml:space="preserve">dana </w:t>
      </w:r>
      <w:r>
        <w:rPr>
          <w:rFonts w:cstheme="minorHAnsi"/>
          <w:color w:val="000000"/>
        </w:rPr>
        <w:t>15. studenoga 2022. godine, na rebalansu Financijskog plana usvojenom na 38. sjednici održanoj 22. svibnja 2023. godine, na rebalansu Financijskog plana usvojenom na 42. sjednici održanoj 28. srpnja 2023. godine, te na rebalansu Financijskog plana usvojenom na 49. sjednici održanoj 7. prosinca 2023. godine.</w:t>
      </w:r>
    </w:p>
    <w:p w14:paraId="39FBF605" w14:textId="061AECD6" w:rsidR="00BD699B" w:rsidRDefault="00BD699B"/>
    <w:p w14:paraId="348793C2" w14:textId="77777777" w:rsidR="00BD699B" w:rsidRPr="00F36DA9" w:rsidRDefault="00BD699B" w:rsidP="00BD699B">
      <w:pPr>
        <w:pStyle w:val="Heading2"/>
      </w:pPr>
      <w:bookmarkStart w:id="321" w:name="_Toc50540994"/>
      <w:bookmarkStart w:id="322" w:name="_Toc107229665"/>
      <w:bookmarkStart w:id="323" w:name="_Toc165035545"/>
      <w:r w:rsidRPr="00AC0AE0">
        <w:t>3.2. Prihodi</w:t>
      </w:r>
      <w:bookmarkEnd w:id="321"/>
      <w:bookmarkEnd w:id="322"/>
      <w:bookmarkEnd w:id="323"/>
    </w:p>
    <w:p w14:paraId="503C36EB" w14:textId="77777777" w:rsidR="00BD699B" w:rsidRPr="002A6222" w:rsidRDefault="00BD699B" w:rsidP="00BD699B">
      <w:pPr>
        <w:tabs>
          <w:tab w:val="num" w:pos="0"/>
        </w:tabs>
        <w:spacing w:after="240" w:line="276" w:lineRule="auto"/>
        <w:jc w:val="both"/>
        <w:rPr>
          <w:rFonts w:eastAsia="Times New Roman" w:cstheme="minorHAnsi"/>
          <w:color w:val="000000"/>
        </w:rPr>
      </w:pPr>
      <w:r w:rsidRPr="002A6222">
        <w:rPr>
          <w:rFonts w:eastAsia="Times New Roman" w:cstheme="minorHAnsi"/>
          <w:color w:val="000000"/>
        </w:rPr>
        <w:t xml:space="preserve">HALMED je u razdoblju od 1. siječnja do </w:t>
      </w:r>
      <w:r>
        <w:rPr>
          <w:rFonts w:eastAsia="Times New Roman" w:cstheme="minorHAnsi"/>
          <w:color w:val="000000"/>
        </w:rPr>
        <w:t>31</w:t>
      </w:r>
      <w:r w:rsidRPr="002A6222">
        <w:rPr>
          <w:rFonts w:eastAsia="Times New Roman" w:cstheme="minorHAnsi"/>
          <w:color w:val="000000"/>
        </w:rPr>
        <w:t xml:space="preserve">. </w:t>
      </w:r>
      <w:r>
        <w:rPr>
          <w:rFonts w:eastAsia="Times New Roman" w:cstheme="minorHAnsi"/>
          <w:color w:val="000000"/>
        </w:rPr>
        <w:t>prosinca</w:t>
      </w:r>
      <w:r w:rsidRPr="002A6222">
        <w:rPr>
          <w:rFonts w:eastAsia="Times New Roman" w:cstheme="minorHAnsi"/>
          <w:color w:val="000000"/>
        </w:rPr>
        <w:t xml:space="preserve"> 20</w:t>
      </w:r>
      <w:r>
        <w:rPr>
          <w:rFonts w:eastAsia="Times New Roman" w:cstheme="minorHAnsi"/>
          <w:color w:val="000000"/>
        </w:rPr>
        <w:t>23</w:t>
      </w:r>
      <w:r w:rsidRPr="002A6222">
        <w:rPr>
          <w:rFonts w:eastAsia="Times New Roman" w:cstheme="minorHAnsi"/>
          <w:color w:val="000000"/>
        </w:rPr>
        <w:t xml:space="preserve">. godine </w:t>
      </w:r>
      <w:r w:rsidRPr="00B71523">
        <w:rPr>
          <w:rFonts w:eastAsia="Times New Roman" w:cstheme="minorHAnsi"/>
          <w:color w:val="000000"/>
        </w:rPr>
        <w:t xml:space="preserve">izvršio </w:t>
      </w:r>
      <w:r>
        <w:rPr>
          <w:rFonts w:eastAsia="Times New Roman" w:cstheme="minorHAnsi"/>
          <w:color w:val="000000"/>
        </w:rPr>
        <w:t>99</w:t>
      </w:r>
      <w:r w:rsidRPr="00B71523">
        <w:rPr>
          <w:rFonts w:eastAsia="Times New Roman" w:cstheme="minorHAnsi"/>
          <w:color w:val="000000"/>
        </w:rPr>
        <w:t>% prihoda od osnovnih djelatnosti planiranih</w:t>
      </w:r>
      <w:r>
        <w:rPr>
          <w:rFonts w:eastAsia="Times New Roman" w:cstheme="minorHAnsi"/>
          <w:color w:val="000000"/>
        </w:rPr>
        <w:t xml:space="preserve"> </w:t>
      </w:r>
      <w:r w:rsidRPr="00B71523">
        <w:rPr>
          <w:rFonts w:eastAsia="Times New Roman" w:cstheme="minorHAnsi"/>
          <w:color w:val="000000"/>
        </w:rPr>
        <w:t>Poslovnim planom za 202</w:t>
      </w:r>
      <w:r>
        <w:rPr>
          <w:rFonts w:eastAsia="Times New Roman" w:cstheme="minorHAnsi"/>
          <w:color w:val="000000"/>
        </w:rPr>
        <w:t>3</w:t>
      </w:r>
      <w:r w:rsidRPr="00B71523">
        <w:rPr>
          <w:rFonts w:eastAsia="Times New Roman" w:cstheme="minorHAnsi"/>
          <w:color w:val="000000"/>
        </w:rPr>
        <w:t>. godinu.</w:t>
      </w:r>
      <w:r w:rsidRPr="002A6222">
        <w:rPr>
          <w:rFonts w:eastAsia="Times New Roman" w:cstheme="minorHAnsi"/>
          <w:color w:val="000000"/>
        </w:rPr>
        <w:t xml:space="preserve"> </w:t>
      </w:r>
    </w:p>
    <w:p w14:paraId="3113AD1D" w14:textId="77777777" w:rsidR="00BD699B" w:rsidRPr="002A6222" w:rsidRDefault="00BD699B" w:rsidP="00BD699B">
      <w:pPr>
        <w:spacing w:line="276" w:lineRule="auto"/>
        <w:jc w:val="both"/>
        <w:rPr>
          <w:rFonts w:cstheme="minorHAnsi"/>
          <w:color w:val="000000"/>
        </w:rPr>
      </w:pPr>
      <w:r w:rsidRPr="00F36294">
        <w:rPr>
          <w:rFonts w:cstheme="minorHAnsi"/>
          <w:color w:val="000000"/>
        </w:rPr>
        <w:t>Ukupni prihodi HALMED-a na dan 3</w:t>
      </w:r>
      <w:r>
        <w:rPr>
          <w:rFonts w:cstheme="minorHAnsi"/>
          <w:color w:val="000000"/>
        </w:rPr>
        <w:t>1</w:t>
      </w:r>
      <w:r w:rsidRPr="00F36294">
        <w:rPr>
          <w:rFonts w:cstheme="minorHAnsi"/>
          <w:color w:val="000000"/>
        </w:rPr>
        <w:t xml:space="preserve">. </w:t>
      </w:r>
      <w:r>
        <w:rPr>
          <w:rFonts w:cstheme="minorHAnsi"/>
          <w:color w:val="000000"/>
        </w:rPr>
        <w:t>prosinca</w:t>
      </w:r>
      <w:r w:rsidRPr="00F36294">
        <w:rPr>
          <w:rFonts w:cstheme="minorHAnsi"/>
          <w:color w:val="000000"/>
        </w:rPr>
        <w:t xml:space="preserve"> 2023. godine iznose </w:t>
      </w:r>
      <w:r w:rsidRPr="00F02F8A">
        <w:rPr>
          <w:rFonts w:cstheme="minorHAnsi"/>
          <w:b/>
          <w:color w:val="000000"/>
        </w:rPr>
        <w:t>12.907.148</w:t>
      </w:r>
      <w:r w:rsidRPr="00F36294">
        <w:rPr>
          <w:rFonts w:cstheme="minorHAnsi"/>
          <w:b/>
          <w:color w:val="000000"/>
        </w:rPr>
        <w:t xml:space="preserve"> eura</w:t>
      </w:r>
      <w:r w:rsidRPr="00F36294">
        <w:rPr>
          <w:rFonts w:cstheme="minorHAnsi"/>
          <w:color w:val="000000"/>
        </w:rPr>
        <w:t xml:space="preserve"> što iznosi </w:t>
      </w:r>
      <w:r>
        <w:rPr>
          <w:rFonts w:cstheme="minorHAnsi"/>
          <w:color w:val="000000"/>
        </w:rPr>
        <w:t>100,3%  planiranih prihoda</w:t>
      </w:r>
      <w:r w:rsidRPr="00F36294">
        <w:rPr>
          <w:rFonts w:cstheme="minorHAnsi"/>
          <w:color w:val="000000"/>
        </w:rPr>
        <w:t xml:space="preserve"> za </w:t>
      </w:r>
      <w:r>
        <w:rPr>
          <w:rFonts w:cstheme="minorHAnsi"/>
          <w:color w:val="000000"/>
        </w:rPr>
        <w:t xml:space="preserve">godinu </w:t>
      </w:r>
      <w:r w:rsidRPr="00F36294">
        <w:rPr>
          <w:rFonts w:cstheme="minorHAnsi"/>
          <w:color w:val="000000"/>
        </w:rPr>
        <w:t xml:space="preserve">i </w:t>
      </w:r>
      <w:r>
        <w:rPr>
          <w:rFonts w:cstheme="minorHAnsi"/>
          <w:color w:val="000000"/>
        </w:rPr>
        <w:t>100,1</w:t>
      </w:r>
      <w:r w:rsidRPr="00F36294">
        <w:rPr>
          <w:rFonts w:cstheme="minorHAnsi"/>
          <w:color w:val="000000"/>
        </w:rPr>
        <w:t>% u odnosu na izvršen</w:t>
      </w:r>
      <w:r>
        <w:rPr>
          <w:rFonts w:cstheme="minorHAnsi"/>
          <w:color w:val="000000"/>
        </w:rPr>
        <w:t>je</w:t>
      </w:r>
      <w:r w:rsidRPr="00F36294">
        <w:rPr>
          <w:rFonts w:cstheme="minorHAnsi"/>
          <w:color w:val="000000"/>
        </w:rPr>
        <w:t xml:space="preserve"> prethodne godine.</w:t>
      </w:r>
    </w:p>
    <w:p w14:paraId="5AE4FFE9" w14:textId="77777777" w:rsidR="00BD699B" w:rsidRPr="002A6222" w:rsidRDefault="00BD699B" w:rsidP="00BD699B">
      <w:pPr>
        <w:spacing w:line="276" w:lineRule="auto"/>
        <w:rPr>
          <w:rFonts w:cstheme="minorHAnsi"/>
          <w:color w:val="000000"/>
        </w:rPr>
      </w:pPr>
    </w:p>
    <w:p w14:paraId="1E3A6756" w14:textId="77777777" w:rsidR="00BD699B" w:rsidRPr="002A6222" w:rsidRDefault="00BD699B" w:rsidP="00BD699B">
      <w:pPr>
        <w:spacing w:line="276" w:lineRule="auto"/>
        <w:rPr>
          <w:rFonts w:cstheme="minorHAnsi"/>
          <w:color w:val="000000"/>
        </w:rPr>
      </w:pPr>
      <w:r w:rsidRPr="002A6222">
        <w:rPr>
          <w:rFonts w:cstheme="minorHAnsi"/>
          <w:color w:val="000000"/>
        </w:rPr>
        <w:t xml:space="preserve">Prihode HALMED-a u razdoblju od </w:t>
      </w:r>
      <w:r w:rsidRPr="002A6222">
        <w:rPr>
          <w:rFonts w:eastAsia="Times New Roman" w:cstheme="minorHAnsi"/>
          <w:color w:val="000000"/>
        </w:rPr>
        <w:t>1. siječnja do 3</w:t>
      </w:r>
      <w:r>
        <w:rPr>
          <w:rFonts w:eastAsia="Times New Roman" w:cstheme="minorHAnsi"/>
          <w:color w:val="000000"/>
        </w:rPr>
        <w:t>1</w:t>
      </w:r>
      <w:r w:rsidRPr="002A6222">
        <w:rPr>
          <w:rFonts w:eastAsia="Times New Roman" w:cstheme="minorHAnsi"/>
          <w:color w:val="000000"/>
        </w:rPr>
        <w:t xml:space="preserve">. </w:t>
      </w:r>
      <w:r>
        <w:rPr>
          <w:rFonts w:eastAsia="Times New Roman" w:cstheme="minorHAnsi"/>
          <w:color w:val="000000"/>
        </w:rPr>
        <w:t>prosinca</w:t>
      </w:r>
      <w:r w:rsidRPr="002A6222">
        <w:rPr>
          <w:rFonts w:eastAsia="Times New Roman" w:cstheme="minorHAnsi"/>
          <w:color w:val="000000"/>
        </w:rPr>
        <w:t xml:space="preserve"> 20</w:t>
      </w:r>
      <w:r>
        <w:rPr>
          <w:rFonts w:eastAsia="Times New Roman" w:cstheme="minorHAnsi"/>
          <w:color w:val="000000"/>
        </w:rPr>
        <w:t>23</w:t>
      </w:r>
      <w:r w:rsidRPr="002A6222">
        <w:rPr>
          <w:rFonts w:eastAsia="Times New Roman" w:cstheme="minorHAnsi"/>
          <w:color w:val="000000"/>
        </w:rPr>
        <w:t>. godine čine slijedeći prihodi</w:t>
      </w:r>
      <w:r w:rsidRPr="002A6222">
        <w:rPr>
          <w:rFonts w:cstheme="minorHAnsi"/>
          <w:color w:val="000000"/>
        </w:rPr>
        <w:t xml:space="preserve">: </w:t>
      </w:r>
    </w:p>
    <w:p w14:paraId="419B11FA" w14:textId="77777777" w:rsidR="00BD699B" w:rsidRPr="00F36294" w:rsidRDefault="00BD699B" w:rsidP="00BD699B">
      <w:pPr>
        <w:spacing w:line="276" w:lineRule="auto"/>
        <w:rPr>
          <w:rFonts w:cstheme="minorHAnsi"/>
        </w:rPr>
      </w:pPr>
      <w:r w:rsidRPr="002A6222">
        <w:rPr>
          <w:rFonts w:cstheme="minorHAnsi"/>
          <w:color w:val="000000"/>
        </w:rPr>
        <w:t>- od redovitih usluga (prihodi od osnovne djelatnosti)</w:t>
      </w:r>
      <w:r w:rsidRPr="002A6222">
        <w:rPr>
          <w:rFonts w:cstheme="minorHAnsi"/>
          <w:color w:val="000000"/>
        </w:rPr>
        <w:tab/>
      </w:r>
      <w:r>
        <w:rPr>
          <w:rFonts w:cstheme="minorHAnsi"/>
          <w:color w:val="000000"/>
        </w:rPr>
        <w:t xml:space="preserve"> </w:t>
      </w:r>
      <w:r w:rsidRPr="00F36294">
        <w:rPr>
          <w:rFonts w:cstheme="minorHAnsi"/>
        </w:rPr>
        <w:t>9</w:t>
      </w:r>
      <w:r>
        <w:rPr>
          <w:rFonts w:cstheme="minorHAnsi"/>
        </w:rPr>
        <w:t>5</w:t>
      </w:r>
      <w:r w:rsidRPr="00F36294">
        <w:rPr>
          <w:rFonts w:cstheme="minorHAnsi"/>
        </w:rPr>
        <w:t>%</w:t>
      </w:r>
    </w:p>
    <w:p w14:paraId="750D8573" w14:textId="77777777" w:rsidR="00BD699B" w:rsidRPr="00F36294" w:rsidRDefault="00BD699B" w:rsidP="00BD699B">
      <w:pPr>
        <w:spacing w:line="276" w:lineRule="auto"/>
        <w:rPr>
          <w:rFonts w:cstheme="minorHAnsi"/>
        </w:rPr>
      </w:pPr>
      <w:r>
        <w:rPr>
          <w:rFonts w:cstheme="minorHAnsi"/>
        </w:rPr>
        <w:t>- prihodi od projekata</w:t>
      </w:r>
      <w:r>
        <w:rPr>
          <w:rFonts w:cstheme="minorHAnsi"/>
        </w:rPr>
        <w:tab/>
      </w:r>
      <w:r>
        <w:rPr>
          <w:rFonts w:cstheme="minorHAnsi"/>
        </w:rPr>
        <w:tab/>
      </w:r>
      <w:r>
        <w:rPr>
          <w:rFonts w:cstheme="minorHAnsi"/>
        </w:rPr>
        <w:tab/>
      </w:r>
      <w:r>
        <w:rPr>
          <w:rFonts w:cstheme="minorHAnsi"/>
        </w:rPr>
        <w:tab/>
      </w:r>
      <w:r>
        <w:rPr>
          <w:rFonts w:cstheme="minorHAnsi"/>
        </w:rPr>
        <w:tab/>
        <w:t xml:space="preserve">   4</w:t>
      </w:r>
      <w:r w:rsidRPr="00F36294">
        <w:rPr>
          <w:rFonts w:cstheme="minorHAnsi"/>
        </w:rPr>
        <w:t>%</w:t>
      </w:r>
    </w:p>
    <w:p w14:paraId="22C5809E" w14:textId="77777777" w:rsidR="00BD699B" w:rsidRPr="00F36294" w:rsidRDefault="00BD699B" w:rsidP="00BD699B">
      <w:pPr>
        <w:spacing w:line="276" w:lineRule="auto"/>
        <w:rPr>
          <w:rFonts w:cstheme="minorHAnsi"/>
        </w:rPr>
      </w:pPr>
      <w:r w:rsidRPr="00F36294">
        <w:rPr>
          <w:rFonts w:cstheme="minorHAnsi"/>
        </w:rPr>
        <w:t xml:space="preserve">- ostali poslovni prihodi </w:t>
      </w:r>
      <w:r w:rsidRPr="00F36294">
        <w:rPr>
          <w:rFonts w:cstheme="minorHAnsi"/>
        </w:rPr>
        <w:tab/>
      </w:r>
      <w:r w:rsidRPr="00F36294">
        <w:rPr>
          <w:rFonts w:cstheme="minorHAnsi"/>
        </w:rPr>
        <w:tab/>
      </w:r>
      <w:r w:rsidRPr="00F36294">
        <w:rPr>
          <w:rFonts w:cstheme="minorHAnsi"/>
        </w:rPr>
        <w:tab/>
      </w:r>
      <w:r w:rsidRPr="00F36294">
        <w:rPr>
          <w:rFonts w:cstheme="minorHAnsi"/>
        </w:rPr>
        <w:tab/>
        <w:t xml:space="preserve">   </w:t>
      </w:r>
      <w:r>
        <w:rPr>
          <w:rFonts w:cstheme="minorHAnsi"/>
        </w:rPr>
        <w:t>1%</w:t>
      </w:r>
    </w:p>
    <w:p w14:paraId="0DE40059" w14:textId="77777777" w:rsidR="00BD699B" w:rsidRPr="002A6222" w:rsidRDefault="00BD699B" w:rsidP="00BD699B">
      <w:pPr>
        <w:spacing w:line="276" w:lineRule="auto"/>
        <w:rPr>
          <w:rFonts w:cstheme="minorHAnsi"/>
          <w:color w:val="000000"/>
        </w:rPr>
      </w:pPr>
    </w:p>
    <w:p w14:paraId="7EEE0CBA" w14:textId="77777777" w:rsidR="00BD699B" w:rsidRDefault="00BD699B" w:rsidP="00BD699B">
      <w:pPr>
        <w:spacing w:line="276" w:lineRule="auto"/>
        <w:jc w:val="both"/>
        <w:rPr>
          <w:rFonts w:eastAsia="Times New Roman" w:cstheme="minorHAnsi"/>
          <w:color w:val="000000"/>
        </w:rPr>
      </w:pPr>
      <w:r w:rsidRPr="002A6222">
        <w:rPr>
          <w:rFonts w:cstheme="minorHAnsi"/>
          <w:color w:val="000000"/>
        </w:rPr>
        <w:lastRenderedPageBreak/>
        <w:t xml:space="preserve">Prikaz prihoda po vrstama prihoda realiziranih u razdoblju od </w:t>
      </w:r>
      <w:r w:rsidRPr="002A6222">
        <w:rPr>
          <w:rFonts w:eastAsia="Times New Roman" w:cstheme="minorHAnsi"/>
          <w:color w:val="000000"/>
        </w:rPr>
        <w:t>1. siječnja do 3</w:t>
      </w:r>
      <w:r>
        <w:rPr>
          <w:rFonts w:eastAsia="Times New Roman" w:cstheme="minorHAnsi"/>
          <w:color w:val="000000"/>
        </w:rPr>
        <w:t>1</w:t>
      </w:r>
      <w:r w:rsidRPr="002A6222">
        <w:rPr>
          <w:rFonts w:eastAsia="Times New Roman" w:cstheme="minorHAnsi"/>
          <w:color w:val="000000"/>
        </w:rPr>
        <w:t xml:space="preserve">. </w:t>
      </w:r>
      <w:r>
        <w:rPr>
          <w:rFonts w:eastAsia="Times New Roman" w:cstheme="minorHAnsi"/>
          <w:color w:val="000000"/>
        </w:rPr>
        <w:t>prosinca 2023</w:t>
      </w:r>
      <w:r w:rsidRPr="002A6222">
        <w:rPr>
          <w:rFonts w:eastAsia="Times New Roman" w:cstheme="minorHAnsi"/>
          <w:color w:val="000000"/>
        </w:rPr>
        <w:t>. godine nalaze se u Tablici br. 3</w:t>
      </w:r>
      <w:r>
        <w:rPr>
          <w:rFonts w:eastAsia="Times New Roman" w:cstheme="minorHAnsi"/>
          <w:color w:val="000000"/>
        </w:rPr>
        <w:t>6</w:t>
      </w:r>
      <w:r w:rsidRPr="002A6222">
        <w:rPr>
          <w:rFonts w:eastAsia="Times New Roman" w:cstheme="minorHAnsi"/>
          <w:color w:val="000000"/>
        </w:rPr>
        <w:t>., a u nastavku se nalaze obrazloženja pojedinih stavki prihoda.</w:t>
      </w:r>
    </w:p>
    <w:p w14:paraId="62743944" w14:textId="77777777" w:rsidR="00BD699B" w:rsidRPr="00F36DA9" w:rsidRDefault="00BD699B" w:rsidP="00BD699B">
      <w:pPr>
        <w:pStyle w:val="Heading3"/>
      </w:pPr>
      <w:bookmarkStart w:id="324" w:name="_Toc50540995"/>
      <w:bookmarkStart w:id="325" w:name="_Toc107229666"/>
      <w:bookmarkStart w:id="326" w:name="_Toc165035546"/>
      <w:r w:rsidRPr="00A1011E">
        <w:t>3.2.1. Prihodi od redovitih usluga</w:t>
      </w:r>
      <w:bookmarkEnd w:id="324"/>
      <w:bookmarkEnd w:id="325"/>
      <w:bookmarkEnd w:id="326"/>
      <w:r w:rsidRPr="00F36DA9">
        <w:t xml:space="preserve"> </w:t>
      </w:r>
    </w:p>
    <w:p w14:paraId="1FC5D220" w14:textId="77777777" w:rsidR="00BD699B" w:rsidRDefault="00BD699B" w:rsidP="00BD699B">
      <w:pPr>
        <w:spacing w:line="276" w:lineRule="auto"/>
        <w:jc w:val="both"/>
        <w:rPr>
          <w:rFonts w:eastAsia="Times New Roman" w:cstheme="minorHAnsi"/>
          <w:color w:val="000000"/>
          <w:lang w:eastAsia="ja-JP"/>
        </w:rPr>
      </w:pPr>
      <w:r w:rsidRPr="002A6222">
        <w:rPr>
          <w:rFonts w:eastAsia="Times New Roman" w:cstheme="minorHAnsi"/>
          <w:color w:val="000000"/>
          <w:lang w:eastAsia="ja-JP"/>
        </w:rPr>
        <w:t xml:space="preserve">Prihod Agencije od naplate usluga od osnovnih djelatnosti propisanih Zakonom iznosi </w:t>
      </w:r>
      <w:r>
        <w:rPr>
          <w:rFonts w:eastAsia="Times New Roman" w:cstheme="minorHAnsi"/>
          <w:color w:val="000000"/>
          <w:lang w:eastAsia="ja-JP"/>
        </w:rPr>
        <w:t>12.284.599 eura što je 99</w:t>
      </w:r>
      <w:r w:rsidRPr="002A6222">
        <w:rPr>
          <w:rFonts w:eastAsia="Times New Roman" w:cstheme="minorHAnsi"/>
          <w:color w:val="000000"/>
          <w:lang w:eastAsia="ja-JP"/>
        </w:rPr>
        <w:t xml:space="preserve">% planiranog, odnosno </w:t>
      </w:r>
      <w:r>
        <w:rPr>
          <w:rFonts w:eastAsia="Times New Roman" w:cstheme="minorHAnsi"/>
          <w:color w:val="000000"/>
          <w:lang w:eastAsia="ja-JP"/>
        </w:rPr>
        <w:t>98</w:t>
      </w:r>
      <w:r w:rsidRPr="002A6222">
        <w:rPr>
          <w:rFonts w:eastAsia="Times New Roman" w:cstheme="minorHAnsi"/>
          <w:color w:val="000000"/>
          <w:lang w:eastAsia="ja-JP"/>
        </w:rPr>
        <w:t xml:space="preserve">% izvršenja </w:t>
      </w:r>
      <w:r>
        <w:rPr>
          <w:rFonts w:eastAsia="Times New Roman" w:cstheme="minorHAnsi"/>
          <w:color w:val="000000"/>
          <w:lang w:eastAsia="ja-JP"/>
        </w:rPr>
        <w:t>prethodne</w:t>
      </w:r>
      <w:r w:rsidRPr="002A6222">
        <w:rPr>
          <w:rFonts w:eastAsia="Times New Roman" w:cstheme="minorHAnsi"/>
          <w:color w:val="000000"/>
          <w:lang w:eastAsia="ja-JP"/>
        </w:rPr>
        <w:t xml:space="preserve"> godine</w:t>
      </w:r>
      <w:r w:rsidRPr="00AC017B">
        <w:rPr>
          <w:rFonts w:eastAsia="Times New Roman" w:cstheme="minorHAnsi"/>
          <w:color w:val="000000"/>
          <w:lang w:eastAsia="ja-JP"/>
        </w:rPr>
        <w:t xml:space="preserve">. </w:t>
      </w:r>
    </w:p>
    <w:p w14:paraId="031AE919" w14:textId="77777777" w:rsidR="00BD699B" w:rsidRPr="002A6222" w:rsidRDefault="00BD699B" w:rsidP="00BD699B">
      <w:pPr>
        <w:spacing w:before="240" w:line="276" w:lineRule="auto"/>
        <w:ind w:right="1"/>
        <w:jc w:val="both"/>
        <w:rPr>
          <w:rFonts w:cstheme="minorHAnsi"/>
          <w:color w:val="000000"/>
        </w:rPr>
      </w:pPr>
      <w:r w:rsidRPr="00D85B56">
        <w:rPr>
          <w:rFonts w:cstheme="minorHAnsi"/>
          <w:color w:val="000000"/>
        </w:rPr>
        <w:t>HALMED</w:t>
      </w:r>
      <w:r>
        <w:rPr>
          <w:rFonts w:cstheme="minorHAnsi"/>
          <w:color w:val="000000"/>
        </w:rPr>
        <w:t xml:space="preserve"> je</w:t>
      </w:r>
      <w:r w:rsidRPr="00D85B56">
        <w:rPr>
          <w:rFonts w:cstheme="minorHAnsi"/>
          <w:color w:val="000000"/>
        </w:rPr>
        <w:t xml:space="preserve"> većinu</w:t>
      </w:r>
      <w:r w:rsidRPr="002A6222">
        <w:rPr>
          <w:rFonts w:cstheme="minorHAnsi"/>
          <w:color w:val="000000"/>
        </w:rPr>
        <w:t xml:space="preserve"> svojih prihoda </w:t>
      </w:r>
      <w:r>
        <w:rPr>
          <w:rFonts w:cstheme="minorHAnsi"/>
          <w:color w:val="000000"/>
        </w:rPr>
        <w:t>ostvario</w:t>
      </w:r>
      <w:r w:rsidRPr="002A6222">
        <w:rPr>
          <w:rFonts w:cstheme="minorHAnsi"/>
          <w:color w:val="000000"/>
        </w:rPr>
        <w:t xml:space="preserve"> naplaćivanjem usluga vezanih za stavljanje lijeka u promet</w:t>
      </w:r>
      <w:r>
        <w:rPr>
          <w:rFonts w:cstheme="minorHAnsi"/>
          <w:color w:val="000000"/>
        </w:rPr>
        <w:t xml:space="preserve"> (47%)</w:t>
      </w:r>
      <w:r w:rsidRPr="002A6222">
        <w:rPr>
          <w:rFonts w:cstheme="minorHAnsi"/>
          <w:color w:val="000000"/>
        </w:rPr>
        <w:t xml:space="preserve"> i godišnjim pristojbama</w:t>
      </w:r>
      <w:r>
        <w:rPr>
          <w:rFonts w:cstheme="minorHAnsi"/>
          <w:color w:val="000000"/>
        </w:rPr>
        <w:t xml:space="preserve"> (22%) te </w:t>
      </w:r>
      <w:r w:rsidRPr="002A6222">
        <w:rPr>
          <w:rFonts w:cstheme="minorHAnsi"/>
          <w:color w:val="000000"/>
        </w:rPr>
        <w:t>provjer</w:t>
      </w:r>
      <w:r>
        <w:rPr>
          <w:rFonts w:cstheme="minorHAnsi"/>
          <w:color w:val="000000"/>
        </w:rPr>
        <w:t>om</w:t>
      </w:r>
      <w:r w:rsidRPr="002A6222">
        <w:rPr>
          <w:rFonts w:cstheme="minorHAnsi"/>
          <w:color w:val="000000"/>
        </w:rPr>
        <w:t xml:space="preserve"> kakvoće </w:t>
      </w:r>
      <w:r>
        <w:rPr>
          <w:rFonts w:cstheme="minorHAnsi"/>
          <w:color w:val="000000"/>
        </w:rPr>
        <w:t xml:space="preserve">(7%) </w:t>
      </w:r>
      <w:r w:rsidRPr="002A6222">
        <w:rPr>
          <w:rFonts w:cstheme="minorHAnsi"/>
          <w:color w:val="000000"/>
        </w:rPr>
        <w:t xml:space="preserve">što je vidljivo iz Grafa br. 1. u nastavku. </w:t>
      </w:r>
    </w:p>
    <w:p w14:paraId="3A6D24E5" w14:textId="77777777" w:rsidR="00BD699B" w:rsidRPr="0091688B" w:rsidRDefault="00BD699B" w:rsidP="00BD699B">
      <w:pPr>
        <w:spacing w:line="276" w:lineRule="auto"/>
        <w:jc w:val="both"/>
        <w:rPr>
          <w:rFonts w:ascii="Calibri" w:eastAsia="Times New Roman" w:hAnsi="Calibri" w:cs="Calibri"/>
          <w:b/>
          <w:bCs/>
          <w:color w:val="000000"/>
          <w:lang w:eastAsia="hr-HR"/>
        </w:rPr>
      </w:pPr>
    </w:p>
    <w:p w14:paraId="082D439B" w14:textId="77777777" w:rsidR="00BD699B" w:rsidRPr="00DB72E7" w:rsidRDefault="00BD699B" w:rsidP="00BD699B">
      <w:pPr>
        <w:spacing w:line="276" w:lineRule="auto"/>
        <w:jc w:val="both"/>
        <w:rPr>
          <w:rFonts w:eastAsia="Times New Roman" w:cstheme="minorHAnsi"/>
          <w:color w:val="000000"/>
          <w:lang w:eastAsia="ja-JP"/>
        </w:rPr>
      </w:pPr>
      <w:r w:rsidRPr="002A6222">
        <w:rPr>
          <w:rFonts w:eastAsia="Times New Roman" w:cstheme="minorHAnsi"/>
          <w:color w:val="000000"/>
          <w:lang w:eastAsia="ja-JP"/>
        </w:rPr>
        <w:t xml:space="preserve">HALMED je s EMA-om 2013. godine potpisao Ugovor o suradnji </w:t>
      </w:r>
      <w:r w:rsidRPr="002A6222">
        <w:rPr>
          <w:rFonts w:eastAsia="Times New Roman" w:cstheme="minorHAnsi"/>
          <w:i/>
          <w:color w:val="000000"/>
          <w:lang w:eastAsia="ja-JP"/>
        </w:rPr>
        <w:t>(Cooperation Agreement REFERENCE NUMBER 139970/2013)</w:t>
      </w:r>
      <w:r w:rsidRPr="002A6222">
        <w:rPr>
          <w:rFonts w:eastAsia="Times New Roman" w:cstheme="minorHAnsi"/>
          <w:color w:val="000000"/>
          <w:lang w:eastAsia="ja-JP"/>
        </w:rPr>
        <w:t xml:space="preserve"> temeljem kojeg je od 1. siječnja do </w:t>
      </w:r>
      <w:r>
        <w:rPr>
          <w:rFonts w:eastAsia="Times New Roman" w:cstheme="minorHAnsi"/>
          <w:color w:val="000000"/>
          <w:lang w:eastAsia="ja-JP"/>
        </w:rPr>
        <w:t>31.</w:t>
      </w:r>
      <w:r w:rsidRPr="002A6222">
        <w:rPr>
          <w:rFonts w:eastAsia="Times New Roman" w:cstheme="minorHAnsi"/>
          <w:color w:val="000000"/>
          <w:lang w:eastAsia="ja-JP"/>
        </w:rPr>
        <w:t xml:space="preserve"> </w:t>
      </w:r>
      <w:r>
        <w:rPr>
          <w:rFonts w:eastAsia="Times New Roman" w:cstheme="minorHAnsi"/>
          <w:color w:val="000000"/>
          <w:lang w:eastAsia="ja-JP"/>
        </w:rPr>
        <w:t xml:space="preserve">prosinca </w:t>
      </w:r>
      <w:r w:rsidRPr="002A6222">
        <w:rPr>
          <w:rFonts w:eastAsia="Times New Roman" w:cstheme="minorHAnsi"/>
          <w:color w:val="000000"/>
          <w:lang w:eastAsia="ja-JP"/>
        </w:rPr>
        <w:t>20</w:t>
      </w:r>
      <w:r>
        <w:rPr>
          <w:rFonts w:eastAsia="Times New Roman" w:cstheme="minorHAnsi"/>
          <w:color w:val="000000"/>
          <w:lang w:eastAsia="ja-JP"/>
        </w:rPr>
        <w:t>23</w:t>
      </w:r>
      <w:r w:rsidRPr="002A6222">
        <w:rPr>
          <w:rFonts w:eastAsia="Times New Roman" w:cstheme="minorHAnsi"/>
          <w:color w:val="000000"/>
          <w:lang w:eastAsia="ja-JP"/>
        </w:rPr>
        <w:t xml:space="preserve">. godine EMA-i ukupno fakturirao </w:t>
      </w:r>
      <w:r>
        <w:rPr>
          <w:rFonts w:eastAsia="Times New Roman" w:cstheme="minorHAnsi"/>
          <w:color w:val="000000"/>
          <w:lang w:eastAsia="ja-JP"/>
        </w:rPr>
        <w:t>58.482</w:t>
      </w:r>
      <w:r w:rsidRPr="002A6222">
        <w:rPr>
          <w:rFonts w:eastAsia="Times New Roman" w:cstheme="minorHAnsi"/>
          <w:color w:val="000000"/>
          <w:lang w:eastAsia="ja-JP"/>
        </w:rPr>
        <w:t xml:space="preserve"> </w:t>
      </w:r>
      <w:r>
        <w:rPr>
          <w:rFonts w:eastAsia="Times New Roman" w:cstheme="minorHAnsi"/>
          <w:color w:val="000000"/>
          <w:lang w:eastAsia="ja-JP"/>
        </w:rPr>
        <w:t>eura</w:t>
      </w:r>
      <w:r w:rsidRPr="002A6222">
        <w:rPr>
          <w:rFonts w:eastAsia="Times New Roman" w:cstheme="minorHAnsi"/>
          <w:color w:val="000000"/>
          <w:lang w:eastAsia="ja-JP"/>
        </w:rPr>
        <w:t xml:space="preserve">. </w:t>
      </w:r>
      <w:r>
        <w:rPr>
          <w:rFonts w:eastAsia="Times New Roman" w:cstheme="minorHAnsi"/>
          <w:lang w:eastAsia="ja-JP"/>
        </w:rPr>
        <w:t>Po osnovi ocjene</w:t>
      </w:r>
      <w:r w:rsidRPr="00F83518">
        <w:rPr>
          <w:rFonts w:eastAsia="Times New Roman" w:cstheme="minorHAnsi"/>
          <w:lang w:eastAsia="ja-JP"/>
        </w:rPr>
        <w:t xml:space="preserve"> dokumentacije u centraliziranom postupku odobravanja lijekova </w:t>
      </w:r>
      <w:r>
        <w:rPr>
          <w:rFonts w:eastAsia="Times New Roman" w:cstheme="minorHAnsi"/>
          <w:lang w:eastAsia="ja-JP"/>
        </w:rPr>
        <w:t>sa EMA-om</w:t>
      </w:r>
      <w:r w:rsidRPr="00F83518">
        <w:rPr>
          <w:rFonts w:eastAsia="Times New Roman" w:cstheme="minorHAnsi"/>
          <w:lang w:eastAsia="ja-JP"/>
        </w:rPr>
        <w:t xml:space="preserve"> </w:t>
      </w:r>
      <w:r>
        <w:rPr>
          <w:rFonts w:eastAsia="Times New Roman" w:cstheme="minorHAnsi"/>
          <w:lang w:eastAsia="ja-JP"/>
        </w:rPr>
        <w:t>i ocjene</w:t>
      </w:r>
      <w:r w:rsidRPr="00F83518">
        <w:rPr>
          <w:rFonts w:eastAsia="Times New Roman" w:cstheme="minorHAnsi"/>
          <w:lang w:eastAsia="ja-JP"/>
        </w:rPr>
        <w:t xml:space="preserve"> dokumentacije u postupku</w:t>
      </w:r>
      <w:r>
        <w:rPr>
          <w:rFonts w:eastAsia="Times New Roman" w:cstheme="minorHAnsi"/>
          <w:lang w:eastAsia="ja-JP"/>
        </w:rPr>
        <w:t xml:space="preserve"> </w:t>
      </w:r>
      <w:r w:rsidRPr="00F83518">
        <w:rPr>
          <w:rFonts w:eastAsia="Times New Roman" w:cstheme="minorHAnsi"/>
          <w:lang w:eastAsia="ja-JP"/>
        </w:rPr>
        <w:t>dobivanja Ovjernice Europske farmakopeje, CEP (EDQM)</w:t>
      </w:r>
      <w:r>
        <w:rPr>
          <w:rFonts w:eastAsia="Times New Roman" w:cstheme="minorHAnsi"/>
          <w:lang w:eastAsia="ja-JP"/>
        </w:rPr>
        <w:t>,</w:t>
      </w:r>
      <w:r w:rsidRPr="00F83518">
        <w:rPr>
          <w:rFonts w:eastAsia="Times New Roman" w:cstheme="minorHAnsi"/>
          <w:lang w:eastAsia="ja-JP"/>
        </w:rPr>
        <w:t xml:space="preserve"> </w:t>
      </w:r>
      <w:r>
        <w:rPr>
          <w:rFonts w:eastAsia="Times New Roman" w:cstheme="minorHAnsi"/>
          <w:lang w:eastAsia="ja-JP"/>
        </w:rPr>
        <w:t>ostvareno je 507.198 eura</w:t>
      </w:r>
      <w:r w:rsidRPr="000C0516">
        <w:rPr>
          <w:rFonts w:eastAsia="Times New Roman" w:cstheme="minorHAnsi"/>
          <w:lang w:eastAsia="ja-JP"/>
        </w:rPr>
        <w:t xml:space="preserve"> </w:t>
      </w:r>
      <w:r>
        <w:rPr>
          <w:rFonts w:eastAsia="Times New Roman" w:cstheme="minorHAnsi"/>
          <w:lang w:eastAsia="ja-JP"/>
        </w:rPr>
        <w:t>prihoda.</w:t>
      </w:r>
    </w:p>
    <w:p w14:paraId="4B8756B1" w14:textId="0E807ACB" w:rsidR="00BD699B" w:rsidRDefault="00BD699B" w:rsidP="00BD699B">
      <w:pPr>
        <w:spacing w:line="276" w:lineRule="auto"/>
        <w:jc w:val="both"/>
        <w:rPr>
          <w:rFonts w:eastAsia="Times New Roman" w:cstheme="minorHAnsi"/>
          <w:lang w:eastAsia="ja-JP"/>
        </w:rPr>
      </w:pPr>
      <w:r>
        <w:rPr>
          <w:rFonts w:eastAsia="Times New Roman" w:cstheme="minorHAnsi"/>
          <w:lang w:eastAsia="ja-JP"/>
        </w:rPr>
        <w:t xml:space="preserve">Struktura prihoda i njihova realizacija s obzirom na odnos nacionalnih i europskih poslova detaljno je prikazana </w:t>
      </w:r>
      <w:r w:rsidRPr="00D43183">
        <w:rPr>
          <w:rFonts w:eastAsia="Times New Roman" w:cstheme="minorHAnsi"/>
          <w:lang w:eastAsia="ja-JP"/>
        </w:rPr>
        <w:t xml:space="preserve">u Privitku </w:t>
      </w:r>
      <w:r w:rsidR="00D43183" w:rsidRPr="00D43183">
        <w:rPr>
          <w:rFonts w:eastAsia="Times New Roman" w:cstheme="minorHAnsi"/>
          <w:lang w:eastAsia="ja-JP"/>
        </w:rPr>
        <w:t>5</w:t>
      </w:r>
      <w:r w:rsidRPr="00D43183">
        <w:rPr>
          <w:rFonts w:eastAsia="Times New Roman" w:cstheme="minorHAnsi"/>
          <w:lang w:eastAsia="ja-JP"/>
        </w:rPr>
        <w:t>. Analiza odnosa nacionalnih i europskih poslova.</w:t>
      </w:r>
      <w:r>
        <w:rPr>
          <w:rFonts w:eastAsia="Times New Roman" w:cstheme="minorHAnsi"/>
          <w:lang w:eastAsia="ja-JP"/>
        </w:rPr>
        <w:t xml:space="preserve"> </w:t>
      </w:r>
    </w:p>
    <w:p w14:paraId="662D22D6" w14:textId="77777777" w:rsidR="00BD699B" w:rsidRDefault="00BD699B"/>
    <w:p w14:paraId="26A3989E" w14:textId="77777777" w:rsidR="00BD699B" w:rsidRPr="002A6222" w:rsidRDefault="00BD699B" w:rsidP="00BD699B">
      <w:pPr>
        <w:pStyle w:val="Heading3"/>
      </w:pPr>
      <w:bookmarkStart w:id="327" w:name="_Toc503343181"/>
      <w:bookmarkStart w:id="328" w:name="_Toc50540996"/>
      <w:bookmarkStart w:id="329" w:name="_Toc107229667"/>
      <w:bookmarkStart w:id="330" w:name="_Toc165035547"/>
      <w:r w:rsidRPr="002A6222">
        <w:t>3</w:t>
      </w:r>
      <w:r w:rsidRPr="00F36DA9">
        <w:t>.2.2. Prihodi od projekata</w:t>
      </w:r>
      <w:bookmarkEnd w:id="327"/>
      <w:bookmarkEnd w:id="328"/>
      <w:bookmarkEnd w:id="329"/>
      <w:bookmarkEnd w:id="330"/>
      <w:r w:rsidRPr="002A6222">
        <w:t xml:space="preserve"> </w:t>
      </w:r>
    </w:p>
    <w:p w14:paraId="6D22BB0A" w14:textId="77777777" w:rsidR="00BD699B" w:rsidRDefault="00BD699B" w:rsidP="00BD699B">
      <w:pPr>
        <w:spacing w:line="276" w:lineRule="auto"/>
        <w:jc w:val="both"/>
        <w:rPr>
          <w:rFonts w:eastAsia="Times New Roman" w:cstheme="minorHAnsi"/>
          <w:color w:val="000000"/>
          <w:lang w:eastAsia="ja-JP"/>
        </w:rPr>
      </w:pPr>
      <w:r w:rsidRPr="0067699D">
        <w:rPr>
          <w:rFonts w:eastAsia="Times New Roman" w:cstheme="minorHAnsi"/>
          <w:color w:val="000000"/>
          <w:lang w:eastAsia="ja-JP"/>
        </w:rPr>
        <w:t>HALMED je u studenom 2019. godine potpisao ugovor o sudjelovanju u projektu Europske komisije UNICOM (</w:t>
      </w:r>
      <w:r w:rsidRPr="0099622B">
        <w:rPr>
          <w:rFonts w:eastAsia="Times New Roman" w:cstheme="minorHAnsi"/>
          <w:i/>
          <w:color w:val="000000"/>
          <w:lang w:eastAsia="ja-JP"/>
        </w:rPr>
        <w:t>Up-scaling the global univocal identification of medicines</w:t>
      </w:r>
      <w:r w:rsidRPr="0067699D">
        <w:rPr>
          <w:rFonts w:eastAsia="Times New Roman" w:cstheme="minorHAnsi"/>
          <w:color w:val="000000"/>
          <w:lang w:eastAsia="ja-JP"/>
        </w:rPr>
        <w:t xml:space="preserve">) financiranom iz Horizon 2020 EU Research &amp; Innovation Funding Programa. </w:t>
      </w:r>
      <w:r>
        <w:rPr>
          <w:rFonts w:eastAsia="Times New Roman" w:cstheme="minorHAnsi"/>
          <w:color w:val="000000"/>
          <w:lang w:eastAsia="ja-JP"/>
        </w:rPr>
        <w:t xml:space="preserve">Više o </w:t>
      </w:r>
      <w:r w:rsidRPr="00A27306">
        <w:rPr>
          <w:rFonts w:eastAsia="Times New Roman" w:cstheme="minorHAnsi"/>
          <w:color w:val="000000"/>
          <w:lang w:eastAsia="ja-JP"/>
        </w:rPr>
        <w:t xml:space="preserve">projektu opisano je u </w:t>
      </w:r>
      <w:r w:rsidRPr="00F45709">
        <w:rPr>
          <w:rFonts w:eastAsia="Times New Roman" w:cstheme="minorHAnsi"/>
          <w:color w:val="000000"/>
          <w:lang w:eastAsia="ja-JP"/>
        </w:rPr>
        <w:t>poglavlju 2.15.B.</w:t>
      </w:r>
      <w:r w:rsidRPr="00A27306">
        <w:rPr>
          <w:rFonts w:eastAsia="Times New Roman" w:cstheme="minorHAnsi"/>
          <w:color w:val="000000"/>
          <w:lang w:eastAsia="ja-JP"/>
        </w:rPr>
        <w:t xml:space="preserve"> Po</w:t>
      </w:r>
      <w:r>
        <w:rPr>
          <w:rFonts w:eastAsia="Times New Roman" w:cstheme="minorHAnsi"/>
          <w:color w:val="000000"/>
          <w:lang w:eastAsia="ja-JP"/>
        </w:rPr>
        <w:t xml:space="preserve"> osnovi sudjelovanja u ovom projektu tijekom 2023. godine ostvareno je 281.529 eura prihoda. </w:t>
      </w:r>
    </w:p>
    <w:p w14:paraId="686E6012" w14:textId="77777777" w:rsidR="00BD699B" w:rsidRDefault="00BD699B" w:rsidP="00BD699B">
      <w:pPr>
        <w:spacing w:line="276" w:lineRule="auto"/>
        <w:jc w:val="both"/>
        <w:rPr>
          <w:rFonts w:eastAsia="Times New Roman" w:cstheme="minorHAnsi"/>
          <w:color w:val="000000"/>
          <w:lang w:eastAsia="ja-JP"/>
        </w:rPr>
      </w:pPr>
    </w:p>
    <w:p w14:paraId="6D68930A" w14:textId="77777777" w:rsidR="00BD699B" w:rsidRDefault="00BD699B" w:rsidP="00BD699B">
      <w:pPr>
        <w:spacing w:line="276" w:lineRule="auto"/>
        <w:jc w:val="both"/>
        <w:rPr>
          <w:iCs/>
        </w:rPr>
      </w:pPr>
      <w:r w:rsidRPr="001D05A0">
        <w:rPr>
          <w:rFonts w:eastAsia="Times New Roman" w:cstheme="minorHAnsi"/>
          <w:color w:val="000000"/>
          <w:lang w:eastAsia="ja-JP"/>
        </w:rPr>
        <w:t xml:space="preserve">HALMED je uključen </w:t>
      </w:r>
      <w:r>
        <w:rPr>
          <w:rFonts w:eastAsia="Times New Roman" w:cstheme="minorHAnsi"/>
          <w:color w:val="000000"/>
          <w:lang w:eastAsia="ja-JP"/>
        </w:rPr>
        <w:t xml:space="preserve">i </w:t>
      </w:r>
      <w:r w:rsidRPr="001D05A0">
        <w:rPr>
          <w:rFonts w:eastAsia="Times New Roman" w:cstheme="minorHAnsi"/>
          <w:color w:val="000000"/>
          <w:lang w:eastAsia="ja-JP"/>
        </w:rPr>
        <w:t xml:space="preserve">u neintervencijsko ispitivanje pod nazivom Prospektivno praćenje sigurnosti cjepiva protiv bolesti COVID-19 u Europi na temelju ishoda koje su prijavile cijepljene osobe, koje se provodi na razini Europske unije u sklopu projekta vACCine covid-19 monitoring readinESS (ACCESS). </w:t>
      </w:r>
      <w:r>
        <w:rPr>
          <w:rFonts w:eastAsia="Times New Roman" w:cstheme="minorHAnsi"/>
          <w:color w:val="000000"/>
          <w:lang w:eastAsia="ja-JP"/>
        </w:rPr>
        <w:t>Temeljem sklopljenog Ugovora za</w:t>
      </w:r>
      <w:r w:rsidRPr="001D05A0">
        <w:rPr>
          <w:rFonts w:eastAsia="Times New Roman" w:cstheme="minorHAnsi"/>
          <w:color w:val="000000"/>
          <w:lang w:eastAsia="ja-JP"/>
        </w:rPr>
        <w:t xml:space="preserve"> drugu fazu </w:t>
      </w:r>
      <w:r>
        <w:rPr>
          <w:rFonts w:eastAsia="Times New Roman" w:cstheme="minorHAnsi"/>
          <w:color w:val="000000"/>
          <w:lang w:eastAsia="ja-JP"/>
        </w:rPr>
        <w:t xml:space="preserve">projekta (2. rujna 2021. godine) do kraja godine izvršen je prihod u iznosu od 55.113 eura. </w:t>
      </w:r>
      <w:r w:rsidRPr="00A27306">
        <w:rPr>
          <w:rFonts w:eastAsia="Times New Roman" w:cstheme="minorHAnsi"/>
          <w:color w:val="000000"/>
          <w:lang w:eastAsia="ja-JP"/>
        </w:rPr>
        <w:t>V</w:t>
      </w:r>
      <w:r w:rsidRPr="00A27306">
        <w:rPr>
          <w:iCs/>
        </w:rPr>
        <w:t xml:space="preserve">iše o projektu opisano </w:t>
      </w:r>
      <w:r w:rsidRPr="00F45709">
        <w:rPr>
          <w:iCs/>
        </w:rPr>
        <w:t>je u poglavlju 2.15.C.</w:t>
      </w:r>
      <w:r>
        <w:rPr>
          <w:iCs/>
        </w:rPr>
        <w:t xml:space="preserve"> </w:t>
      </w:r>
    </w:p>
    <w:p w14:paraId="5FDDD42D" w14:textId="77777777" w:rsidR="00BD699B" w:rsidRDefault="00BD699B" w:rsidP="00BD699B">
      <w:pPr>
        <w:spacing w:line="276" w:lineRule="auto"/>
        <w:jc w:val="both"/>
        <w:rPr>
          <w:rFonts w:eastAsia="Times New Roman" w:cstheme="minorHAnsi"/>
          <w:color w:val="000000"/>
          <w:lang w:eastAsia="ja-JP"/>
        </w:rPr>
      </w:pPr>
    </w:p>
    <w:p w14:paraId="5C21B1C4" w14:textId="77777777" w:rsidR="00BD699B" w:rsidRDefault="00BD699B" w:rsidP="00BD699B">
      <w:pPr>
        <w:spacing w:line="276" w:lineRule="auto"/>
        <w:jc w:val="both"/>
        <w:rPr>
          <w:rFonts w:eastAsia="Times New Roman" w:cstheme="minorHAnsi"/>
          <w:color w:val="000000"/>
          <w:lang w:eastAsia="ja-JP"/>
        </w:rPr>
      </w:pPr>
      <w:r w:rsidRPr="0046524F">
        <w:rPr>
          <w:iCs/>
        </w:rPr>
        <w:t xml:space="preserve">U okviru programa  </w:t>
      </w:r>
      <w:r>
        <w:rPr>
          <w:iCs/>
        </w:rPr>
        <w:t>„</w:t>
      </w:r>
      <w:r w:rsidRPr="0046524F">
        <w:rPr>
          <w:iCs/>
        </w:rPr>
        <w:t>EU4Hea</w:t>
      </w:r>
      <w:r>
        <w:rPr>
          <w:iCs/>
        </w:rPr>
        <w:t>l</w:t>
      </w:r>
      <w:r w:rsidRPr="0046524F">
        <w:rPr>
          <w:iCs/>
        </w:rPr>
        <w:t>th Programme</w:t>
      </w:r>
      <w:r>
        <w:rPr>
          <w:iCs/>
        </w:rPr>
        <w:t>“</w:t>
      </w:r>
      <w:r w:rsidRPr="0046524F">
        <w:rPr>
          <w:iCs/>
        </w:rPr>
        <w:t xml:space="preserve"> </w:t>
      </w:r>
      <w:r>
        <w:rPr>
          <w:iCs/>
        </w:rPr>
        <w:t>2021.-2027.</w:t>
      </w:r>
      <w:r w:rsidRPr="0046524F">
        <w:rPr>
          <w:iCs/>
        </w:rPr>
        <w:t xml:space="preserve">, HALMED sudjeluje u ulozi koordinatora odnosno voditelja radnog paketa 1 (WP1 Lead) projekta EU4H-2021-JA-12: safety assessment cooperation and facilitated conduct of clinical trials (SAFE-CT). </w:t>
      </w:r>
      <w:r>
        <w:rPr>
          <w:iCs/>
        </w:rPr>
        <w:t xml:space="preserve">Razdoblje provedbe projekta je od 1. svibnja 2022. do 30. travnja 2025. godine, a </w:t>
      </w:r>
      <w:r w:rsidRPr="005209AB">
        <w:rPr>
          <w:iCs/>
        </w:rPr>
        <w:t xml:space="preserve">više o projektu opisano je </w:t>
      </w:r>
      <w:r w:rsidRPr="00F45709">
        <w:rPr>
          <w:iCs/>
        </w:rPr>
        <w:t>u poglavlju 2.15.Ea</w:t>
      </w:r>
      <w:r>
        <w:rPr>
          <w:iCs/>
        </w:rPr>
        <w:t>. D</w:t>
      </w:r>
      <w:r>
        <w:rPr>
          <w:rFonts w:eastAsia="Times New Roman" w:cstheme="minorHAnsi"/>
          <w:color w:val="000000"/>
          <w:lang w:eastAsia="ja-JP"/>
        </w:rPr>
        <w:t>o kraja godine knjižen je prihod po osnovi sudjelovanja u ovom projektu u iznosu od 87.347 eura.</w:t>
      </w:r>
    </w:p>
    <w:p w14:paraId="13AD89DE" w14:textId="77777777" w:rsidR="00BD699B" w:rsidRDefault="00BD699B" w:rsidP="00BD699B">
      <w:pPr>
        <w:spacing w:line="276" w:lineRule="auto"/>
        <w:jc w:val="both"/>
        <w:rPr>
          <w:rFonts w:eastAsia="Times New Roman" w:cstheme="minorHAnsi"/>
          <w:color w:val="000000"/>
          <w:lang w:eastAsia="ja-JP"/>
        </w:rPr>
      </w:pPr>
    </w:p>
    <w:p w14:paraId="038EBF14" w14:textId="77777777" w:rsidR="00BD699B" w:rsidRDefault="00BD699B" w:rsidP="00BD699B">
      <w:pPr>
        <w:spacing w:line="276" w:lineRule="auto"/>
        <w:jc w:val="both"/>
        <w:rPr>
          <w:rFonts w:eastAsia="Times New Roman" w:cstheme="minorHAnsi"/>
          <w:color w:val="000000"/>
          <w:lang w:eastAsia="ja-JP"/>
        </w:rPr>
      </w:pPr>
      <w:r>
        <w:rPr>
          <w:rFonts w:cstheme="minorHAnsi"/>
        </w:rPr>
        <w:t xml:space="preserve">U okviru istog programa </w:t>
      </w:r>
      <w:r w:rsidRPr="00470424">
        <w:t>„EU4Hea</w:t>
      </w:r>
      <w:r>
        <w:t>l</w:t>
      </w:r>
      <w:r w:rsidRPr="00470424">
        <w:t>th Programme ”</w:t>
      </w:r>
      <w:r>
        <w:t xml:space="preserve"> HALMED je sudionik i projekta EU4H-2021-JA-11</w:t>
      </w:r>
      <w:r w:rsidRPr="00CC4C4B">
        <w:t xml:space="preserve"> „Joint Action on quality of medicines and implementation of the pharmaceutical legislation/strategy“</w:t>
      </w:r>
      <w:r>
        <w:t xml:space="preserve">, akronima </w:t>
      </w:r>
      <w:r w:rsidRPr="00CC4C4B">
        <w:t>EU4H 11</w:t>
      </w:r>
      <w:r>
        <w:t xml:space="preserve"> s početkom 1. studenog 2022. godine i trajanjem tri godine. Cilj projekta je jačanje kapaciteta inspektorata dobre proizvođačke prakse (GMP) i dobre distribucijske prakse (GDP) unutar EU/EGP-a. Po osnovi ovog projekta ostvareno je 28.240 eura prihoda do kraja prosinca, </w:t>
      </w:r>
      <w:r w:rsidRPr="005209AB">
        <w:t xml:space="preserve">a više o projektu opisano je u </w:t>
      </w:r>
      <w:r w:rsidRPr="00F45709">
        <w:t>poglavlju 2.15.Eb.</w:t>
      </w:r>
    </w:p>
    <w:p w14:paraId="164502F0" w14:textId="77777777" w:rsidR="00BD699B" w:rsidRDefault="00BD699B" w:rsidP="00BD699B">
      <w:pPr>
        <w:spacing w:line="276" w:lineRule="auto"/>
        <w:jc w:val="both"/>
        <w:rPr>
          <w:rFonts w:eastAsia="Times New Roman" w:cstheme="minorHAnsi"/>
          <w:color w:val="000000"/>
          <w:lang w:eastAsia="ja-JP"/>
        </w:rPr>
      </w:pPr>
    </w:p>
    <w:p w14:paraId="708E6C27" w14:textId="5CEF6E62" w:rsidR="00BD699B" w:rsidRDefault="00BD699B" w:rsidP="00BD699B">
      <w:pPr>
        <w:spacing w:line="276" w:lineRule="auto"/>
        <w:jc w:val="both"/>
        <w:rPr>
          <w:rFonts w:cstheme="minorHAnsi"/>
        </w:rPr>
      </w:pPr>
      <w:r>
        <w:rPr>
          <w:iCs/>
        </w:rPr>
        <w:t xml:space="preserve">U okviru programa </w:t>
      </w:r>
      <w:r w:rsidRPr="00470424">
        <w:t>„EU4Hea</w:t>
      </w:r>
      <w:r>
        <w:t>l</w:t>
      </w:r>
      <w:r w:rsidRPr="00470424">
        <w:t>th Programme ”</w:t>
      </w:r>
      <w:r>
        <w:t xml:space="preserve"> HALMED je sudionik još jednog projekta </w:t>
      </w:r>
      <w:r w:rsidRPr="007609C7">
        <w:rPr>
          <w:rFonts w:cstheme="minorHAnsi"/>
        </w:rPr>
        <w:t xml:space="preserve">EU4H-2021-JA-06: </w:t>
      </w:r>
      <w:r>
        <w:rPr>
          <w:rFonts w:cstheme="minorHAnsi"/>
        </w:rPr>
        <w:t>„A</w:t>
      </w:r>
      <w:r w:rsidRPr="007609C7">
        <w:rPr>
          <w:rFonts w:cstheme="minorHAnsi"/>
          <w:bCs/>
          <w:iCs/>
        </w:rPr>
        <w:t>vailability of medicines, shortages and security of supply</w:t>
      </w:r>
      <w:r>
        <w:rPr>
          <w:rFonts w:cstheme="minorHAnsi"/>
          <w:bCs/>
          <w:iCs/>
        </w:rPr>
        <w:t xml:space="preserve">“ akronima CHESSMEN. </w:t>
      </w:r>
      <w:r>
        <w:rPr>
          <w:rFonts w:cstheme="minorHAnsi"/>
        </w:rPr>
        <w:t xml:space="preserve">Opći cilj projekta je uspješna implementacija Uredbe </w:t>
      </w:r>
      <w:r w:rsidRPr="00136B03">
        <w:rPr>
          <w:rFonts w:cstheme="minorHAnsi"/>
        </w:rPr>
        <w:t>(EU) 2022/123 o pojačanoj ulozi EMA-e u pripravnosti za krizne situacije i upravljanju njima u području lijekova i medicinskih proizvoda</w:t>
      </w:r>
      <w:r>
        <w:rPr>
          <w:rFonts w:cstheme="minorHAnsi"/>
        </w:rPr>
        <w:t xml:space="preserve"> te razmjena nacionalnih praksi po pitanju praćenja i upravljanja nestašicama. Po osnovi ovog projekta tijekom 2023. godine ostvareno je 22.051 euro prohoda.  Više o projektu </w:t>
      </w:r>
      <w:r w:rsidRPr="00F45709">
        <w:rPr>
          <w:rFonts w:cstheme="minorHAnsi"/>
        </w:rPr>
        <w:t>opisano je u poglavlju 2.15Ec</w:t>
      </w:r>
      <w:r w:rsidR="002249E7" w:rsidRPr="00F45709">
        <w:rPr>
          <w:rFonts w:cstheme="minorHAnsi"/>
        </w:rPr>
        <w:t>.</w:t>
      </w:r>
    </w:p>
    <w:p w14:paraId="686A8270" w14:textId="4DC0C83F" w:rsidR="002249E7" w:rsidRDefault="002249E7" w:rsidP="00BD699B">
      <w:pPr>
        <w:spacing w:line="276" w:lineRule="auto"/>
        <w:jc w:val="both"/>
        <w:rPr>
          <w:rFonts w:cstheme="minorHAnsi"/>
        </w:rPr>
      </w:pPr>
    </w:p>
    <w:p w14:paraId="778E2ED1" w14:textId="77777777" w:rsidR="002249E7" w:rsidRPr="00F36DA9" w:rsidRDefault="002249E7" w:rsidP="002249E7">
      <w:pPr>
        <w:pStyle w:val="Heading3"/>
      </w:pPr>
      <w:bookmarkStart w:id="331" w:name="_Toc50540997"/>
      <w:bookmarkStart w:id="332" w:name="_Toc107229668"/>
      <w:bookmarkStart w:id="333" w:name="_Toc165035548"/>
      <w:r w:rsidRPr="003C213C">
        <w:t>3.2.3. Ostali poslovni prihodi</w:t>
      </w:r>
      <w:bookmarkEnd w:id="331"/>
      <w:bookmarkEnd w:id="332"/>
      <w:bookmarkEnd w:id="333"/>
      <w:r w:rsidRPr="00F36DA9">
        <w:t xml:space="preserve"> </w:t>
      </w:r>
    </w:p>
    <w:p w14:paraId="24A7111F" w14:textId="77777777" w:rsidR="002249E7" w:rsidRPr="00804799" w:rsidRDefault="002249E7" w:rsidP="002249E7">
      <w:pPr>
        <w:spacing w:line="276" w:lineRule="auto"/>
        <w:jc w:val="both"/>
        <w:rPr>
          <w:rFonts w:eastAsia="Times New Roman" w:cstheme="minorHAnsi"/>
          <w:color w:val="000000"/>
          <w:lang w:eastAsia="ja-JP"/>
        </w:rPr>
      </w:pPr>
      <w:r w:rsidRPr="00965B2E">
        <w:rPr>
          <w:rFonts w:eastAsia="Times New Roman" w:cstheme="minorHAnsi"/>
          <w:color w:val="000000"/>
          <w:lang w:eastAsia="ja-JP"/>
        </w:rPr>
        <w:t xml:space="preserve">Ostali poslovni prihodi odnose se na </w:t>
      </w:r>
      <w:r>
        <w:rPr>
          <w:rFonts w:eastAsia="Times New Roman" w:cstheme="minorHAnsi"/>
          <w:color w:val="000000"/>
          <w:lang w:eastAsia="ja-JP"/>
        </w:rPr>
        <w:t>prihod od sudjelujućih interesa (</w:t>
      </w:r>
      <w:r w:rsidRPr="00965B2E">
        <w:rPr>
          <w:rFonts w:eastAsia="Times New Roman" w:cstheme="minorHAnsi"/>
          <w:color w:val="000000"/>
          <w:lang w:eastAsia="ja-JP"/>
        </w:rPr>
        <w:t xml:space="preserve">tečajne razlike, </w:t>
      </w:r>
      <w:r>
        <w:rPr>
          <w:rFonts w:eastAsia="Times New Roman" w:cstheme="minorHAnsi"/>
          <w:color w:val="000000"/>
          <w:lang w:eastAsia="ja-JP"/>
        </w:rPr>
        <w:t xml:space="preserve">redovne </w:t>
      </w:r>
      <w:r w:rsidRPr="00965B2E">
        <w:rPr>
          <w:rFonts w:eastAsia="Times New Roman" w:cstheme="minorHAnsi"/>
          <w:color w:val="000000"/>
          <w:lang w:eastAsia="ja-JP"/>
        </w:rPr>
        <w:t xml:space="preserve">kamate, </w:t>
      </w:r>
      <w:r>
        <w:rPr>
          <w:rFonts w:eastAsia="Times New Roman" w:cstheme="minorHAnsi"/>
          <w:color w:val="000000"/>
          <w:lang w:eastAsia="ja-JP"/>
        </w:rPr>
        <w:t xml:space="preserve">kamate na oročene i „a vista“ depozite, zatezne kamate) i ostale poslovne prihode, </w:t>
      </w:r>
      <w:r w:rsidRPr="002A6222">
        <w:rPr>
          <w:rFonts w:eastAsia="Times New Roman" w:cstheme="minorHAnsi"/>
          <w:color w:val="000000"/>
          <w:lang w:eastAsia="ja-JP"/>
        </w:rPr>
        <w:t>a</w:t>
      </w:r>
      <w:r>
        <w:rPr>
          <w:rFonts w:eastAsia="Times New Roman" w:cstheme="minorHAnsi"/>
          <w:color w:val="000000"/>
          <w:lang w:eastAsia="ja-JP"/>
        </w:rPr>
        <w:t xml:space="preserve"> svi oni</w:t>
      </w:r>
      <w:r w:rsidRPr="002A6222">
        <w:rPr>
          <w:rFonts w:eastAsia="Times New Roman" w:cstheme="minorHAnsi"/>
          <w:color w:val="000000"/>
          <w:lang w:eastAsia="ja-JP"/>
        </w:rPr>
        <w:t xml:space="preserve"> ukupno </w:t>
      </w:r>
      <w:r w:rsidRPr="001E2231">
        <w:rPr>
          <w:rFonts w:eastAsia="Times New Roman" w:cstheme="minorHAnsi"/>
          <w:color w:val="000000"/>
          <w:lang w:eastAsia="ja-JP"/>
        </w:rPr>
        <w:t xml:space="preserve">iznose </w:t>
      </w:r>
      <w:r>
        <w:rPr>
          <w:rFonts w:eastAsia="Times New Roman" w:cstheme="minorHAnsi"/>
          <w:color w:val="000000"/>
          <w:lang w:eastAsia="ja-JP"/>
        </w:rPr>
        <w:t>148.269</w:t>
      </w:r>
      <w:r w:rsidRPr="001E2231">
        <w:rPr>
          <w:rFonts w:eastAsia="Times New Roman" w:cstheme="minorHAnsi"/>
          <w:color w:val="000000"/>
          <w:lang w:eastAsia="ja-JP"/>
        </w:rPr>
        <w:t xml:space="preserve"> </w:t>
      </w:r>
      <w:r>
        <w:rPr>
          <w:rFonts w:eastAsia="Times New Roman" w:cstheme="minorHAnsi"/>
          <w:color w:val="000000"/>
          <w:lang w:eastAsia="ja-JP"/>
        </w:rPr>
        <w:t>eura</w:t>
      </w:r>
      <w:r w:rsidRPr="001E2231">
        <w:rPr>
          <w:rFonts w:eastAsia="Times New Roman" w:cstheme="minorHAnsi"/>
          <w:color w:val="000000"/>
          <w:lang w:eastAsia="ja-JP"/>
        </w:rPr>
        <w:t>,</w:t>
      </w:r>
      <w:r w:rsidRPr="001E2231">
        <w:rPr>
          <w:rFonts w:eastAsia="Times New Roman" w:cstheme="minorHAnsi"/>
          <w:bCs/>
          <w:color w:val="000000"/>
        </w:rPr>
        <w:t xml:space="preserve"> odnosno </w:t>
      </w:r>
      <w:r w:rsidRPr="001E2231">
        <w:rPr>
          <w:rFonts w:eastAsia="Times New Roman" w:cstheme="minorHAnsi"/>
          <w:color w:val="000000"/>
          <w:lang w:eastAsia="ja-JP"/>
        </w:rPr>
        <w:t xml:space="preserve">izvršeni </w:t>
      </w:r>
      <w:r w:rsidRPr="001E2231">
        <w:rPr>
          <w:rFonts w:eastAsia="Times New Roman" w:cstheme="minorHAnsi"/>
          <w:bCs/>
          <w:color w:val="000000"/>
        </w:rPr>
        <w:t xml:space="preserve">su </w:t>
      </w:r>
      <w:r>
        <w:rPr>
          <w:rFonts w:eastAsia="Times New Roman" w:cstheme="minorHAnsi"/>
          <w:bCs/>
          <w:color w:val="000000"/>
        </w:rPr>
        <w:t>56</w:t>
      </w:r>
      <w:r w:rsidRPr="001E2231">
        <w:rPr>
          <w:rFonts w:eastAsia="Times New Roman" w:cstheme="minorHAnsi"/>
          <w:bCs/>
          <w:color w:val="000000"/>
        </w:rPr>
        <w:t>%</w:t>
      </w:r>
      <w:r>
        <w:rPr>
          <w:rFonts w:eastAsia="Times New Roman" w:cstheme="minorHAnsi"/>
          <w:bCs/>
          <w:color w:val="000000"/>
        </w:rPr>
        <w:t xml:space="preserve"> više od planiranog za razdoblje. </w:t>
      </w:r>
    </w:p>
    <w:p w14:paraId="38489C37" w14:textId="77777777" w:rsidR="002249E7" w:rsidRPr="009A1A14" w:rsidRDefault="002249E7" w:rsidP="00AC375F">
      <w:pPr>
        <w:pStyle w:val="ListParagraph"/>
        <w:numPr>
          <w:ilvl w:val="0"/>
          <w:numId w:val="54"/>
        </w:numPr>
        <w:spacing w:before="240"/>
        <w:jc w:val="both"/>
        <w:rPr>
          <w:rFonts w:eastAsia="Times New Roman" w:cstheme="minorHAnsi"/>
          <w:color w:val="000000"/>
          <w:sz w:val="22"/>
          <w:szCs w:val="22"/>
          <w:lang w:eastAsia="ja-JP"/>
        </w:rPr>
      </w:pPr>
      <w:r w:rsidRPr="00972AA2">
        <w:rPr>
          <w:rFonts w:eastAsia="Times New Roman" w:cstheme="minorHAnsi"/>
          <w:color w:val="000000"/>
          <w:sz w:val="22"/>
          <w:szCs w:val="22"/>
          <w:lang w:eastAsia="ja-JP"/>
        </w:rPr>
        <w:t>Prihodi od sudjelujućih interesa i ostalih ulaganja</w:t>
      </w:r>
      <w:r w:rsidRPr="009A1A14">
        <w:rPr>
          <w:rFonts w:eastAsia="Times New Roman" w:cstheme="minorHAnsi"/>
          <w:color w:val="000000"/>
          <w:sz w:val="22"/>
          <w:szCs w:val="22"/>
          <w:lang w:eastAsia="ja-JP"/>
        </w:rPr>
        <w:t xml:space="preserve"> </w:t>
      </w:r>
      <w:r>
        <w:rPr>
          <w:rFonts w:eastAsia="Times New Roman" w:cstheme="minorHAnsi"/>
          <w:color w:val="000000"/>
          <w:sz w:val="22"/>
          <w:szCs w:val="22"/>
          <w:lang w:eastAsia="ja-JP"/>
        </w:rPr>
        <w:t>–</w:t>
      </w:r>
      <w:r w:rsidRPr="009A1A14">
        <w:rPr>
          <w:rFonts w:eastAsia="Times New Roman" w:cstheme="minorHAnsi"/>
          <w:color w:val="000000"/>
          <w:sz w:val="22"/>
          <w:szCs w:val="22"/>
          <w:lang w:eastAsia="ja-JP"/>
        </w:rPr>
        <w:t xml:space="preserve"> </w:t>
      </w:r>
      <w:r>
        <w:rPr>
          <w:rFonts w:eastAsia="Times New Roman" w:cstheme="minorHAnsi"/>
          <w:color w:val="000000"/>
          <w:sz w:val="22"/>
          <w:szCs w:val="22"/>
          <w:lang w:eastAsia="ja-JP"/>
        </w:rPr>
        <w:t xml:space="preserve">u ovoj grupi </w:t>
      </w:r>
      <w:r w:rsidRPr="009A1A14">
        <w:rPr>
          <w:rFonts w:eastAsia="Times New Roman" w:cstheme="minorHAnsi"/>
          <w:color w:val="000000"/>
          <w:sz w:val="22"/>
          <w:szCs w:val="22"/>
          <w:lang w:eastAsia="ja-JP"/>
        </w:rPr>
        <w:t xml:space="preserve">manji </w:t>
      </w:r>
      <w:r>
        <w:rPr>
          <w:rFonts w:eastAsia="Times New Roman" w:cstheme="minorHAnsi"/>
          <w:color w:val="000000"/>
          <w:sz w:val="22"/>
          <w:szCs w:val="22"/>
          <w:lang w:eastAsia="ja-JP"/>
        </w:rPr>
        <w:t>od</w:t>
      </w:r>
      <w:r w:rsidRPr="009A1A14">
        <w:rPr>
          <w:rFonts w:eastAsia="Times New Roman" w:cstheme="minorHAnsi"/>
          <w:color w:val="000000"/>
          <w:sz w:val="22"/>
          <w:szCs w:val="22"/>
          <w:lang w:eastAsia="ja-JP"/>
        </w:rPr>
        <w:t xml:space="preserve"> plana </w:t>
      </w:r>
      <w:r>
        <w:rPr>
          <w:rFonts w:eastAsia="Times New Roman" w:cstheme="minorHAnsi"/>
          <w:color w:val="000000"/>
          <w:sz w:val="22"/>
          <w:szCs w:val="22"/>
          <w:lang w:eastAsia="ja-JP"/>
        </w:rPr>
        <w:t xml:space="preserve">su prihodi </w:t>
      </w:r>
      <w:r w:rsidRPr="009A1A14">
        <w:rPr>
          <w:rFonts w:eastAsia="Times New Roman" w:cstheme="minorHAnsi"/>
          <w:color w:val="000000"/>
          <w:sz w:val="22"/>
          <w:szCs w:val="22"/>
          <w:lang w:eastAsia="ja-JP"/>
        </w:rPr>
        <w:t xml:space="preserve">od </w:t>
      </w:r>
      <w:r>
        <w:rPr>
          <w:rFonts w:eastAsia="Times New Roman" w:cstheme="minorHAnsi"/>
          <w:color w:val="000000"/>
          <w:sz w:val="22"/>
          <w:szCs w:val="22"/>
          <w:lang w:eastAsia="ja-JP"/>
        </w:rPr>
        <w:t xml:space="preserve"> zateznih kamata i prihod od </w:t>
      </w:r>
      <w:r w:rsidRPr="009A1A14">
        <w:rPr>
          <w:rFonts w:eastAsia="Times New Roman" w:cstheme="minorHAnsi"/>
          <w:color w:val="000000"/>
          <w:sz w:val="22"/>
          <w:szCs w:val="22"/>
          <w:lang w:eastAsia="ja-JP"/>
        </w:rPr>
        <w:t>tečajnih razlika</w:t>
      </w:r>
      <w:r>
        <w:rPr>
          <w:rFonts w:eastAsia="Times New Roman" w:cstheme="minorHAnsi"/>
          <w:color w:val="000000"/>
          <w:sz w:val="22"/>
          <w:szCs w:val="22"/>
          <w:lang w:eastAsia="ja-JP"/>
        </w:rPr>
        <w:t>. Kamate na oročene depozite su izvršene kako je i planirano odnosno</w:t>
      </w:r>
      <w:r w:rsidRPr="00761461">
        <w:rPr>
          <w:rFonts w:eastAsia="Times New Roman" w:cstheme="minorHAnsi"/>
          <w:color w:val="000000"/>
          <w:sz w:val="22"/>
          <w:szCs w:val="22"/>
          <w:lang w:eastAsia="ja-JP"/>
        </w:rPr>
        <w:t xml:space="preserve"> </w:t>
      </w:r>
      <w:r>
        <w:rPr>
          <w:rFonts w:eastAsia="Times New Roman" w:cstheme="minorHAnsi"/>
          <w:color w:val="000000"/>
          <w:sz w:val="22"/>
          <w:szCs w:val="22"/>
          <w:lang w:eastAsia="ja-JP"/>
        </w:rPr>
        <w:t>ugovoreno. U odnosu na isto razdoblje prethodne godine manji je samo prihod od tečajnih razlika.</w:t>
      </w:r>
    </w:p>
    <w:p w14:paraId="549DCE89" w14:textId="5B62DB0B" w:rsidR="002249E7" w:rsidRPr="00933C9F" w:rsidRDefault="002249E7" w:rsidP="00AC375F">
      <w:pPr>
        <w:pStyle w:val="ListParagraph"/>
        <w:numPr>
          <w:ilvl w:val="0"/>
          <w:numId w:val="54"/>
        </w:numPr>
        <w:jc w:val="both"/>
        <w:rPr>
          <w:rFonts w:eastAsia="Times New Roman" w:cstheme="minorHAnsi"/>
          <w:color w:val="000000"/>
          <w:sz w:val="22"/>
          <w:szCs w:val="22"/>
          <w:lang w:eastAsia="ja-JP"/>
        </w:rPr>
      </w:pPr>
      <w:r w:rsidRPr="00656085">
        <w:rPr>
          <w:rFonts w:eastAsia="Times New Roman" w:cstheme="minorHAnsi"/>
          <w:color w:val="000000"/>
          <w:sz w:val="22"/>
          <w:szCs w:val="22"/>
          <w:lang w:eastAsia="ja-JP"/>
        </w:rPr>
        <w:t xml:space="preserve">Ostali poslovni prihodi -  u ovoj grupi </w:t>
      </w:r>
      <w:r>
        <w:rPr>
          <w:rFonts w:eastAsia="Times New Roman" w:cstheme="minorHAnsi"/>
          <w:color w:val="000000"/>
          <w:sz w:val="22"/>
          <w:szCs w:val="22"/>
          <w:lang w:eastAsia="ja-JP"/>
        </w:rPr>
        <w:t>se nalaze</w:t>
      </w:r>
      <w:r w:rsidRPr="00656085">
        <w:rPr>
          <w:rFonts w:eastAsia="Times New Roman" w:cstheme="minorHAnsi"/>
          <w:color w:val="000000"/>
          <w:sz w:val="22"/>
          <w:szCs w:val="22"/>
          <w:lang w:eastAsia="ja-JP"/>
        </w:rPr>
        <w:t xml:space="preserve"> prihodi od naknade troškova službenih putovanja za sudjelovanje djelatnika HALMED-a u radnim skupinama i tijelima europskih i međunarodnih institucija</w:t>
      </w:r>
      <w:r>
        <w:rPr>
          <w:rFonts w:eastAsia="Times New Roman" w:cstheme="minorHAnsi"/>
          <w:color w:val="000000"/>
          <w:sz w:val="22"/>
          <w:szCs w:val="22"/>
          <w:lang w:eastAsia="ja-JP"/>
        </w:rPr>
        <w:t xml:space="preserve"> (</w:t>
      </w:r>
      <w:r w:rsidRPr="00CF21D4">
        <w:rPr>
          <w:rFonts w:eastAsia="Times New Roman" w:cstheme="minorHAnsi"/>
          <w:color w:val="000000"/>
          <w:sz w:val="22"/>
          <w:szCs w:val="22"/>
          <w:lang w:eastAsia="ja-JP"/>
        </w:rPr>
        <w:t>Europska agencija za lijekove, Europsko ravnateljstvo za kakvoću lijekova i zdravstvenu skrb</w:t>
      </w:r>
      <w:r>
        <w:rPr>
          <w:rFonts w:eastAsia="Times New Roman" w:cstheme="minorHAnsi"/>
          <w:color w:val="000000"/>
          <w:sz w:val="22"/>
          <w:szCs w:val="22"/>
          <w:lang w:eastAsia="ja-JP"/>
        </w:rPr>
        <w:t xml:space="preserve">, Europska komisija) </w:t>
      </w:r>
      <w:r w:rsidRPr="00656085">
        <w:rPr>
          <w:rFonts w:eastAsia="Times New Roman" w:cstheme="minorHAnsi"/>
          <w:color w:val="000000"/>
          <w:sz w:val="22"/>
          <w:szCs w:val="22"/>
          <w:lang w:eastAsia="ja-JP"/>
        </w:rPr>
        <w:t xml:space="preserve"> </w:t>
      </w:r>
      <w:r>
        <w:rPr>
          <w:rFonts w:eastAsia="Times New Roman" w:cstheme="minorHAnsi"/>
          <w:color w:val="000000"/>
          <w:sz w:val="22"/>
          <w:szCs w:val="22"/>
          <w:lang w:eastAsia="ja-JP"/>
        </w:rPr>
        <w:t xml:space="preserve">koji su u izvještajnom razdoblju veći od izvršenja prethodne godine obzirom da se </w:t>
      </w:r>
      <w:r w:rsidR="00F45709">
        <w:rPr>
          <w:rFonts w:eastAsia="Times New Roman" w:cstheme="minorHAnsi"/>
          <w:color w:val="000000"/>
          <w:sz w:val="22"/>
          <w:szCs w:val="22"/>
          <w:lang w:eastAsia="ja-JP"/>
        </w:rPr>
        <w:t>sastanci u</w:t>
      </w:r>
      <w:r w:rsidRPr="00933C9F">
        <w:rPr>
          <w:rFonts w:eastAsia="Times New Roman" w:cstheme="minorHAnsi"/>
          <w:color w:val="000000"/>
          <w:sz w:val="22"/>
          <w:szCs w:val="22"/>
          <w:lang w:eastAsia="ja-JP"/>
        </w:rPr>
        <w:t>živo ponovno održavaju u većem broju u odnosu na on-line sastanke za vrijeme trajanja pandemije i tek su nešto veći od plana za godinu. Na ovoj stavci se nalazi i konačan prihod od refundacija troškova po osnovi Twining projekta Europske unije pod nazivom "Podrška Agenciji za lijekove i medicinska sredstva Crne Gore (CALIMS)" te je u skladu je s planiranim i na razini prihoda prethodne godine. Ostatak ostvarenih prihoda odnosi se na refundaciju troškova školarina od strane djelatnika, naplaćena prethodno otpisana potraživanja i prihod od ukidanja rezervacija. U odnosu na plan za godinu izvršenje je veće u dijelu refundacija troškova (troškovi službenih putovanja i školarina).</w:t>
      </w:r>
    </w:p>
    <w:p w14:paraId="60FE883C" w14:textId="3BA607D0" w:rsidR="002249E7" w:rsidRDefault="002249E7" w:rsidP="00BD699B">
      <w:pPr>
        <w:spacing w:line="276" w:lineRule="auto"/>
        <w:jc w:val="both"/>
        <w:rPr>
          <w:rFonts w:cstheme="minorHAnsi"/>
        </w:rPr>
      </w:pPr>
      <w:r w:rsidRPr="00450DE6">
        <w:rPr>
          <w:rFonts w:eastAsia="Times New Roman" w:cs="Times New Roman"/>
          <w:b/>
        </w:rPr>
        <w:t xml:space="preserve">Tablica </w:t>
      </w:r>
      <w:r w:rsidRPr="003A5BD4">
        <w:rPr>
          <w:rFonts w:eastAsia="Times New Roman" w:cs="Times New Roman"/>
          <w:b/>
        </w:rPr>
        <w:t>36.</w:t>
      </w:r>
      <w:r w:rsidRPr="00450DE6">
        <w:rPr>
          <w:rFonts w:eastAsia="Times New Roman" w:cs="Times New Roman"/>
          <w:b/>
        </w:rPr>
        <w:t xml:space="preserve"> Ukupni p</w:t>
      </w:r>
      <w:r w:rsidRPr="00450DE6">
        <w:rPr>
          <w:rFonts w:eastAsia="Times New Roman" w:cs="Times New Roman"/>
          <w:b/>
          <w:bCs/>
        </w:rPr>
        <w:t xml:space="preserve">rihodi po vrstama prihoda </w:t>
      </w:r>
      <w:r w:rsidR="005044BC">
        <w:rPr>
          <w:rFonts w:eastAsia="Times New Roman" w:cs="Times New Roman"/>
          <w:b/>
          <w:bCs/>
        </w:rPr>
        <w:t xml:space="preserve">u </w:t>
      </w:r>
      <w:r w:rsidRPr="00A52769">
        <w:rPr>
          <w:rFonts w:ascii="Calibri" w:eastAsia="Times New Roman" w:hAnsi="Calibri" w:cs="Times New Roman"/>
          <w:b/>
          <w:bCs/>
          <w:lang w:eastAsia="hr-HR"/>
        </w:rPr>
        <w:t>2023. godin</w:t>
      </w:r>
      <w:r w:rsidR="005044BC">
        <w:rPr>
          <w:rFonts w:ascii="Calibri" w:eastAsia="Times New Roman" w:hAnsi="Calibri" w:cs="Times New Roman"/>
          <w:b/>
          <w:bCs/>
          <w:lang w:eastAsia="hr-HR"/>
        </w:rPr>
        <w:t>i</w:t>
      </w:r>
    </w:p>
    <w:tbl>
      <w:tblPr>
        <w:tblW w:w="5299" w:type="pct"/>
        <w:tblInd w:w="-142" w:type="dxa"/>
        <w:tblLook w:val="04A0" w:firstRow="1" w:lastRow="0" w:firstColumn="1" w:lastColumn="0" w:noHBand="0" w:noVBand="1"/>
      </w:tblPr>
      <w:tblGrid>
        <w:gridCol w:w="661"/>
        <w:gridCol w:w="2751"/>
        <w:gridCol w:w="1409"/>
        <w:gridCol w:w="1135"/>
        <w:gridCol w:w="1141"/>
        <w:gridCol w:w="984"/>
        <w:gridCol w:w="1001"/>
        <w:gridCol w:w="984"/>
      </w:tblGrid>
      <w:tr w:rsidR="002249E7" w:rsidRPr="00B00C44" w14:paraId="73ACCA00" w14:textId="77777777" w:rsidTr="002249E7">
        <w:trPr>
          <w:trHeight w:val="170"/>
          <w:tblHeader/>
        </w:trPr>
        <w:tc>
          <w:tcPr>
            <w:tcW w:w="328" w:type="pct"/>
            <w:tcBorders>
              <w:top w:val="nil"/>
              <w:left w:val="nil"/>
              <w:bottom w:val="single" w:sz="4" w:space="0" w:color="auto"/>
              <w:right w:val="nil"/>
            </w:tcBorders>
            <w:shd w:val="clear" w:color="auto" w:fill="auto"/>
            <w:noWrap/>
            <w:vAlign w:val="center"/>
            <w:hideMark/>
          </w:tcPr>
          <w:p w14:paraId="58C9EDE2" w14:textId="77777777" w:rsidR="002249E7" w:rsidRPr="00B00C44" w:rsidRDefault="002249E7" w:rsidP="002249E7">
            <w:pPr>
              <w:rPr>
                <w:rFonts w:eastAsia="Times New Roman" w:cstheme="minorHAnsi"/>
                <w:sz w:val="20"/>
                <w:szCs w:val="20"/>
                <w:lang w:eastAsia="hr-HR"/>
              </w:rPr>
            </w:pPr>
          </w:p>
        </w:tc>
        <w:tc>
          <w:tcPr>
            <w:tcW w:w="1365" w:type="pct"/>
            <w:tcBorders>
              <w:top w:val="nil"/>
              <w:left w:val="nil"/>
              <w:bottom w:val="single" w:sz="4" w:space="0" w:color="auto"/>
              <w:right w:val="nil"/>
            </w:tcBorders>
            <w:shd w:val="clear" w:color="auto" w:fill="auto"/>
            <w:noWrap/>
            <w:vAlign w:val="center"/>
            <w:hideMark/>
          </w:tcPr>
          <w:p w14:paraId="55B7CD31" w14:textId="77777777" w:rsidR="002249E7" w:rsidRPr="00B00C44" w:rsidRDefault="002249E7" w:rsidP="002249E7">
            <w:pPr>
              <w:rPr>
                <w:rFonts w:eastAsia="Times New Roman" w:cstheme="minorHAnsi"/>
                <w:sz w:val="20"/>
                <w:szCs w:val="20"/>
                <w:lang w:eastAsia="hr-HR"/>
              </w:rPr>
            </w:pPr>
          </w:p>
        </w:tc>
        <w:tc>
          <w:tcPr>
            <w:tcW w:w="700" w:type="pct"/>
            <w:tcBorders>
              <w:top w:val="nil"/>
              <w:left w:val="nil"/>
              <w:bottom w:val="single" w:sz="4" w:space="0" w:color="auto"/>
              <w:right w:val="single" w:sz="4" w:space="0" w:color="auto"/>
            </w:tcBorders>
            <w:shd w:val="clear" w:color="auto" w:fill="auto"/>
            <w:noWrap/>
            <w:vAlign w:val="center"/>
            <w:hideMark/>
          </w:tcPr>
          <w:p w14:paraId="0747C5B1" w14:textId="77777777" w:rsidR="002249E7" w:rsidRPr="00B00C44" w:rsidRDefault="002249E7" w:rsidP="002249E7">
            <w:pPr>
              <w:rPr>
                <w:rFonts w:eastAsia="Times New Roman" w:cstheme="minorHAnsi"/>
                <w:sz w:val="20"/>
                <w:szCs w:val="20"/>
                <w:lang w:eastAsia="hr-HR"/>
              </w:rPr>
            </w:pPr>
          </w:p>
        </w:tc>
        <w:tc>
          <w:tcPr>
            <w:tcW w:w="2117" w:type="pct"/>
            <w:gridSpan w:val="4"/>
            <w:tcBorders>
              <w:top w:val="single" w:sz="4" w:space="0" w:color="auto"/>
              <w:left w:val="single" w:sz="4" w:space="0" w:color="auto"/>
              <w:bottom w:val="single" w:sz="4" w:space="0" w:color="auto"/>
              <w:right w:val="single" w:sz="4" w:space="0" w:color="auto"/>
            </w:tcBorders>
            <w:shd w:val="clear" w:color="000000" w:fill="A3E7FF"/>
            <w:vAlign w:val="center"/>
            <w:hideMark/>
          </w:tcPr>
          <w:p w14:paraId="6777D890" w14:textId="77777777" w:rsidR="002249E7" w:rsidRPr="00B00C44" w:rsidRDefault="002249E7" w:rsidP="002249E7">
            <w:pPr>
              <w:jc w:val="center"/>
              <w:rPr>
                <w:rFonts w:eastAsia="Times New Roman" w:cstheme="minorHAnsi"/>
                <w:b/>
                <w:bCs/>
                <w:color w:val="000000"/>
                <w:sz w:val="20"/>
                <w:szCs w:val="20"/>
                <w:lang w:eastAsia="hr-HR"/>
              </w:rPr>
            </w:pPr>
            <w:r w:rsidRPr="00B00C44">
              <w:rPr>
                <w:rFonts w:eastAsia="Times New Roman" w:cstheme="minorHAnsi"/>
                <w:b/>
                <w:bCs/>
                <w:color w:val="000000"/>
                <w:sz w:val="20"/>
                <w:szCs w:val="20"/>
                <w:lang w:eastAsia="hr-HR"/>
              </w:rPr>
              <w:t>2023. godina</w:t>
            </w:r>
          </w:p>
        </w:tc>
        <w:tc>
          <w:tcPr>
            <w:tcW w:w="489" w:type="pct"/>
            <w:tcBorders>
              <w:top w:val="nil"/>
              <w:left w:val="single" w:sz="4" w:space="0" w:color="auto"/>
              <w:bottom w:val="single" w:sz="4" w:space="0" w:color="auto"/>
              <w:right w:val="nil"/>
            </w:tcBorders>
            <w:shd w:val="clear" w:color="auto" w:fill="auto"/>
            <w:noWrap/>
            <w:vAlign w:val="center"/>
            <w:hideMark/>
          </w:tcPr>
          <w:p w14:paraId="7BBBEE2A" w14:textId="77777777" w:rsidR="002249E7" w:rsidRPr="00B00C44" w:rsidRDefault="002249E7" w:rsidP="002249E7">
            <w:pPr>
              <w:rPr>
                <w:rFonts w:eastAsia="Times New Roman" w:cstheme="minorHAnsi"/>
                <w:color w:val="000000"/>
                <w:sz w:val="20"/>
                <w:szCs w:val="20"/>
                <w:lang w:eastAsia="hr-HR"/>
              </w:rPr>
            </w:pPr>
            <w:r w:rsidRPr="00B00C44">
              <w:rPr>
                <w:rFonts w:eastAsia="Times New Roman" w:cstheme="minorHAnsi"/>
                <w:color w:val="000000"/>
                <w:sz w:val="20"/>
                <w:szCs w:val="20"/>
                <w:lang w:eastAsia="hr-HR"/>
              </w:rPr>
              <w:t> </w:t>
            </w:r>
          </w:p>
        </w:tc>
      </w:tr>
      <w:tr w:rsidR="002249E7" w:rsidRPr="00B00C44" w14:paraId="50296386" w14:textId="77777777" w:rsidTr="002249E7">
        <w:trPr>
          <w:trHeight w:val="244"/>
          <w:tblHeader/>
        </w:trPr>
        <w:tc>
          <w:tcPr>
            <w:tcW w:w="328" w:type="pct"/>
            <w:vMerge w:val="restart"/>
            <w:tcBorders>
              <w:top w:val="single" w:sz="4" w:space="0" w:color="auto"/>
              <w:left w:val="single" w:sz="4" w:space="0" w:color="auto"/>
              <w:bottom w:val="single" w:sz="4" w:space="0" w:color="auto"/>
              <w:right w:val="single" w:sz="4" w:space="0" w:color="auto"/>
            </w:tcBorders>
            <w:shd w:val="clear" w:color="000000" w:fill="A3E7FF"/>
            <w:noWrap/>
            <w:vAlign w:val="center"/>
            <w:hideMark/>
          </w:tcPr>
          <w:p w14:paraId="46CE4EDF" w14:textId="77777777" w:rsidR="002249E7" w:rsidRPr="00B00C44" w:rsidRDefault="002249E7" w:rsidP="002249E7">
            <w:pPr>
              <w:rPr>
                <w:rFonts w:eastAsia="Times New Roman" w:cstheme="minorHAnsi"/>
                <w:b/>
                <w:bCs/>
                <w:color w:val="000000"/>
                <w:sz w:val="20"/>
                <w:szCs w:val="20"/>
                <w:lang w:eastAsia="hr-HR"/>
              </w:rPr>
            </w:pPr>
            <w:r w:rsidRPr="00B00C44">
              <w:rPr>
                <w:rFonts w:eastAsia="Times New Roman" w:cstheme="minorHAnsi"/>
                <w:b/>
                <w:bCs/>
                <w:color w:val="000000"/>
                <w:sz w:val="20"/>
                <w:szCs w:val="20"/>
                <w:lang w:eastAsia="hr-HR"/>
              </w:rPr>
              <w:t>R.br.</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A3E7FF"/>
            <w:noWrap/>
            <w:vAlign w:val="center"/>
            <w:hideMark/>
          </w:tcPr>
          <w:p w14:paraId="73B49800" w14:textId="77777777" w:rsidR="002249E7" w:rsidRPr="00B00C44" w:rsidRDefault="002249E7" w:rsidP="002249E7">
            <w:pPr>
              <w:rPr>
                <w:rFonts w:eastAsia="Times New Roman" w:cstheme="minorHAnsi"/>
                <w:b/>
                <w:bCs/>
                <w:color w:val="000000"/>
                <w:sz w:val="20"/>
                <w:szCs w:val="20"/>
                <w:lang w:eastAsia="hr-HR"/>
              </w:rPr>
            </w:pPr>
            <w:r w:rsidRPr="00B00C44">
              <w:rPr>
                <w:rFonts w:eastAsia="Times New Roman" w:cstheme="minorHAnsi"/>
                <w:b/>
                <w:bCs/>
                <w:color w:val="000000"/>
                <w:sz w:val="20"/>
                <w:szCs w:val="20"/>
                <w:lang w:eastAsia="hr-HR"/>
              </w:rPr>
              <w:t>Vrsta prihoda</w:t>
            </w:r>
          </w:p>
        </w:tc>
        <w:tc>
          <w:tcPr>
            <w:tcW w:w="700" w:type="pct"/>
            <w:vMerge w:val="restart"/>
            <w:tcBorders>
              <w:top w:val="single" w:sz="4" w:space="0" w:color="auto"/>
              <w:left w:val="single" w:sz="4" w:space="0" w:color="auto"/>
              <w:bottom w:val="single" w:sz="4" w:space="0" w:color="auto"/>
              <w:right w:val="single" w:sz="4" w:space="0" w:color="auto"/>
            </w:tcBorders>
            <w:shd w:val="clear" w:color="000000" w:fill="A3E7FF"/>
            <w:vAlign w:val="center"/>
            <w:hideMark/>
          </w:tcPr>
          <w:p w14:paraId="723833C7" w14:textId="77777777" w:rsidR="002249E7" w:rsidRPr="0031386E" w:rsidRDefault="002249E7" w:rsidP="002249E7">
            <w:pPr>
              <w:jc w:val="center"/>
              <w:rPr>
                <w:rFonts w:eastAsia="Times New Roman" w:cstheme="minorHAnsi"/>
                <w:b/>
                <w:bCs/>
                <w:color w:val="000000"/>
                <w:sz w:val="18"/>
                <w:szCs w:val="18"/>
                <w:lang w:eastAsia="hr-HR"/>
              </w:rPr>
            </w:pPr>
            <w:r w:rsidRPr="0031386E">
              <w:rPr>
                <w:rFonts w:eastAsia="Times New Roman" w:cstheme="minorHAnsi"/>
                <w:b/>
                <w:bCs/>
                <w:color w:val="000000"/>
                <w:sz w:val="18"/>
                <w:szCs w:val="18"/>
                <w:lang w:eastAsia="hr-HR"/>
              </w:rPr>
              <w:t>Izvršenje 01.01.-31.12.2022. g.</w:t>
            </w:r>
          </w:p>
        </w:tc>
        <w:tc>
          <w:tcPr>
            <w:tcW w:w="564" w:type="pct"/>
            <w:vMerge w:val="restart"/>
            <w:tcBorders>
              <w:top w:val="single" w:sz="4" w:space="0" w:color="auto"/>
              <w:left w:val="single" w:sz="4" w:space="0" w:color="auto"/>
              <w:bottom w:val="single" w:sz="4" w:space="0" w:color="auto"/>
              <w:right w:val="single" w:sz="4" w:space="0" w:color="auto"/>
            </w:tcBorders>
            <w:shd w:val="clear" w:color="000000" w:fill="A3E7FF"/>
            <w:vAlign w:val="center"/>
            <w:hideMark/>
          </w:tcPr>
          <w:p w14:paraId="71275C31" w14:textId="77777777" w:rsidR="002249E7" w:rsidRPr="001A0161" w:rsidRDefault="002249E7" w:rsidP="002249E7">
            <w:pPr>
              <w:jc w:val="center"/>
              <w:rPr>
                <w:rFonts w:eastAsia="Times New Roman" w:cstheme="minorHAnsi"/>
                <w:b/>
                <w:bCs/>
                <w:color w:val="000000"/>
                <w:sz w:val="20"/>
                <w:szCs w:val="20"/>
                <w:lang w:eastAsia="hr-HR"/>
              </w:rPr>
            </w:pPr>
            <w:r w:rsidRPr="001A0161">
              <w:rPr>
                <w:rFonts w:eastAsia="Times New Roman" w:cstheme="minorHAnsi"/>
                <w:b/>
                <w:bCs/>
                <w:color w:val="000000"/>
                <w:sz w:val="20"/>
                <w:szCs w:val="20"/>
                <w:lang w:eastAsia="hr-HR"/>
              </w:rPr>
              <w:t>Plan V3 01.01.-31.12.</w:t>
            </w:r>
          </w:p>
        </w:tc>
        <w:tc>
          <w:tcPr>
            <w:tcW w:w="567" w:type="pct"/>
            <w:vMerge w:val="restart"/>
            <w:tcBorders>
              <w:top w:val="single" w:sz="4" w:space="0" w:color="auto"/>
              <w:left w:val="single" w:sz="4" w:space="0" w:color="auto"/>
              <w:bottom w:val="single" w:sz="4" w:space="0" w:color="auto"/>
              <w:right w:val="single" w:sz="4" w:space="0" w:color="auto"/>
            </w:tcBorders>
            <w:shd w:val="clear" w:color="000000" w:fill="A3E7FF"/>
            <w:vAlign w:val="center"/>
            <w:hideMark/>
          </w:tcPr>
          <w:p w14:paraId="0E08AA3B" w14:textId="77777777" w:rsidR="002249E7" w:rsidRPr="00B00C44" w:rsidRDefault="002249E7" w:rsidP="002249E7">
            <w:pPr>
              <w:jc w:val="center"/>
              <w:rPr>
                <w:rFonts w:eastAsia="Times New Roman" w:cstheme="minorHAnsi"/>
                <w:b/>
                <w:bCs/>
                <w:color w:val="000000"/>
                <w:sz w:val="20"/>
                <w:szCs w:val="20"/>
                <w:lang w:eastAsia="hr-HR"/>
              </w:rPr>
            </w:pPr>
            <w:r w:rsidRPr="00B00C44">
              <w:rPr>
                <w:rFonts w:eastAsia="Times New Roman" w:cstheme="minorHAnsi"/>
                <w:b/>
                <w:bCs/>
                <w:color w:val="000000"/>
                <w:sz w:val="20"/>
                <w:szCs w:val="20"/>
                <w:lang w:eastAsia="hr-HR"/>
              </w:rPr>
              <w:t>Izvršenje 01.01.-31.12.</w:t>
            </w:r>
          </w:p>
        </w:tc>
        <w:tc>
          <w:tcPr>
            <w:tcW w:w="489" w:type="pct"/>
            <w:vMerge w:val="restart"/>
            <w:tcBorders>
              <w:top w:val="single" w:sz="4" w:space="0" w:color="auto"/>
              <w:left w:val="single" w:sz="4" w:space="0" w:color="auto"/>
              <w:bottom w:val="single" w:sz="4" w:space="0" w:color="auto"/>
              <w:right w:val="single" w:sz="4" w:space="0" w:color="auto"/>
            </w:tcBorders>
            <w:shd w:val="clear" w:color="000000" w:fill="A3E7FF"/>
            <w:vAlign w:val="center"/>
            <w:hideMark/>
          </w:tcPr>
          <w:p w14:paraId="7D775898" w14:textId="77777777" w:rsidR="002249E7" w:rsidRPr="00B00C44" w:rsidRDefault="002249E7" w:rsidP="002249E7">
            <w:pPr>
              <w:jc w:val="center"/>
              <w:rPr>
                <w:rFonts w:eastAsia="Times New Roman" w:cstheme="minorHAnsi"/>
                <w:b/>
                <w:bCs/>
                <w:color w:val="000000"/>
                <w:sz w:val="20"/>
                <w:szCs w:val="20"/>
                <w:lang w:eastAsia="hr-HR"/>
              </w:rPr>
            </w:pPr>
            <w:r w:rsidRPr="00B00C44">
              <w:rPr>
                <w:rFonts w:eastAsia="Times New Roman" w:cstheme="minorHAnsi"/>
                <w:b/>
                <w:bCs/>
                <w:color w:val="000000"/>
                <w:sz w:val="20"/>
                <w:szCs w:val="20"/>
                <w:lang w:eastAsia="hr-HR"/>
              </w:rPr>
              <w:t>% izvršenja plana</w:t>
            </w:r>
          </w:p>
        </w:tc>
        <w:tc>
          <w:tcPr>
            <w:tcW w:w="497" w:type="pct"/>
            <w:vMerge w:val="restart"/>
            <w:tcBorders>
              <w:top w:val="single" w:sz="4" w:space="0" w:color="auto"/>
              <w:left w:val="single" w:sz="4" w:space="0" w:color="auto"/>
              <w:bottom w:val="single" w:sz="4" w:space="0" w:color="auto"/>
              <w:right w:val="single" w:sz="4" w:space="0" w:color="auto"/>
            </w:tcBorders>
            <w:shd w:val="clear" w:color="000000" w:fill="A3E7FF"/>
            <w:vAlign w:val="center"/>
            <w:hideMark/>
          </w:tcPr>
          <w:p w14:paraId="668EC424" w14:textId="77777777" w:rsidR="002249E7" w:rsidRPr="00B00C44" w:rsidRDefault="002249E7" w:rsidP="002249E7">
            <w:pPr>
              <w:jc w:val="center"/>
              <w:rPr>
                <w:rFonts w:eastAsia="Times New Roman" w:cstheme="minorHAnsi"/>
                <w:b/>
                <w:bCs/>
                <w:color w:val="000000"/>
                <w:sz w:val="20"/>
                <w:szCs w:val="20"/>
                <w:lang w:eastAsia="hr-HR"/>
              </w:rPr>
            </w:pPr>
            <w:r w:rsidRPr="00B00C44">
              <w:rPr>
                <w:rFonts w:eastAsia="Times New Roman" w:cstheme="minorHAnsi"/>
                <w:b/>
                <w:bCs/>
                <w:color w:val="000000"/>
                <w:sz w:val="20"/>
                <w:szCs w:val="20"/>
                <w:lang w:eastAsia="hr-HR"/>
              </w:rPr>
              <w:t>Struktura izvršenja</w:t>
            </w:r>
          </w:p>
        </w:tc>
        <w:tc>
          <w:tcPr>
            <w:tcW w:w="489" w:type="pct"/>
            <w:vMerge w:val="restart"/>
            <w:tcBorders>
              <w:top w:val="single" w:sz="4" w:space="0" w:color="auto"/>
              <w:left w:val="single" w:sz="4" w:space="0" w:color="auto"/>
              <w:bottom w:val="single" w:sz="4" w:space="0" w:color="auto"/>
              <w:right w:val="single" w:sz="4" w:space="0" w:color="auto"/>
            </w:tcBorders>
            <w:shd w:val="clear" w:color="000000" w:fill="A3E7FF"/>
            <w:vAlign w:val="center"/>
            <w:hideMark/>
          </w:tcPr>
          <w:p w14:paraId="0E077BE9" w14:textId="77777777" w:rsidR="002249E7" w:rsidRPr="00B00C44" w:rsidRDefault="002249E7" w:rsidP="002249E7">
            <w:pPr>
              <w:jc w:val="center"/>
              <w:rPr>
                <w:rFonts w:eastAsia="Times New Roman" w:cstheme="minorHAnsi"/>
                <w:b/>
                <w:bCs/>
                <w:color w:val="000000"/>
                <w:sz w:val="20"/>
                <w:szCs w:val="20"/>
                <w:lang w:eastAsia="hr-HR"/>
              </w:rPr>
            </w:pPr>
            <w:r w:rsidRPr="00B00C44">
              <w:rPr>
                <w:rFonts w:eastAsia="Times New Roman" w:cstheme="minorHAnsi"/>
                <w:b/>
                <w:bCs/>
                <w:color w:val="000000"/>
                <w:sz w:val="20"/>
                <w:szCs w:val="20"/>
                <w:lang w:eastAsia="hr-HR"/>
              </w:rPr>
              <w:t>Izvršenje 2023. g./2022. g.</w:t>
            </w:r>
          </w:p>
        </w:tc>
      </w:tr>
      <w:tr w:rsidR="002249E7" w:rsidRPr="00B00C44" w14:paraId="486036F6" w14:textId="77777777" w:rsidTr="002249E7">
        <w:trPr>
          <w:trHeight w:val="269"/>
          <w:tblHeader/>
        </w:trPr>
        <w:tc>
          <w:tcPr>
            <w:tcW w:w="328" w:type="pct"/>
            <w:vMerge/>
            <w:tcBorders>
              <w:top w:val="single" w:sz="4" w:space="0" w:color="auto"/>
              <w:left w:val="single" w:sz="4" w:space="0" w:color="auto"/>
              <w:bottom w:val="single" w:sz="4" w:space="0" w:color="auto"/>
              <w:right w:val="single" w:sz="4" w:space="0" w:color="auto"/>
            </w:tcBorders>
            <w:vAlign w:val="center"/>
            <w:hideMark/>
          </w:tcPr>
          <w:p w14:paraId="5EDBE943" w14:textId="77777777" w:rsidR="002249E7" w:rsidRPr="00B00C44" w:rsidRDefault="002249E7" w:rsidP="002249E7">
            <w:pPr>
              <w:rPr>
                <w:rFonts w:eastAsia="Times New Roman" w:cstheme="minorHAnsi"/>
                <w:b/>
                <w:bCs/>
                <w:color w:val="000000"/>
                <w:sz w:val="18"/>
                <w:szCs w:val="18"/>
                <w:lang w:eastAsia="hr-HR"/>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14:paraId="3590AA86" w14:textId="77777777" w:rsidR="002249E7" w:rsidRPr="00B00C44" w:rsidRDefault="002249E7" w:rsidP="002249E7">
            <w:pPr>
              <w:rPr>
                <w:rFonts w:eastAsia="Times New Roman" w:cstheme="minorHAnsi"/>
                <w:b/>
                <w:bCs/>
                <w:color w:val="000000"/>
                <w:sz w:val="18"/>
                <w:szCs w:val="18"/>
                <w:lang w:eastAsia="hr-HR"/>
              </w:rPr>
            </w:pPr>
          </w:p>
        </w:tc>
        <w:tc>
          <w:tcPr>
            <w:tcW w:w="700" w:type="pct"/>
            <w:vMerge/>
            <w:tcBorders>
              <w:top w:val="single" w:sz="4" w:space="0" w:color="auto"/>
              <w:left w:val="single" w:sz="4" w:space="0" w:color="auto"/>
              <w:bottom w:val="single" w:sz="4" w:space="0" w:color="auto"/>
              <w:right w:val="single" w:sz="4" w:space="0" w:color="auto"/>
            </w:tcBorders>
            <w:vAlign w:val="center"/>
            <w:hideMark/>
          </w:tcPr>
          <w:p w14:paraId="09EAA1D6" w14:textId="77777777" w:rsidR="002249E7" w:rsidRPr="00B00C44" w:rsidRDefault="002249E7" w:rsidP="002249E7">
            <w:pPr>
              <w:rPr>
                <w:rFonts w:eastAsia="Times New Roman" w:cstheme="minorHAnsi"/>
                <w:b/>
                <w:bCs/>
                <w:color w:val="000000"/>
                <w:sz w:val="18"/>
                <w:szCs w:val="18"/>
                <w:lang w:eastAsia="hr-HR"/>
              </w:rPr>
            </w:pPr>
          </w:p>
        </w:tc>
        <w:tc>
          <w:tcPr>
            <w:tcW w:w="564" w:type="pct"/>
            <w:vMerge/>
            <w:tcBorders>
              <w:top w:val="single" w:sz="4" w:space="0" w:color="auto"/>
              <w:left w:val="single" w:sz="4" w:space="0" w:color="auto"/>
              <w:bottom w:val="single" w:sz="4" w:space="0" w:color="auto"/>
              <w:right w:val="single" w:sz="4" w:space="0" w:color="auto"/>
            </w:tcBorders>
            <w:vAlign w:val="center"/>
            <w:hideMark/>
          </w:tcPr>
          <w:p w14:paraId="094F4957" w14:textId="77777777" w:rsidR="002249E7" w:rsidRPr="00B00C44" w:rsidRDefault="002249E7" w:rsidP="002249E7">
            <w:pPr>
              <w:rPr>
                <w:rFonts w:eastAsia="Times New Roman" w:cstheme="minorHAnsi"/>
                <w:b/>
                <w:bCs/>
                <w:color w:val="000000"/>
                <w:sz w:val="18"/>
                <w:szCs w:val="18"/>
                <w:lang w:eastAsia="hr-HR"/>
              </w:rPr>
            </w:pPr>
          </w:p>
        </w:tc>
        <w:tc>
          <w:tcPr>
            <w:tcW w:w="567" w:type="pct"/>
            <w:vMerge/>
            <w:tcBorders>
              <w:top w:val="single" w:sz="4" w:space="0" w:color="auto"/>
              <w:left w:val="single" w:sz="4" w:space="0" w:color="auto"/>
              <w:bottom w:val="single" w:sz="4" w:space="0" w:color="auto"/>
              <w:right w:val="single" w:sz="4" w:space="0" w:color="auto"/>
            </w:tcBorders>
            <w:vAlign w:val="center"/>
            <w:hideMark/>
          </w:tcPr>
          <w:p w14:paraId="41BD43BB" w14:textId="77777777" w:rsidR="002249E7" w:rsidRPr="00B00C44" w:rsidRDefault="002249E7" w:rsidP="002249E7">
            <w:pPr>
              <w:rPr>
                <w:rFonts w:eastAsia="Times New Roman" w:cstheme="minorHAnsi"/>
                <w:b/>
                <w:bCs/>
                <w:color w:val="000000"/>
                <w:sz w:val="18"/>
                <w:szCs w:val="18"/>
                <w:lang w:eastAsia="hr-HR"/>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14:paraId="14DC2E75" w14:textId="77777777" w:rsidR="002249E7" w:rsidRPr="00B00C44" w:rsidRDefault="002249E7" w:rsidP="002249E7">
            <w:pPr>
              <w:rPr>
                <w:rFonts w:eastAsia="Times New Roman" w:cstheme="minorHAnsi"/>
                <w:b/>
                <w:bCs/>
                <w:color w:val="000000"/>
                <w:sz w:val="18"/>
                <w:szCs w:val="18"/>
                <w:lang w:eastAsia="hr-HR"/>
              </w:rPr>
            </w:pPr>
          </w:p>
        </w:tc>
        <w:tc>
          <w:tcPr>
            <w:tcW w:w="497" w:type="pct"/>
            <w:vMerge/>
            <w:tcBorders>
              <w:top w:val="single" w:sz="4" w:space="0" w:color="auto"/>
              <w:left w:val="single" w:sz="4" w:space="0" w:color="auto"/>
              <w:bottom w:val="single" w:sz="4" w:space="0" w:color="auto"/>
              <w:right w:val="single" w:sz="4" w:space="0" w:color="auto"/>
            </w:tcBorders>
            <w:vAlign w:val="center"/>
            <w:hideMark/>
          </w:tcPr>
          <w:p w14:paraId="5DEF09F5" w14:textId="77777777" w:rsidR="002249E7" w:rsidRPr="00B00C44" w:rsidRDefault="002249E7" w:rsidP="002249E7">
            <w:pPr>
              <w:rPr>
                <w:rFonts w:eastAsia="Times New Roman" w:cstheme="minorHAnsi"/>
                <w:b/>
                <w:bCs/>
                <w:color w:val="000000"/>
                <w:sz w:val="18"/>
                <w:szCs w:val="18"/>
                <w:lang w:eastAsia="hr-HR"/>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14:paraId="365DD279" w14:textId="77777777" w:rsidR="002249E7" w:rsidRPr="00B00C44" w:rsidRDefault="002249E7" w:rsidP="002249E7">
            <w:pPr>
              <w:rPr>
                <w:rFonts w:eastAsia="Times New Roman" w:cstheme="minorHAnsi"/>
                <w:b/>
                <w:bCs/>
                <w:color w:val="000000"/>
                <w:sz w:val="18"/>
                <w:szCs w:val="18"/>
                <w:lang w:eastAsia="hr-HR"/>
              </w:rPr>
            </w:pPr>
          </w:p>
        </w:tc>
      </w:tr>
      <w:tr w:rsidR="002249E7" w:rsidRPr="00B00C44" w14:paraId="4351E456" w14:textId="77777777" w:rsidTr="002249E7">
        <w:trPr>
          <w:trHeight w:val="170"/>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294E64" w14:textId="77777777" w:rsidR="002249E7" w:rsidRPr="00B00C44" w:rsidRDefault="002249E7" w:rsidP="002249E7">
            <w:pPr>
              <w:jc w:val="center"/>
              <w:rPr>
                <w:rFonts w:eastAsia="Times New Roman" w:cstheme="minorHAnsi"/>
                <w:color w:val="000000"/>
                <w:sz w:val="18"/>
                <w:szCs w:val="18"/>
                <w:lang w:eastAsia="hr-HR"/>
              </w:rPr>
            </w:pPr>
            <w:r w:rsidRPr="00B00C44">
              <w:rPr>
                <w:rFonts w:eastAsia="Times New Roman" w:cstheme="minorHAnsi"/>
                <w:color w:val="000000"/>
                <w:sz w:val="18"/>
                <w:szCs w:val="18"/>
                <w:lang w:eastAsia="hr-HR"/>
              </w:rPr>
              <w:t> </w:t>
            </w:r>
          </w:p>
        </w:tc>
        <w:tc>
          <w:tcPr>
            <w:tcW w:w="13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B10FB3" w14:textId="77777777" w:rsidR="002249E7" w:rsidRPr="00B00C44" w:rsidRDefault="002249E7" w:rsidP="002249E7">
            <w:pPr>
              <w:rPr>
                <w:rFonts w:eastAsia="Times New Roman" w:cstheme="minorHAnsi"/>
                <w:b/>
                <w:bCs/>
                <w:color w:val="000000"/>
                <w:sz w:val="18"/>
                <w:szCs w:val="18"/>
                <w:lang w:eastAsia="hr-HR"/>
              </w:rPr>
            </w:pPr>
            <w:r w:rsidRPr="00B00C44">
              <w:rPr>
                <w:rFonts w:eastAsia="Times New Roman" w:cstheme="minorHAnsi"/>
                <w:b/>
                <w:bCs/>
                <w:color w:val="000000"/>
                <w:sz w:val="18"/>
                <w:szCs w:val="18"/>
                <w:lang w:eastAsia="hr-HR"/>
              </w:rPr>
              <w:t>Redovite usluge propisane Zakonom</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B3F071" w14:textId="77777777" w:rsidR="002249E7" w:rsidRPr="00B00C44" w:rsidRDefault="002249E7" w:rsidP="002249E7">
            <w:pPr>
              <w:jc w:val="right"/>
              <w:rPr>
                <w:rFonts w:eastAsia="Times New Roman" w:cstheme="minorHAnsi"/>
                <w:b/>
                <w:bCs/>
                <w:color w:val="000000"/>
                <w:sz w:val="18"/>
                <w:szCs w:val="18"/>
                <w:lang w:eastAsia="hr-HR"/>
              </w:rPr>
            </w:pPr>
            <w:r w:rsidRPr="00B00C44">
              <w:rPr>
                <w:rFonts w:eastAsia="Times New Roman" w:cstheme="minorHAnsi"/>
                <w:b/>
                <w:bCs/>
                <w:color w:val="000000"/>
                <w:sz w:val="18"/>
                <w:szCs w:val="18"/>
                <w:lang w:eastAsia="hr-HR"/>
              </w:rPr>
              <w:t>12.540.187</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1BCB30" w14:textId="77777777" w:rsidR="002249E7" w:rsidRPr="00B00C44" w:rsidRDefault="002249E7" w:rsidP="002249E7">
            <w:pPr>
              <w:jc w:val="right"/>
              <w:rPr>
                <w:rFonts w:eastAsia="Times New Roman" w:cstheme="minorHAnsi"/>
                <w:b/>
                <w:bCs/>
                <w:color w:val="000000"/>
                <w:sz w:val="18"/>
                <w:szCs w:val="18"/>
                <w:lang w:eastAsia="hr-HR"/>
              </w:rPr>
            </w:pPr>
            <w:r w:rsidRPr="00B00C44">
              <w:rPr>
                <w:rFonts w:eastAsia="Times New Roman" w:cstheme="minorHAnsi"/>
                <w:b/>
                <w:bCs/>
                <w:color w:val="000000"/>
                <w:sz w:val="18"/>
                <w:szCs w:val="18"/>
                <w:lang w:eastAsia="hr-HR"/>
              </w:rPr>
              <w:t>12.437.705</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4EBA63" w14:textId="77777777" w:rsidR="002249E7" w:rsidRPr="00B00C44" w:rsidRDefault="002249E7" w:rsidP="002249E7">
            <w:pPr>
              <w:jc w:val="right"/>
              <w:rPr>
                <w:rFonts w:eastAsia="Times New Roman" w:cstheme="minorHAnsi"/>
                <w:b/>
                <w:bCs/>
                <w:color w:val="000000"/>
                <w:sz w:val="18"/>
                <w:szCs w:val="18"/>
                <w:lang w:eastAsia="hr-HR"/>
              </w:rPr>
            </w:pPr>
            <w:r w:rsidRPr="00B00C44">
              <w:rPr>
                <w:rFonts w:eastAsia="Times New Roman" w:cstheme="minorHAnsi"/>
                <w:b/>
                <w:bCs/>
                <w:color w:val="000000"/>
                <w:sz w:val="18"/>
                <w:szCs w:val="18"/>
                <w:lang w:eastAsia="hr-HR"/>
              </w:rPr>
              <w:t>12.284.599</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13965" w14:textId="77777777" w:rsidR="002249E7" w:rsidRPr="00B00C44" w:rsidRDefault="002249E7" w:rsidP="002249E7">
            <w:pPr>
              <w:jc w:val="right"/>
              <w:rPr>
                <w:rFonts w:eastAsia="Times New Roman" w:cstheme="minorHAnsi"/>
                <w:b/>
                <w:bCs/>
                <w:color w:val="000000"/>
                <w:sz w:val="18"/>
                <w:szCs w:val="18"/>
                <w:lang w:eastAsia="hr-HR"/>
              </w:rPr>
            </w:pPr>
            <w:r w:rsidRPr="00B00C44">
              <w:rPr>
                <w:rFonts w:eastAsia="Times New Roman" w:cstheme="minorHAnsi"/>
                <w:b/>
                <w:bCs/>
                <w:color w:val="000000"/>
                <w:sz w:val="18"/>
                <w:szCs w:val="18"/>
                <w:lang w:eastAsia="hr-HR"/>
              </w:rPr>
              <w:t>99%</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3A40B" w14:textId="77777777" w:rsidR="002249E7" w:rsidRPr="00B00C44" w:rsidRDefault="002249E7" w:rsidP="002249E7">
            <w:pPr>
              <w:jc w:val="right"/>
              <w:rPr>
                <w:rFonts w:eastAsia="Times New Roman" w:cstheme="minorHAnsi"/>
                <w:b/>
                <w:bCs/>
                <w:color w:val="000000"/>
                <w:sz w:val="18"/>
                <w:szCs w:val="18"/>
                <w:lang w:eastAsia="hr-HR"/>
              </w:rPr>
            </w:pPr>
            <w:r w:rsidRPr="00B00C44">
              <w:rPr>
                <w:rFonts w:eastAsia="Times New Roman" w:cstheme="minorHAnsi"/>
                <w:b/>
                <w:bCs/>
                <w:color w:val="000000"/>
                <w:sz w:val="18"/>
                <w:szCs w:val="18"/>
                <w:lang w:eastAsia="hr-HR"/>
              </w:rPr>
              <w:t>95%</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9175B" w14:textId="77777777" w:rsidR="002249E7" w:rsidRPr="00B00C44" w:rsidRDefault="002249E7" w:rsidP="002249E7">
            <w:pPr>
              <w:jc w:val="right"/>
              <w:rPr>
                <w:rFonts w:eastAsia="Times New Roman" w:cstheme="minorHAnsi"/>
                <w:b/>
                <w:bCs/>
                <w:color w:val="000000"/>
                <w:sz w:val="18"/>
                <w:szCs w:val="18"/>
                <w:lang w:eastAsia="hr-HR"/>
              </w:rPr>
            </w:pPr>
            <w:r w:rsidRPr="00B00C44">
              <w:rPr>
                <w:rFonts w:eastAsia="Times New Roman" w:cstheme="minorHAnsi"/>
                <w:b/>
                <w:bCs/>
                <w:color w:val="000000"/>
                <w:sz w:val="18"/>
                <w:szCs w:val="18"/>
                <w:lang w:eastAsia="hr-HR"/>
              </w:rPr>
              <w:t>98%</w:t>
            </w:r>
          </w:p>
        </w:tc>
      </w:tr>
      <w:tr w:rsidR="002249E7" w:rsidRPr="00B00C44" w14:paraId="55CECCA4" w14:textId="77777777" w:rsidTr="002249E7">
        <w:trPr>
          <w:trHeight w:val="170"/>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B18EC2" w14:textId="77777777" w:rsidR="002249E7" w:rsidRPr="00B00C44" w:rsidRDefault="002249E7" w:rsidP="002249E7">
            <w:pPr>
              <w:jc w:val="center"/>
              <w:rPr>
                <w:rFonts w:eastAsia="Times New Roman" w:cstheme="minorHAnsi"/>
                <w:color w:val="1A1A1A"/>
                <w:sz w:val="18"/>
                <w:szCs w:val="18"/>
                <w:lang w:eastAsia="hr-HR"/>
              </w:rPr>
            </w:pPr>
            <w:r w:rsidRPr="00B00C44">
              <w:rPr>
                <w:rFonts w:eastAsia="Times New Roman" w:cstheme="minorHAnsi"/>
                <w:color w:val="1A1A1A"/>
                <w:sz w:val="18"/>
                <w:szCs w:val="18"/>
                <w:lang w:eastAsia="hr-HR"/>
              </w:rPr>
              <w:t>1.</w:t>
            </w:r>
          </w:p>
        </w:tc>
        <w:tc>
          <w:tcPr>
            <w:tcW w:w="13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BE8850" w14:textId="77777777" w:rsidR="002249E7" w:rsidRPr="00B00C44" w:rsidRDefault="002249E7" w:rsidP="002249E7">
            <w:pPr>
              <w:jc w:val="both"/>
              <w:rPr>
                <w:rFonts w:eastAsia="Times New Roman" w:cstheme="minorHAnsi"/>
                <w:color w:val="1A1A1A"/>
                <w:sz w:val="18"/>
                <w:szCs w:val="18"/>
                <w:lang w:eastAsia="hr-HR"/>
              </w:rPr>
            </w:pPr>
            <w:r w:rsidRPr="00B00C44">
              <w:rPr>
                <w:rFonts w:eastAsia="Times New Roman" w:cstheme="minorHAnsi"/>
                <w:color w:val="1A1A1A"/>
                <w:sz w:val="18"/>
                <w:szCs w:val="18"/>
                <w:lang w:eastAsia="hr-HR"/>
              </w:rPr>
              <w:t>Stavljanje lijeka u promet</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8024C0"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6.291.749</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0EC2B9"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6.398.529</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511F7A"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6.095.182</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317739"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95%</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76867"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47%</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CEEB8"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97%</w:t>
            </w:r>
          </w:p>
        </w:tc>
      </w:tr>
      <w:tr w:rsidR="002249E7" w:rsidRPr="00B00C44" w14:paraId="195BEA1E" w14:textId="77777777" w:rsidTr="002249E7">
        <w:trPr>
          <w:trHeight w:val="170"/>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D8149" w14:textId="77777777" w:rsidR="002249E7" w:rsidRPr="00B00C44" w:rsidRDefault="002249E7" w:rsidP="002249E7">
            <w:pPr>
              <w:jc w:val="right"/>
              <w:rPr>
                <w:rFonts w:eastAsia="Times New Roman" w:cstheme="minorHAnsi"/>
                <w:i/>
                <w:iCs/>
                <w:color w:val="000000"/>
                <w:sz w:val="18"/>
                <w:szCs w:val="18"/>
                <w:lang w:eastAsia="hr-HR"/>
              </w:rPr>
            </w:pPr>
            <w:r w:rsidRPr="00B00C44">
              <w:rPr>
                <w:rFonts w:eastAsia="Times New Roman" w:cstheme="minorHAnsi"/>
                <w:i/>
                <w:iCs/>
                <w:color w:val="000000"/>
                <w:sz w:val="18"/>
                <w:szCs w:val="18"/>
                <w:lang w:eastAsia="hr-HR"/>
              </w:rPr>
              <w:t>1.1.</w:t>
            </w:r>
          </w:p>
        </w:tc>
        <w:tc>
          <w:tcPr>
            <w:tcW w:w="13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A5BD9D" w14:textId="77777777" w:rsidR="002249E7" w:rsidRPr="00B00C44" w:rsidRDefault="002249E7" w:rsidP="002249E7">
            <w:pPr>
              <w:jc w:val="both"/>
              <w:rPr>
                <w:rFonts w:eastAsia="Times New Roman" w:cstheme="minorHAnsi"/>
                <w:i/>
                <w:iCs/>
                <w:color w:val="000000"/>
                <w:sz w:val="18"/>
                <w:szCs w:val="18"/>
                <w:lang w:eastAsia="hr-HR"/>
              </w:rPr>
            </w:pPr>
            <w:r w:rsidRPr="00B00C44">
              <w:rPr>
                <w:rFonts w:eastAsia="Times New Roman" w:cstheme="minorHAnsi"/>
                <w:i/>
                <w:iCs/>
                <w:color w:val="000000"/>
                <w:sz w:val="18"/>
                <w:szCs w:val="18"/>
                <w:lang w:eastAsia="hr-HR"/>
              </w:rPr>
              <w:t>Davanje odobrenja i registracija</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67FFB0"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1.332.537</w:t>
            </w:r>
          </w:p>
        </w:tc>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C8B9A3"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1.504.811</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866C9F"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1.282.765</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1D166"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85%</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B1464"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10%</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A0E1C"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96%</w:t>
            </w:r>
          </w:p>
        </w:tc>
      </w:tr>
      <w:tr w:rsidR="002249E7" w:rsidRPr="00B00C44" w14:paraId="64409DA3" w14:textId="77777777" w:rsidTr="002249E7">
        <w:trPr>
          <w:trHeight w:val="170"/>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313F3C" w14:textId="77777777" w:rsidR="002249E7" w:rsidRPr="00B00C44" w:rsidRDefault="002249E7" w:rsidP="002249E7">
            <w:pPr>
              <w:jc w:val="right"/>
              <w:rPr>
                <w:rFonts w:eastAsia="Times New Roman" w:cstheme="minorHAnsi"/>
                <w:i/>
                <w:iCs/>
                <w:color w:val="000000"/>
                <w:sz w:val="18"/>
                <w:szCs w:val="18"/>
                <w:lang w:eastAsia="hr-HR"/>
              </w:rPr>
            </w:pPr>
            <w:r w:rsidRPr="00B00C44">
              <w:rPr>
                <w:rFonts w:eastAsia="Times New Roman" w:cstheme="minorHAnsi"/>
                <w:i/>
                <w:iCs/>
                <w:color w:val="000000"/>
                <w:sz w:val="18"/>
                <w:szCs w:val="18"/>
                <w:lang w:eastAsia="hr-HR"/>
              </w:rPr>
              <w:t>1.2.</w:t>
            </w:r>
          </w:p>
        </w:tc>
        <w:tc>
          <w:tcPr>
            <w:tcW w:w="13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53E5CB" w14:textId="77777777" w:rsidR="002249E7" w:rsidRPr="00B00C44" w:rsidRDefault="002249E7" w:rsidP="002249E7">
            <w:pPr>
              <w:jc w:val="both"/>
              <w:rPr>
                <w:rFonts w:eastAsia="Times New Roman" w:cstheme="minorHAnsi"/>
                <w:i/>
                <w:iCs/>
                <w:color w:val="000000"/>
                <w:sz w:val="18"/>
                <w:szCs w:val="18"/>
                <w:lang w:eastAsia="hr-HR"/>
              </w:rPr>
            </w:pPr>
            <w:r w:rsidRPr="00B00C44">
              <w:rPr>
                <w:rFonts w:eastAsia="Times New Roman" w:cstheme="minorHAnsi"/>
                <w:i/>
                <w:iCs/>
                <w:color w:val="000000"/>
                <w:sz w:val="18"/>
                <w:szCs w:val="18"/>
                <w:lang w:eastAsia="hr-HR"/>
              </w:rPr>
              <w:t>Obnova odobrenja</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A38678"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614.374</w:t>
            </w:r>
          </w:p>
        </w:tc>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A8EC0"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489.748</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31778"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577.212</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82784"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118%</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0D363"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4%</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6A4E0A"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94%</w:t>
            </w:r>
          </w:p>
        </w:tc>
      </w:tr>
      <w:tr w:rsidR="002249E7" w:rsidRPr="00B00C44" w14:paraId="497EC19C" w14:textId="77777777" w:rsidTr="002249E7">
        <w:trPr>
          <w:trHeight w:val="170"/>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C6569" w14:textId="77777777" w:rsidR="002249E7" w:rsidRPr="00B00C44" w:rsidRDefault="002249E7" w:rsidP="002249E7">
            <w:pPr>
              <w:jc w:val="right"/>
              <w:rPr>
                <w:rFonts w:eastAsia="Times New Roman" w:cstheme="minorHAnsi"/>
                <w:i/>
                <w:iCs/>
                <w:color w:val="000000"/>
                <w:sz w:val="18"/>
                <w:szCs w:val="18"/>
                <w:lang w:eastAsia="hr-HR"/>
              </w:rPr>
            </w:pPr>
            <w:r w:rsidRPr="00B00C44">
              <w:rPr>
                <w:rFonts w:eastAsia="Times New Roman" w:cstheme="minorHAnsi"/>
                <w:i/>
                <w:iCs/>
                <w:color w:val="000000"/>
                <w:sz w:val="18"/>
                <w:szCs w:val="18"/>
                <w:lang w:eastAsia="hr-HR"/>
              </w:rPr>
              <w:t>1.3.</w:t>
            </w:r>
          </w:p>
        </w:tc>
        <w:tc>
          <w:tcPr>
            <w:tcW w:w="13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FB35E7" w14:textId="77777777" w:rsidR="002249E7" w:rsidRPr="00B00C44" w:rsidRDefault="002249E7" w:rsidP="002249E7">
            <w:pPr>
              <w:jc w:val="both"/>
              <w:rPr>
                <w:rFonts w:eastAsia="Times New Roman" w:cstheme="minorHAnsi"/>
                <w:i/>
                <w:iCs/>
                <w:color w:val="000000"/>
                <w:sz w:val="18"/>
                <w:szCs w:val="18"/>
                <w:lang w:eastAsia="hr-HR"/>
              </w:rPr>
            </w:pPr>
            <w:r w:rsidRPr="00B00C44">
              <w:rPr>
                <w:rFonts w:eastAsia="Times New Roman" w:cstheme="minorHAnsi"/>
                <w:i/>
                <w:iCs/>
                <w:color w:val="000000"/>
                <w:sz w:val="18"/>
                <w:szCs w:val="18"/>
                <w:lang w:eastAsia="hr-HR"/>
              </w:rPr>
              <w:t>Izmjena odobrenja</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4FA0B5"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3.650.607</w:t>
            </w:r>
          </w:p>
        </w:tc>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D505A9"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3.583.919</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7104A"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3.669.524</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8D64D"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102%</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225A2"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28%</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A93A4"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101%</w:t>
            </w:r>
          </w:p>
        </w:tc>
      </w:tr>
      <w:tr w:rsidR="002249E7" w:rsidRPr="00B00C44" w14:paraId="7DCF69CB" w14:textId="77777777" w:rsidTr="002249E7">
        <w:trPr>
          <w:trHeight w:val="170"/>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65F02" w14:textId="77777777" w:rsidR="002249E7" w:rsidRPr="00B00C44" w:rsidRDefault="002249E7" w:rsidP="002249E7">
            <w:pPr>
              <w:jc w:val="right"/>
              <w:rPr>
                <w:rFonts w:eastAsia="Times New Roman" w:cstheme="minorHAnsi"/>
                <w:i/>
                <w:iCs/>
                <w:color w:val="000000"/>
                <w:sz w:val="18"/>
                <w:szCs w:val="18"/>
                <w:lang w:eastAsia="hr-HR"/>
              </w:rPr>
            </w:pPr>
            <w:r w:rsidRPr="00B00C44">
              <w:rPr>
                <w:rFonts w:eastAsia="Times New Roman" w:cstheme="minorHAnsi"/>
                <w:i/>
                <w:iCs/>
                <w:color w:val="000000"/>
                <w:sz w:val="18"/>
                <w:szCs w:val="18"/>
                <w:lang w:eastAsia="hr-HR"/>
              </w:rPr>
              <w:t>1.4.</w:t>
            </w:r>
          </w:p>
        </w:tc>
        <w:tc>
          <w:tcPr>
            <w:tcW w:w="13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078155" w14:textId="77777777" w:rsidR="002249E7" w:rsidRPr="00B00C44" w:rsidRDefault="002249E7" w:rsidP="002249E7">
            <w:pPr>
              <w:rPr>
                <w:rFonts w:eastAsia="Times New Roman" w:cstheme="minorHAnsi"/>
                <w:i/>
                <w:iCs/>
                <w:color w:val="000000"/>
                <w:sz w:val="18"/>
                <w:szCs w:val="18"/>
                <w:lang w:eastAsia="hr-HR"/>
              </w:rPr>
            </w:pPr>
            <w:r w:rsidRPr="00B00C44">
              <w:rPr>
                <w:rFonts w:eastAsia="Times New Roman" w:cstheme="minorHAnsi"/>
                <w:i/>
                <w:iCs/>
                <w:color w:val="000000"/>
                <w:sz w:val="18"/>
                <w:szCs w:val="18"/>
                <w:lang w:eastAsia="hr-HR"/>
              </w:rPr>
              <w:t xml:space="preserve">Jezična provjera informacija o lijeku u centraliziranom postupku odobravanja lijekova (EMA)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F956CC"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64.461</w:t>
            </w:r>
          </w:p>
        </w:tc>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39D6F"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68.400</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3B968D"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58.482</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B5000"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86%</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8F35B"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0,5%</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CBE5B"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91%</w:t>
            </w:r>
          </w:p>
        </w:tc>
      </w:tr>
      <w:tr w:rsidR="002249E7" w:rsidRPr="00B00C44" w14:paraId="32FAE8A4" w14:textId="77777777" w:rsidTr="002249E7">
        <w:trPr>
          <w:trHeight w:val="170"/>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A8E8E" w14:textId="77777777" w:rsidR="002249E7" w:rsidRPr="00B00C44" w:rsidRDefault="002249E7" w:rsidP="002249E7">
            <w:pPr>
              <w:jc w:val="right"/>
              <w:rPr>
                <w:rFonts w:eastAsia="Times New Roman" w:cstheme="minorHAnsi"/>
                <w:i/>
                <w:iCs/>
                <w:color w:val="000000"/>
                <w:sz w:val="18"/>
                <w:szCs w:val="18"/>
                <w:lang w:eastAsia="hr-HR"/>
              </w:rPr>
            </w:pPr>
            <w:r w:rsidRPr="00B00C44">
              <w:rPr>
                <w:rFonts w:eastAsia="Times New Roman" w:cstheme="minorHAnsi"/>
                <w:i/>
                <w:iCs/>
                <w:color w:val="000000"/>
                <w:sz w:val="18"/>
                <w:szCs w:val="18"/>
                <w:lang w:eastAsia="hr-HR"/>
              </w:rPr>
              <w:lastRenderedPageBreak/>
              <w:t>1.5.</w:t>
            </w:r>
          </w:p>
        </w:tc>
        <w:tc>
          <w:tcPr>
            <w:tcW w:w="13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DB902A" w14:textId="77777777" w:rsidR="002249E7" w:rsidRPr="00B00C44" w:rsidRDefault="002249E7" w:rsidP="002249E7">
            <w:pPr>
              <w:rPr>
                <w:rFonts w:eastAsia="Times New Roman" w:cstheme="minorHAnsi"/>
                <w:i/>
                <w:iCs/>
                <w:color w:val="000000"/>
                <w:sz w:val="18"/>
                <w:szCs w:val="18"/>
                <w:lang w:eastAsia="hr-HR"/>
              </w:rPr>
            </w:pPr>
            <w:r w:rsidRPr="00B00C44">
              <w:rPr>
                <w:rFonts w:eastAsia="Times New Roman" w:cstheme="minorHAnsi"/>
                <w:i/>
                <w:iCs/>
                <w:color w:val="000000"/>
                <w:sz w:val="18"/>
                <w:szCs w:val="18"/>
                <w:lang w:eastAsia="hr-HR"/>
              </w:rPr>
              <w:t xml:space="preserve">Ocjena dokumentacije u centraliziranom postupku odobravanja lijekova (EMA)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366609"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626.169</w:t>
            </w:r>
          </w:p>
        </w:tc>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54BBF"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748.052</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7CE7A"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503.998</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91455"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67%</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3DDDF1"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4%</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830F5"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80%</w:t>
            </w:r>
          </w:p>
        </w:tc>
      </w:tr>
      <w:tr w:rsidR="002249E7" w:rsidRPr="00B00C44" w14:paraId="7CAFD45D" w14:textId="77777777" w:rsidTr="002249E7">
        <w:trPr>
          <w:trHeight w:val="170"/>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BBB9E9" w14:textId="77777777" w:rsidR="002249E7" w:rsidRPr="00B00C44" w:rsidRDefault="002249E7" w:rsidP="002249E7">
            <w:pPr>
              <w:jc w:val="right"/>
              <w:rPr>
                <w:rFonts w:eastAsia="Times New Roman" w:cstheme="minorHAnsi"/>
                <w:i/>
                <w:iCs/>
                <w:color w:val="000000"/>
                <w:sz w:val="18"/>
                <w:szCs w:val="18"/>
                <w:lang w:eastAsia="hr-HR"/>
              </w:rPr>
            </w:pPr>
            <w:r w:rsidRPr="00B00C44">
              <w:rPr>
                <w:rFonts w:eastAsia="Times New Roman" w:cstheme="minorHAnsi"/>
                <w:i/>
                <w:iCs/>
                <w:color w:val="000000"/>
                <w:sz w:val="18"/>
                <w:szCs w:val="18"/>
                <w:lang w:eastAsia="hr-HR"/>
              </w:rPr>
              <w:t>1.6.</w:t>
            </w:r>
          </w:p>
        </w:tc>
        <w:tc>
          <w:tcPr>
            <w:tcW w:w="13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D813C8" w14:textId="77777777" w:rsidR="002249E7" w:rsidRPr="00B00C44" w:rsidRDefault="002249E7" w:rsidP="002249E7">
            <w:pPr>
              <w:rPr>
                <w:rFonts w:eastAsia="Times New Roman" w:cstheme="minorHAnsi"/>
                <w:i/>
                <w:iCs/>
                <w:color w:val="000000"/>
                <w:sz w:val="18"/>
                <w:szCs w:val="18"/>
                <w:lang w:eastAsia="hr-HR"/>
              </w:rPr>
            </w:pPr>
            <w:r w:rsidRPr="00B00C44">
              <w:rPr>
                <w:rFonts w:eastAsia="Times New Roman" w:cstheme="minorHAnsi"/>
                <w:i/>
                <w:iCs/>
                <w:color w:val="000000"/>
                <w:sz w:val="18"/>
                <w:szCs w:val="18"/>
                <w:lang w:eastAsia="hr-HR"/>
              </w:rPr>
              <w:t xml:space="preserve">Ocjena dokumentacije u postupku dobivanja Ovjernice Europske farmakopeje, CEP (EDQM)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7BCE54"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3.602</w:t>
            </w:r>
          </w:p>
        </w:tc>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72ADC"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3.600</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23F231"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3.200</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0F2B73"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89%</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2B91D"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0,02%</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45B4F"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89%</w:t>
            </w:r>
          </w:p>
        </w:tc>
      </w:tr>
      <w:tr w:rsidR="002249E7" w:rsidRPr="00B00C44" w14:paraId="22A376A6" w14:textId="77777777" w:rsidTr="002249E7">
        <w:trPr>
          <w:trHeight w:val="170"/>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2FEEE" w14:textId="77777777" w:rsidR="002249E7" w:rsidRPr="00B00C44" w:rsidRDefault="002249E7" w:rsidP="002249E7">
            <w:pPr>
              <w:jc w:val="center"/>
              <w:rPr>
                <w:rFonts w:eastAsia="Times New Roman" w:cstheme="minorHAnsi"/>
                <w:color w:val="000000"/>
                <w:sz w:val="18"/>
                <w:szCs w:val="18"/>
                <w:lang w:eastAsia="hr-HR"/>
              </w:rPr>
            </w:pPr>
            <w:r w:rsidRPr="00B00C44">
              <w:rPr>
                <w:rFonts w:eastAsia="Times New Roman" w:cstheme="minorHAnsi"/>
                <w:color w:val="000000"/>
                <w:sz w:val="18"/>
                <w:szCs w:val="18"/>
                <w:lang w:eastAsia="hr-HR"/>
              </w:rPr>
              <w:t>2.</w:t>
            </w:r>
          </w:p>
        </w:tc>
        <w:tc>
          <w:tcPr>
            <w:tcW w:w="13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AAAFC6" w14:textId="77777777" w:rsidR="002249E7" w:rsidRPr="00B00C44" w:rsidRDefault="002249E7" w:rsidP="002249E7">
            <w:pPr>
              <w:rPr>
                <w:rFonts w:eastAsia="Times New Roman" w:cstheme="minorHAnsi"/>
                <w:color w:val="000000"/>
                <w:sz w:val="18"/>
                <w:szCs w:val="18"/>
                <w:lang w:eastAsia="hr-HR"/>
              </w:rPr>
            </w:pPr>
            <w:r w:rsidRPr="00B00C44">
              <w:rPr>
                <w:rFonts w:eastAsia="Times New Roman" w:cstheme="minorHAnsi"/>
                <w:color w:val="000000"/>
                <w:sz w:val="18"/>
                <w:szCs w:val="18"/>
                <w:lang w:eastAsia="hr-HR"/>
              </w:rPr>
              <w:t>Proizvodnja i nadzor</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262B6D"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408.367</w:t>
            </w:r>
          </w:p>
        </w:tc>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CDA7F"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348.983</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73B8A"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372.241</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3EB48"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107%</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6144D"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3%</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5C496"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91%</w:t>
            </w:r>
          </w:p>
        </w:tc>
      </w:tr>
      <w:tr w:rsidR="002249E7" w:rsidRPr="00B00C44" w14:paraId="5C752ACE" w14:textId="77777777" w:rsidTr="002249E7">
        <w:trPr>
          <w:trHeight w:val="170"/>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B9512" w14:textId="77777777" w:rsidR="002249E7" w:rsidRPr="00B00C44" w:rsidRDefault="002249E7" w:rsidP="002249E7">
            <w:pPr>
              <w:jc w:val="center"/>
              <w:rPr>
                <w:rFonts w:eastAsia="Times New Roman" w:cstheme="minorHAnsi"/>
                <w:color w:val="000000"/>
                <w:sz w:val="18"/>
                <w:szCs w:val="18"/>
                <w:lang w:eastAsia="hr-HR"/>
              </w:rPr>
            </w:pPr>
            <w:r w:rsidRPr="00B00C44">
              <w:rPr>
                <w:rFonts w:eastAsia="Times New Roman" w:cstheme="minorHAnsi"/>
                <w:color w:val="000000"/>
                <w:sz w:val="18"/>
                <w:szCs w:val="18"/>
                <w:lang w:eastAsia="hr-HR"/>
              </w:rPr>
              <w:t>3.</w:t>
            </w:r>
          </w:p>
        </w:tc>
        <w:tc>
          <w:tcPr>
            <w:tcW w:w="13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62BA6A" w14:textId="77777777" w:rsidR="002249E7" w:rsidRPr="00B00C44" w:rsidRDefault="002249E7" w:rsidP="002249E7">
            <w:pPr>
              <w:rPr>
                <w:rFonts w:eastAsia="Times New Roman" w:cstheme="minorHAnsi"/>
                <w:color w:val="000000"/>
                <w:sz w:val="18"/>
                <w:szCs w:val="18"/>
                <w:lang w:eastAsia="hr-HR"/>
              </w:rPr>
            </w:pPr>
            <w:r w:rsidRPr="00B00C44">
              <w:rPr>
                <w:rFonts w:eastAsia="Times New Roman" w:cstheme="minorHAnsi"/>
                <w:color w:val="000000"/>
                <w:sz w:val="18"/>
                <w:szCs w:val="18"/>
                <w:lang w:eastAsia="hr-HR"/>
              </w:rPr>
              <w:t>Dostupnost lijekova</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965D7C"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372.686</w:t>
            </w:r>
          </w:p>
        </w:tc>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D23F4"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317.076</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93389"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379.589</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AFE2F"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120%</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6552C"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3%</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E5BD1"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102%</w:t>
            </w:r>
          </w:p>
        </w:tc>
      </w:tr>
      <w:tr w:rsidR="002249E7" w:rsidRPr="00B00C44" w14:paraId="55CB4544" w14:textId="77777777" w:rsidTr="002249E7">
        <w:trPr>
          <w:trHeight w:val="170"/>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7FE6D" w14:textId="77777777" w:rsidR="002249E7" w:rsidRPr="00B00C44" w:rsidRDefault="002249E7" w:rsidP="002249E7">
            <w:pPr>
              <w:jc w:val="center"/>
              <w:rPr>
                <w:rFonts w:eastAsia="Times New Roman" w:cstheme="minorHAnsi"/>
                <w:color w:val="000000"/>
                <w:sz w:val="18"/>
                <w:szCs w:val="18"/>
                <w:lang w:eastAsia="hr-HR"/>
              </w:rPr>
            </w:pPr>
            <w:r w:rsidRPr="00B00C44">
              <w:rPr>
                <w:rFonts w:eastAsia="Times New Roman" w:cstheme="minorHAnsi"/>
                <w:color w:val="000000"/>
                <w:sz w:val="18"/>
                <w:szCs w:val="18"/>
                <w:lang w:eastAsia="hr-HR"/>
              </w:rPr>
              <w:t>4.</w:t>
            </w:r>
          </w:p>
        </w:tc>
        <w:tc>
          <w:tcPr>
            <w:tcW w:w="13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E84A0D" w14:textId="77777777" w:rsidR="002249E7" w:rsidRPr="00B00C44" w:rsidRDefault="002249E7" w:rsidP="002249E7">
            <w:pPr>
              <w:rPr>
                <w:rFonts w:eastAsia="Times New Roman" w:cstheme="minorHAnsi"/>
                <w:color w:val="000000"/>
                <w:sz w:val="18"/>
                <w:szCs w:val="18"/>
                <w:lang w:eastAsia="hr-HR"/>
              </w:rPr>
            </w:pPr>
            <w:r w:rsidRPr="00B00C44">
              <w:rPr>
                <w:rFonts w:eastAsia="Times New Roman" w:cstheme="minorHAnsi"/>
                <w:color w:val="000000"/>
                <w:sz w:val="18"/>
                <w:szCs w:val="18"/>
                <w:lang w:eastAsia="hr-HR"/>
              </w:rPr>
              <w:t>Potrošnja  i cijene lijekova</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6DC63E"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46.851</w:t>
            </w:r>
          </w:p>
        </w:tc>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AF31E"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43.002</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DA164"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38.423</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95247D"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89%</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A59ADC"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0,3%</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2E6C0"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82%</w:t>
            </w:r>
          </w:p>
        </w:tc>
      </w:tr>
      <w:tr w:rsidR="002249E7" w:rsidRPr="00B00C44" w14:paraId="398765CB" w14:textId="77777777" w:rsidTr="002249E7">
        <w:trPr>
          <w:trHeight w:val="170"/>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D22A8" w14:textId="77777777" w:rsidR="002249E7" w:rsidRPr="00B00C44" w:rsidRDefault="002249E7" w:rsidP="002249E7">
            <w:pPr>
              <w:jc w:val="center"/>
              <w:rPr>
                <w:rFonts w:eastAsia="Times New Roman" w:cstheme="minorHAnsi"/>
                <w:color w:val="000000"/>
                <w:sz w:val="18"/>
                <w:szCs w:val="18"/>
                <w:lang w:eastAsia="hr-HR"/>
              </w:rPr>
            </w:pPr>
            <w:r w:rsidRPr="00B00C44">
              <w:rPr>
                <w:rFonts w:eastAsia="Times New Roman" w:cstheme="minorHAnsi"/>
                <w:color w:val="000000"/>
                <w:sz w:val="18"/>
                <w:szCs w:val="18"/>
                <w:lang w:eastAsia="hr-HR"/>
              </w:rPr>
              <w:t>5.</w:t>
            </w:r>
          </w:p>
        </w:tc>
        <w:tc>
          <w:tcPr>
            <w:tcW w:w="13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9788E2" w14:textId="77777777" w:rsidR="002249E7" w:rsidRPr="00B00C44" w:rsidRDefault="002249E7" w:rsidP="002249E7">
            <w:pPr>
              <w:rPr>
                <w:rFonts w:eastAsia="Times New Roman" w:cstheme="minorHAnsi"/>
                <w:color w:val="000000"/>
                <w:sz w:val="18"/>
                <w:szCs w:val="18"/>
                <w:lang w:eastAsia="hr-HR"/>
              </w:rPr>
            </w:pPr>
            <w:r w:rsidRPr="00B00C44">
              <w:rPr>
                <w:rFonts w:eastAsia="Times New Roman" w:cstheme="minorHAnsi"/>
                <w:color w:val="000000"/>
                <w:sz w:val="18"/>
                <w:szCs w:val="18"/>
                <w:lang w:eastAsia="hr-HR"/>
              </w:rPr>
              <w:t xml:space="preserve">Provjera kakvoće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6B17B2"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895.598</w:t>
            </w:r>
          </w:p>
        </w:tc>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90073"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919.800</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30E20"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948.147</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1AD01"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103%</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26CEDD"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7%</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AC369"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106%</w:t>
            </w:r>
          </w:p>
        </w:tc>
      </w:tr>
      <w:tr w:rsidR="002249E7" w:rsidRPr="00B00C44" w14:paraId="31A1E7FA" w14:textId="77777777" w:rsidTr="002249E7">
        <w:trPr>
          <w:trHeight w:val="170"/>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8DDA3" w14:textId="77777777" w:rsidR="002249E7" w:rsidRPr="00B00C44" w:rsidRDefault="002249E7" w:rsidP="002249E7">
            <w:pPr>
              <w:jc w:val="center"/>
              <w:rPr>
                <w:rFonts w:eastAsia="Times New Roman" w:cstheme="minorHAnsi"/>
                <w:color w:val="000000"/>
                <w:sz w:val="18"/>
                <w:szCs w:val="18"/>
                <w:lang w:eastAsia="hr-HR"/>
              </w:rPr>
            </w:pPr>
            <w:r w:rsidRPr="00B00C44">
              <w:rPr>
                <w:rFonts w:eastAsia="Times New Roman" w:cstheme="minorHAnsi"/>
                <w:color w:val="000000"/>
                <w:sz w:val="18"/>
                <w:szCs w:val="18"/>
                <w:lang w:eastAsia="hr-HR"/>
              </w:rPr>
              <w:t>6.</w:t>
            </w:r>
          </w:p>
        </w:tc>
        <w:tc>
          <w:tcPr>
            <w:tcW w:w="13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3B753A" w14:textId="77777777" w:rsidR="002249E7" w:rsidRPr="00B00C44" w:rsidRDefault="002249E7" w:rsidP="002249E7">
            <w:pPr>
              <w:rPr>
                <w:rFonts w:eastAsia="Times New Roman" w:cstheme="minorHAnsi"/>
                <w:color w:val="000000"/>
                <w:sz w:val="18"/>
                <w:szCs w:val="18"/>
                <w:lang w:eastAsia="hr-HR"/>
              </w:rPr>
            </w:pPr>
            <w:r w:rsidRPr="00B00C44">
              <w:rPr>
                <w:rFonts w:eastAsia="Times New Roman" w:cstheme="minorHAnsi"/>
                <w:color w:val="000000"/>
                <w:sz w:val="18"/>
                <w:szCs w:val="18"/>
                <w:lang w:eastAsia="hr-HR"/>
              </w:rPr>
              <w:t>Godišnje pristojbe</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0D290F"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2.703.677</w:t>
            </w:r>
          </w:p>
        </w:tc>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CE902"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2.984.497</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3D348"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2.843.381</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BD5E08"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95%</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CD098A"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22%</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F3A231"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105%</w:t>
            </w:r>
          </w:p>
        </w:tc>
      </w:tr>
      <w:tr w:rsidR="002249E7" w:rsidRPr="00B00C44" w14:paraId="33833189" w14:textId="77777777" w:rsidTr="002249E7">
        <w:trPr>
          <w:trHeight w:val="170"/>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4D21D0" w14:textId="77777777" w:rsidR="002249E7" w:rsidRPr="00B00C44" w:rsidRDefault="002249E7" w:rsidP="002249E7">
            <w:pPr>
              <w:jc w:val="center"/>
              <w:rPr>
                <w:rFonts w:eastAsia="Times New Roman" w:cstheme="minorHAnsi"/>
                <w:color w:val="000000"/>
                <w:sz w:val="18"/>
                <w:szCs w:val="18"/>
                <w:lang w:eastAsia="hr-HR"/>
              </w:rPr>
            </w:pPr>
            <w:r w:rsidRPr="00B00C44">
              <w:rPr>
                <w:rFonts w:eastAsia="Times New Roman" w:cstheme="minorHAnsi"/>
                <w:color w:val="000000"/>
                <w:sz w:val="18"/>
                <w:szCs w:val="18"/>
                <w:lang w:eastAsia="hr-HR"/>
              </w:rPr>
              <w:t>7.</w:t>
            </w:r>
          </w:p>
        </w:tc>
        <w:tc>
          <w:tcPr>
            <w:tcW w:w="13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16E0AF" w14:textId="77777777" w:rsidR="002249E7" w:rsidRPr="00B00C44" w:rsidRDefault="002249E7" w:rsidP="002249E7">
            <w:pPr>
              <w:rPr>
                <w:rFonts w:eastAsia="Times New Roman" w:cstheme="minorHAnsi"/>
                <w:color w:val="000000"/>
                <w:sz w:val="18"/>
                <w:szCs w:val="18"/>
                <w:lang w:eastAsia="hr-HR"/>
              </w:rPr>
            </w:pPr>
            <w:r w:rsidRPr="00B00C44">
              <w:rPr>
                <w:rFonts w:eastAsia="Times New Roman" w:cstheme="minorHAnsi"/>
                <w:color w:val="000000"/>
                <w:sz w:val="18"/>
                <w:szCs w:val="18"/>
                <w:lang w:eastAsia="hr-HR"/>
              </w:rPr>
              <w:t>Medicinski proizvodi</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B6754A"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92.441</w:t>
            </w:r>
          </w:p>
        </w:tc>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E57F3"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95.229</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40C45E"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85.607</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A21BE"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90%</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D3676"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1%</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F2ECC"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93%</w:t>
            </w:r>
          </w:p>
        </w:tc>
      </w:tr>
      <w:tr w:rsidR="002249E7" w:rsidRPr="00B00C44" w14:paraId="4F7F0CCB" w14:textId="77777777" w:rsidTr="002249E7">
        <w:trPr>
          <w:trHeight w:val="170"/>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01E20" w14:textId="77777777" w:rsidR="002249E7" w:rsidRPr="00B00C44" w:rsidRDefault="002249E7" w:rsidP="002249E7">
            <w:pPr>
              <w:jc w:val="center"/>
              <w:rPr>
                <w:rFonts w:eastAsia="Times New Roman" w:cstheme="minorHAnsi"/>
                <w:color w:val="000000"/>
                <w:sz w:val="18"/>
                <w:szCs w:val="18"/>
                <w:lang w:eastAsia="hr-HR"/>
              </w:rPr>
            </w:pPr>
            <w:r w:rsidRPr="00B00C44">
              <w:rPr>
                <w:rFonts w:eastAsia="Times New Roman" w:cstheme="minorHAnsi"/>
                <w:color w:val="000000"/>
                <w:sz w:val="18"/>
                <w:szCs w:val="18"/>
                <w:lang w:eastAsia="hr-HR"/>
              </w:rPr>
              <w:t>8.</w:t>
            </w:r>
          </w:p>
        </w:tc>
        <w:tc>
          <w:tcPr>
            <w:tcW w:w="13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6084CC" w14:textId="77777777" w:rsidR="002249E7" w:rsidRPr="00B00C44" w:rsidRDefault="002249E7" w:rsidP="002249E7">
            <w:pPr>
              <w:rPr>
                <w:rFonts w:eastAsia="Times New Roman" w:cstheme="minorHAnsi"/>
                <w:color w:val="000000"/>
                <w:sz w:val="18"/>
                <w:szCs w:val="18"/>
                <w:lang w:eastAsia="hr-HR"/>
              </w:rPr>
            </w:pPr>
            <w:r w:rsidRPr="00B00C44">
              <w:rPr>
                <w:rFonts w:eastAsia="Times New Roman" w:cstheme="minorHAnsi"/>
                <w:color w:val="000000"/>
                <w:sz w:val="18"/>
                <w:szCs w:val="18"/>
                <w:lang w:eastAsia="hr-HR"/>
              </w:rPr>
              <w:t>Informiranje, edukacije i pružanje stručnih savjeta iz područja djelatnosti HALMED-a</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D3516A"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5.110</w:t>
            </w:r>
          </w:p>
        </w:tc>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7180A"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79.899</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20AE0"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78.454</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82C02"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98%</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D33A6"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1%</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3348DC"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1535%</w:t>
            </w:r>
          </w:p>
        </w:tc>
      </w:tr>
      <w:tr w:rsidR="002249E7" w:rsidRPr="00B00C44" w14:paraId="701FF1A4" w14:textId="77777777" w:rsidTr="002249E7">
        <w:trPr>
          <w:trHeight w:val="170"/>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1A9EA9" w14:textId="77777777" w:rsidR="002249E7" w:rsidRPr="00B00C44" w:rsidRDefault="002249E7" w:rsidP="002249E7">
            <w:pPr>
              <w:jc w:val="center"/>
              <w:rPr>
                <w:rFonts w:eastAsia="Times New Roman" w:cstheme="minorHAnsi"/>
                <w:color w:val="000000"/>
                <w:sz w:val="18"/>
                <w:szCs w:val="18"/>
                <w:lang w:eastAsia="hr-HR"/>
              </w:rPr>
            </w:pPr>
            <w:r w:rsidRPr="00B00C44">
              <w:rPr>
                <w:rFonts w:eastAsia="Times New Roman" w:cstheme="minorHAnsi"/>
                <w:color w:val="000000"/>
                <w:sz w:val="18"/>
                <w:szCs w:val="18"/>
                <w:lang w:eastAsia="hr-HR"/>
              </w:rPr>
              <w:t>9.</w:t>
            </w:r>
          </w:p>
        </w:tc>
        <w:tc>
          <w:tcPr>
            <w:tcW w:w="13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45AE36" w14:textId="77777777" w:rsidR="002249E7" w:rsidRPr="00B00C44" w:rsidRDefault="002249E7" w:rsidP="002249E7">
            <w:pPr>
              <w:rPr>
                <w:rFonts w:eastAsia="Times New Roman" w:cstheme="minorHAnsi"/>
                <w:color w:val="000000"/>
                <w:sz w:val="18"/>
                <w:szCs w:val="18"/>
                <w:lang w:eastAsia="hr-HR"/>
              </w:rPr>
            </w:pPr>
            <w:r w:rsidRPr="00B00C44">
              <w:rPr>
                <w:rFonts w:eastAsia="Times New Roman" w:cstheme="minorHAnsi"/>
                <w:color w:val="000000"/>
                <w:sz w:val="18"/>
                <w:szCs w:val="18"/>
                <w:lang w:eastAsia="hr-HR"/>
              </w:rPr>
              <w:t>Hrvatska farmakopeja</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3907E9"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2.946</w:t>
            </w:r>
          </w:p>
        </w:tc>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15BA0"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1.593</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4C4C4"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1.872</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D8385"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118%</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B69DF"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0,01%</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960B6"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64%</w:t>
            </w:r>
          </w:p>
        </w:tc>
      </w:tr>
      <w:tr w:rsidR="002249E7" w:rsidRPr="00B00C44" w14:paraId="13760BB9" w14:textId="77777777" w:rsidTr="002249E7">
        <w:trPr>
          <w:trHeight w:val="170"/>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862461" w14:textId="77777777" w:rsidR="002249E7" w:rsidRPr="00B00C44" w:rsidRDefault="002249E7" w:rsidP="002249E7">
            <w:pPr>
              <w:jc w:val="center"/>
              <w:rPr>
                <w:rFonts w:eastAsia="Times New Roman" w:cstheme="minorHAnsi"/>
                <w:color w:val="000000"/>
                <w:sz w:val="18"/>
                <w:szCs w:val="18"/>
                <w:lang w:eastAsia="hr-HR"/>
              </w:rPr>
            </w:pPr>
            <w:r w:rsidRPr="00B00C44">
              <w:rPr>
                <w:rFonts w:eastAsia="Times New Roman" w:cstheme="minorHAnsi"/>
                <w:color w:val="000000"/>
                <w:sz w:val="18"/>
                <w:szCs w:val="18"/>
                <w:lang w:eastAsia="hr-HR"/>
              </w:rPr>
              <w:t>10.</w:t>
            </w:r>
          </w:p>
        </w:tc>
        <w:tc>
          <w:tcPr>
            <w:tcW w:w="13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2E6431" w14:textId="77777777" w:rsidR="002249E7" w:rsidRPr="00B00C44" w:rsidRDefault="002249E7" w:rsidP="002249E7">
            <w:pPr>
              <w:rPr>
                <w:rFonts w:eastAsia="Times New Roman" w:cstheme="minorHAnsi"/>
                <w:color w:val="000000"/>
                <w:sz w:val="18"/>
                <w:szCs w:val="18"/>
                <w:lang w:eastAsia="hr-HR"/>
              </w:rPr>
            </w:pPr>
            <w:r w:rsidRPr="00B00C44">
              <w:rPr>
                <w:rFonts w:eastAsia="Times New Roman" w:cstheme="minorHAnsi"/>
                <w:color w:val="000000"/>
                <w:sz w:val="18"/>
                <w:szCs w:val="18"/>
                <w:lang w:eastAsia="hr-HR"/>
              </w:rPr>
              <w:t>Klinička ispitivanja</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C6AC88"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356.759</w:t>
            </w:r>
          </w:p>
        </w:tc>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59347"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304.864</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FFBA2"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321.985</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564F8"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106%</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5F663E"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2%</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244CB"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90%</w:t>
            </w:r>
          </w:p>
        </w:tc>
      </w:tr>
      <w:tr w:rsidR="002249E7" w:rsidRPr="00B00C44" w14:paraId="70A94DB5" w14:textId="77777777" w:rsidTr="002249E7">
        <w:trPr>
          <w:trHeight w:val="170"/>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C61DE" w14:textId="77777777" w:rsidR="002249E7" w:rsidRPr="00B00C44" w:rsidRDefault="002249E7" w:rsidP="002249E7">
            <w:pPr>
              <w:jc w:val="center"/>
              <w:rPr>
                <w:rFonts w:eastAsia="Times New Roman" w:cstheme="minorHAnsi"/>
                <w:color w:val="000000"/>
                <w:sz w:val="18"/>
                <w:szCs w:val="18"/>
                <w:lang w:eastAsia="hr-HR"/>
              </w:rPr>
            </w:pPr>
            <w:r w:rsidRPr="00B00C44">
              <w:rPr>
                <w:rFonts w:eastAsia="Times New Roman" w:cstheme="minorHAnsi"/>
                <w:color w:val="000000"/>
                <w:sz w:val="18"/>
                <w:szCs w:val="18"/>
                <w:lang w:eastAsia="hr-HR"/>
              </w:rPr>
              <w:t>11.</w:t>
            </w:r>
          </w:p>
        </w:tc>
        <w:tc>
          <w:tcPr>
            <w:tcW w:w="13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335B31" w14:textId="77777777" w:rsidR="002249E7" w:rsidRPr="00B00C44" w:rsidRDefault="002249E7" w:rsidP="002249E7">
            <w:pPr>
              <w:rPr>
                <w:rFonts w:eastAsia="Times New Roman" w:cstheme="minorHAnsi"/>
                <w:color w:val="000000"/>
                <w:sz w:val="18"/>
                <w:szCs w:val="18"/>
                <w:lang w:eastAsia="hr-HR"/>
              </w:rPr>
            </w:pPr>
            <w:r w:rsidRPr="00B00C44">
              <w:rPr>
                <w:rFonts w:eastAsia="Times New Roman" w:cstheme="minorHAnsi"/>
                <w:color w:val="000000"/>
                <w:sz w:val="18"/>
                <w:szCs w:val="18"/>
                <w:lang w:eastAsia="hr-HR"/>
              </w:rPr>
              <w:t>Farmakovigilancija</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3E1C9A"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640.291</w:t>
            </w:r>
          </w:p>
        </w:tc>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C0375"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479.914</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D6C3B"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547.085</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DED45"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114%</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74681B"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4%</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A86FC"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85%</w:t>
            </w:r>
          </w:p>
        </w:tc>
      </w:tr>
      <w:tr w:rsidR="002249E7" w:rsidRPr="00B00C44" w14:paraId="315A330C" w14:textId="77777777" w:rsidTr="002249E7">
        <w:trPr>
          <w:trHeight w:val="170"/>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702A1" w14:textId="77777777" w:rsidR="002249E7" w:rsidRPr="00B00C44" w:rsidRDefault="002249E7" w:rsidP="002249E7">
            <w:pPr>
              <w:jc w:val="center"/>
              <w:rPr>
                <w:rFonts w:eastAsia="Times New Roman" w:cstheme="minorHAnsi"/>
                <w:color w:val="000000"/>
                <w:sz w:val="18"/>
                <w:szCs w:val="18"/>
                <w:lang w:eastAsia="hr-HR"/>
              </w:rPr>
            </w:pPr>
            <w:r w:rsidRPr="00B00C44">
              <w:rPr>
                <w:rFonts w:eastAsia="Times New Roman" w:cstheme="minorHAnsi"/>
                <w:color w:val="000000"/>
                <w:sz w:val="18"/>
                <w:szCs w:val="18"/>
                <w:lang w:eastAsia="hr-HR"/>
              </w:rPr>
              <w:t>12.</w:t>
            </w:r>
          </w:p>
        </w:tc>
        <w:tc>
          <w:tcPr>
            <w:tcW w:w="13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CCA74A" w14:textId="77777777" w:rsidR="002249E7" w:rsidRPr="00B00C44" w:rsidRDefault="002249E7" w:rsidP="002249E7">
            <w:pPr>
              <w:rPr>
                <w:rFonts w:eastAsia="Times New Roman" w:cstheme="minorHAnsi"/>
                <w:color w:val="000000"/>
                <w:sz w:val="18"/>
                <w:szCs w:val="18"/>
                <w:lang w:eastAsia="hr-HR"/>
              </w:rPr>
            </w:pPr>
            <w:r w:rsidRPr="00B00C44">
              <w:rPr>
                <w:rFonts w:eastAsia="Times New Roman" w:cstheme="minorHAnsi"/>
                <w:color w:val="000000"/>
                <w:sz w:val="18"/>
                <w:szCs w:val="18"/>
                <w:lang w:eastAsia="hr-HR"/>
              </w:rPr>
              <w:t>Ocjena u arbitražnom postupku prema ugovoru s EMA-om</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3AA2B0"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132.075</w:t>
            </w:r>
          </w:p>
        </w:tc>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02DDA"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60.000</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6BDE09"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63.575</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1D0F1"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106%</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2986F1"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0,5%</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2A99C7"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48%</w:t>
            </w:r>
          </w:p>
        </w:tc>
      </w:tr>
      <w:tr w:rsidR="002249E7" w:rsidRPr="00B00C44" w14:paraId="05EE546D" w14:textId="77777777" w:rsidTr="002249E7">
        <w:trPr>
          <w:trHeight w:val="170"/>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51F56" w14:textId="77777777" w:rsidR="002249E7" w:rsidRPr="00B00C44" w:rsidRDefault="002249E7" w:rsidP="002249E7">
            <w:pPr>
              <w:jc w:val="center"/>
              <w:rPr>
                <w:rFonts w:eastAsia="Times New Roman" w:cstheme="minorHAnsi"/>
                <w:color w:val="000000"/>
                <w:sz w:val="18"/>
                <w:szCs w:val="18"/>
                <w:lang w:eastAsia="hr-HR"/>
              </w:rPr>
            </w:pPr>
            <w:r w:rsidRPr="00B00C44">
              <w:rPr>
                <w:rFonts w:eastAsia="Times New Roman" w:cstheme="minorHAnsi"/>
                <w:color w:val="000000"/>
                <w:sz w:val="18"/>
                <w:szCs w:val="18"/>
                <w:lang w:eastAsia="hr-HR"/>
              </w:rPr>
              <w:t>13.</w:t>
            </w:r>
          </w:p>
        </w:tc>
        <w:tc>
          <w:tcPr>
            <w:tcW w:w="13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70071F" w14:textId="77777777" w:rsidR="002249E7" w:rsidRPr="00B00C44" w:rsidRDefault="002249E7" w:rsidP="002249E7">
            <w:pPr>
              <w:rPr>
                <w:rFonts w:eastAsia="Times New Roman" w:cstheme="minorHAnsi"/>
                <w:color w:val="000000"/>
                <w:sz w:val="18"/>
                <w:szCs w:val="18"/>
                <w:lang w:eastAsia="hr-HR"/>
              </w:rPr>
            </w:pPr>
            <w:r w:rsidRPr="00B00C44">
              <w:rPr>
                <w:rFonts w:eastAsia="Times New Roman" w:cstheme="minorHAnsi"/>
                <w:color w:val="000000"/>
                <w:sz w:val="18"/>
                <w:szCs w:val="18"/>
                <w:lang w:eastAsia="hr-HR"/>
              </w:rPr>
              <w:t>Davanje znanstvenog savjeta (SAWP) prema ugovoru s EMA-om</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CE2B38"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581.550</w:t>
            </w:r>
          </w:p>
        </w:tc>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CE008"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393.900</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B60D6"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486.296</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8EA19F"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123%</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B2D3A"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4%</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62D0BA"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84%</w:t>
            </w:r>
          </w:p>
        </w:tc>
      </w:tr>
      <w:tr w:rsidR="002249E7" w:rsidRPr="00B00C44" w14:paraId="2756715A" w14:textId="77777777" w:rsidTr="002249E7">
        <w:trPr>
          <w:trHeight w:val="170"/>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99FCF" w14:textId="77777777" w:rsidR="002249E7" w:rsidRPr="00B00C44" w:rsidRDefault="002249E7" w:rsidP="002249E7">
            <w:pPr>
              <w:jc w:val="center"/>
              <w:rPr>
                <w:rFonts w:eastAsia="Times New Roman" w:cstheme="minorHAnsi"/>
                <w:color w:val="000000"/>
                <w:sz w:val="18"/>
                <w:szCs w:val="18"/>
                <w:lang w:eastAsia="hr-HR"/>
              </w:rPr>
            </w:pPr>
            <w:r w:rsidRPr="00B00C44">
              <w:rPr>
                <w:rFonts w:eastAsia="Times New Roman" w:cstheme="minorHAnsi"/>
                <w:color w:val="000000"/>
                <w:sz w:val="18"/>
                <w:szCs w:val="18"/>
                <w:lang w:eastAsia="hr-HR"/>
              </w:rPr>
              <w:t>14.</w:t>
            </w:r>
          </w:p>
        </w:tc>
        <w:tc>
          <w:tcPr>
            <w:tcW w:w="13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E4833F" w14:textId="77777777" w:rsidR="002249E7" w:rsidRPr="00B00C44" w:rsidRDefault="002249E7" w:rsidP="002249E7">
            <w:pPr>
              <w:rPr>
                <w:rFonts w:eastAsia="Times New Roman" w:cstheme="minorHAnsi"/>
                <w:color w:val="000000"/>
                <w:sz w:val="18"/>
                <w:szCs w:val="18"/>
                <w:lang w:eastAsia="hr-HR"/>
              </w:rPr>
            </w:pPr>
            <w:r w:rsidRPr="00B00C44">
              <w:rPr>
                <w:rFonts w:eastAsia="Times New Roman" w:cstheme="minorHAnsi"/>
                <w:color w:val="000000"/>
                <w:sz w:val="18"/>
                <w:szCs w:val="18"/>
                <w:lang w:eastAsia="hr-HR"/>
              </w:rPr>
              <w:t>Veterinarsko-medicinski proizvodi (VMP)</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8BC074"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10.087</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6327A9"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10.419</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F5729B"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22.762</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A99F2"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218%</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0B9A5"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0,2%</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EDBE2"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226%</w:t>
            </w:r>
          </w:p>
        </w:tc>
      </w:tr>
      <w:tr w:rsidR="002249E7" w:rsidRPr="00B00C44" w14:paraId="751099D6" w14:textId="77777777" w:rsidTr="002249E7">
        <w:trPr>
          <w:trHeight w:val="170"/>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7541A" w14:textId="77777777" w:rsidR="002249E7" w:rsidRPr="00B00C44" w:rsidRDefault="002249E7" w:rsidP="002249E7">
            <w:pPr>
              <w:jc w:val="center"/>
              <w:rPr>
                <w:rFonts w:eastAsia="Times New Roman" w:cstheme="minorHAnsi"/>
                <w:color w:val="000000"/>
                <w:sz w:val="18"/>
                <w:szCs w:val="18"/>
                <w:lang w:eastAsia="hr-HR"/>
              </w:rPr>
            </w:pPr>
            <w:r w:rsidRPr="00B00C44">
              <w:rPr>
                <w:rFonts w:eastAsia="Times New Roman" w:cstheme="minorHAnsi"/>
                <w:color w:val="000000"/>
                <w:sz w:val="18"/>
                <w:szCs w:val="18"/>
                <w:lang w:eastAsia="hr-HR"/>
              </w:rPr>
              <w:t> </w:t>
            </w:r>
          </w:p>
        </w:tc>
        <w:tc>
          <w:tcPr>
            <w:tcW w:w="13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722B15" w14:textId="77777777" w:rsidR="002249E7" w:rsidRPr="00B00C44" w:rsidRDefault="002249E7" w:rsidP="002249E7">
            <w:pPr>
              <w:rPr>
                <w:rFonts w:eastAsia="Times New Roman" w:cstheme="minorHAnsi"/>
                <w:b/>
                <w:bCs/>
                <w:color w:val="000000"/>
                <w:sz w:val="18"/>
                <w:szCs w:val="18"/>
                <w:lang w:eastAsia="hr-HR"/>
              </w:rPr>
            </w:pPr>
            <w:r w:rsidRPr="00B00C44">
              <w:rPr>
                <w:rFonts w:eastAsia="Times New Roman" w:cstheme="minorHAnsi"/>
                <w:b/>
                <w:bCs/>
                <w:color w:val="000000"/>
                <w:sz w:val="18"/>
                <w:szCs w:val="18"/>
                <w:lang w:eastAsia="hr-HR"/>
              </w:rPr>
              <w:t>Prihodi od projekata</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EBA2F6" w14:textId="77777777" w:rsidR="002249E7" w:rsidRPr="00B00C44" w:rsidRDefault="002249E7" w:rsidP="002249E7">
            <w:pPr>
              <w:jc w:val="right"/>
              <w:rPr>
                <w:rFonts w:eastAsia="Times New Roman" w:cstheme="minorHAnsi"/>
                <w:b/>
                <w:bCs/>
                <w:color w:val="000000"/>
                <w:sz w:val="18"/>
                <w:szCs w:val="18"/>
                <w:lang w:eastAsia="hr-HR"/>
              </w:rPr>
            </w:pPr>
            <w:r w:rsidRPr="00B00C44">
              <w:rPr>
                <w:rFonts w:eastAsia="Times New Roman" w:cstheme="minorHAnsi"/>
                <w:b/>
                <w:bCs/>
                <w:color w:val="000000"/>
                <w:sz w:val="18"/>
                <w:szCs w:val="18"/>
                <w:lang w:eastAsia="hr-HR"/>
              </w:rPr>
              <w:t>208.384</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D7AB82" w14:textId="77777777" w:rsidR="002249E7" w:rsidRPr="00B00C44" w:rsidRDefault="002249E7" w:rsidP="002249E7">
            <w:pPr>
              <w:jc w:val="right"/>
              <w:rPr>
                <w:rFonts w:eastAsia="Times New Roman" w:cstheme="minorHAnsi"/>
                <w:b/>
                <w:bCs/>
                <w:color w:val="000000"/>
                <w:sz w:val="18"/>
                <w:szCs w:val="18"/>
                <w:lang w:eastAsia="hr-HR"/>
              </w:rPr>
            </w:pPr>
            <w:r w:rsidRPr="00B00C44">
              <w:rPr>
                <w:rFonts w:eastAsia="Times New Roman" w:cstheme="minorHAnsi"/>
                <w:b/>
                <w:bCs/>
                <w:color w:val="000000"/>
                <w:sz w:val="18"/>
                <w:szCs w:val="18"/>
                <w:lang w:eastAsia="hr-HR"/>
              </w:rPr>
              <w:t>339.164</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DB62AF" w14:textId="77777777" w:rsidR="002249E7" w:rsidRPr="00B00C44" w:rsidRDefault="002249E7" w:rsidP="002249E7">
            <w:pPr>
              <w:jc w:val="right"/>
              <w:rPr>
                <w:rFonts w:eastAsia="Times New Roman" w:cstheme="minorHAnsi"/>
                <w:b/>
                <w:bCs/>
                <w:color w:val="000000"/>
                <w:sz w:val="18"/>
                <w:szCs w:val="18"/>
                <w:lang w:eastAsia="hr-HR"/>
              </w:rPr>
            </w:pPr>
            <w:r w:rsidRPr="00B00C44">
              <w:rPr>
                <w:rFonts w:eastAsia="Times New Roman" w:cstheme="minorHAnsi"/>
                <w:b/>
                <w:bCs/>
                <w:color w:val="000000"/>
                <w:sz w:val="18"/>
                <w:szCs w:val="18"/>
                <w:lang w:eastAsia="hr-HR"/>
              </w:rPr>
              <w:t>474.280</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59FD9" w14:textId="77777777" w:rsidR="002249E7" w:rsidRPr="00B00C44" w:rsidRDefault="002249E7" w:rsidP="002249E7">
            <w:pPr>
              <w:jc w:val="right"/>
              <w:rPr>
                <w:rFonts w:eastAsia="Times New Roman" w:cstheme="minorHAnsi"/>
                <w:b/>
                <w:bCs/>
                <w:color w:val="000000"/>
                <w:sz w:val="18"/>
                <w:szCs w:val="18"/>
                <w:lang w:eastAsia="hr-HR"/>
              </w:rPr>
            </w:pPr>
            <w:r w:rsidRPr="00B00C44">
              <w:rPr>
                <w:rFonts w:eastAsia="Times New Roman" w:cstheme="minorHAnsi"/>
                <w:b/>
                <w:bCs/>
                <w:color w:val="000000"/>
                <w:sz w:val="18"/>
                <w:szCs w:val="18"/>
                <w:lang w:eastAsia="hr-HR"/>
              </w:rPr>
              <w:t>140%</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24497" w14:textId="77777777" w:rsidR="002249E7" w:rsidRPr="00B00C44" w:rsidRDefault="002249E7" w:rsidP="002249E7">
            <w:pPr>
              <w:jc w:val="right"/>
              <w:rPr>
                <w:rFonts w:eastAsia="Times New Roman" w:cstheme="minorHAnsi"/>
                <w:b/>
                <w:bCs/>
                <w:color w:val="000000"/>
                <w:sz w:val="18"/>
                <w:szCs w:val="18"/>
                <w:lang w:eastAsia="hr-HR"/>
              </w:rPr>
            </w:pPr>
            <w:r w:rsidRPr="00B00C44">
              <w:rPr>
                <w:rFonts w:eastAsia="Times New Roman" w:cstheme="minorHAnsi"/>
                <w:b/>
                <w:bCs/>
                <w:color w:val="000000"/>
                <w:sz w:val="18"/>
                <w:szCs w:val="18"/>
                <w:lang w:eastAsia="hr-HR"/>
              </w:rPr>
              <w:t>4%</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E18F6" w14:textId="77777777" w:rsidR="002249E7" w:rsidRPr="00B00C44" w:rsidRDefault="002249E7" w:rsidP="002249E7">
            <w:pPr>
              <w:jc w:val="right"/>
              <w:rPr>
                <w:rFonts w:eastAsia="Times New Roman" w:cstheme="minorHAnsi"/>
                <w:b/>
                <w:bCs/>
                <w:color w:val="000000"/>
                <w:sz w:val="18"/>
                <w:szCs w:val="18"/>
                <w:lang w:eastAsia="hr-HR"/>
              </w:rPr>
            </w:pPr>
            <w:r w:rsidRPr="00B00C44">
              <w:rPr>
                <w:rFonts w:eastAsia="Times New Roman" w:cstheme="minorHAnsi"/>
                <w:b/>
                <w:bCs/>
                <w:color w:val="000000"/>
                <w:sz w:val="18"/>
                <w:szCs w:val="18"/>
                <w:lang w:eastAsia="hr-HR"/>
              </w:rPr>
              <w:t>228%</w:t>
            </w:r>
          </w:p>
        </w:tc>
      </w:tr>
      <w:tr w:rsidR="002249E7" w:rsidRPr="00B00C44" w14:paraId="2E8BAE1D" w14:textId="77777777" w:rsidTr="002249E7">
        <w:trPr>
          <w:trHeight w:val="170"/>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AAC58" w14:textId="77777777" w:rsidR="002249E7" w:rsidRPr="00B00C44" w:rsidRDefault="002249E7" w:rsidP="002249E7">
            <w:pPr>
              <w:jc w:val="center"/>
              <w:rPr>
                <w:rFonts w:eastAsia="Times New Roman" w:cstheme="minorHAnsi"/>
                <w:color w:val="000000"/>
                <w:sz w:val="18"/>
                <w:szCs w:val="18"/>
                <w:lang w:eastAsia="hr-HR"/>
              </w:rPr>
            </w:pPr>
            <w:r w:rsidRPr="00B00C44">
              <w:rPr>
                <w:rFonts w:eastAsia="Times New Roman" w:cstheme="minorHAnsi"/>
                <w:color w:val="000000"/>
                <w:sz w:val="18"/>
                <w:szCs w:val="18"/>
                <w:lang w:eastAsia="hr-HR"/>
              </w:rPr>
              <w:t>15.</w:t>
            </w:r>
          </w:p>
        </w:tc>
        <w:tc>
          <w:tcPr>
            <w:tcW w:w="13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E25A59" w14:textId="77777777" w:rsidR="002249E7" w:rsidRPr="00B00C44" w:rsidRDefault="002249E7" w:rsidP="002249E7">
            <w:pPr>
              <w:rPr>
                <w:rFonts w:eastAsia="Times New Roman" w:cstheme="minorHAnsi"/>
                <w:color w:val="000000"/>
                <w:sz w:val="18"/>
                <w:szCs w:val="18"/>
                <w:lang w:eastAsia="hr-HR"/>
              </w:rPr>
            </w:pPr>
            <w:r w:rsidRPr="00B00C44">
              <w:rPr>
                <w:rFonts w:eastAsia="Times New Roman" w:cstheme="minorHAnsi"/>
                <w:color w:val="000000"/>
                <w:sz w:val="18"/>
                <w:szCs w:val="18"/>
                <w:lang w:eastAsia="hr-HR"/>
              </w:rPr>
              <w:t>Prihodi od projekata (UNICOM, SAFE - CT , Chessmen, EU4H 11, ACCESS)</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B0F2E1"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208.384</w:t>
            </w:r>
          </w:p>
        </w:tc>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6286F7"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339.164</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09ADB"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474.280</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19767"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140%</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3A2E13"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4%</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658DC"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228%</w:t>
            </w:r>
          </w:p>
        </w:tc>
      </w:tr>
      <w:tr w:rsidR="002249E7" w:rsidRPr="00B00C44" w14:paraId="6961285E" w14:textId="77777777" w:rsidTr="002249E7">
        <w:trPr>
          <w:trHeight w:val="170"/>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A35F3C" w14:textId="77777777" w:rsidR="002249E7" w:rsidRPr="00B00C44" w:rsidRDefault="002249E7" w:rsidP="002249E7">
            <w:pPr>
              <w:jc w:val="center"/>
              <w:rPr>
                <w:rFonts w:eastAsia="Times New Roman" w:cstheme="minorHAnsi"/>
                <w:color w:val="000000"/>
                <w:sz w:val="18"/>
                <w:szCs w:val="18"/>
                <w:lang w:eastAsia="hr-HR"/>
              </w:rPr>
            </w:pPr>
            <w:r w:rsidRPr="00B00C44">
              <w:rPr>
                <w:rFonts w:eastAsia="Times New Roman" w:cstheme="minorHAnsi"/>
                <w:color w:val="000000"/>
                <w:sz w:val="18"/>
                <w:szCs w:val="18"/>
                <w:lang w:eastAsia="hr-HR"/>
              </w:rPr>
              <w:t> </w:t>
            </w:r>
          </w:p>
        </w:tc>
        <w:tc>
          <w:tcPr>
            <w:tcW w:w="13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894C52" w14:textId="77777777" w:rsidR="002249E7" w:rsidRPr="00B00C44" w:rsidRDefault="002249E7" w:rsidP="002249E7">
            <w:pPr>
              <w:rPr>
                <w:rFonts w:eastAsia="Times New Roman" w:cstheme="minorHAnsi"/>
                <w:b/>
                <w:bCs/>
                <w:color w:val="000000"/>
                <w:sz w:val="18"/>
                <w:szCs w:val="18"/>
                <w:lang w:eastAsia="hr-HR"/>
              </w:rPr>
            </w:pPr>
            <w:r w:rsidRPr="00B00C44">
              <w:rPr>
                <w:rFonts w:eastAsia="Times New Roman" w:cstheme="minorHAnsi"/>
                <w:b/>
                <w:bCs/>
                <w:color w:val="000000"/>
                <w:sz w:val="18"/>
                <w:szCs w:val="18"/>
                <w:lang w:eastAsia="hr-HR"/>
              </w:rPr>
              <w:t>Ostali poslovni prihodi</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1E997" w14:textId="77777777" w:rsidR="002249E7" w:rsidRPr="00B00C44" w:rsidRDefault="002249E7" w:rsidP="002249E7">
            <w:pPr>
              <w:jc w:val="right"/>
              <w:rPr>
                <w:rFonts w:eastAsia="Times New Roman" w:cstheme="minorHAnsi"/>
                <w:b/>
                <w:bCs/>
                <w:color w:val="000000"/>
                <w:sz w:val="18"/>
                <w:szCs w:val="18"/>
                <w:lang w:eastAsia="hr-HR"/>
              </w:rPr>
            </w:pPr>
            <w:r w:rsidRPr="00B00C44">
              <w:rPr>
                <w:rFonts w:eastAsia="Times New Roman" w:cstheme="minorHAnsi"/>
                <w:b/>
                <w:bCs/>
                <w:color w:val="000000"/>
                <w:sz w:val="18"/>
                <w:szCs w:val="18"/>
                <w:lang w:eastAsia="hr-HR"/>
              </w:rPr>
              <w:t>148.022</w:t>
            </w:r>
          </w:p>
        </w:tc>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B0CD0" w14:textId="77777777" w:rsidR="002249E7" w:rsidRPr="00B00C44" w:rsidRDefault="002249E7" w:rsidP="002249E7">
            <w:pPr>
              <w:jc w:val="right"/>
              <w:rPr>
                <w:rFonts w:eastAsia="Times New Roman" w:cstheme="minorHAnsi"/>
                <w:b/>
                <w:bCs/>
                <w:color w:val="000000"/>
                <w:sz w:val="18"/>
                <w:szCs w:val="18"/>
                <w:lang w:eastAsia="hr-HR"/>
              </w:rPr>
            </w:pPr>
            <w:r w:rsidRPr="00B00C44">
              <w:rPr>
                <w:rFonts w:eastAsia="Times New Roman" w:cstheme="minorHAnsi"/>
                <w:b/>
                <w:bCs/>
                <w:color w:val="000000"/>
                <w:sz w:val="18"/>
                <w:szCs w:val="18"/>
                <w:lang w:eastAsia="hr-HR"/>
              </w:rPr>
              <w:t>95.108</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1761ED" w14:textId="77777777" w:rsidR="002249E7" w:rsidRPr="00B00C44" w:rsidRDefault="002249E7" w:rsidP="002249E7">
            <w:pPr>
              <w:jc w:val="right"/>
              <w:rPr>
                <w:rFonts w:eastAsia="Times New Roman" w:cstheme="minorHAnsi"/>
                <w:b/>
                <w:bCs/>
                <w:color w:val="000000"/>
                <w:sz w:val="18"/>
                <w:szCs w:val="18"/>
                <w:lang w:eastAsia="hr-HR"/>
              </w:rPr>
            </w:pPr>
            <w:r w:rsidRPr="00B00C44">
              <w:rPr>
                <w:rFonts w:eastAsia="Times New Roman" w:cstheme="minorHAnsi"/>
                <w:b/>
                <w:bCs/>
                <w:color w:val="000000"/>
                <w:sz w:val="18"/>
                <w:szCs w:val="18"/>
                <w:lang w:eastAsia="hr-HR"/>
              </w:rPr>
              <w:t>148.269</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149D30" w14:textId="77777777" w:rsidR="002249E7" w:rsidRPr="00B00C44" w:rsidRDefault="002249E7" w:rsidP="002249E7">
            <w:pPr>
              <w:jc w:val="right"/>
              <w:rPr>
                <w:rFonts w:eastAsia="Times New Roman" w:cstheme="minorHAnsi"/>
                <w:b/>
                <w:bCs/>
                <w:color w:val="000000"/>
                <w:sz w:val="18"/>
                <w:szCs w:val="18"/>
                <w:lang w:eastAsia="hr-HR"/>
              </w:rPr>
            </w:pPr>
            <w:r w:rsidRPr="00B00C44">
              <w:rPr>
                <w:rFonts w:eastAsia="Times New Roman" w:cstheme="minorHAnsi"/>
                <w:b/>
                <w:bCs/>
                <w:color w:val="000000"/>
                <w:sz w:val="18"/>
                <w:szCs w:val="18"/>
                <w:lang w:eastAsia="hr-HR"/>
              </w:rPr>
              <w:t>156%</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EF6FB" w14:textId="77777777" w:rsidR="002249E7" w:rsidRPr="00B00C44" w:rsidRDefault="002249E7" w:rsidP="002249E7">
            <w:pPr>
              <w:jc w:val="right"/>
              <w:rPr>
                <w:rFonts w:eastAsia="Times New Roman" w:cstheme="minorHAnsi"/>
                <w:b/>
                <w:bCs/>
                <w:color w:val="000000"/>
                <w:sz w:val="18"/>
                <w:szCs w:val="18"/>
                <w:lang w:eastAsia="hr-HR"/>
              </w:rPr>
            </w:pPr>
            <w:r w:rsidRPr="00B00C44">
              <w:rPr>
                <w:rFonts w:eastAsia="Times New Roman" w:cstheme="minorHAnsi"/>
                <w:b/>
                <w:bCs/>
                <w:color w:val="000000"/>
                <w:sz w:val="18"/>
                <w:szCs w:val="18"/>
                <w:lang w:eastAsia="hr-HR"/>
              </w:rPr>
              <w:t>1%</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5CC08" w14:textId="77777777" w:rsidR="002249E7" w:rsidRPr="00B00C44" w:rsidRDefault="002249E7" w:rsidP="002249E7">
            <w:pPr>
              <w:jc w:val="right"/>
              <w:rPr>
                <w:rFonts w:eastAsia="Times New Roman" w:cstheme="minorHAnsi"/>
                <w:b/>
                <w:bCs/>
                <w:color w:val="000000"/>
                <w:sz w:val="18"/>
                <w:szCs w:val="18"/>
                <w:lang w:eastAsia="hr-HR"/>
              </w:rPr>
            </w:pPr>
            <w:r w:rsidRPr="00B00C44">
              <w:rPr>
                <w:rFonts w:eastAsia="Times New Roman" w:cstheme="minorHAnsi"/>
                <w:b/>
                <w:bCs/>
                <w:color w:val="000000"/>
                <w:sz w:val="18"/>
                <w:szCs w:val="18"/>
                <w:lang w:eastAsia="hr-HR"/>
              </w:rPr>
              <w:t>100%</w:t>
            </w:r>
          </w:p>
        </w:tc>
      </w:tr>
      <w:tr w:rsidR="002249E7" w:rsidRPr="00B00C44" w14:paraId="7936F3D6" w14:textId="77777777" w:rsidTr="002249E7">
        <w:trPr>
          <w:trHeight w:val="170"/>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5699B4" w14:textId="77777777" w:rsidR="002249E7" w:rsidRPr="00B00C44" w:rsidRDefault="002249E7" w:rsidP="002249E7">
            <w:pPr>
              <w:jc w:val="center"/>
              <w:rPr>
                <w:rFonts w:eastAsia="Times New Roman" w:cstheme="minorHAnsi"/>
                <w:color w:val="000000"/>
                <w:sz w:val="18"/>
                <w:szCs w:val="18"/>
                <w:lang w:eastAsia="hr-HR"/>
              </w:rPr>
            </w:pPr>
            <w:r w:rsidRPr="00B00C44">
              <w:rPr>
                <w:rFonts w:eastAsia="Times New Roman" w:cstheme="minorHAnsi"/>
                <w:color w:val="000000"/>
                <w:sz w:val="18"/>
                <w:szCs w:val="18"/>
                <w:lang w:eastAsia="hr-HR"/>
              </w:rPr>
              <w:t>16.</w:t>
            </w:r>
          </w:p>
        </w:tc>
        <w:tc>
          <w:tcPr>
            <w:tcW w:w="13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537C63" w14:textId="77777777" w:rsidR="002249E7" w:rsidRPr="00B00C44" w:rsidRDefault="002249E7" w:rsidP="002249E7">
            <w:pPr>
              <w:rPr>
                <w:rFonts w:eastAsia="Times New Roman" w:cstheme="minorHAnsi"/>
                <w:color w:val="000000"/>
                <w:sz w:val="18"/>
                <w:szCs w:val="18"/>
                <w:lang w:eastAsia="hr-HR"/>
              </w:rPr>
            </w:pPr>
            <w:r w:rsidRPr="00B00C44">
              <w:rPr>
                <w:rFonts w:eastAsia="Times New Roman" w:cstheme="minorHAnsi"/>
                <w:color w:val="000000"/>
                <w:sz w:val="18"/>
                <w:szCs w:val="18"/>
                <w:lang w:eastAsia="hr-HR"/>
              </w:rPr>
              <w:t>Prihodi od sudjelujućih interesa i ostalih ulaganja</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D7AE51"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31.322</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4736C8"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31.140</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0DA34D"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26.417</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E7233"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85%</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FF553"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0,2%</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637972"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84%</w:t>
            </w:r>
          </w:p>
        </w:tc>
      </w:tr>
      <w:tr w:rsidR="002249E7" w:rsidRPr="00B00C44" w14:paraId="74001604" w14:textId="77777777" w:rsidTr="002249E7">
        <w:trPr>
          <w:trHeight w:val="170"/>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54876" w14:textId="77777777" w:rsidR="002249E7" w:rsidRPr="00B00C44" w:rsidRDefault="002249E7" w:rsidP="002249E7">
            <w:pPr>
              <w:jc w:val="center"/>
              <w:rPr>
                <w:rFonts w:eastAsia="Times New Roman" w:cstheme="minorHAnsi"/>
                <w:color w:val="000000"/>
                <w:sz w:val="18"/>
                <w:szCs w:val="18"/>
                <w:lang w:eastAsia="hr-HR"/>
              </w:rPr>
            </w:pPr>
            <w:r w:rsidRPr="00B00C44">
              <w:rPr>
                <w:rFonts w:eastAsia="Times New Roman" w:cstheme="minorHAnsi"/>
                <w:color w:val="000000"/>
                <w:sz w:val="18"/>
                <w:szCs w:val="18"/>
                <w:lang w:eastAsia="hr-HR"/>
              </w:rPr>
              <w:t>17.</w:t>
            </w:r>
          </w:p>
        </w:tc>
        <w:tc>
          <w:tcPr>
            <w:tcW w:w="13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29AA1D" w14:textId="77777777" w:rsidR="002249E7" w:rsidRPr="00B00C44" w:rsidRDefault="002249E7" w:rsidP="002249E7">
            <w:pPr>
              <w:rPr>
                <w:rFonts w:eastAsia="Times New Roman" w:cstheme="minorHAnsi"/>
                <w:color w:val="000000"/>
                <w:sz w:val="18"/>
                <w:szCs w:val="18"/>
                <w:lang w:eastAsia="hr-HR"/>
              </w:rPr>
            </w:pPr>
            <w:r w:rsidRPr="00B00C44">
              <w:rPr>
                <w:rFonts w:eastAsia="Times New Roman" w:cstheme="minorHAnsi"/>
                <w:color w:val="000000"/>
                <w:sz w:val="18"/>
                <w:szCs w:val="18"/>
                <w:lang w:eastAsia="hr-HR"/>
              </w:rPr>
              <w:t>Ostali poslovni prihodi</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6FECCE"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116.701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DC859C"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63.968</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FE854A"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121.851</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C5CFF"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190%</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878CF"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1%</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F4C54" w14:textId="77777777" w:rsidR="002249E7" w:rsidRPr="00B00C44" w:rsidRDefault="002249E7" w:rsidP="002249E7">
            <w:pPr>
              <w:jc w:val="right"/>
              <w:rPr>
                <w:rFonts w:eastAsia="Times New Roman" w:cstheme="minorHAnsi"/>
                <w:color w:val="000000"/>
                <w:sz w:val="18"/>
                <w:szCs w:val="18"/>
                <w:lang w:eastAsia="hr-HR"/>
              </w:rPr>
            </w:pPr>
            <w:r w:rsidRPr="00B00C44">
              <w:rPr>
                <w:rFonts w:eastAsia="Times New Roman" w:cstheme="minorHAnsi"/>
                <w:color w:val="000000"/>
                <w:sz w:val="18"/>
                <w:szCs w:val="18"/>
                <w:lang w:eastAsia="hr-HR"/>
              </w:rPr>
              <w:t>104%</w:t>
            </w:r>
          </w:p>
        </w:tc>
      </w:tr>
      <w:tr w:rsidR="002249E7" w:rsidRPr="00B00C44" w14:paraId="7F06DDBA" w14:textId="77777777" w:rsidTr="002249E7">
        <w:trPr>
          <w:trHeight w:val="170"/>
        </w:trPr>
        <w:tc>
          <w:tcPr>
            <w:tcW w:w="1694" w:type="pct"/>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259A00C" w14:textId="77777777" w:rsidR="002249E7" w:rsidRPr="00B00C44" w:rsidRDefault="002249E7" w:rsidP="002249E7">
            <w:pPr>
              <w:rPr>
                <w:rFonts w:eastAsia="Times New Roman" w:cstheme="minorHAnsi"/>
                <w:b/>
                <w:bCs/>
                <w:color w:val="000000"/>
                <w:sz w:val="18"/>
                <w:szCs w:val="18"/>
                <w:lang w:eastAsia="hr-HR"/>
              </w:rPr>
            </w:pPr>
            <w:r w:rsidRPr="00B00C44">
              <w:rPr>
                <w:rFonts w:eastAsia="Times New Roman" w:cstheme="minorHAnsi"/>
                <w:b/>
                <w:bCs/>
                <w:color w:val="000000"/>
                <w:sz w:val="18"/>
                <w:szCs w:val="18"/>
                <w:lang w:eastAsia="hr-HR"/>
              </w:rPr>
              <w:t>UKUPNO:</w:t>
            </w:r>
          </w:p>
        </w:tc>
        <w:tc>
          <w:tcPr>
            <w:tcW w:w="700"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35DCB4C" w14:textId="77777777" w:rsidR="002249E7" w:rsidRPr="00B00C44" w:rsidRDefault="002249E7" w:rsidP="002249E7">
            <w:pPr>
              <w:jc w:val="right"/>
              <w:rPr>
                <w:rFonts w:eastAsia="Times New Roman" w:cstheme="minorHAnsi"/>
                <w:b/>
                <w:bCs/>
                <w:color w:val="000000"/>
                <w:sz w:val="18"/>
                <w:szCs w:val="18"/>
                <w:lang w:eastAsia="hr-HR"/>
              </w:rPr>
            </w:pPr>
            <w:r w:rsidRPr="00B00C44">
              <w:rPr>
                <w:rFonts w:eastAsia="Times New Roman" w:cstheme="minorHAnsi"/>
                <w:b/>
                <w:bCs/>
                <w:color w:val="000000"/>
                <w:sz w:val="18"/>
                <w:szCs w:val="18"/>
                <w:lang w:eastAsia="hr-HR"/>
              </w:rPr>
              <w:t>12.896.593</w:t>
            </w:r>
          </w:p>
        </w:tc>
        <w:tc>
          <w:tcPr>
            <w:tcW w:w="564"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04CDB68" w14:textId="77777777" w:rsidR="002249E7" w:rsidRPr="00B00C44" w:rsidRDefault="002249E7" w:rsidP="002249E7">
            <w:pPr>
              <w:jc w:val="right"/>
              <w:rPr>
                <w:rFonts w:eastAsia="Times New Roman" w:cstheme="minorHAnsi"/>
                <w:b/>
                <w:bCs/>
                <w:color w:val="000000"/>
                <w:sz w:val="18"/>
                <w:szCs w:val="18"/>
                <w:lang w:eastAsia="hr-HR"/>
              </w:rPr>
            </w:pPr>
            <w:r w:rsidRPr="00B00C44">
              <w:rPr>
                <w:rFonts w:eastAsia="Times New Roman" w:cstheme="minorHAnsi"/>
                <w:b/>
                <w:bCs/>
                <w:color w:val="000000"/>
                <w:sz w:val="18"/>
                <w:szCs w:val="18"/>
                <w:lang w:eastAsia="hr-HR"/>
              </w:rPr>
              <w:t>12.871.977</w:t>
            </w:r>
          </w:p>
        </w:tc>
        <w:tc>
          <w:tcPr>
            <w:tcW w:w="567"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F89F27B" w14:textId="77777777" w:rsidR="002249E7" w:rsidRPr="00B00C44" w:rsidRDefault="002249E7" w:rsidP="002249E7">
            <w:pPr>
              <w:jc w:val="right"/>
              <w:rPr>
                <w:rFonts w:eastAsia="Times New Roman" w:cstheme="minorHAnsi"/>
                <w:b/>
                <w:bCs/>
                <w:color w:val="000000"/>
                <w:sz w:val="18"/>
                <w:szCs w:val="18"/>
                <w:lang w:eastAsia="hr-HR"/>
              </w:rPr>
            </w:pPr>
            <w:r w:rsidRPr="00B00C44">
              <w:rPr>
                <w:rFonts w:eastAsia="Times New Roman" w:cstheme="minorHAnsi"/>
                <w:b/>
                <w:bCs/>
                <w:color w:val="000000"/>
                <w:sz w:val="18"/>
                <w:szCs w:val="18"/>
                <w:lang w:eastAsia="hr-HR"/>
              </w:rPr>
              <w:t>12.907.148</w:t>
            </w:r>
          </w:p>
        </w:tc>
        <w:tc>
          <w:tcPr>
            <w:tcW w:w="489"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A284062" w14:textId="77777777" w:rsidR="002249E7" w:rsidRPr="00B00C44" w:rsidRDefault="002249E7" w:rsidP="002249E7">
            <w:pPr>
              <w:jc w:val="right"/>
              <w:rPr>
                <w:rFonts w:eastAsia="Times New Roman" w:cstheme="minorHAnsi"/>
                <w:b/>
                <w:bCs/>
                <w:color w:val="000000"/>
                <w:sz w:val="18"/>
                <w:szCs w:val="18"/>
                <w:lang w:eastAsia="hr-HR"/>
              </w:rPr>
            </w:pPr>
            <w:r w:rsidRPr="00B00C44">
              <w:rPr>
                <w:rFonts w:eastAsia="Times New Roman" w:cstheme="minorHAnsi"/>
                <w:b/>
                <w:bCs/>
                <w:color w:val="000000"/>
                <w:sz w:val="18"/>
                <w:szCs w:val="18"/>
                <w:lang w:eastAsia="hr-HR"/>
              </w:rPr>
              <w:t>100</w:t>
            </w:r>
            <w:r>
              <w:rPr>
                <w:rFonts w:eastAsia="Times New Roman" w:cstheme="minorHAnsi"/>
                <w:b/>
                <w:bCs/>
                <w:color w:val="000000"/>
                <w:sz w:val="18"/>
                <w:szCs w:val="18"/>
                <w:lang w:eastAsia="hr-HR"/>
              </w:rPr>
              <w:t>,3</w:t>
            </w:r>
            <w:r w:rsidRPr="00B00C44">
              <w:rPr>
                <w:rFonts w:eastAsia="Times New Roman" w:cstheme="minorHAnsi"/>
                <w:b/>
                <w:bCs/>
                <w:color w:val="000000"/>
                <w:sz w:val="18"/>
                <w:szCs w:val="18"/>
                <w:lang w:eastAsia="hr-HR"/>
              </w:rPr>
              <w:t>%</w:t>
            </w:r>
          </w:p>
        </w:tc>
        <w:tc>
          <w:tcPr>
            <w:tcW w:w="497"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53AD86E" w14:textId="77777777" w:rsidR="002249E7" w:rsidRPr="00B00C44" w:rsidRDefault="002249E7" w:rsidP="002249E7">
            <w:pPr>
              <w:jc w:val="right"/>
              <w:rPr>
                <w:rFonts w:eastAsia="Times New Roman" w:cstheme="minorHAnsi"/>
                <w:b/>
                <w:bCs/>
                <w:color w:val="000000"/>
                <w:sz w:val="18"/>
                <w:szCs w:val="18"/>
                <w:lang w:eastAsia="hr-HR"/>
              </w:rPr>
            </w:pPr>
            <w:r w:rsidRPr="00B00C44">
              <w:rPr>
                <w:rFonts w:eastAsia="Times New Roman" w:cstheme="minorHAnsi"/>
                <w:b/>
                <w:bCs/>
                <w:color w:val="000000"/>
                <w:sz w:val="18"/>
                <w:szCs w:val="18"/>
                <w:lang w:eastAsia="hr-HR"/>
              </w:rPr>
              <w:t>100%</w:t>
            </w:r>
          </w:p>
        </w:tc>
        <w:tc>
          <w:tcPr>
            <w:tcW w:w="489"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D8DABDC" w14:textId="77777777" w:rsidR="002249E7" w:rsidRPr="00B00C44" w:rsidRDefault="002249E7" w:rsidP="002249E7">
            <w:pPr>
              <w:jc w:val="right"/>
              <w:rPr>
                <w:rFonts w:eastAsia="Times New Roman" w:cstheme="minorHAnsi"/>
                <w:b/>
                <w:bCs/>
                <w:color w:val="000000"/>
                <w:sz w:val="18"/>
                <w:szCs w:val="18"/>
                <w:lang w:eastAsia="hr-HR"/>
              </w:rPr>
            </w:pPr>
            <w:r w:rsidRPr="00B00C44">
              <w:rPr>
                <w:rFonts w:eastAsia="Times New Roman" w:cstheme="minorHAnsi"/>
                <w:b/>
                <w:bCs/>
                <w:color w:val="000000"/>
                <w:sz w:val="18"/>
                <w:szCs w:val="18"/>
                <w:lang w:eastAsia="hr-HR"/>
              </w:rPr>
              <w:t>100</w:t>
            </w:r>
            <w:r>
              <w:rPr>
                <w:rFonts w:eastAsia="Times New Roman" w:cstheme="minorHAnsi"/>
                <w:b/>
                <w:bCs/>
                <w:color w:val="000000"/>
                <w:sz w:val="18"/>
                <w:szCs w:val="18"/>
                <w:lang w:eastAsia="hr-HR"/>
              </w:rPr>
              <w:t>,1</w:t>
            </w:r>
            <w:r w:rsidRPr="00B00C44">
              <w:rPr>
                <w:rFonts w:eastAsia="Times New Roman" w:cstheme="minorHAnsi"/>
                <w:b/>
                <w:bCs/>
                <w:color w:val="000000"/>
                <w:sz w:val="18"/>
                <w:szCs w:val="18"/>
                <w:lang w:eastAsia="hr-HR"/>
              </w:rPr>
              <w:t>%</w:t>
            </w:r>
          </w:p>
        </w:tc>
      </w:tr>
    </w:tbl>
    <w:p w14:paraId="712DD2F9" w14:textId="77777777" w:rsidR="002249E7" w:rsidRDefault="002249E7" w:rsidP="00BD699B">
      <w:pPr>
        <w:spacing w:line="276" w:lineRule="auto"/>
        <w:jc w:val="both"/>
        <w:rPr>
          <w:rFonts w:cstheme="minorHAnsi"/>
        </w:rPr>
      </w:pPr>
    </w:p>
    <w:p w14:paraId="62B92697" w14:textId="77777777" w:rsidR="00AA0CE5" w:rsidRDefault="00AA0CE5"/>
    <w:p w14:paraId="6059FABA" w14:textId="77777777" w:rsidR="00AA0CE5" w:rsidRDefault="00AA0CE5"/>
    <w:p w14:paraId="76C98C27" w14:textId="77777777" w:rsidR="00AA0CE5" w:rsidRDefault="00AA0CE5"/>
    <w:p w14:paraId="3AC091DA" w14:textId="77777777" w:rsidR="00AA0CE5" w:rsidRDefault="00AA0CE5"/>
    <w:p w14:paraId="5DFACFD9" w14:textId="77777777" w:rsidR="00AA0CE5" w:rsidRDefault="00AA0CE5"/>
    <w:p w14:paraId="6D3377BD" w14:textId="77777777" w:rsidR="00AA0CE5" w:rsidRDefault="00AA0CE5"/>
    <w:p w14:paraId="592B4364" w14:textId="77777777" w:rsidR="00AA0CE5" w:rsidRDefault="00AA0CE5"/>
    <w:p w14:paraId="5A552342" w14:textId="77777777" w:rsidR="00AA0CE5" w:rsidRDefault="00AA0CE5"/>
    <w:p w14:paraId="47FC9E9F" w14:textId="77777777" w:rsidR="00AA0CE5" w:rsidRDefault="00AA0CE5"/>
    <w:p w14:paraId="43C72A08" w14:textId="77777777" w:rsidR="00AA0CE5" w:rsidRDefault="00AA0CE5"/>
    <w:p w14:paraId="6B00A535" w14:textId="77777777" w:rsidR="00AA0CE5" w:rsidRDefault="00AA0CE5"/>
    <w:p w14:paraId="4192F5EA" w14:textId="77777777" w:rsidR="00AA0CE5" w:rsidRDefault="00AA0CE5"/>
    <w:p w14:paraId="1B3F2702" w14:textId="3BED53D0" w:rsidR="00AA0CE5" w:rsidRDefault="00AA0CE5"/>
    <w:p w14:paraId="1AB53459" w14:textId="19566954" w:rsidR="007C7E56" w:rsidRDefault="007C7E56"/>
    <w:p w14:paraId="23137EE1" w14:textId="08082B13" w:rsidR="007C7E56" w:rsidRDefault="007C7E56"/>
    <w:p w14:paraId="3C691BB8" w14:textId="78DECAE5" w:rsidR="007C7E56" w:rsidRDefault="007C7E56"/>
    <w:p w14:paraId="161AAB87" w14:textId="5710830C" w:rsidR="007C7E56" w:rsidRDefault="007C7E56"/>
    <w:p w14:paraId="2F8053E7" w14:textId="473F1B02" w:rsidR="007C7E56" w:rsidRDefault="007C7E56"/>
    <w:p w14:paraId="5AFBF2F1" w14:textId="20106B53" w:rsidR="007C7E56" w:rsidRDefault="007C7E56"/>
    <w:p w14:paraId="30F20494" w14:textId="78FA6773" w:rsidR="007C7E56" w:rsidRDefault="007C7E56"/>
    <w:p w14:paraId="395FB105" w14:textId="77777777" w:rsidR="007C7E56" w:rsidRDefault="007C7E56"/>
    <w:p w14:paraId="5A1E8482" w14:textId="77777777" w:rsidR="00AA0CE5" w:rsidRDefault="00AA0CE5"/>
    <w:p w14:paraId="4134900F" w14:textId="77777777" w:rsidR="00AA0CE5" w:rsidRDefault="00AA0CE5" w:rsidP="00AA0CE5">
      <w:pPr>
        <w:pStyle w:val="NoSpacing"/>
        <w:spacing w:after="120"/>
        <w:rPr>
          <w:noProof/>
          <w:lang w:eastAsia="hr-HR"/>
        </w:rPr>
      </w:pPr>
      <w:r w:rsidRPr="004A2D2C">
        <w:rPr>
          <w:rFonts w:cstheme="minorHAnsi"/>
          <w:b/>
          <w:color w:val="000000"/>
          <w:sz w:val="22"/>
          <w:szCs w:val="22"/>
        </w:rPr>
        <w:t xml:space="preserve">Graf 1. Struktura prihoda na dan </w:t>
      </w:r>
      <w:r>
        <w:rPr>
          <w:rFonts w:cstheme="minorHAnsi"/>
          <w:b/>
          <w:color w:val="000000"/>
          <w:sz w:val="22"/>
          <w:szCs w:val="22"/>
        </w:rPr>
        <w:t>31.12</w:t>
      </w:r>
      <w:r w:rsidRPr="004A2D2C">
        <w:rPr>
          <w:rFonts w:cstheme="minorHAnsi"/>
          <w:b/>
          <w:color w:val="000000"/>
          <w:sz w:val="22"/>
          <w:szCs w:val="22"/>
        </w:rPr>
        <w:t>.2023. godine</w:t>
      </w:r>
    </w:p>
    <w:p w14:paraId="409453C5" w14:textId="77777777" w:rsidR="007E7C3A" w:rsidRDefault="00AA0CE5">
      <w:r>
        <w:rPr>
          <w:noProof/>
          <w:lang w:eastAsia="hr-HR"/>
        </w:rPr>
        <w:drawing>
          <wp:inline distT="0" distB="0" distL="0" distR="0" wp14:anchorId="13B914B0" wp14:editId="700914B3">
            <wp:extent cx="6031230" cy="6053667"/>
            <wp:effectExtent l="0" t="0" r="7620" b="444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341B2C61" w14:textId="77777777" w:rsidR="007E7C3A" w:rsidRDefault="007E7C3A"/>
    <w:p w14:paraId="7BEEE3B2" w14:textId="77777777" w:rsidR="007E7C3A" w:rsidRDefault="007E7C3A"/>
    <w:p w14:paraId="5EDD629F" w14:textId="77777777" w:rsidR="007E7C3A" w:rsidRPr="00F36DA9" w:rsidRDefault="007E7C3A" w:rsidP="007E7C3A">
      <w:pPr>
        <w:pStyle w:val="Heading2"/>
        <w:rPr>
          <w:rFonts w:eastAsia="Calibri"/>
        </w:rPr>
      </w:pPr>
      <w:bookmarkStart w:id="334" w:name="_Toc463256233"/>
      <w:bookmarkStart w:id="335" w:name="_Toc487621901"/>
      <w:bookmarkStart w:id="336" w:name="_Toc50540998"/>
      <w:bookmarkStart w:id="337" w:name="_Toc107229669"/>
      <w:bookmarkStart w:id="338" w:name="_Toc165035549"/>
      <w:r w:rsidRPr="00D5308E">
        <w:rPr>
          <w:rFonts w:eastAsia="Calibri"/>
        </w:rPr>
        <w:t>3.3. Rashodi</w:t>
      </w:r>
      <w:bookmarkEnd w:id="334"/>
      <w:bookmarkEnd w:id="335"/>
      <w:bookmarkEnd w:id="336"/>
      <w:bookmarkEnd w:id="337"/>
      <w:bookmarkEnd w:id="338"/>
    </w:p>
    <w:p w14:paraId="6E1D49B2" w14:textId="77777777" w:rsidR="007E7C3A" w:rsidRPr="002A6222" w:rsidRDefault="007E7C3A" w:rsidP="007E7C3A">
      <w:pPr>
        <w:spacing w:line="276" w:lineRule="auto"/>
        <w:jc w:val="both"/>
        <w:rPr>
          <w:rFonts w:eastAsia="Times New Roman" w:cstheme="minorHAnsi"/>
          <w:bCs/>
          <w:color w:val="000000"/>
        </w:rPr>
      </w:pPr>
      <w:r w:rsidRPr="002A6222">
        <w:rPr>
          <w:rFonts w:eastAsia="Times New Roman" w:cstheme="minorHAnsi"/>
          <w:bCs/>
          <w:color w:val="000000"/>
        </w:rPr>
        <w:t>Ukupni rashodi HALMED-a na dan 3</w:t>
      </w:r>
      <w:r>
        <w:rPr>
          <w:rFonts w:eastAsia="Times New Roman" w:cstheme="minorHAnsi"/>
          <w:bCs/>
          <w:color w:val="000000"/>
        </w:rPr>
        <w:t>1</w:t>
      </w:r>
      <w:r w:rsidRPr="002A6222">
        <w:rPr>
          <w:rFonts w:eastAsia="Times New Roman" w:cstheme="minorHAnsi"/>
          <w:bCs/>
          <w:color w:val="000000"/>
        </w:rPr>
        <w:t xml:space="preserve">. </w:t>
      </w:r>
      <w:r>
        <w:rPr>
          <w:rFonts w:eastAsia="Times New Roman" w:cstheme="minorHAnsi"/>
          <w:bCs/>
          <w:color w:val="000000"/>
        </w:rPr>
        <w:t>prosinca</w:t>
      </w:r>
      <w:r w:rsidRPr="002A6222">
        <w:rPr>
          <w:rFonts w:eastAsia="Times New Roman" w:cstheme="minorHAnsi"/>
          <w:bCs/>
          <w:color w:val="000000"/>
        </w:rPr>
        <w:t xml:space="preserve"> 20</w:t>
      </w:r>
      <w:r>
        <w:rPr>
          <w:rFonts w:eastAsia="Times New Roman" w:cstheme="minorHAnsi"/>
          <w:bCs/>
          <w:color w:val="000000"/>
        </w:rPr>
        <w:t>23</w:t>
      </w:r>
      <w:r w:rsidRPr="002A6222">
        <w:rPr>
          <w:rFonts w:eastAsia="Times New Roman" w:cstheme="minorHAnsi"/>
          <w:bCs/>
          <w:color w:val="000000"/>
        </w:rPr>
        <w:t xml:space="preserve">. godine iznose </w:t>
      </w:r>
      <w:r w:rsidRPr="008C1AB8">
        <w:rPr>
          <w:rFonts w:eastAsia="Times New Roman" w:cstheme="minorHAnsi"/>
          <w:b/>
          <w:bCs/>
          <w:color w:val="000000"/>
        </w:rPr>
        <w:t>12.880.538</w:t>
      </w:r>
      <w:r>
        <w:rPr>
          <w:rFonts w:eastAsia="Times New Roman" w:cstheme="minorHAnsi"/>
          <w:bCs/>
          <w:color w:val="000000"/>
        </w:rPr>
        <w:t xml:space="preserve"> </w:t>
      </w:r>
      <w:r w:rsidRPr="00EA5D2D">
        <w:rPr>
          <w:rFonts w:eastAsia="Times New Roman" w:cstheme="minorHAnsi"/>
          <w:b/>
          <w:bCs/>
          <w:color w:val="000000"/>
        </w:rPr>
        <w:t xml:space="preserve">eura </w:t>
      </w:r>
      <w:r w:rsidRPr="00294C2E">
        <w:rPr>
          <w:rFonts w:eastAsia="Times New Roman" w:cstheme="minorHAnsi"/>
          <w:bCs/>
          <w:color w:val="000000"/>
        </w:rPr>
        <w:t xml:space="preserve">što je </w:t>
      </w:r>
      <w:r>
        <w:rPr>
          <w:rFonts w:eastAsia="Times New Roman" w:cstheme="minorHAnsi"/>
          <w:bCs/>
          <w:color w:val="000000"/>
        </w:rPr>
        <w:t xml:space="preserve">100,1% </w:t>
      </w:r>
      <w:r w:rsidRPr="00294C2E">
        <w:rPr>
          <w:rFonts w:eastAsia="Times New Roman" w:cstheme="minorHAnsi"/>
          <w:bCs/>
          <w:color w:val="000000"/>
        </w:rPr>
        <w:t xml:space="preserve">ukupno planiranih rashoda za </w:t>
      </w:r>
      <w:r>
        <w:rPr>
          <w:rFonts w:eastAsia="Times New Roman" w:cstheme="minorHAnsi"/>
          <w:bCs/>
          <w:color w:val="000000"/>
        </w:rPr>
        <w:t>godinu</w:t>
      </w:r>
      <w:r w:rsidRPr="002A6222">
        <w:rPr>
          <w:rFonts w:eastAsia="Times New Roman" w:cstheme="minorHAnsi"/>
          <w:bCs/>
          <w:color w:val="000000"/>
        </w:rPr>
        <w:t xml:space="preserve">. U odnosu na </w:t>
      </w:r>
      <w:r>
        <w:rPr>
          <w:rFonts w:eastAsia="Times New Roman" w:cstheme="minorHAnsi"/>
          <w:bCs/>
          <w:color w:val="000000"/>
        </w:rPr>
        <w:t>prethodnu godinu</w:t>
      </w:r>
      <w:r w:rsidRPr="002A6222">
        <w:rPr>
          <w:rFonts w:eastAsia="Times New Roman" w:cstheme="minorHAnsi"/>
          <w:bCs/>
          <w:color w:val="000000"/>
        </w:rPr>
        <w:t xml:space="preserve"> rashodi </w:t>
      </w:r>
      <w:r>
        <w:rPr>
          <w:rFonts w:eastAsia="Times New Roman" w:cstheme="minorHAnsi"/>
          <w:bCs/>
          <w:color w:val="000000"/>
        </w:rPr>
        <w:t>su 13% veći.</w:t>
      </w:r>
    </w:p>
    <w:p w14:paraId="74A12CFE" w14:textId="77777777" w:rsidR="007E7C3A" w:rsidRDefault="007E7C3A" w:rsidP="007E7C3A">
      <w:pPr>
        <w:spacing w:line="276" w:lineRule="auto"/>
        <w:jc w:val="both"/>
        <w:rPr>
          <w:rFonts w:eastAsia="Times New Roman" w:cstheme="minorHAnsi"/>
          <w:color w:val="000000"/>
        </w:rPr>
      </w:pPr>
      <w:r w:rsidRPr="002A6222">
        <w:rPr>
          <w:rFonts w:cstheme="minorHAnsi"/>
          <w:color w:val="000000"/>
        </w:rPr>
        <w:lastRenderedPageBreak/>
        <w:t>Prikaz rashod</w:t>
      </w:r>
      <w:r>
        <w:rPr>
          <w:rFonts w:cstheme="minorHAnsi"/>
          <w:color w:val="000000"/>
        </w:rPr>
        <w:t xml:space="preserve">a po vrstama rashoda izvršenih u periodu od 01.01. do 31.12.2023. godine </w:t>
      </w:r>
      <w:r w:rsidRPr="002A6222">
        <w:rPr>
          <w:rFonts w:eastAsia="Times New Roman" w:cstheme="minorHAnsi"/>
          <w:color w:val="000000"/>
        </w:rPr>
        <w:t>nalazi se u Tablici br. 3</w:t>
      </w:r>
      <w:r>
        <w:rPr>
          <w:rFonts w:eastAsia="Times New Roman" w:cstheme="minorHAnsi"/>
          <w:color w:val="000000"/>
        </w:rPr>
        <w:t>7</w:t>
      </w:r>
      <w:r w:rsidRPr="002A6222">
        <w:rPr>
          <w:rFonts w:eastAsia="Times New Roman" w:cstheme="minorHAnsi"/>
          <w:color w:val="000000"/>
        </w:rPr>
        <w:t xml:space="preserve">. </w:t>
      </w:r>
    </w:p>
    <w:p w14:paraId="66480BE0" w14:textId="77777777" w:rsidR="007E7C3A" w:rsidRDefault="007E7C3A" w:rsidP="007E7C3A">
      <w:pPr>
        <w:spacing w:line="276" w:lineRule="auto"/>
        <w:jc w:val="both"/>
        <w:rPr>
          <w:rFonts w:eastAsia="Times New Roman" w:cstheme="minorHAnsi"/>
          <w:color w:val="000000"/>
        </w:rPr>
      </w:pPr>
    </w:p>
    <w:p w14:paraId="74FC7719" w14:textId="77777777" w:rsidR="007E7C3A" w:rsidRPr="007F4954" w:rsidRDefault="007E7C3A" w:rsidP="007E7C3A">
      <w:pPr>
        <w:spacing w:after="240" w:line="276" w:lineRule="auto"/>
        <w:jc w:val="both"/>
        <w:rPr>
          <w:rFonts w:eastAsia="Times New Roman" w:cstheme="minorHAnsi"/>
          <w:color w:val="000000"/>
        </w:rPr>
      </w:pPr>
      <w:r w:rsidRPr="000B07E7">
        <w:rPr>
          <w:rFonts w:eastAsia="Times New Roman" w:cstheme="minorHAnsi"/>
          <w:color w:val="000000"/>
        </w:rPr>
        <w:t>Obrazloženje značajnijih stavki rashoda te odstupanja</w:t>
      </w:r>
      <w:r w:rsidRPr="007F4954">
        <w:rPr>
          <w:rFonts w:eastAsia="Times New Roman" w:cstheme="minorHAnsi"/>
          <w:color w:val="000000"/>
        </w:rPr>
        <w:t xml:space="preserve"> od planiranih vrijednosti i/ili prethodne godine: </w:t>
      </w:r>
    </w:p>
    <w:p w14:paraId="1471FB69" w14:textId="77777777" w:rsidR="007E7C3A" w:rsidRPr="00A55524" w:rsidRDefault="007E7C3A" w:rsidP="007E7C3A">
      <w:pPr>
        <w:spacing w:after="240" w:line="276" w:lineRule="auto"/>
        <w:jc w:val="both"/>
        <w:rPr>
          <w:rFonts w:eastAsia="Times New Roman" w:cstheme="minorHAnsi"/>
          <w:i/>
          <w:color w:val="000000"/>
        </w:rPr>
      </w:pPr>
      <w:r w:rsidRPr="002A6222">
        <w:rPr>
          <w:rFonts w:eastAsia="Times New Roman" w:cstheme="minorHAnsi"/>
          <w:color w:val="000000"/>
        </w:rPr>
        <w:t xml:space="preserve">Grupa </w:t>
      </w:r>
      <w:r>
        <w:rPr>
          <w:rFonts w:eastAsia="Times New Roman" w:cstheme="minorHAnsi"/>
          <w:color w:val="000000"/>
        </w:rPr>
        <w:t>1</w:t>
      </w:r>
      <w:r w:rsidRPr="002A6222">
        <w:rPr>
          <w:rFonts w:eastAsia="Times New Roman" w:cstheme="minorHAnsi"/>
          <w:color w:val="000000"/>
        </w:rPr>
        <w:t xml:space="preserve">. </w:t>
      </w:r>
      <w:r>
        <w:rPr>
          <w:rFonts w:eastAsia="Times New Roman" w:cstheme="minorHAnsi"/>
          <w:b/>
          <w:color w:val="000000"/>
        </w:rPr>
        <w:t>Materijalni rashodi</w:t>
      </w:r>
      <w:r w:rsidRPr="002A6222">
        <w:rPr>
          <w:rFonts w:eastAsia="Times New Roman" w:cstheme="minorHAnsi"/>
          <w:color w:val="000000"/>
        </w:rPr>
        <w:t xml:space="preserve"> izvršena je</w:t>
      </w:r>
      <w:r>
        <w:rPr>
          <w:rFonts w:eastAsia="Times New Roman" w:cstheme="minorHAnsi"/>
          <w:color w:val="000000"/>
        </w:rPr>
        <w:t xml:space="preserve"> 6</w:t>
      </w:r>
      <w:r w:rsidRPr="002A6222">
        <w:rPr>
          <w:rFonts w:eastAsia="Times New Roman" w:cstheme="minorHAnsi"/>
          <w:color w:val="000000"/>
        </w:rPr>
        <w:t>%</w:t>
      </w:r>
      <w:r>
        <w:rPr>
          <w:rFonts w:eastAsia="Times New Roman" w:cstheme="minorHAnsi"/>
          <w:color w:val="000000"/>
        </w:rPr>
        <w:t xml:space="preserve"> manje od</w:t>
      </w:r>
      <w:r w:rsidRPr="002A6222">
        <w:rPr>
          <w:rFonts w:eastAsia="Times New Roman" w:cstheme="minorHAnsi"/>
          <w:color w:val="000000"/>
        </w:rPr>
        <w:t xml:space="preserve"> </w:t>
      </w:r>
      <w:r>
        <w:rPr>
          <w:rFonts w:eastAsia="Times New Roman" w:cstheme="minorHAnsi"/>
          <w:color w:val="000000"/>
        </w:rPr>
        <w:t xml:space="preserve">planiranog za godinu i 8% više od izvršenja prethodne godine. </w:t>
      </w:r>
      <w:r w:rsidRPr="002A6222">
        <w:rPr>
          <w:rFonts w:eastAsia="Times New Roman" w:cstheme="minorHAnsi"/>
          <w:color w:val="000000"/>
        </w:rPr>
        <w:t xml:space="preserve"> </w:t>
      </w:r>
      <w:r>
        <w:rPr>
          <w:rFonts w:eastAsia="Times New Roman" w:cstheme="minorHAnsi"/>
          <w:color w:val="000000"/>
        </w:rPr>
        <w:t xml:space="preserve">Dinamiku nabave i potrebu za osnovnim i pomoćnim materijalom za potrebe laboratorija je teško precizno planirati, a najveće stavke u ovoj grupi su </w:t>
      </w:r>
      <w:r w:rsidRPr="009B12D0">
        <w:rPr>
          <w:rFonts w:eastAsia="Times New Roman" w:cstheme="minorHAnsi"/>
          <w:i/>
          <w:color w:val="000000"/>
        </w:rPr>
        <w:t xml:space="preserve">Osnovni materijal i sirovine </w:t>
      </w:r>
      <w:r>
        <w:rPr>
          <w:rFonts w:eastAsia="Times New Roman" w:cstheme="minorHAnsi"/>
          <w:color w:val="000000"/>
        </w:rPr>
        <w:t xml:space="preserve">za potrebe laboratorija, </w:t>
      </w:r>
      <w:r w:rsidRPr="00552E7D">
        <w:rPr>
          <w:rFonts w:eastAsia="Times New Roman" w:cstheme="minorHAnsi"/>
          <w:i/>
          <w:color w:val="000000"/>
        </w:rPr>
        <w:t>Pomoćni materijal i sredstva</w:t>
      </w:r>
      <w:r>
        <w:rPr>
          <w:rFonts w:eastAsia="Times New Roman" w:cstheme="minorHAnsi"/>
          <w:color w:val="000000"/>
        </w:rPr>
        <w:t xml:space="preserve"> te </w:t>
      </w:r>
      <w:r w:rsidRPr="0028342D">
        <w:rPr>
          <w:rFonts w:eastAsia="Times New Roman" w:cstheme="minorHAnsi"/>
          <w:i/>
          <w:color w:val="000000"/>
        </w:rPr>
        <w:t>Uredski materijal</w:t>
      </w:r>
      <w:r>
        <w:rPr>
          <w:rFonts w:eastAsia="Times New Roman" w:cstheme="minorHAnsi"/>
          <w:color w:val="000000"/>
        </w:rPr>
        <w:t xml:space="preserve">. U odnosu na prethodnu godinu svi troškovi unutar ove grupe su nešto veći osim stavke </w:t>
      </w:r>
      <w:r w:rsidRPr="00A55524">
        <w:rPr>
          <w:rFonts w:eastAsia="Times New Roman" w:cstheme="minorHAnsi"/>
          <w:i/>
          <w:color w:val="000000"/>
        </w:rPr>
        <w:t>Materijal i sredstva za čišćenje i održavanje.</w:t>
      </w:r>
    </w:p>
    <w:p w14:paraId="73C6B266" w14:textId="4CE93BC8" w:rsidR="007E7C3A" w:rsidRPr="00AB1A64" w:rsidRDefault="007E7C3A" w:rsidP="007E7C3A">
      <w:pPr>
        <w:spacing w:after="240" w:line="276" w:lineRule="auto"/>
        <w:jc w:val="both"/>
        <w:rPr>
          <w:rFonts w:eastAsia="Times New Roman" w:cstheme="minorHAnsi"/>
          <w:color w:val="000000"/>
        </w:rPr>
      </w:pPr>
      <w:r w:rsidRPr="00AB1A64">
        <w:rPr>
          <w:rFonts w:eastAsia="Times New Roman" w:cstheme="minorHAnsi"/>
          <w:color w:val="000000"/>
        </w:rPr>
        <w:t xml:space="preserve">Grupa 2. </w:t>
      </w:r>
      <w:r>
        <w:rPr>
          <w:rFonts w:eastAsia="Times New Roman" w:cstheme="minorHAnsi"/>
          <w:b/>
          <w:color w:val="000000"/>
        </w:rPr>
        <w:t>Rashodi</w:t>
      </w:r>
      <w:r w:rsidRPr="00AB1A64">
        <w:rPr>
          <w:rFonts w:eastAsia="Times New Roman" w:cstheme="minorHAnsi"/>
          <w:b/>
          <w:color w:val="000000"/>
        </w:rPr>
        <w:t xml:space="preserve"> energije</w:t>
      </w:r>
      <w:r>
        <w:rPr>
          <w:rFonts w:eastAsia="Times New Roman" w:cstheme="minorHAnsi"/>
          <w:color w:val="000000"/>
        </w:rPr>
        <w:t xml:space="preserve"> izvršena je 7</w:t>
      </w:r>
      <w:r w:rsidRPr="00AB1A64">
        <w:rPr>
          <w:rFonts w:eastAsia="Times New Roman" w:cstheme="minorHAnsi"/>
          <w:color w:val="000000"/>
        </w:rPr>
        <w:t xml:space="preserve">% manje od plana za </w:t>
      </w:r>
      <w:r>
        <w:rPr>
          <w:rFonts w:eastAsia="Times New Roman" w:cstheme="minorHAnsi"/>
          <w:color w:val="000000"/>
        </w:rPr>
        <w:t>godinu i 1% više od izvršenja prethodne godine.</w:t>
      </w:r>
      <w:r w:rsidRPr="00AB1A64">
        <w:rPr>
          <w:rFonts w:eastAsia="Times New Roman" w:cstheme="minorHAnsi"/>
          <w:color w:val="000000"/>
        </w:rPr>
        <w:t xml:space="preserve"> Cijen</w:t>
      </w:r>
      <w:r>
        <w:rPr>
          <w:rFonts w:eastAsia="Times New Roman" w:cstheme="minorHAnsi"/>
          <w:color w:val="000000"/>
        </w:rPr>
        <w:t>a</w:t>
      </w:r>
      <w:r w:rsidRPr="00AB1A64">
        <w:rPr>
          <w:rFonts w:eastAsia="Times New Roman" w:cstheme="minorHAnsi"/>
          <w:color w:val="000000"/>
        </w:rPr>
        <w:t xml:space="preserve"> </w:t>
      </w:r>
      <w:r>
        <w:rPr>
          <w:rFonts w:eastAsia="Times New Roman" w:cstheme="minorHAnsi"/>
          <w:color w:val="000000"/>
        </w:rPr>
        <w:t xml:space="preserve">plina </w:t>
      </w:r>
      <w:r w:rsidRPr="00AB1A64">
        <w:rPr>
          <w:rFonts w:eastAsia="Times New Roman" w:cstheme="minorHAnsi"/>
          <w:color w:val="000000"/>
        </w:rPr>
        <w:t xml:space="preserve">u </w:t>
      </w:r>
      <w:r>
        <w:rPr>
          <w:rFonts w:eastAsia="Times New Roman" w:cstheme="minorHAnsi"/>
          <w:color w:val="000000"/>
        </w:rPr>
        <w:t>ovoj godini</w:t>
      </w:r>
      <w:r w:rsidRPr="00AB1A64">
        <w:rPr>
          <w:rFonts w:eastAsia="Times New Roman" w:cstheme="minorHAnsi"/>
          <w:color w:val="000000"/>
        </w:rPr>
        <w:t xml:space="preserve"> </w:t>
      </w:r>
      <w:r>
        <w:rPr>
          <w:rFonts w:eastAsia="Times New Roman" w:cstheme="minorHAnsi"/>
          <w:color w:val="000000"/>
        </w:rPr>
        <w:t>je veća</w:t>
      </w:r>
      <w:r w:rsidRPr="00AB1A64">
        <w:rPr>
          <w:rFonts w:eastAsia="Times New Roman" w:cstheme="minorHAnsi"/>
          <w:color w:val="000000"/>
        </w:rPr>
        <w:t xml:space="preserve"> od cijen</w:t>
      </w:r>
      <w:r>
        <w:rPr>
          <w:rFonts w:eastAsia="Times New Roman" w:cstheme="minorHAnsi"/>
          <w:color w:val="000000"/>
        </w:rPr>
        <w:t>e</w:t>
      </w:r>
      <w:r w:rsidRPr="00AB1A64">
        <w:rPr>
          <w:rFonts w:eastAsia="Times New Roman" w:cstheme="minorHAnsi"/>
          <w:color w:val="000000"/>
        </w:rPr>
        <w:t xml:space="preserve"> prethodne godine</w:t>
      </w:r>
      <w:r>
        <w:rPr>
          <w:rFonts w:eastAsia="Times New Roman" w:cstheme="minorHAnsi"/>
          <w:color w:val="000000"/>
        </w:rPr>
        <w:t>, ali manja od planirane.</w:t>
      </w:r>
      <w:r w:rsidRPr="00AB1A64">
        <w:rPr>
          <w:rFonts w:eastAsia="Times New Roman" w:cstheme="minorHAnsi"/>
          <w:color w:val="000000"/>
        </w:rPr>
        <w:t xml:space="preserve"> </w:t>
      </w:r>
      <w:r>
        <w:rPr>
          <w:rFonts w:eastAsia="Times New Roman" w:cstheme="minorHAnsi"/>
          <w:color w:val="000000"/>
        </w:rPr>
        <w:t>Cijena električne energije je bila niža nego prethodne godine obzirom da je 8</w:t>
      </w:r>
      <w:r>
        <w:rPr>
          <w:rFonts w:cstheme="minorHAnsi"/>
        </w:rPr>
        <w:t xml:space="preserve">. rujna 2022. godine  Vlada Republike Hrvatske donijela  </w:t>
      </w:r>
      <w:r w:rsidRPr="00C0515C">
        <w:rPr>
          <w:rFonts w:cstheme="minorHAnsi"/>
          <w:i/>
        </w:rPr>
        <w:t>Uredb</w:t>
      </w:r>
      <w:r>
        <w:rPr>
          <w:rFonts w:cstheme="minorHAnsi"/>
          <w:i/>
        </w:rPr>
        <w:t>u</w:t>
      </w:r>
      <w:r w:rsidRPr="00C0515C">
        <w:rPr>
          <w:rFonts w:cstheme="minorHAnsi"/>
          <w:i/>
        </w:rPr>
        <w:t xml:space="preserve"> o otklanjanju poremećaja na domaćem tržištu energije</w:t>
      </w:r>
      <w:r>
        <w:rPr>
          <w:rFonts w:cstheme="minorHAnsi"/>
        </w:rPr>
        <w:t xml:space="preserve"> kojom je određena cijena električne energije u periodu od 1. listopada 2022. godine do 31. ožujka 2023. godine a nakon čega je ova </w:t>
      </w:r>
      <w:r w:rsidRPr="00F06F5A">
        <w:rPr>
          <w:rFonts w:cstheme="minorHAnsi"/>
          <w:i/>
        </w:rPr>
        <w:t>Uredb</w:t>
      </w:r>
      <w:r>
        <w:rPr>
          <w:rFonts w:cstheme="minorHAnsi"/>
          <w:i/>
        </w:rPr>
        <w:t xml:space="preserve">a </w:t>
      </w:r>
      <w:r>
        <w:rPr>
          <w:rFonts w:cstheme="minorHAnsi"/>
        </w:rPr>
        <w:t>tijekom godine</w:t>
      </w:r>
      <w:r>
        <w:rPr>
          <w:rFonts w:cstheme="minorHAnsi"/>
          <w:i/>
        </w:rPr>
        <w:t xml:space="preserve"> </w:t>
      </w:r>
      <w:r>
        <w:rPr>
          <w:rFonts w:cstheme="minorHAnsi"/>
        </w:rPr>
        <w:t>bila produljena te je važila cijelu 2023. godinu.   Sukladno Uredbi planirani su troškovi (osim u dijelu troškova električne energije na lokaciji  u najmu Roberta Frangeša Mihanovića 9).</w:t>
      </w:r>
      <w:r>
        <w:rPr>
          <w:rFonts w:eastAsia="Times New Roman" w:cstheme="minorHAnsi"/>
          <w:color w:val="000000"/>
        </w:rPr>
        <w:t xml:space="preserve"> S druge strane, troškovi plina i goriva su u odnosu na prethodnu godinu bili veći. </w:t>
      </w:r>
    </w:p>
    <w:p w14:paraId="28B6E94B" w14:textId="3F351241" w:rsidR="007E7C3A" w:rsidRDefault="007E7C3A" w:rsidP="007E7C3A">
      <w:pPr>
        <w:spacing w:after="240" w:line="276" w:lineRule="auto"/>
        <w:jc w:val="both"/>
        <w:rPr>
          <w:rFonts w:eastAsia="Times New Roman" w:cstheme="minorHAnsi"/>
          <w:bCs/>
          <w:color w:val="000000"/>
        </w:rPr>
      </w:pPr>
      <w:r w:rsidRPr="002732F6">
        <w:rPr>
          <w:rFonts w:eastAsia="Times New Roman" w:cstheme="minorHAnsi"/>
          <w:bCs/>
          <w:color w:val="000000"/>
        </w:rPr>
        <w:t xml:space="preserve">Grupa 4. </w:t>
      </w:r>
      <w:r w:rsidRPr="002732F6">
        <w:rPr>
          <w:rFonts w:eastAsia="Times New Roman" w:cstheme="minorHAnsi"/>
          <w:b/>
          <w:bCs/>
          <w:color w:val="000000"/>
        </w:rPr>
        <w:t>Usluge održavanja</w:t>
      </w:r>
      <w:r>
        <w:rPr>
          <w:rFonts w:eastAsia="Times New Roman" w:cstheme="minorHAnsi"/>
          <w:bCs/>
          <w:color w:val="000000"/>
        </w:rPr>
        <w:t xml:space="preserve"> izvršena je 5</w:t>
      </w:r>
      <w:r w:rsidRPr="002732F6">
        <w:rPr>
          <w:rFonts w:eastAsia="Times New Roman" w:cstheme="minorHAnsi"/>
          <w:bCs/>
          <w:color w:val="000000"/>
        </w:rPr>
        <w:t xml:space="preserve">% </w:t>
      </w:r>
      <w:r>
        <w:rPr>
          <w:rFonts w:eastAsia="Times New Roman" w:cstheme="minorHAnsi"/>
          <w:bCs/>
          <w:color w:val="000000"/>
        </w:rPr>
        <w:t>više</w:t>
      </w:r>
      <w:r w:rsidRPr="002732F6">
        <w:rPr>
          <w:rFonts w:eastAsia="Times New Roman" w:cstheme="minorHAnsi"/>
          <w:bCs/>
          <w:color w:val="000000"/>
        </w:rPr>
        <w:t xml:space="preserve"> u odnosu na planirano za </w:t>
      </w:r>
      <w:r>
        <w:rPr>
          <w:rFonts w:eastAsia="Times New Roman" w:cstheme="minorHAnsi"/>
          <w:bCs/>
          <w:color w:val="000000"/>
        </w:rPr>
        <w:t xml:space="preserve">godinu. </w:t>
      </w:r>
      <w:r w:rsidRPr="002732F6">
        <w:rPr>
          <w:rFonts w:eastAsia="Times New Roman" w:cstheme="minorHAnsi"/>
          <w:bCs/>
          <w:color w:val="000000"/>
        </w:rPr>
        <w:t>Najveće stavke</w:t>
      </w:r>
      <w:r>
        <w:rPr>
          <w:rFonts w:eastAsia="Times New Roman" w:cstheme="minorHAnsi"/>
          <w:bCs/>
          <w:color w:val="000000"/>
        </w:rPr>
        <w:t xml:space="preserve"> u ovoj grupi su </w:t>
      </w:r>
      <w:r w:rsidRPr="006428B1">
        <w:rPr>
          <w:rFonts w:eastAsia="Times New Roman" w:cstheme="minorHAnsi"/>
          <w:bCs/>
          <w:i/>
          <w:color w:val="000000"/>
        </w:rPr>
        <w:t>Tekuće održavanje</w:t>
      </w:r>
      <w:r>
        <w:rPr>
          <w:rFonts w:eastAsia="Times New Roman" w:cstheme="minorHAnsi"/>
          <w:bCs/>
          <w:color w:val="000000"/>
        </w:rPr>
        <w:t xml:space="preserve"> (unutar koje se nalazi i održavanje laboratorijske opreme) koje je bilo manje od planiranog </w:t>
      </w:r>
      <w:r w:rsidR="003D59E2">
        <w:rPr>
          <w:rFonts w:eastAsia="Times New Roman" w:cstheme="minorHAnsi"/>
          <w:bCs/>
          <w:color w:val="000000"/>
        </w:rPr>
        <w:t>i</w:t>
      </w:r>
      <w:r>
        <w:rPr>
          <w:rFonts w:eastAsia="Times New Roman" w:cstheme="minorHAnsi"/>
          <w:bCs/>
          <w:color w:val="000000"/>
        </w:rPr>
        <w:t xml:space="preserve"> stavka </w:t>
      </w:r>
      <w:r w:rsidRPr="003D59E2">
        <w:rPr>
          <w:rFonts w:eastAsia="Times New Roman" w:cstheme="minorHAnsi"/>
          <w:bCs/>
          <w:i/>
          <w:color w:val="000000"/>
        </w:rPr>
        <w:t>Usluge održavanja softvera, hardvera i web stranice</w:t>
      </w:r>
      <w:r>
        <w:rPr>
          <w:rFonts w:eastAsia="Times New Roman" w:cstheme="minorHAnsi"/>
          <w:bCs/>
          <w:i/>
          <w:color w:val="000000"/>
        </w:rPr>
        <w:t xml:space="preserve"> </w:t>
      </w:r>
      <w:r>
        <w:rPr>
          <w:rFonts w:eastAsia="Times New Roman" w:cstheme="minorHAnsi"/>
          <w:bCs/>
          <w:color w:val="000000"/>
        </w:rPr>
        <w:t xml:space="preserve">za koju su troškovi bili veći od plana za </w:t>
      </w:r>
      <w:r w:rsidR="003D59E2">
        <w:rPr>
          <w:rFonts w:eastAsia="Times New Roman" w:cstheme="minorHAnsi"/>
          <w:bCs/>
          <w:color w:val="000000"/>
        </w:rPr>
        <w:t xml:space="preserve">2023. </w:t>
      </w:r>
      <w:r>
        <w:rPr>
          <w:rFonts w:eastAsia="Times New Roman" w:cstheme="minorHAnsi"/>
          <w:bCs/>
          <w:color w:val="000000"/>
        </w:rPr>
        <w:t>godinu</w:t>
      </w:r>
      <w:r w:rsidR="00A85B7E">
        <w:rPr>
          <w:rFonts w:eastAsia="Times New Roman" w:cstheme="minorHAnsi"/>
          <w:bCs/>
          <w:color w:val="000000"/>
        </w:rPr>
        <w:t xml:space="preserve"> budući da je  zabilježen značajan </w:t>
      </w:r>
      <w:r>
        <w:rPr>
          <w:rFonts w:eastAsia="Times New Roman" w:cstheme="minorHAnsi"/>
          <w:bCs/>
          <w:color w:val="000000"/>
        </w:rPr>
        <w:t xml:space="preserve">porast cijena </w:t>
      </w:r>
      <w:r w:rsidR="00A85B7E">
        <w:rPr>
          <w:rFonts w:eastAsia="Times New Roman" w:cstheme="minorHAnsi"/>
          <w:bCs/>
          <w:color w:val="000000"/>
        </w:rPr>
        <w:t xml:space="preserve">održavanja. </w:t>
      </w:r>
      <w:r>
        <w:rPr>
          <w:rFonts w:eastAsia="Times New Roman" w:cstheme="minorHAnsi"/>
          <w:bCs/>
          <w:color w:val="000000"/>
        </w:rPr>
        <w:t xml:space="preserve"> U odnosu na prethodnu godinu izvršenje je 20% veće, a najviše u dijelu </w:t>
      </w:r>
      <w:r w:rsidRPr="00116833">
        <w:rPr>
          <w:rFonts w:eastAsia="Times New Roman" w:cstheme="minorHAnsi"/>
          <w:bCs/>
          <w:i/>
          <w:color w:val="000000"/>
        </w:rPr>
        <w:t>Tekućeg održavanja</w:t>
      </w:r>
      <w:r>
        <w:rPr>
          <w:rFonts w:eastAsia="Times New Roman" w:cstheme="minorHAnsi"/>
          <w:bCs/>
          <w:color w:val="000000"/>
        </w:rPr>
        <w:t xml:space="preserve"> (manji </w:t>
      </w:r>
      <w:r w:rsidRPr="007436D1">
        <w:rPr>
          <w:rFonts w:eastAsia="Times New Roman" w:cstheme="minorHAnsi"/>
          <w:bCs/>
          <w:color w:val="000000"/>
        </w:rPr>
        <w:t xml:space="preserve">građevinski radovi </w:t>
      </w:r>
      <w:r>
        <w:rPr>
          <w:rFonts w:eastAsia="Times New Roman" w:cstheme="minorHAnsi"/>
          <w:bCs/>
          <w:color w:val="000000"/>
        </w:rPr>
        <w:t>i umjeravanja i održavanja laboratorijske opreme</w:t>
      </w:r>
      <w:r w:rsidRPr="007436D1">
        <w:rPr>
          <w:rFonts w:eastAsia="Times New Roman" w:cstheme="minorHAnsi"/>
          <w:bCs/>
          <w:color w:val="000000"/>
        </w:rPr>
        <w:t>)</w:t>
      </w:r>
      <w:r>
        <w:rPr>
          <w:rFonts w:eastAsia="Times New Roman" w:cstheme="minorHAnsi"/>
          <w:bCs/>
          <w:color w:val="000000"/>
        </w:rPr>
        <w:t xml:space="preserve"> </w:t>
      </w:r>
      <w:r w:rsidRPr="003D59E2">
        <w:rPr>
          <w:rFonts w:eastAsia="Times New Roman" w:cstheme="minorHAnsi"/>
          <w:bCs/>
          <w:color w:val="000000"/>
        </w:rPr>
        <w:t xml:space="preserve">te </w:t>
      </w:r>
      <w:r w:rsidRPr="003D59E2">
        <w:rPr>
          <w:rFonts w:eastAsia="Times New Roman" w:cstheme="minorHAnsi"/>
          <w:bCs/>
          <w:i/>
          <w:color w:val="000000"/>
        </w:rPr>
        <w:t>Održavanja softvera, hardvera</w:t>
      </w:r>
      <w:r w:rsidRPr="003D59E2">
        <w:rPr>
          <w:rFonts w:eastAsia="Times New Roman" w:cstheme="minorHAnsi"/>
          <w:bCs/>
          <w:color w:val="000000"/>
        </w:rPr>
        <w:t xml:space="preserve"> i web </w:t>
      </w:r>
      <w:r w:rsidRPr="003D59E2">
        <w:rPr>
          <w:rFonts w:eastAsia="Times New Roman" w:cstheme="minorHAnsi"/>
          <w:bCs/>
          <w:i/>
          <w:color w:val="000000"/>
        </w:rPr>
        <w:t>stranice</w:t>
      </w:r>
      <w:r w:rsidRPr="003D59E2">
        <w:rPr>
          <w:rFonts w:eastAsia="Times New Roman" w:cstheme="minorHAnsi"/>
          <w:bCs/>
          <w:color w:val="000000"/>
        </w:rPr>
        <w:t>. Ovi troškovi</w:t>
      </w:r>
      <w:r w:rsidRPr="00E7348A">
        <w:rPr>
          <w:rFonts w:eastAsia="Times New Roman" w:cstheme="minorHAnsi"/>
          <w:bCs/>
          <w:color w:val="000000"/>
        </w:rPr>
        <w:t xml:space="preserve"> </w:t>
      </w:r>
      <w:r w:rsidR="003D59E2">
        <w:rPr>
          <w:rFonts w:eastAsia="Times New Roman" w:cstheme="minorHAnsi"/>
          <w:bCs/>
          <w:color w:val="000000"/>
        </w:rPr>
        <w:t xml:space="preserve">su veći </w:t>
      </w:r>
      <w:r w:rsidRPr="00E7348A">
        <w:rPr>
          <w:rFonts w:eastAsia="Times New Roman" w:cstheme="minorHAnsi"/>
          <w:bCs/>
          <w:color w:val="000000"/>
        </w:rPr>
        <w:t xml:space="preserve"> iz </w:t>
      </w:r>
      <w:r w:rsidRPr="00E7348A">
        <w:t>razloga povećanja cijena održavanja pojedinih aplikacija, isteka jamstvenih rokova, potreba za novim licencama, povećanja cijena postojećih licenci, potreba za postizanjem visoke razine kibernetičke sigurnosti i sl.</w:t>
      </w:r>
    </w:p>
    <w:p w14:paraId="0C20AE01" w14:textId="77777777" w:rsidR="007E7C3A" w:rsidRPr="001B2D6E" w:rsidRDefault="007E7C3A" w:rsidP="007E7C3A">
      <w:pPr>
        <w:spacing w:after="240" w:line="276" w:lineRule="auto"/>
        <w:jc w:val="both"/>
        <w:rPr>
          <w:rFonts w:eastAsia="Times New Roman" w:cstheme="minorHAnsi"/>
          <w:bCs/>
          <w:color w:val="000000"/>
        </w:rPr>
      </w:pPr>
      <w:r>
        <w:rPr>
          <w:rFonts w:eastAsia="Times New Roman" w:cstheme="minorHAnsi"/>
          <w:bCs/>
          <w:color w:val="000000"/>
        </w:rPr>
        <w:t xml:space="preserve">Grupa 6. </w:t>
      </w:r>
      <w:r w:rsidRPr="001B2D6E">
        <w:rPr>
          <w:rFonts w:eastAsia="Times New Roman" w:cstheme="minorHAnsi"/>
          <w:b/>
          <w:bCs/>
          <w:color w:val="000000"/>
        </w:rPr>
        <w:t>Premije osiguranja</w:t>
      </w:r>
      <w:r>
        <w:rPr>
          <w:rFonts w:eastAsia="Times New Roman" w:cstheme="minorHAnsi"/>
          <w:bCs/>
          <w:color w:val="000000"/>
        </w:rPr>
        <w:t xml:space="preserve"> </w:t>
      </w:r>
      <w:r w:rsidRPr="001B2D6E">
        <w:rPr>
          <w:rFonts w:eastAsia="Times New Roman" w:cstheme="minorHAnsi"/>
          <w:bCs/>
          <w:color w:val="000000"/>
        </w:rPr>
        <w:t>izvršena je</w:t>
      </w:r>
      <w:r>
        <w:rPr>
          <w:rFonts w:eastAsia="Times New Roman" w:cstheme="minorHAnsi"/>
          <w:b/>
          <w:bCs/>
          <w:color w:val="000000"/>
        </w:rPr>
        <w:t xml:space="preserve"> </w:t>
      </w:r>
      <w:r w:rsidRPr="001B2D6E">
        <w:rPr>
          <w:rFonts w:eastAsia="Times New Roman" w:cstheme="minorHAnsi"/>
          <w:bCs/>
          <w:color w:val="000000"/>
        </w:rPr>
        <w:t>1</w:t>
      </w:r>
      <w:r>
        <w:rPr>
          <w:rFonts w:eastAsia="Times New Roman" w:cstheme="minorHAnsi"/>
          <w:bCs/>
          <w:color w:val="000000"/>
        </w:rPr>
        <w:t>7</w:t>
      </w:r>
      <w:r>
        <w:rPr>
          <w:rFonts w:eastAsia="Times New Roman" w:cstheme="minorHAnsi"/>
          <w:b/>
          <w:bCs/>
          <w:color w:val="000000"/>
        </w:rPr>
        <w:t xml:space="preserve">% </w:t>
      </w:r>
      <w:r w:rsidRPr="001B2D6E">
        <w:rPr>
          <w:rFonts w:eastAsia="Times New Roman" w:cstheme="minorHAnsi"/>
          <w:bCs/>
          <w:color w:val="000000"/>
        </w:rPr>
        <w:t xml:space="preserve">više od </w:t>
      </w:r>
      <w:r>
        <w:rPr>
          <w:rFonts w:eastAsia="Times New Roman" w:cstheme="minorHAnsi"/>
          <w:bCs/>
          <w:color w:val="000000"/>
        </w:rPr>
        <w:t>izvršenja prethodne godine zbog većih cijena dodatnog i dopunskog zdravstvenog osiguranja djelatnika za što su provedeni postupci javne i jednostavne nabave.</w:t>
      </w:r>
    </w:p>
    <w:p w14:paraId="5CC001FA" w14:textId="41EBF85D" w:rsidR="007E7C3A" w:rsidRDefault="007E7C3A" w:rsidP="007E7C3A">
      <w:pPr>
        <w:pStyle w:val="NoSpacing"/>
        <w:spacing w:line="276" w:lineRule="auto"/>
        <w:jc w:val="both"/>
        <w:rPr>
          <w:rFonts w:eastAsia="Times New Roman"/>
          <w:sz w:val="22"/>
          <w:szCs w:val="22"/>
        </w:rPr>
      </w:pPr>
      <w:r w:rsidRPr="007C6128">
        <w:rPr>
          <w:rFonts w:eastAsia="Times New Roman"/>
          <w:sz w:val="22"/>
          <w:szCs w:val="22"/>
        </w:rPr>
        <w:t xml:space="preserve">Grupa 7. </w:t>
      </w:r>
      <w:r w:rsidRPr="007C6128">
        <w:rPr>
          <w:rFonts w:eastAsia="Times New Roman"/>
          <w:b/>
          <w:sz w:val="22"/>
          <w:szCs w:val="22"/>
        </w:rPr>
        <w:t>Ostali vanjski rashodi</w:t>
      </w:r>
      <w:r w:rsidRPr="00486150">
        <w:rPr>
          <w:rFonts w:eastAsia="Times New Roman"/>
          <w:sz w:val="22"/>
          <w:szCs w:val="22"/>
        </w:rPr>
        <w:t xml:space="preserve"> obuhvaćaju sljedeće troškove: zakup poslovnog prostora, naknade povjerenstvima i ostalim vanjskim suradnicima, konzultantske usluge, odvjetničke usluge, usluge studenata, troškovi privremenih radnika, troškovi tiska, troškovi oglasa, troškovi poslijediplomskih studija, režijski troškovi (komunalna, vodna naknada, voda, odvoz smeća i otpada, </w:t>
      </w:r>
      <w:r>
        <w:rPr>
          <w:rFonts w:eastAsia="Times New Roman"/>
          <w:sz w:val="22"/>
          <w:szCs w:val="22"/>
        </w:rPr>
        <w:t xml:space="preserve">deratizacija i sl.), prijevodi, prikupljanje informacija iz medijskog prostora, </w:t>
      </w:r>
      <w:r w:rsidRPr="00486150">
        <w:rPr>
          <w:rFonts w:eastAsia="Times New Roman"/>
          <w:sz w:val="22"/>
          <w:szCs w:val="22"/>
        </w:rPr>
        <w:t xml:space="preserve"> izlučivanje </w:t>
      </w:r>
      <w:r w:rsidR="00A85B7E">
        <w:rPr>
          <w:rFonts w:eastAsia="Times New Roman"/>
          <w:sz w:val="22"/>
          <w:szCs w:val="22"/>
        </w:rPr>
        <w:t>dokumentacije</w:t>
      </w:r>
      <w:r>
        <w:rPr>
          <w:rFonts w:eastAsia="Times New Roman"/>
          <w:sz w:val="22"/>
          <w:szCs w:val="22"/>
        </w:rPr>
        <w:t xml:space="preserve"> i drugi ostali nespomenuti vanjski troškovi.</w:t>
      </w:r>
    </w:p>
    <w:p w14:paraId="4D18B4B4" w14:textId="090F8B86" w:rsidR="007E7C3A" w:rsidRPr="00EC37D5" w:rsidRDefault="007E7C3A" w:rsidP="007E7C3A">
      <w:pPr>
        <w:pStyle w:val="NoSpacing"/>
        <w:spacing w:line="276" w:lineRule="auto"/>
        <w:jc w:val="both"/>
        <w:rPr>
          <w:rFonts w:eastAsia="Times New Roman"/>
          <w:sz w:val="22"/>
          <w:szCs w:val="22"/>
        </w:rPr>
      </w:pPr>
      <w:r>
        <w:rPr>
          <w:rFonts w:eastAsia="Times New Roman"/>
          <w:sz w:val="22"/>
          <w:szCs w:val="22"/>
        </w:rPr>
        <w:t>U odnosu na planirano za 2023. godinu ukupno i</w:t>
      </w:r>
      <w:r w:rsidRPr="00BD3218">
        <w:rPr>
          <w:rFonts w:eastAsia="Times New Roman"/>
          <w:sz w:val="22"/>
          <w:szCs w:val="22"/>
        </w:rPr>
        <w:t xml:space="preserve">zvršenje </w:t>
      </w:r>
      <w:r>
        <w:rPr>
          <w:rFonts w:eastAsia="Times New Roman"/>
          <w:sz w:val="22"/>
          <w:szCs w:val="22"/>
        </w:rPr>
        <w:t xml:space="preserve">ove grupe rashoda manje </w:t>
      </w:r>
      <w:r w:rsidRPr="00BD3218">
        <w:rPr>
          <w:rFonts w:eastAsia="Times New Roman"/>
          <w:sz w:val="22"/>
          <w:szCs w:val="22"/>
        </w:rPr>
        <w:t xml:space="preserve">je za </w:t>
      </w:r>
      <w:r>
        <w:rPr>
          <w:rFonts w:eastAsia="Times New Roman"/>
          <w:sz w:val="22"/>
          <w:szCs w:val="22"/>
        </w:rPr>
        <w:t>6</w:t>
      </w:r>
      <w:r w:rsidRPr="00BD3218">
        <w:rPr>
          <w:rFonts w:eastAsia="Times New Roman"/>
          <w:sz w:val="22"/>
          <w:szCs w:val="22"/>
        </w:rPr>
        <w:t>%</w:t>
      </w:r>
      <w:r>
        <w:rPr>
          <w:rFonts w:eastAsia="Times New Roman"/>
          <w:sz w:val="22"/>
          <w:szCs w:val="22"/>
        </w:rPr>
        <w:t xml:space="preserve">. Gotovo su sve stavke izvršene manje od planiranog, a posebno stavke </w:t>
      </w:r>
      <w:r w:rsidRPr="00E42AA1">
        <w:rPr>
          <w:rFonts w:eastAsia="Times New Roman"/>
          <w:i/>
          <w:sz w:val="22"/>
          <w:szCs w:val="22"/>
        </w:rPr>
        <w:t>Ugovori o djelu</w:t>
      </w:r>
      <w:r>
        <w:rPr>
          <w:rFonts w:eastAsia="Times New Roman"/>
          <w:sz w:val="22"/>
          <w:szCs w:val="22"/>
        </w:rPr>
        <w:t xml:space="preserve">, </w:t>
      </w:r>
      <w:r w:rsidRPr="00E42AA1">
        <w:rPr>
          <w:rFonts w:eastAsia="Times New Roman"/>
          <w:i/>
          <w:sz w:val="22"/>
          <w:szCs w:val="22"/>
        </w:rPr>
        <w:t>Najam prostora</w:t>
      </w:r>
      <w:r>
        <w:rPr>
          <w:rFonts w:eastAsia="Times New Roman"/>
          <w:sz w:val="22"/>
          <w:szCs w:val="22"/>
        </w:rPr>
        <w:t xml:space="preserve">, </w:t>
      </w:r>
      <w:r w:rsidRPr="00E42AA1">
        <w:rPr>
          <w:rFonts w:eastAsia="Times New Roman"/>
          <w:i/>
          <w:sz w:val="22"/>
          <w:szCs w:val="22"/>
        </w:rPr>
        <w:t>Usluge SC-a</w:t>
      </w:r>
      <w:r>
        <w:rPr>
          <w:rFonts w:eastAsia="Times New Roman"/>
          <w:sz w:val="22"/>
          <w:szCs w:val="22"/>
        </w:rPr>
        <w:t xml:space="preserve"> </w:t>
      </w:r>
      <w:r w:rsidRPr="00E42AA1">
        <w:rPr>
          <w:rFonts w:eastAsia="Times New Roman"/>
          <w:i/>
          <w:sz w:val="22"/>
          <w:szCs w:val="22"/>
        </w:rPr>
        <w:t>i</w:t>
      </w:r>
      <w:r>
        <w:rPr>
          <w:rFonts w:eastAsia="Times New Roman"/>
          <w:sz w:val="22"/>
          <w:szCs w:val="22"/>
        </w:rPr>
        <w:t xml:space="preserve"> </w:t>
      </w:r>
      <w:r w:rsidRPr="00E42AA1">
        <w:rPr>
          <w:rFonts w:eastAsia="Times New Roman"/>
          <w:i/>
          <w:sz w:val="22"/>
          <w:szCs w:val="22"/>
        </w:rPr>
        <w:t>omladinskih servisa</w:t>
      </w:r>
      <w:r>
        <w:rPr>
          <w:rFonts w:eastAsia="Times New Roman"/>
          <w:sz w:val="22"/>
          <w:szCs w:val="22"/>
        </w:rPr>
        <w:t xml:space="preserve">, </w:t>
      </w:r>
      <w:r>
        <w:rPr>
          <w:rFonts w:eastAsia="Times New Roman"/>
          <w:i/>
          <w:sz w:val="22"/>
          <w:szCs w:val="22"/>
        </w:rPr>
        <w:t xml:space="preserve">Usluge spec.obrazovnih </w:t>
      </w:r>
      <w:r w:rsidRPr="0059375A">
        <w:rPr>
          <w:rFonts w:eastAsia="Times New Roman"/>
          <w:i/>
          <w:sz w:val="22"/>
          <w:szCs w:val="22"/>
        </w:rPr>
        <w:t>znan</w:t>
      </w:r>
      <w:r>
        <w:rPr>
          <w:rFonts w:eastAsia="Times New Roman"/>
          <w:i/>
          <w:sz w:val="22"/>
          <w:szCs w:val="22"/>
        </w:rPr>
        <w:t xml:space="preserve">stvenih </w:t>
      </w:r>
      <w:r w:rsidRPr="0059375A">
        <w:rPr>
          <w:rFonts w:eastAsia="Times New Roman"/>
          <w:i/>
          <w:sz w:val="22"/>
          <w:szCs w:val="22"/>
        </w:rPr>
        <w:t>inst</w:t>
      </w:r>
      <w:r>
        <w:rPr>
          <w:rFonts w:eastAsia="Times New Roman"/>
          <w:i/>
          <w:sz w:val="22"/>
          <w:szCs w:val="22"/>
        </w:rPr>
        <w:t xml:space="preserve">itucija, </w:t>
      </w:r>
      <w:r w:rsidRPr="00E42AA1">
        <w:rPr>
          <w:rFonts w:eastAsia="Times New Roman"/>
          <w:i/>
          <w:sz w:val="22"/>
          <w:szCs w:val="22"/>
        </w:rPr>
        <w:t>Konzultantske usluge</w:t>
      </w:r>
      <w:r>
        <w:rPr>
          <w:rFonts w:eastAsia="Times New Roman"/>
          <w:sz w:val="22"/>
          <w:szCs w:val="22"/>
        </w:rPr>
        <w:t xml:space="preserve">, </w:t>
      </w:r>
      <w:r>
        <w:rPr>
          <w:rFonts w:eastAsia="Times New Roman"/>
          <w:i/>
          <w:sz w:val="22"/>
          <w:szCs w:val="22"/>
        </w:rPr>
        <w:t>Izrada projekata i stručni nadzor i Ostali nespomenuti vanjski troškovi (</w:t>
      </w:r>
      <w:r>
        <w:rPr>
          <w:rFonts w:eastAsia="Times New Roman"/>
          <w:sz w:val="22"/>
          <w:szCs w:val="22"/>
        </w:rPr>
        <w:t>usluga kontrole i čišćenja mikrofilmova, izlučivanje dokumentacije)</w:t>
      </w:r>
      <w:r>
        <w:rPr>
          <w:rFonts w:eastAsia="Times New Roman"/>
          <w:i/>
          <w:sz w:val="22"/>
          <w:szCs w:val="22"/>
        </w:rPr>
        <w:t xml:space="preserve">. </w:t>
      </w:r>
      <w:r w:rsidRPr="004E74BA">
        <w:rPr>
          <w:rFonts w:eastAsia="Times New Roman"/>
          <w:sz w:val="22"/>
          <w:szCs w:val="22"/>
        </w:rPr>
        <w:t>S druge strane</w:t>
      </w:r>
      <w:r>
        <w:rPr>
          <w:rFonts w:eastAsia="Times New Roman"/>
          <w:sz w:val="22"/>
          <w:szCs w:val="22"/>
        </w:rPr>
        <w:t xml:space="preserve"> troškovi su veći od plana na stavkama </w:t>
      </w:r>
      <w:r w:rsidRPr="00BA1F3F">
        <w:rPr>
          <w:rFonts w:eastAsia="Times New Roman"/>
          <w:i/>
          <w:sz w:val="22"/>
          <w:szCs w:val="22"/>
        </w:rPr>
        <w:t>Naknade povjerenstvima</w:t>
      </w:r>
      <w:r>
        <w:rPr>
          <w:rFonts w:eastAsia="Times New Roman"/>
          <w:sz w:val="22"/>
          <w:szCs w:val="22"/>
        </w:rPr>
        <w:t xml:space="preserve"> </w:t>
      </w:r>
      <w:r w:rsidRPr="0090386F">
        <w:rPr>
          <w:rFonts w:eastAsia="Times New Roman" w:cstheme="minorHAnsi"/>
          <w:i/>
          <w:sz w:val="22"/>
          <w:szCs w:val="22"/>
        </w:rPr>
        <w:t>(</w:t>
      </w:r>
      <w:r w:rsidRPr="007F232F">
        <w:rPr>
          <w:rFonts w:eastAsia="Times New Roman" w:cstheme="minorHAnsi"/>
          <w:sz w:val="22"/>
          <w:szCs w:val="22"/>
        </w:rPr>
        <w:t>davanje stručnih mišljenja  i znanstvenih savjeta od strane vanjskih suradnika koji su članovi povjerenstva)</w:t>
      </w:r>
      <w:r>
        <w:rPr>
          <w:rFonts w:eastAsia="Times New Roman" w:cstheme="minorHAnsi"/>
          <w:sz w:val="22"/>
          <w:szCs w:val="22"/>
        </w:rPr>
        <w:t xml:space="preserve"> </w:t>
      </w:r>
      <w:r>
        <w:rPr>
          <w:rFonts w:eastAsia="Times New Roman"/>
          <w:sz w:val="22"/>
          <w:szCs w:val="22"/>
        </w:rPr>
        <w:t xml:space="preserve">te </w:t>
      </w:r>
      <w:r w:rsidR="00A85B7E">
        <w:rPr>
          <w:rFonts w:eastAsia="Times New Roman"/>
          <w:i/>
          <w:sz w:val="22"/>
          <w:szCs w:val="22"/>
        </w:rPr>
        <w:t xml:space="preserve">Odvoz smeća </w:t>
      </w:r>
      <w:r w:rsidRPr="00BA1F3F">
        <w:rPr>
          <w:rFonts w:eastAsia="Times New Roman"/>
          <w:i/>
          <w:sz w:val="22"/>
          <w:szCs w:val="22"/>
        </w:rPr>
        <w:t>i ostalog otpada</w:t>
      </w:r>
      <w:r>
        <w:rPr>
          <w:rFonts w:eastAsia="Times New Roman"/>
          <w:sz w:val="22"/>
          <w:szCs w:val="22"/>
        </w:rPr>
        <w:t>.</w:t>
      </w:r>
      <w:r>
        <w:rPr>
          <w:rFonts w:eastAsia="Times New Roman"/>
          <w:i/>
          <w:sz w:val="22"/>
          <w:szCs w:val="22"/>
        </w:rPr>
        <w:t xml:space="preserve"> </w:t>
      </w:r>
      <w:r>
        <w:rPr>
          <w:rFonts w:eastAsia="Times New Roman"/>
          <w:sz w:val="22"/>
          <w:szCs w:val="22"/>
        </w:rPr>
        <w:t xml:space="preserve">U odnosu na prethodnu godinu izvršenje ove grupe rashoda je na istoj razini </w:t>
      </w:r>
      <w:r>
        <w:rPr>
          <w:rFonts w:eastAsia="Times New Roman"/>
          <w:sz w:val="22"/>
          <w:szCs w:val="22"/>
        </w:rPr>
        <w:lastRenderedPageBreak/>
        <w:t xml:space="preserve">odnosno tek je 1% veće. Unutar grupe, najveće povećanje je na stavkama  </w:t>
      </w:r>
      <w:r w:rsidRPr="0090386F">
        <w:rPr>
          <w:rFonts w:eastAsia="Times New Roman"/>
          <w:i/>
          <w:sz w:val="22"/>
          <w:szCs w:val="22"/>
        </w:rPr>
        <w:t>Naknade povjerenstvima</w:t>
      </w:r>
      <w:r>
        <w:rPr>
          <w:rFonts w:eastAsia="Times New Roman" w:cstheme="minorHAnsi"/>
          <w:sz w:val="22"/>
          <w:szCs w:val="22"/>
        </w:rPr>
        <w:t>,</w:t>
      </w:r>
      <w:r>
        <w:rPr>
          <w:rFonts w:eastAsia="Times New Roman" w:cstheme="minorHAnsi"/>
          <w:i/>
          <w:sz w:val="22"/>
          <w:szCs w:val="22"/>
        </w:rPr>
        <w:t xml:space="preserve"> Najam prostora </w:t>
      </w:r>
      <w:r>
        <w:rPr>
          <w:rFonts w:eastAsia="Times New Roman" w:cstheme="minorHAnsi"/>
          <w:sz w:val="22"/>
          <w:szCs w:val="22"/>
        </w:rPr>
        <w:t xml:space="preserve">te na stavci </w:t>
      </w:r>
      <w:r>
        <w:rPr>
          <w:rFonts w:eastAsia="Times New Roman" w:cstheme="minorHAnsi"/>
          <w:i/>
          <w:sz w:val="22"/>
          <w:szCs w:val="22"/>
        </w:rPr>
        <w:t>Ostale vanjske usluge</w:t>
      </w:r>
      <w:r>
        <w:rPr>
          <w:rFonts w:eastAsia="Times New Roman" w:cstheme="minorHAnsi"/>
          <w:sz w:val="22"/>
          <w:szCs w:val="22"/>
        </w:rPr>
        <w:t xml:space="preserve"> </w:t>
      </w:r>
      <w:r w:rsidRPr="00716269">
        <w:rPr>
          <w:rFonts w:eastAsia="Times New Roman" w:cstheme="minorHAnsi"/>
          <w:sz w:val="22"/>
          <w:szCs w:val="22"/>
        </w:rPr>
        <w:t>dok je</w:t>
      </w:r>
      <w:r>
        <w:rPr>
          <w:rFonts w:eastAsia="Times New Roman" w:cstheme="minorHAnsi"/>
          <w:i/>
          <w:sz w:val="22"/>
          <w:szCs w:val="22"/>
        </w:rPr>
        <w:t xml:space="preserve"> </w:t>
      </w:r>
      <w:r>
        <w:rPr>
          <w:rFonts w:eastAsia="Times New Roman" w:cstheme="minorHAnsi"/>
          <w:sz w:val="22"/>
          <w:szCs w:val="22"/>
        </w:rPr>
        <w:t xml:space="preserve">naveće smanjenje na </w:t>
      </w:r>
      <w:r w:rsidRPr="00716269">
        <w:rPr>
          <w:rFonts w:eastAsia="Times New Roman" w:cstheme="minorHAnsi"/>
          <w:i/>
          <w:sz w:val="22"/>
          <w:szCs w:val="22"/>
        </w:rPr>
        <w:t>Ugovorima o djelu</w:t>
      </w:r>
      <w:r>
        <w:rPr>
          <w:rFonts w:eastAsia="Times New Roman" w:cstheme="minorHAnsi"/>
          <w:i/>
          <w:sz w:val="22"/>
          <w:szCs w:val="22"/>
        </w:rPr>
        <w:t xml:space="preserve">, </w:t>
      </w:r>
      <w:r w:rsidRPr="00E42AA1">
        <w:rPr>
          <w:rFonts w:eastAsia="Times New Roman"/>
          <w:i/>
          <w:sz w:val="22"/>
          <w:szCs w:val="22"/>
        </w:rPr>
        <w:t>Odvjetničk</w:t>
      </w:r>
      <w:r>
        <w:rPr>
          <w:rFonts w:eastAsia="Times New Roman"/>
          <w:i/>
          <w:sz w:val="22"/>
          <w:szCs w:val="22"/>
        </w:rPr>
        <w:t>im</w:t>
      </w:r>
      <w:r w:rsidRPr="00E42AA1">
        <w:rPr>
          <w:rFonts w:eastAsia="Times New Roman"/>
          <w:i/>
          <w:sz w:val="22"/>
          <w:szCs w:val="22"/>
        </w:rPr>
        <w:t>, bi</w:t>
      </w:r>
      <w:r>
        <w:rPr>
          <w:rFonts w:eastAsia="Times New Roman"/>
          <w:i/>
          <w:sz w:val="22"/>
          <w:szCs w:val="22"/>
        </w:rPr>
        <w:t xml:space="preserve">lježničkim i ostalim pravnim uslugama </w:t>
      </w:r>
      <w:r w:rsidRPr="0019390A">
        <w:rPr>
          <w:rFonts w:eastAsia="Times New Roman"/>
          <w:sz w:val="22"/>
          <w:szCs w:val="22"/>
        </w:rPr>
        <w:t>te</w:t>
      </w:r>
      <w:r>
        <w:rPr>
          <w:rFonts w:eastAsia="Times New Roman"/>
          <w:i/>
          <w:sz w:val="22"/>
          <w:szCs w:val="22"/>
        </w:rPr>
        <w:t xml:space="preserve"> Vodoopskrbi i odvodnji.</w:t>
      </w:r>
      <w:r>
        <w:rPr>
          <w:rFonts w:eastAsia="Times New Roman" w:cstheme="minorHAnsi"/>
          <w:i/>
          <w:sz w:val="22"/>
          <w:szCs w:val="22"/>
        </w:rPr>
        <w:t xml:space="preserve"> </w:t>
      </w:r>
    </w:p>
    <w:p w14:paraId="47D931E9" w14:textId="7AE01974" w:rsidR="007E7C3A" w:rsidRDefault="007E7C3A" w:rsidP="007E7C3A">
      <w:pPr>
        <w:spacing w:before="240" w:after="240" w:line="276" w:lineRule="auto"/>
        <w:jc w:val="both"/>
        <w:rPr>
          <w:rFonts w:cs="Calibri"/>
        </w:rPr>
      </w:pPr>
      <w:r w:rsidRPr="00A07F29">
        <w:rPr>
          <w:rFonts w:eastAsia="Times New Roman" w:cstheme="minorHAnsi"/>
          <w:bCs/>
          <w:color w:val="000000"/>
        </w:rPr>
        <w:t>Grupa 8.</w:t>
      </w:r>
      <w:r w:rsidRPr="00E82756">
        <w:rPr>
          <w:rFonts w:eastAsia="Times New Roman" w:cstheme="minorHAnsi"/>
          <w:bCs/>
          <w:color w:val="000000"/>
        </w:rPr>
        <w:t xml:space="preserve"> </w:t>
      </w:r>
      <w:r w:rsidRPr="00E82756">
        <w:rPr>
          <w:rFonts w:eastAsia="Times New Roman" w:cstheme="minorHAnsi"/>
          <w:b/>
          <w:bCs/>
          <w:color w:val="000000"/>
        </w:rPr>
        <w:t>Potpore, naknade, prigodne i ostale nagrade</w:t>
      </w:r>
      <w:r w:rsidRPr="001A66D6">
        <w:rPr>
          <w:rFonts w:eastAsia="Times New Roman" w:cstheme="minorHAnsi"/>
          <w:b/>
          <w:bCs/>
          <w:color w:val="000000"/>
        </w:rPr>
        <w:t xml:space="preserve"> </w:t>
      </w:r>
      <w:r>
        <w:rPr>
          <w:rFonts w:eastAsia="Times New Roman" w:cstheme="minorHAnsi"/>
          <w:bCs/>
          <w:color w:val="000000"/>
        </w:rPr>
        <w:t xml:space="preserve">izvršena je 3% više u odnosu na izvršenje prethodne </w:t>
      </w:r>
      <w:r w:rsidR="00A85B7E">
        <w:rPr>
          <w:rFonts w:eastAsia="Times New Roman" w:cstheme="minorHAnsi"/>
          <w:bCs/>
          <w:color w:val="000000"/>
        </w:rPr>
        <w:t xml:space="preserve">2022. </w:t>
      </w:r>
      <w:r>
        <w:rPr>
          <w:rFonts w:eastAsia="Times New Roman" w:cstheme="minorHAnsi"/>
          <w:bCs/>
          <w:color w:val="000000"/>
        </w:rPr>
        <w:t xml:space="preserve">godine. Porast je na stavci </w:t>
      </w:r>
      <w:r w:rsidRPr="00B93086">
        <w:rPr>
          <w:rFonts w:eastAsia="Times New Roman" w:cstheme="minorHAnsi"/>
          <w:bCs/>
          <w:i/>
          <w:color w:val="000000"/>
        </w:rPr>
        <w:t>Naknade za prijevoz na posao i s posla</w:t>
      </w:r>
      <w:r>
        <w:rPr>
          <w:rFonts w:eastAsia="Times New Roman" w:cstheme="minorHAnsi"/>
          <w:bCs/>
          <w:color w:val="000000"/>
        </w:rPr>
        <w:t xml:space="preserve"> zbog posebne organizacije rada uslijed pandemije koja se primjenjivala u prvom dijelu </w:t>
      </w:r>
      <w:r w:rsidR="00A85B7E">
        <w:rPr>
          <w:rFonts w:eastAsia="Times New Roman" w:cstheme="minorHAnsi"/>
          <w:bCs/>
          <w:color w:val="000000"/>
        </w:rPr>
        <w:t xml:space="preserve">2022. </w:t>
      </w:r>
      <w:r>
        <w:rPr>
          <w:rFonts w:eastAsia="Times New Roman" w:cstheme="minorHAnsi"/>
          <w:bCs/>
          <w:color w:val="000000"/>
        </w:rPr>
        <w:t xml:space="preserve">godine čime su ostvarene uštede. Iako su isplaćene i nešto veće </w:t>
      </w:r>
      <w:r w:rsidRPr="005945F8">
        <w:rPr>
          <w:rFonts w:eastAsia="Times New Roman" w:cstheme="minorHAnsi"/>
          <w:bCs/>
          <w:i/>
          <w:color w:val="000000"/>
        </w:rPr>
        <w:t>Prigodne nagrade</w:t>
      </w:r>
      <w:r>
        <w:rPr>
          <w:rFonts w:eastAsia="Times New Roman" w:cstheme="minorHAnsi"/>
          <w:bCs/>
          <w:i/>
          <w:color w:val="000000"/>
        </w:rPr>
        <w:t xml:space="preserve"> i druge prigodne naknade</w:t>
      </w:r>
      <w:r>
        <w:rPr>
          <w:rFonts w:eastAsia="Times New Roman" w:cstheme="minorHAnsi"/>
          <w:bCs/>
          <w:color w:val="000000"/>
        </w:rPr>
        <w:t xml:space="preserve"> u dijelu naknade za topli obrok, prigodnih nagrada te nagrade za uspješan rad radi se samo o razlici vezanoj za broj zaposlenih u vrijeme isplate te stvarnim satima rada o čemu ovisi pravo na sve naknade osim božićnice i uskrsnice.</w:t>
      </w:r>
      <w:r>
        <w:rPr>
          <w:rFonts w:cs="Calibri"/>
        </w:rPr>
        <w:t xml:space="preserve"> Isplate su se vršile u skladu s planom i Pravilnikom o izmjenama i dopuni Pravilnika o porezu na dohodak (NN112/2022)</w:t>
      </w:r>
      <w:r w:rsidRPr="00B80121">
        <w:rPr>
          <w:rFonts w:cs="Calibri"/>
        </w:rPr>
        <w:t xml:space="preserve"> </w:t>
      </w:r>
      <w:r>
        <w:rPr>
          <w:rFonts w:cs="Calibri"/>
        </w:rPr>
        <w:t>kojim su propisani veći neoporezivi iznosi koje poslodavac može isplatiti radnicima, a isti je stupio na snagu  01. listopada 2022. godine.</w:t>
      </w:r>
    </w:p>
    <w:p w14:paraId="725C8D49" w14:textId="15DDFA16" w:rsidR="007E7C3A" w:rsidRDefault="007E7C3A" w:rsidP="007E7C3A">
      <w:pPr>
        <w:spacing w:before="240" w:after="240" w:line="276" w:lineRule="auto"/>
        <w:jc w:val="both"/>
        <w:rPr>
          <w:rFonts w:eastAsia="Times New Roman" w:cstheme="minorHAnsi"/>
          <w:bCs/>
          <w:color w:val="000000"/>
        </w:rPr>
      </w:pPr>
      <w:r w:rsidRPr="002338A9">
        <w:rPr>
          <w:rFonts w:eastAsia="Times New Roman" w:cstheme="minorHAnsi"/>
          <w:bCs/>
          <w:color w:val="000000"/>
        </w:rPr>
        <w:t>Grupa 10.</w:t>
      </w:r>
      <w:r w:rsidRPr="002338A9">
        <w:rPr>
          <w:rFonts w:eastAsia="Times New Roman" w:cstheme="minorHAnsi"/>
          <w:b/>
          <w:bCs/>
          <w:color w:val="000000"/>
        </w:rPr>
        <w:t xml:space="preserve"> Troškovi osoblja</w:t>
      </w:r>
      <w:r w:rsidRPr="002338A9">
        <w:rPr>
          <w:rFonts w:eastAsia="Times New Roman" w:cstheme="minorHAnsi"/>
          <w:bCs/>
          <w:color w:val="000000"/>
        </w:rPr>
        <w:t xml:space="preserve"> </w:t>
      </w:r>
      <w:r w:rsidRPr="002338A9">
        <w:rPr>
          <w:rFonts w:eastAsia="Times New Roman" w:cstheme="minorHAnsi"/>
          <w:b/>
          <w:bCs/>
          <w:color w:val="000000"/>
        </w:rPr>
        <w:t>– neto plaće i nadoknade</w:t>
      </w:r>
      <w:r>
        <w:rPr>
          <w:rFonts w:eastAsia="Times New Roman" w:cstheme="minorHAnsi"/>
          <w:bCs/>
          <w:color w:val="000000"/>
        </w:rPr>
        <w:t xml:space="preserve"> porasle su u odnosu na prethodnu godinu 9%. Do porasta je došlo zbog veće v</w:t>
      </w:r>
      <w:r w:rsidRPr="002A6222">
        <w:rPr>
          <w:rFonts w:eastAsia="Times New Roman" w:cstheme="minorHAnsi"/>
          <w:bCs/>
          <w:color w:val="000000"/>
        </w:rPr>
        <w:t>rijednost</w:t>
      </w:r>
      <w:r>
        <w:rPr>
          <w:rFonts w:eastAsia="Times New Roman" w:cstheme="minorHAnsi"/>
          <w:bCs/>
          <w:color w:val="000000"/>
        </w:rPr>
        <w:t>i</w:t>
      </w:r>
      <w:r w:rsidRPr="002A6222">
        <w:rPr>
          <w:rFonts w:eastAsia="Times New Roman" w:cstheme="minorHAnsi"/>
          <w:bCs/>
          <w:color w:val="000000"/>
        </w:rPr>
        <w:t xml:space="preserve"> boda osnovne plaće po kojoj se obračunava pla</w:t>
      </w:r>
      <w:r>
        <w:rPr>
          <w:rFonts w:eastAsia="Times New Roman" w:cstheme="minorHAnsi"/>
          <w:bCs/>
          <w:color w:val="000000"/>
        </w:rPr>
        <w:t>ća, zbog</w:t>
      </w:r>
      <w:r w:rsidRPr="002A6222">
        <w:rPr>
          <w:rFonts w:eastAsia="Times New Roman" w:cstheme="minorHAnsi"/>
          <w:bCs/>
          <w:color w:val="000000"/>
        </w:rPr>
        <w:t xml:space="preserve"> </w:t>
      </w:r>
      <w:r>
        <w:rPr>
          <w:rFonts w:eastAsia="Times New Roman" w:cstheme="minorHAnsi"/>
          <w:bCs/>
          <w:color w:val="000000"/>
        </w:rPr>
        <w:t xml:space="preserve">povećanja </w:t>
      </w:r>
      <w:r w:rsidRPr="002A6222">
        <w:rPr>
          <w:rFonts w:eastAsia="Times New Roman" w:cstheme="minorHAnsi"/>
          <w:bCs/>
          <w:color w:val="000000"/>
        </w:rPr>
        <w:t>plać</w:t>
      </w:r>
      <w:r>
        <w:rPr>
          <w:rFonts w:eastAsia="Times New Roman" w:cstheme="minorHAnsi"/>
          <w:bCs/>
          <w:color w:val="000000"/>
        </w:rPr>
        <w:t>e</w:t>
      </w:r>
      <w:r w:rsidRPr="002A6222">
        <w:rPr>
          <w:rFonts w:eastAsia="Times New Roman" w:cstheme="minorHAnsi"/>
          <w:bCs/>
          <w:color w:val="000000"/>
        </w:rPr>
        <w:t xml:space="preserve"> svih zaposlenika za 0,5 % godišnje za navršenu godinu radnog staža, </w:t>
      </w:r>
      <w:r>
        <w:rPr>
          <w:rFonts w:eastAsia="Times New Roman" w:cstheme="minorHAnsi"/>
          <w:bCs/>
          <w:color w:val="000000"/>
        </w:rPr>
        <w:t xml:space="preserve">a pojedini </w:t>
      </w:r>
      <w:r w:rsidRPr="002A6222">
        <w:rPr>
          <w:rFonts w:eastAsia="Times New Roman" w:cstheme="minorHAnsi"/>
          <w:bCs/>
          <w:color w:val="000000"/>
        </w:rPr>
        <w:t>zaposlenici koji su upućeni na poslijediplomsko usavršavanje nakon završetka u</w:t>
      </w:r>
      <w:r>
        <w:rPr>
          <w:rFonts w:eastAsia="Times New Roman" w:cstheme="minorHAnsi"/>
          <w:bCs/>
          <w:color w:val="000000"/>
        </w:rPr>
        <w:t xml:space="preserve">savršavanja ostvarili su pravo na </w:t>
      </w:r>
      <w:r w:rsidRPr="002A6222">
        <w:rPr>
          <w:rFonts w:eastAsia="Times New Roman" w:cstheme="minorHAnsi"/>
          <w:bCs/>
          <w:color w:val="000000"/>
        </w:rPr>
        <w:t>dodatak za stečeni stupanj (5─20 %).</w:t>
      </w:r>
      <w:r w:rsidR="00C22BCA">
        <w:rPr>
          <w:rFonts w:eastAsia="Times New Roman" w:cstheme="minorHAnsi"/>
          <w:bCs/>
          <w:color w:val="000000"/>
        </w:rPr>
        <w:t xml:space="preserve"> </w:t>
      </w:r>
    </w:p>
    <w:p w14:paraId="63A51AF6" w14:textId="77777777" w:rsidR="007E7C3A" w:rsidRPr="00E53B8A" w:rsidRDefault="007E7C3A" w:rsidP="007E7C3A">
      <w:pPr>
        <w:spacing w:before="240" w:after="240" w:line="276" w:lineRule="auto"/>
        <w:jc w:val="both"/>
        <w:rPr>
          <w:rFonts w:eastAsia="Times New Roman" w:cstheme="minorHAnsi"/>
          <w:bCs/>
          <w:color w:val="000000"/>
        </w:rPr>
      </w:pPr>
      <w:r w:rsidRPr="00720288">
        <w:rPr>
          <w:rFonts w:eastAsia="Times New Roman" w:cstheme="minorHAnsi"/>
          <w:bCs/>
          <w:color w:val="000000"/>
        </w:rPr>
        <w:t>Grupa 13.</w:t>
      </w:r>
      <w:r w:rsidRPr="00720288">
        <w:rPr>
          <w:rFonts w:eastAsia="Times New Roman" w:cstheme="minorHAnsi"/>
          <w:b/>
          <w:bCs/>
          <w:color w:val="000000"/>
        </w:rPr>
        <w:t xml:space="preserve"> Članar</w:t>
      </w:r>
      <w:r>
        <w:rPr>
          <w:rFonts w:eastAsia="Times New Roman" w:cstheme="minorHAnsi"/>
          <w:b/>
          <w:bCs/>
          <w:color w:val="000000"/>
        </w:rPr>
        <w:t xml:space="preserve">ine, nadoknade i slična davanja </w:t>
      </w:r>
      <w:r w:rsidRPr="00B61756">
        <w:rPr>
          <w:rFonts w:eastAsia="Times New Roman" w:cstheme="minorHAnsi"/>
          <w:bCs/>
          <w:color w:val="000000"/>
        </w:rPr>
        <w:t>u</w:t>
      </w:r>
      <w:r>
        <w:rPr>
          <w:rFonts w:eastAsia="Times New Roman" w:cstheme="minorHAnsi"/>
          <w:bCs/>
          <w:color w:val="000000"/>
        </w:rPr>
        <w:t xml:space="preserve"> odnosu na prethodnu godinu izvršena je 10% više, a najvećim dijelom zbog  članarine PICs-u (Pharmaceutical Inspection Convention), odnosno njene veće cijene za 2023. godinu.</w:t>
      </w:r>
    </w:p>
    <w:p w14:paraId="50082981" w14:textId="52736913" w:rsidR="007E7C3A" w:rsidRDefault="007E7C3A" w:rsidP="007E7C3A">
      <w:pPr>
        <w:spacing w:before="240" w:after="240" w:line="276" w:lineRule="auto"/>
        <w:jc w:val="both"/>
        <w:rPr>
          <w:rFonts w:cs="Calibri"/>
        </w:rPr>
      </w:pPr>
      <w:r w:rsidRPr="002A6222">
        <w:rPr>
          <w:rFonts w:cstheme="minorHAnsi"/>
          <w:color w:val="000000"/>
        </w:rPr>
        <w:t xml:space="preserve">Grupa 14. </w:t>
      </w:r>
      <w:r w:rsidRPr="002A6222">
        <w:rPr>
          <w:rFonts w:cstheme="minorHAnsi"/>
          <w:b/>
          <w:bCs/>
          <w:color w:val="000000"/>
        </w:rPr>
        <w:t>Naknada troškova radnika</w:t>
      </w:r>
      <w:r>
        <w:rPr>
          <w:rFonts w:cstheme="minorHAnsi"/>
          <w:b/>
          <w:bCs/>
          <w:color w:val="000000"/>
        </w:rPr>
        <w:t>, troškovi reprezentacije, donacije i ostali nespomenuti</w:t>
      </w:r>
      <w:r w:rsidRPr="002A6222">
        <w:rPr>
          <w:rFonts w:cstheme="minorHAnsi"/>
          <w:color w:val="000000"/>
        </w:rPr>
        <w:t xml:space="preserve"> </w:t>
      </w:r>
      <w:r w:rsidRPr="00E15C76">
        <w:rPr>
          <w:rFonts w:cstheme="minorHAnsi"/>
          <w:b/>
          <w:color w:val="000000"/>
        </w:rPr>
        <w:t>nematerijalni troškovi</w:t>
      </w:r>
      <w:r>
        <w:rPr>
          <w:rFonts w:cstheme="minorHAnsi"/>
          <w:color w:val="000000"/>
        </w:rPr>
        <w:t xml:space="preserve"> </w:t>
      </w:r>
      <w:r w:rsidRPr="002A6222">
        <w:rPr>
          <w:rFonts w:cstheme="minorHAnsi"/>
          <w:color w:val="000000"/>
        </w:rPr>
        <w:t>obuhvaća troškove službenih putovanja, naknade članovima Upravnog vijeća, troškove reprezentacije, stručnog obrazovanja,</w:t>
      </w:r>
      <w:r>
        <w:rPr>
          <w:rFonts w:cstheme="minorHAnsi"/>
          <w:color w:val="000000"/>
        </w:rPr>
        <w:t xml:space="preserve"> troškove stručne literature i </w:t>
      </w:r>
      <w:r w:rsidRPr="002A6222">
        <w:rPr>
          <w:rFonts w:cstheme="minorHAnsi"/>
          <w:color w:val="000000"/>
        </w:rPr>
        <w:t xml:space="preserve">zdravstvene preglede, a izvršena je </w:t>
      </w:r>
      <w:r>
        <w:rPr>
          <w:rFonts w:cstheme="minorHAnsi"/>
          <w:color w:val="000000"/>
        </w:rPr>
        <w:t>61</w:t>
      </w:r>
      <w:r w:rsidRPr="002A6222">
        <w:rPr>
          <w:rFonts w:cstheme="minorHAnsi"/>
          <w:color w:val="000000"/>
        </w:rPr>
        <w:t xml:space="preserve">% </w:t>
      </w:r>
      <w:r>
        <w:rPr>
          <w:rFonts w:cstheme="minorHAnsi"/>
          <w:color w:val="000000"/>
        </w:rPr>
        <w:t xml:space="preserve">više </w:t>
      </w:r>
      <w:r w:rsidRPr="002A6222">
        <w:rPr>
          <w:rFonts w:cstheme="minorHAnsi"/>
          <w:color w:val="000000"/>
        </w:rPr>
        <w:t xml:space="preserve">u odnosu na </w:t>
      </w:r>
      <w:r>
        <w:rPr>
          <w:rFonts w:cstheme="minorHAnsi"/>
          <w:color w:val="000000"/>
        </w:rPr>
        <w:t>prethodnu godinu</w:t>
      </w:r>
      <w:r w:rsidRPr="002A6222">
        <w:rPr>
          <w:rFonts w:cstheme="minorHAnsi"/>
          <w:color w:val="000000"/>
        </w:rPr>
        <w:t>.</w:t>
      </w:r>
      <w:r>
        <w:rPr>
          <w:rFonts w:cstheme="minorHAnsi"/>
          <w:color w:val="000000"/>
        </w:rPr>
        <w:t xml:space="preserve"> Najveće p</w:t>
      </w:r>
      <w:r>
        <w:rPr>
          <w:rFonts w:eastAsia="Times New Roman" w:cstheme="minorHAnsi"/>
          <w:bCs/>
          <w:color w:val="000000"/>
        </w:rPr>
        <w:t xml:space="preserve">ovećanje troškova je na stavkama </w:t>
      </w:r>
      <w:r>
        <w:rPr>
          <w:rFonts w:eastAsia="Times New Roman" w:cstheme="minorHAnsi"/>
          <w:bCs/>
          <w:i/>
          <w:color w:val="000000"/>
        </w:rPr>
        <w:t xml:space="preserve">Troškovi stručnog obrazovanja, Troškovi reprezentacije </w:t>
      </w:r>
      <w:r>
        <w:rPr>
          <w:rFonts w:eastAsia="Times New Roman" w:cstheme="minorHAnsi"/>
          <w:bCs/>
          <w:color w:val="000000"/>
        </w:rPr>
        <w:t xml:space="preserve">te </w:t>
      </w:r>
      <w:r w:rsidRPr="002C54A2">
        <w:rPr>
          <w:rFonts w:eastAsia="Times New Roman" w:cstheme="minorHAnsi"/>
          <w:bCs/>
          <w:i/>
          <w:color w:val="000000"/>
        </w:rPr>
        <w:t>Dnevnice i putni troškovi</w:t>
      </w:r>
      <w:r w:rsidRPr="00801FD6">
        <w:rPr>
          <w:rFonts w:eastAsia="Times New Roman" w:cstheme="minorHAnsi"/>
          <w:bCs/>
          <w:i/>
          <w:color w:val="000000"/>
        </w:rPr>
        <w:t xml:space="preserve"> </w:t>
      </w:r>
      <w:r w:rsidRPr="002C54A2">
        <w:rPr>
          <w:rFonts w:eastAsia="Times New Roman" w:cstheme="minorHAnsi"/>
          <w:bCs/>
          <w:i/>
          <w:color w:val="000000"/>
        </w:rPr>
        <w:t xml:space="preserve">za putovanja </w:t>
      </w:r>
      <w:r>
        <w:rPr>
          <w:rFonts w:eastAsia="Times New Roman" w:cstheme="minorHAnsi"/>
          <w:bCs/>
          <w:i/>
          <w:color w:val="000000"/>
        </w:rPr>
        <w:t>u</w:t>
      </w:r>
      <w:r w:rsidRPr="002C54A2">
        <w:rPr>
          <w:rFonts w:eastAsia="Times New Roman" w:cstheme="minorHAnsi"/>
          <w:bCs/>
          <w:i/>
          <w:color w:val="000000"/>
        </w:rPr>
        <w:t xml:space="preserve"> inozemstvo</w:t>
      </w:r>
      <w:r>
        <w:rPr>
          <w:rFonts w:eastAsia="Times New Roman" w:cstheme="minorHAnsi"/>
          <w:bCs/>
          <w:i/>
          <w:color w:val="000000"/>
        </w:rPr>
        <w:t xml:space="preserve"> i tuzemstvo. </w:t>
      </w:r>
      <w:r w:rsidRPr="009F472C">
        <w:rPr>
          <w:rFonts w:eastAsia="Times New Roman" w:cstheme="minorHAnsi"/>
          <w:bCs/>
          <w:color w:val="000000"/>
        </w:rPr>
        <w:t xml:space="preserve">Većina ovih troškova </w:t>
      </w:r>
      <w:r w:rsidR="00C22BCA">
        <w:rPr>
          <w:rFonts w:eastAsia="Times New Roman" w:cstheme="minorHAnsi"/>
          <w:bCs/>
          <w:color w:val="000000"/>
        </w:rPr>
        <w:t xml:space="preserve">je </w:t>
      </w:r>
      <w:r w:rsidRPr="009F472C">
        <w:rPr>
          <w:rFonts w:eastAsia="Times New Roman" w:cstheme="minorHAnsi"/>
          <w:bCs/>
          <w:color w:val="000000"/>
        </w:rPr>
        <w:t>ras</w:t>
      </w:r>
      <w:r w:rsidR="00C22BCA">
        <w:rPr>
          <w:rFonts w:eastAsia="Times New Roman" w:cstheme="minorHAnsi"/>
          <w:bCs/>
          <w:color w:val="000000"/>
        </w:rPr>
        <w:t>la</w:t>
      </w:r>
      <w:r w:rsidRPr="009F472C">
        <w:rPr>
          <w:rFonts w:eastAsia="Times New Roman" w:cstheme="minorHAnsi"/>
          <w:bCs/>
          <w:color w:val="000000"/>
        </w:rPr>
        <w:t xml:space="preserve"> z</w:t>
      </w:r>
      <w:r>
        <w:rPr>
          <w:rFonts w:eastAsia="Times New Roman" w:cstheme="minorHAnsi"/>
          <w:bCs/>
          <w:color w:val="000000"/>
        </w:rPr>
        <w:t xml:space="preserve">bog popuštanja epidemioloških mjera u odnosu na prvi dio prethodne godine kada su bile otkazane </w:t>
      </w:r>
      <w:r w:rsidRPr="000B4598">
        <w:rPr>
          <w:rFonts w:eastAsia="Times New Roman" w:cstheme="minorHAnsi"/>
          <w:bCs/>
          <w:color w:val="000000"/>
        </w:rPr>
        <w:t xml:space="preserve">brojne aktivnosti uslijed pandemije izazvane </w:t>
      </w:r>
      <w:r>
        <w:rPr>
          <w:rFonts w:eastAsia="Times New Roman" w:cstheme="minorHAnsi"/>
          <w:bCs/>
          <w:color w:val="000000"/>
        </w:rPr>
        <w:t>bolešću</w:t>
      </w:r>
      <w:r w:rsidRPr="000B4598">
        <w:rPr>
          <w:rFonts w:eastAsia="Times New Roman" w:cstheme="minorHAnsi"/>
          <w:bCs/>
          <w:color w:val="000000"/>
        </w:rPr>
        <w:t xml:space="preserve"> COVID-19</w:t>
      </w:r>
      <w:r>
        <w:rPr>
          <w:rFonts w:eastAsia="Times New Roman" w:cstheme="minorHAnsi"/>
          <w:bCs/>
          <w:color w:val="000000"/>
        </w:rPr>
        <w:t>.</w:t>
      </w:r>
      <w:r w:rsidRPr="000B4598">
        <w:rPr>
          <w:rFonts w:eastAsia="Times New Roman" w:cstheme="minorHAnsi"/>
          <w:bCs/>
          <w:color w:val="000000"/>
        </w:rPr>
        <w:t xml:space="preserve"> </w:t>
      </w:r>
      <w:r>
        <w:rPr>
          <w:rFonts w:eastAsia="Times New Roman" w:cstheme="minorHAnsi"/>
          <w:bCs/>
          <w:color w:val="000000"/>
        </w:rPr>
        <w:t xml:space="preserve">Službena putovanja u inozemstvo se odnose na sudjelovanje </w:t>
      </w:r>
      <w:r w:rsidRPr="001527CB">
        <w:rPr>
          <w:rFonts w:eastAsia="Times New Roman" w:cstheme="minorHAnsi"/>
          <w:color w:val="000000"/>
          <w:lang w:eastAsia="ja-JP"/>
        </w:rPr>
        <w:t>djelatnika HALMED-a u radnim skupinama i tijelima europskih i međunarodnih institucija (Europska agencija za lijekove, Europsko ravnateljstvo za kakvoću lijekova i zdravstvenu skrb i Europska komisija</w:t>
      </w:r>
      <w:r>
        <w:rPr>
          <w:rFonts w:eastAsia="Times New Roman" w:cstheme="minorHAnsi"/>
          <w:color w:val="000000"/>
          <w:lang w:eastAsia="ja-JP"/>
        </w:rPr>
        <w:t xml:space="preserve">), te na stručne edukacije i inspekcijski nadzor, a sve navedene aktivnosti se vraćaju na razinu prije pandemije. Također, u zadnjem kvartalu organizirana je konferencija povodom </w:t>
      </w:r>
      <w:r w:rsidRPr="008C754F">
        <w:rPr>
          <w:rFonts w:cs="Calibri"/>
        </w:rPr>
        <w:t>20. obljetnice</w:t>
      </w:r>
      <w:r w:rsidRPr="000E3254">
        <w:rPr>
          <w:rFonts w:cs="Calibri"/>
        </w:rPr>
        <w:t xml:space="preserve"> </w:t>
      </w:r>
      <w:r w:rsidR="00C22BCA">
        <w:rPr>
          <w:rFonts w:cs="Calibri"/>
        </w:rPr>
        <w:t xml:space="preserve">poslovanja </w:t>
      </w:r>
      <w:r w:rsidRPr="000E3254">
        <w:rPr>
          <w:rFonts w:cs="Calibri"/>
        </w:rPr>
        <w:t xml:space="preserve">Agencije, </w:t>
      </w:r>
      <w:r>
        <w:rPr>
          <w:rFonts w:cs="Calibri"/>
        </w:rPr>
        <w:t>kojom su</w:t>
      </w:r>
      <w:r w:rsidRPr="000E3254">
        <w:rPr>
          <w:rFonts w:cs="Calibri"/>
        </w:rPr>
        <w:t xml:space="preserve"> </w:t>
      </w:r>
      <w:r>
        <w:rPr>
          <w:rFonts w:cs="Calibri"/>
        </w:rPr>
        <w:t>bile</w:t>
      </w:r>
      <w:r w:rsidRPr="000E3254">
        <w:rPr>
          <w:rFonts w:cs="Calibri"/>
        </w:rPr>
        <w:t xml:space="preserve"> obuhvaćene teme s područja regulative lijekova, farmakovigilancije i medicinskih proizvoda</w:t>
      </w:r>
      <w:r>
        <w:rPr>
          <w:rFonts w:cs="Calibri"/>
        </w:rPr>
        <w:t xml:space="preserve">. Na konferenciji je </w:t>
      </w:r>
      <w:r w:rsidRPr="000E3254">
        <w:rPr>
          <w:rFonts w:cs="Calibri"/>
        </w:rPr>
        <w:t>prisustvova</w:t>
      </w:r>
      <w:r>
        <w:rPr>
          <w:rFonts w:cs="Calibri"/>
        </w:rPr>
        <w:t>lo</w:t>
      </w:r>
      <w:r w:rsidRPr="000E3254">
        <w:rPr>
          <w:rFonts w:cs="Calibri"/>
        </w:rPr>
        <w:t xml:space="preserve"> </w:t>
      </w:r>
      <w:r>
        <w:rPr>
          <w:rFonts w:cs="Calibri"/>
        </w:rPr>
        <w:t>170</w:t>
      </w:r>
      <w:r w:rsidRPr="000E3254">
        <w:rPr>
          <w:rFonts w:cs="Calibri"/>
        </w:rPr>
        <w:t xml:space="preserve"> sudionika; zdravstvenih radnika, liječnika, ljekarnika, predstavnika hrvatskih javnozdravstvenih tijela i farmaceutske industrije, pacijenata te regulatornih tijela za lijekove iz regije.</w:t>
      </w:r>
      <w:r>
        <w:rPr>
          <w:rFonts w:cs="Calibri"/>
        </w:rPr>
        <w:t xml:space="preserve"> Obzirom da je konferencija održana u Dubrovniku te da je na njoj prisustvovao i veći broj zaposlenika, troškovi na stavci </w:t>
      </w:r>
      <w:r w:rsidRPr="00B32A21">
        <w:rPr>
          <w:rFonts w:cs="Calibri"/>
          <w:i/>
        </w:rPr>
        <w:t>Dnevnice i putni troškovi za službena putovanja u RH su premašili plan</w:t>
      </w:r>
      <w:r>
        <w:rPr>
          <w:rFonts w:cs="Calibri"/>
        </w:rPr>
        <w:t>. U odnosu na plan za godinu cijela grupa troškova izvršena je 96% planiranog.</w:t>
      </w:r>
    </w:p>
    <w:p w14:paraId="1E9E22E8" w14:textId="7CDCF322" w:rsidR="007E7C3A" w:rsidRDefault="007E7C3A" w:rsidP="007E7C3A">
      <w:pPr>
        <w:spacing w:before="240" w:after="240" w:line="276" w:lineRule="auto"/>
        <w:jc w:val="both"/>
        <w:rPr>
          <w:rFonts w:cs="Calibri"/>
        </w:rPr>
      </w:pPr>
    </w:p>
    <w:p w14:paraId="4C9FD2DD" w14:textId="172183F0" w:rsidR="007E7C3A" w:rsidRDefault="007E7C3A" w:rsidP="007E7C3A">
      <w:pPr>
        <w:spacing w:after="120"/>
        <w:ind w:right="-460"/>
        <w:jc w:val="both"/>
      </w:pPr>
      <w:r w:rsidRPr="00D77148">
        <w:rPr>
          <w:rFonts w:eastAsia="Times New Roman" w:cs="Times New Roman"/>
          <w:b/>
        </w:rPr>
        <w:lastRenderedPageBreak/>
        <w:t>Tablica 3</w:t>
      </w:r>
      <w:r>
        <w:rPr>
          <w:rFonts w:eastAsia="Times New Roman" w:cs="Times New Roman"/>
          <w:b/>
        </w:rPr>
        <w:t>7</w:t>
      </w:r>
      <w:r w:rsidRPr="00D77148">
        <w:rPr>
          <w:rFonts w:eastAsia="Times New Roman" w:cs="Times New Roman"/>
          <w:b/>
        </w:rPr>
        <w:t>. U</w:t>
      </w:r>
      <w:r w:rsidRPr="00D77148">
        <w:rPr>
          <w:rFonts w:eastAsia="Times New Roman" w:cs="Times New Roman"/>
          <w:b/>
          <w:bCs/>
        </w:rPr>
        <w:t xml:space="preserve">kupni rashodi po vrstama rashoda </w:t>
      </w:r>
      <w:r w:rsidR="005044BC">
        <w:rPr>
          <w:rFonts w:eastAsia="Times New Roman" w:cs="Times New Roman"/>
          <w:b/>
          <w:bCs/>
        </w:rPr>
        <w:t xml:space="preserve">u </w:t>
      </w:r>
      <w:r w:rsidRPr="00497BCD">
        <w:rPr>
          <w:rFonts w:ascii="Calibri" w:eastAsia="Times New Roman" w:hAnsi="Calibri" w:cs="Times New Roman"/>
          <w:b/>
          <w:bCs/>
          <w:lang w:eastAsia="hr-HR"/>
        </w:rPr>
        <w:t>2023. godin</w:t>
      </w:r>
      <w:r w:rsidR="005044BC">
        <w:rPr>
          <w:rFonts w:ascii="Calibri" w:eastAsia="Times New Roman" w:hAnsi="Calibri" w:cs="Times New Roman"/>
          <w:b/>
          <w:bCs/>
          <w:lang w:eastAsia="hr-HR"/>
        </w:rPr>
        <w:t>i</w:t>
      </w:r>
      <w:r w:rsidRPr="00D77148">
        <w:rPr>
          <w:rFonts w:ascii="Calibri" w:eastAsia="Times New Roman" w:hAnsi="Calibri" w:cs="Times New Roman"/>
          <w:b/>
          <w:bCs/>
          <w:lang w:eastAsia="hr-HR"/>
        </w:rPr>
        <w:t xml:space="preserve"> </w:t>
      </w:r>
    </w:p>
    <w:tbl>
      <w:tblPr>
        <w:tblW w:w="5448" w:type="pct"/>
        <w:tblInd w:w="-284" w:type="dxa"/>
        <w:tblLayout w:type="fixed"/>
        <w:tblLook w:val="04A0" w:firstRow="1" w:lastRow="0" w:firstColumn="1" w:lastColumn="0" w:noHBand="0" w:noVBand="1"/>
      </w:tblPr>
      <w:tblGrid>
        <w:gridCol w:w="474"/>
        <w:gridCol w:w="2929"/>
        <w:gridCol w:w="1136"/>
        <w:gridCol w:w="1134"/>
        <w:gridCol w:w="1271"/>
        <w:gridCol w:w="996"/>
        <w:gridCol w:w="1136"/>
        <w:gridCol w:w="1273"/>
      </w:tblGrid>
      <w:tr w:rsidR="007E7C3A" w:rsidRPr="006E2930" w14:paraId="45977922" w14:textId="77777777" w:rsidTr="00F45709">
        <w:trPr>
          <w:trHeight w:val="170"/>
          <w:tblHeader/>
        </w:trPr>
        <w:tc>
          <w:tcPr>
            <w:tcW w:w="229" w:type="pct"/>
            <w:tcBorders>
              <w:top w:val="nil"/>
              <w:left w:val="nil"/>
              <w:bottom w:val="single" w:sz="4" w:space="0" w:color="auto"/>
              <w:right w:val="nil"/>
            </w:tcBorders>
            <w:shd w:val="clear" w:color="auto" w:fill="auto"/>
            <w:noWrap/>
            <w:vAlign w:val="center"/>
            <w:hideMark/>
          </w:tcPr>
          <w:p w14:paraId="51F8E56C" w14:textId="77777777" w:rsidR="007E7C3A" w:rsidRPr="006E2930" w:rsidRDefault="007E7C3A" w:rsidP="00F45709">
            <w:pPr>
              <w:rPr>
                <w:rFonts w:eastAsia="Times New Roman" w:cstheme="minorHAnsi"/>
                <w:sz w:val="20"/>
                <w:szCs w:val="20"/>
                <w:lang w:eastAsia="hr-HR"/>
              </w:rPr>
            </w:pPr>
          </w:p>
        </w:tc>
        <w:tc>
          <w:tcPr>
            <w:tcW w:w="1415" w:type="pct"/>
            <w:tcBorders>
              <w:top w:val="nil"/>
              <w:left w:val="nil"/>
              <w:bottom w:val="single" w:sz="4" w:space="0" w:color="auto"/>
              <w:right w:val="nil"/>
            </w:tcBorders>
            <w:shd w:val="clear" w:color="auto" w:fill="auto"/>
            <w:noWrap/>
            <w:vAlign w:val="center"/>
            <w:hideMark/>
          </w:tcPr>
          <w:p w14:paraId="5486301B" w14:textId="77777777" w:rsidR="007E7C3A" w:rsidRPr="006E2930" w:rsidRDefault="007E7C3A" w:rsidP="00F45709">
            <w:pPr>
              <w:rPr>
                <w:rFonts w:eastAsia="Times New Roman" w:cstheme="minorHAnsi"/>
                <w:sz w:val="20"/>
                <w:szCs w:val="20"/>
                <w:lang w:eastAsia="hr-HR"/>
              </w:rPr>
            </w:pPr>
          </w:p>
        </w:tc>
        <w:tc>
          <w:tcPr>
            <w:tcW w:w="549" w:type="pct"/>
            <w:tcBorders>
              <w:top w:val="nil"/>
              <w:left w:val="nil"/>
              <w:bottom w:val="single" w:sz="4" w:space="0" w:color="auto"/>
              <w:right w:val="nil"/>
            </w:tcBorders>
            <w:shd w:val="clear" w:color="auto" w:fill="auto"/>
            <w:noWrap/>
            <w:vAlign w:val="center"/>
            <w:hideMark/>
          </w:tcPr>
          <w:p w14:paraId="3AF06DC6" w14:textId="77777777" w:rsidR="007E7C3A" w:rsidRPr="006E2930" w:rsidRDefault="007E7C3A" w:rsidP="00F45709">
            <w:pPr>
              <w:rPr>
                <w:rFonts w:eastAsia="Times New Roman" w:cstheme="minorHAnsi"/>
                <w:sz w:val="20"/>
                <w:szCs w:val="20"/>
                <w:lang w:eastAsia="hr-HR"/>
              </w:rPr>
            </w:pPr>
          </w:p>
        </w:tc>
        <w:tc>
          <w:tcPr>
            <w:tcW w:w="2192" w:type="pct"/>
            <w:gridSpan w:val="4"/>
            <w:tcBorders>
              <w:top w:val="single" w:sz="4" w:space="0" w:color="auto"/>
              <w:left w:val="single" w:sz="4" w:space="0" w:color="auto"/>
              <w:bottom w:val="single" w:sz="4" w:space="0" w:color="auto"/>
              <w:right w:val="single" w:sz="4" w:space="0" w:color="auto"/>
            </w:tcBorders>
            <w:shd w:val="clear" w:color="000000" w:fill="A3E7FF"/>
            <w:noWrap/>
            <w:vAlign w:val="center"/>
            <w:hideMark/>
          </w:tcPr>
          <w:p w14:paraId="34B02956" w14:textId="77777777" w:rsidR="007E7C3A" w:rsidRPr="009C2CB8" w:rsidRDefault="007E7C3A" w:rsidP="00F45709">
            <w:pPr>
              <w:jc w:val="center"/>
              <w:rPr>
                <w:rFonts w:eastAsia="Times New Roman" w:cstheme="minorHAnsi"/>
                <w:b/>
                <w:bCs/>
                <w:sz w:val="20"/>
                <w:szCs w:val="20"/>
                <w:lang w:eastAsia="hr-HR"/>
              </w:rPr>
            </w:pPr>
            <w:r w:rsidRPr="009C2CB8">
              <w:rPr>
                <w:rFonts w:eastAsia="Times New Roman" w:cstheme="minorHAnsi"/>
                <w:b/>
                <w:bCs/>
                <w:sz w:val="20"/>
                <w:szCs w:val="20"/>
                <w:lang w:eastAsia="hr-HR"/>
              </w:rPr>
              <w:t>2023. godina</w:t>
            </w:r>
          </w:p>
        </w:tc>
        <w:tc>
          <w:tcPr>
            <w:tcW w:w="615" w:type="pct"/>
            <w:tcBorders>
              <w:left w:val="single" w:sz="4" w:space="0" w:color="auto"/>
              <w:bottom w:val="single" w:sz="4" w:space="0" w:color="auto"/>
            </w:tcBorders>
            <w:shd w:val="clear" w:color="auto" w:fill="auto"/>
            <w:noWrap/>
            <w:vAlign w:val="center"/>
            <w:hideMark/>
          </w:tcPr>
          <w:p w14:paraId="652E8B00" w14:textId="77777777" w:rsidR="007E7C3A" w:rsidRPr="009C2CB8" w:rsidRDefault="007E7C3A" w:rsidP="00F45709">
            <w:pPr>
              <w:jc w:val="center"/>
              <w:rPr>
                <w:rFonts w:eastAsia="Times New Roman" w:cstheme="minorHAnsi"/>
                <w:b/>
                <w:bCs/>
                <w:sz w:val="20"/>
                <w:szCs w:val="20"/>
                <w:lang w:eastAsia="hr-HR"/>
              </w:rPr>
            </w:pPr>
          </w:p>
        </w:tc>
      </w:tr>
      <w:tr w:rsidR="007E7C3A" w:rsidRPr="006E2930" w14:paraId="364E9EB5" w14:textId="77777777" w:rsidTr="00F45709">
        <w:trPr>
          <w:trHeight w:val="170"/>
          <w:tblHeader/>
        </w:trPr>
        <w:tc>
          <w:tcPr>
            <w:tcW w:w="229" w:type="pct"/>
            <w:tcBorders>
              <w:top w:val="single" w:sz="4" w:space="0" w:color="auto"/>
              <w:left w:val="single" w:sz="4" w:space="0" w:color="auto"/>
              <w:bottom w:val="single" w:sz="4" w:space="0" w:color="auto"/>
              <w:right w:val="single" w:sz="4" w:space="0" w:color="auto"/>
            </w:tcBorders>
            <w:shd w:val="clear" w:color="000000" w:fill="A3E7FF"/>
            <w:vAlign w:val="center"/>
            <w:hideMark/>
          </w:tcPr>
          <w:p w14:paraId="5F0EEA09" w14:textId="77777777" w:rsidR="007E7C3A" w:rsidRPr="006E2930" w:rsidRDefault="007E7C3A" w:rsidP="00F45709">
            <w:pPr>
              <w:rPr>
                <w:rFonts w:eastAsia="Times New Roman" w:cstheme="minorHAnsi"/>
                <w:b/>
                <w:bCs/>
                <w:sz w:val="20"/>
                <w:szCs w:val="20"/>
                <w:lang w:eastAsia="hr-HR"/>
              </w:rPr>
            </w:pPr>
            <w:r w:rsidRPr="006E2930">
              <w:rPr>
                <w:rFonts w:eastAsia="Times New Roman" w:cstheme="minorHAnsi"/>
                <w:b/>
                <w:bCs/>
                <w:sz w:val="20"/>
                <w:szCs w:val="20"/>
                <w:lang w:eastAsia="hr-HR"/>
              </w:rPr>
              <w:t>R. br.</w:t>
            </w:r>
          </w:p>
        </w:tc>
        <w:tc>
          <w:tcPr>
            <w:tcW w:w="1415" w:type="pct"/>
            <w:tcBorders>
              <w:top w:val="single" w:sz="4" w:space="0" w:color="auto"/>
              <w:left w:val="nil"/>
              <w:bottom w:val="single" w:sz="4" w:space="0" w:color="auto"/>
              <w:right w:val="single" w:sz="4" w:space="0" w:color="auto"/>
            </w:tcBorders>
            <w:shd w:val="clear" w:color="000000" w:fill="A3E7FF"/>
            <w:vAlign w:val="center"/>
            <w:hideMark/>
          </w:tcPr>
          <w:p w14:paraId="5A354F8F" w14:textId="77777777" w:rsidR="007E7C3A" w:rsidRPr="006E2930" w:rsidRDefault="007E7C3A" w:rsidP="00F45709">
            <w:pPr>
              <w:rPr>
                <w:rFonts w:eastAsia="Times New Roman" w:cstheme="minorHAnsi"/>
                <w:b/>
                <w:bCs/>
                <w:sz w:val="20"/>
                <w:szCs w:val="20"/>
                <w:lang w:eastAsia="hr-HR"/>
              </w:rPr>
            </w:pPr>
            <w:r w:rsidRPr="006E2930">
              <w:rPr>
                <w:rFonts w:eastAsia="Times New Roman" w:cstheme="minorHAnsi"/>
                <w:b/>
                <w:bCs/>
                <w:sz w:val="20"/>
                <w:szCs w:val="20"/>
                <w:lang w:eastAsia="hr-HR"/>
              </w:rPr>
              <w:t>Vrsta rashoda</w:t>
            </w:r>
          </w:p>
        </w:tc>
        <w:tc>
          <w:tcPr>
            <w:tcW w:w="549" w:type="pct"/>
            <w:tcBorders>
              <w:top w:val="single" w:sz="4" w:space="0" w:color="auto"/>
              <w:left w:val="nil"/>
              <w:bottom w:val="single" w:sz="4" w:space="0" w:color="auto"/>
              <w:right w:val="single" w:sz="4" w:space="0" w:color="auto"/>
            </w:tcBorders>
            <w:shd w:val="clear" w:color="000000" w:fill="A3E7FF"/>
            <w:vAlign w:val="center"/>
            <w:hideMark/>
          </w:tcPr>
          <w:p w14:paraId="4A39F731" w14:textId="77777777" w:rsidR="007E7C3A" w:rsidRPr="006E2930" w:rsidRDefault="007E7C3A" w:rsidP="00F45709">
            <w:pPr>
              <w:jc w:val="center"/>
              <w:rPr>
                <w:rFonts w:eastAsia="Times New Roman" w:cstheme="minorHAnsi"/>
                <w:b/>
                <w:bCs/>
                <w:sz w:val="18"/>
                <w:szCs w:val="18"/>
                <w:lang w:eastAsia="hr-HR"/>
              </w:rPr>
            </w:pPr>
            <w:r w:rsidRPr="006E2930">
              <w:rPr>
                <w:rFonts w:eastAsia="Times New Roman" w:cstheme="minorHAnsi"/>
                <w:b/>
                <w:bCs/>
                <w:sz w:val="18"/>
                <w:szCs w:val="18"/>
                <w:lang w:eastAsia="hr-HR"/>
              </w:rPr>
              <w:t>Izvršenje 01.01.-31.12.2022.</w:t>
            </w:r>
          </w:p>
        </w:tc>
        <w:tc>
          <w:tcPr>
            <w:tcW w:w="548" w:type="pct"/>
            <w:tcBorders>
              <w:top w:val="single" w:sz="4" w:space="0" w:color="auto"/>
              <w:left w:val="nil"/>
              <w:bottom w:val="single" w:sz="4" w:space="0" w:color="auto"/>
              <w:right w:val="single" w:sz="4" w:space="0" w:color="auto"/>
            </w:tcBorders>
            <w:shd w:val="clear" w:color="000000" w:fill="A3E7FF"/>
            <w:vAlign w:val="center"/>
            <w:hideMark/>
          </w:tcPr>
          <w:p w14:paraId="2CCCEF44" w14:textId="77777777" w:rsidR="007E7C3A" w:rsidRPr="009C2CB8" w:rsidRDefault="007E7C3A" w:rsidP="00F45709">
            <w:pPr>
              <w:jc w:val="center"/>
              <w:rPr>
                <w:rFonts w:eastAsia="Times New Roman" w:cstheme="minorHAnsi"/>
                <w:b/>
                <w:bCs/>
                <w:sz w:val="20"/>
                <w:szCs w:val="20"/>
                <w:lang w:eastAsia="hr-HR"/>
              </w:rPr>
            </w:pPr>
            <w:r w:rsidRPr="009C2CB8">
              <w:rPr>
                <w:rFonts w:eastAsia="Times New Roman" w:cstheme="minorHAnsi"/>
                <w:b/>
                <w:bCs/>
                <w:sz w:val="20"/>
                <w:szCs w:val="20"/>
                <w:lang w:eastAsia="hr-HR"/>
              </w:rPr>
              <w:t>Plan V3 01.01.-31.12.</w:t>
            </w:r>
          </w:p>
        </w:tc>
        <w:tc>
          <w:tcPr>
            <w:tcW w:w="614" w:type="pct"/>
            <w:tcBorders>
              <w:top w:val="single" w:sz="4" w:space="0" w:color="auto"/>
              <w:left w:val="nil"/>
              <w:bottom w:val="single" w:sz="4" w:space="0" w:color="auto"/>
              <w:right w:val="single" w:sz="4" w:space="0" w:color="auto"/>
            </w:tcBorders>
            <w:shd w:val="clear" w:color="000000" w:fill="A3E7FF"/>
            <w:vAlign w:val="center"/>
            <w:hideMark/>
          </w:tcPr>
          <w:p w14:paraId="4D03BCB9" w14:textId="77777777" w:rsidR="007E7C3A" w:rsidRPr="009C2CB8" w:rsidRDefault="007E7C3A" w:rsidP="00F45709">
            <w:pPr>
              <w:jc w:val="center"/>
              <w:rPr>
                <w:rFonts w:eastAsia="Times New Roman" w:cstheme="minorHAnsi"/>
                <w:b/>
                <w:bCs/>
                <w:sz w:val="20"/>
                <w:szCs w:val="20"/>
                <w:lang w:eastAsia="hr-HR"/>
              </w:rPr>
            </w:pPr>
            <w:r w:rsidRPr="009C2CB8">
              <w:rPr>
                <w:rFonts w:eastAsia="Times New Roman" w:cstheme="minorHAnsi"/>
                <w:b/>
                <w:bCs/>
                <w:sz w:val="20"/>
                <w:szCs w:val="20"/>
                <w:lang w:eastAsia="hr-HR"/>
              </w:rPr>
              <w:t xml:space="preserve"> Izvršenje 01.01.-31.12. </w:t>
            </w:r>
          </w:p>
        </w:tc>
        <w:tc>
          <w:tcPr>
            <w:tcW w:w="481" w:type="pct"/>
            <w:tcBorders>
              <w:top w:val="single" w:sz="4" w:space="0" w:color="auto"/>
              <w:left w:val="nil"/>
              <w:bottom w:val="single" w:sz="4" w:space="0" w:color="auto"/>
              <w:right w:val="single" w:sz="4" w:space="0" w:color="auto"/>
            </w:tcBorders>
            <w:shd w:val="clear" w:color="000000" w:fill="A3E7FF"/>
            <w:vAlign w:val="center"/>
            <w:hideMark/>
          </w:tcPr>
          <w:p w14:paraId="236BE7D1" w14:textId="77777777" w:rsidR="007E7C3A" w:rsidRPr="009C2CB8" w:rsidRDefault="007E7C3A" w:rsidP="00F45709">
            <w:pPr>
              <w:jc w:val="center"/>
              <w:rPr>
                <w:rFonts w:eastAsia="Times New Roman" w:cstheme="minorHAnsi"/>
                <w:b/>
                <w:bCs/>
                <w:sz w:val="20"/>
                <w:szCs w:val="20"/>
                <w:lang w:eastAsia="hr-HR"/>
              </w:rPr>
            </w:pPr>
            <w:r w:rsidRPr="009C2CB8">
              <w:rPr>
                <w:rFonts w:eastAsia="Times New Roman" w:cstheme="minorHAnsi"/>
                <w:b/>
                <w:bCs/>
                <w:sz w:val="20"/>
                <w:szCs w:val="20"/>
                <w:lang w:eastAsia="hr-HR"/>
              </w:rPr>
              <w:t xml:space="preserve"> % izvršenja plana </w:t>
            </w:r>
          </w:p>
        </w:tc>
        <w:tc>
          <w:tcPr>
            <w:tcW w:w="549" w:type="pct"/>
            <w:tcBorders>
              <w:top w:val="single" w:sz="4" w:space="0" w:color="auto"/>
              <w:left w:val="nil"/>
              <w:bottom w:val="single" w:sz="4" w:space="0" w:color="auto"/>
              <w:right w:val="single" w:sz="4" w:space="0" w:color="auto"/>
            </w:tcBorders>
            <w:shd w:val="clear" w:color="000000" w:fill="A3E7FF"/>
            <w:vAlign w:val="center"/>
            <w:hideMark/>
          </w:tcPr>
          <w:p w14:paraId="7DA8F1E6" w14:textId="77777777" w:rsidR="007E7C3A" w:rsidRPr="009C2CB8" w:rsidRDefault="007E7C3A" w:rsidP="00F45709">
            <w:pPr>
              <w:jc w:val="center"/>
              <w:rPr>
                <w:rFonts w:eastAsia="Times New Roman" w:cstheme="minorHAnsi"/>
                <w:b/>
                <w:bCs/>
                <w:sz w:val="20"/>
                <w:szCs w:val="20"/>
                <w:lang w:eastAsia="hr-HR"/>
              </w:rPr>
            </w:pPr>
            <w:r w:rsidRPr="009C2CB8">
              <w:rPr>
                <w:rFonts w:eastAsia="Times New Roman" w:cstheme="minorHAnsi"/>
                <w:b/>
                <w:bCs/>
                <w:sz w:val="20"/>
                <w:szCs w:val="20"/>
                <w:lang w:eastAsia="hr-HR"/>
              </w:rPr>
              <w:t>Struktura izvršenja</w:t>
            </w:r>
          </w:p>
        </w:tc>
        <w:tc>
          <w:tcPr>
            <w:tcW w:w="615" w:type="pct"/>
            <w:tcBorders>
              <w:top w:val="single" w:sz="4" w:space="0" w:color="auto"/>
              <w:left w:val="nil"/>
              <w:bottom w:val="single" w:sz="4" w:space="0" w:color="auto"/>
              <w:right w:val="single" w:sz="4" w:space="0" w:color="auto"/>
            </w:tcBorders>
            <w:shd w:val="clear" w:color="000000" w:fill="A3E7FF"/>
            <w:vAlign w:val="center"/>
            <w:hideMark/>
          </w:tcPr>
          <w:p w14:paraId="5554EE81" w14:textId="77777777" w:rsidR="007E7C3A" w:rsidRPr="009C2CB8" w:rsidRDefault="007E7C3A" w:rsidP="00F45709">
            <w:pPr>
              <w:jc w:val="center"/>
              <w:rPr>
                <w:rFonts w:eastAsia="Times New Roman" w:cstheme="minorHAnsi"/>
                <w:b/>
                <w:bCs/>
                <w:sz w:val="20"/>
                <w:szCs w:val="20"/>
                <w:lang w:eastAsia="hr-HR"/>
              </w:rPr>
            </w:pPr>
            <w:r w:rsidRPr="009C2CB8">
              <w:rPr>
                <w:rFonts w:eastAsia="Times New Roman" w:cstheme="minorHAnsi"/>
                <w:b/>
                <w:bCs/>
                <w:sz w:val="20"/>
                <w:szCs w:val="20"/>
                <w:lang w:eastAsia="hr-HR"/>
              </w:rPr>
              <w:t xml:space="preserve"> Izvršenje 2023./2022. </w:t>
            </w:r>
          </w:p>
        </w:tc>
      </w:tr>
      <w:tr w:rsidR="007E7C3A" w:rsidRPr="006E2930" w14:paraId="7280D17E" w14:textId="77777777" w:rsidTr="00F45709">
        <w:trPr>
          <w:trHeight w:val="170"/>
          <w:tblHeader/>
        </w:trPr>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2B696A" w14:textId="77777777" w:rsidR="007E7C3A" w:rsidRPr="006E2930" w:rsidRDefault="007E7C3A" w:rsidP="00F45709">
            <w:pPr>
              <w:jc w:val="center"/>
              <w:rPr>
                <w:rFonts w:eastAsia="Times New Roman" w:cstheme="minorHAnsi"/>
                <w:sz w:val="20"/>
                <w:szCs w:val="20"/>
                <w:lang w:eastAsia="hr-HR"/>
              </w:rPr>
            </w:pPr>
            <w:r w:rsidRPr="006E2930">
              <w:rPr>
                <w:rFonts w:eastAsia="Times New Roman" w:cstheme="minorHAnsi"/>
                <w:sz w:val="20"/>
                <w:szCs w:val="20"/>
                <w:lang w:eastAsia="hr-HR"/>
              </w:rPr>
              <w:t>1.</w:t>
            </w:r>
          </w:p>
        </w:tc>
        <w:tc>
          <w:tcPr>
            <w:tcW w:w="1415" w:type="pct"/>
            <w:tcBorders>
              <w:top w:val="single" w:sz="4" w:space="0" w:color="auto"/>
              <w:left w:val="nil"/>
              <w:bottom w:val="single" w:sz="4" w:space="0" w:color="auto"/>
              <w:right w:val="single" w:sz="4" w:space="0" w:color="auto"/>
            </w:tcBorders>
            <w:shd w:val="clear" w:color="auto" w:fill="auto"/>
            <w:vAlign w:val="center"/>
            <w:hideMark/>
          </w:tcPr>
          <w:p w14:paraId="7977AAF2" w14:textId="77777777" w:rsidR="007E7C3A" w:rsidRPr="006E2930" w:rsidRDefault="007E7C3A" w:rsidP="00F45709">
            <w:pPr>
              <w:rPr>
                <w:rFonts w:eastAsia="Times New Roman" w:cstheme="minorHAnsi"/>
                <w:sz w:val="20"/>
                <w:szCs w:val="20"/>
                <w:lang w:eastAsia="hr-HR"/>
              </w:rPr>
            </w:pPr>
            <w:r w:rsidRPr="006E2930">
              <w:rPr>
                <w:rFonts w:eastAsia="Times New Roman" w:cstheme="minorHAnsi"/>
                <w:sz w:val="20"/>
                <w:szCs w:val="20"/>
                <w:lang w:eastAsia="hr-HR"/>
              </w:rPr>
              <w:t>Materijalni troškovi</w:t>
            </w:r>
          </w:p>
        </w:tc>
        <w:tc>
          <w:tcPr>
            <w:tcW w:w="549" w:type="pct"/>
            <w:tcBorders>
              <w:top w:val="single" w:sz="4" w:space="0" w:color="auto"/>
              <w:left w:val="nil"/>
              <w:bottom w:val="single" w:sz="4" w:space="0" w:color="auto"/>
              <w:right w:val="single" w:sz="4" w:space="0" w:color="auto"/>
            </w:tcBorders>
            <w:shd w:val="clear" w:color="auto" w:fill="auto"/>
            <w:noWrap/>
            <w:vAlign w:val="center"/>
            <w:hideMark/>
          </w:tcPr>
          <w:p w14:paraId="7EE602E4"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191.141</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14:paraId="5909EFAB"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221.009</w:t>
            </w:r>
          </w:p>
        </w:tc>
        <w:tc>
          <w:tcPr>
            <w:tcW w:w="614" w:type="pct"/>
            <w:tcBorders>
              <w:top w:val="single" w:sz="4" w:space="0" w:color="auto"/>
              <w:left w:val="nil"/>
              <w:bottom w:val="single" w:sz="4" w:space="0" w:color="auto"/>
              <w:right w:val="single" w:sz="4" w:space="0" w:color="auto"/>
            </w:tcBorders>
            <w:shd w:val="clear" w:color="auto" w:fill="auto"/>
            <w:noWrap/>
            <w:vAlign w:val="center"/>
            <w:hideMark/>
          </w:tcPr>
          <w:p w14:paraId="6D3C6349"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206.785</w:t>
            </w:r>
          </w:p>
        </w:tc>
        <w:tc>
          <w:tcPr>
            <w:tcW w:w="481" w:type="pct"/>
            <w:tcBorders>
              <w:top w:val="single" w:sz="4" w:space="0" w:color="auto"/>
              <w:left w:val="nil"/>
              <w:bottom w:val="single" w:sz="4" w:space="0" w:color="auto"/>
              <w:right w:val="single" w:sz="4" w:space="0" w:color="auto"/>
            </w:tcBorders>
            <w:shd w:val="clear" w:color="auto" w:fill="auto"/>
            <w:noWrap/>
            <w:vAlign w:val="center"/>
            <w:hideMark/>
          </w:tcPr>
          <w:p w14:paraId="40B9E480"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94%</w:t>
            </w:r>
          </w:p>
        </w:tc>
        <w:tc>
          <w:tcPr>
            <w:tcW w:w="549" w:type="pct"/>
            <w:tcBorders>
              <w:top w:val="single" w:sz="4" w:space="0" w:color="auto"/>
              <w:left w:val="nil"/>
              <w:bottom w:val="single" w:sz="4" w:space="0" w:color="auto"/>
              <w:right w:val="single" w:sz="4" w:space="0" w:color="auto"/>
            </w:tcBorders>
            <w:shd w:val="clear" w:color="auto" w:fill="auto"/>
            <w:noWrap/>
            <w:vAlign w:val="center"/>
            <w:hideMark/>
          </w:tcPr>
          <w:p w14:paraId="367FDB71"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2%</w:t>
            </w:r>
          </w:p>
        </w:tc>
        <w:tc>
          <w:tcPr>
            <w:tcW w:w="615" w:type="pct"/>
            <w:tcBorders>
              <w:top w:val="single" w:sz="4" w:space="0" w:color="auto"/>
              <w:left w:val="nil"/>
              <w:bottom w:val="single" w:sz="4" w:space="0" w:color="auto"/>
              <w:right w:val="single" w:sz="4" w:space="0" w:color="auto"/>
            </w:tcBorders>
            <w:shd w:val="clear" w:color="auto" w:fill="auto"/>
            <w:noWrap/>
            <w:vAlign w:val="center"/>
            <w:hideMark/>
          </w:tcPr>
          <w:p w14:paraId="621248D4"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108%</w:t>
            </w:r>
          </w:p>
        </w:tc>
      </w:tr>
      <w:tr w:rsidR="007E7C3A" w:rsidRPr="006E2930" w14:paraId="63A5E11E" w14:textId="77777777" w:rsidTr="00F45709">
        <w:trPr>
          <w:trHeight w:val="170"/>
          <w:tblHeader/>
        </w:trPr>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F1BEDE" w14:textId="77777777" w:rsidR="007E7C3A" w:rsidRPr="006E2930" w:rsidRDefault="007E7C3A" w:rsidP="00F45709">
            <w:pPr>
              <w:jc w:val="center"/>
              <w:rPr>
                <w:rFonts w:eastAsia="Times New Roman" w:cstheme="minorHAnsi"/>
                <w:sz w:val="20"/>
                <w:szCs w:val="20"/>
                <w:lang w:eastAsia="hr-HR"/>
              </w:rPr>
            </w:pPr>
            <w:r w:rsidRPr="006E2930">
              <w:rPr>
                <w:rFonts w:eastAsia="Times New Roman" w:cstheme="minorHAnsi"/>
                <w:sz w:val="20"/>
                <w:szCs w:val="20"/>
                <w:lang w:eastAsia="hr-HR"/>
              </w:rPr>
              <w:t>2.</w:t>
            </w:r>
          </w:p>
        </w:tc>
        <w:tc>
          <w:tcPr>
            <w:tcW w:w="1415" w:type="pct"/>
            <w:tcBorders>
              <w:top w:val="single" w:sz="4" w:space="0" w:color="auto"/>
              <w:left w:val="nil"/>
              <w:bottom w:val="single" w:sz="4" w:space="0" w:color="auto"/>
              <w:right w:val="single" w:sz="4" w:space="0" w:color="auto"/>
            </w:tcBorders>
            <w:shd w:val="clear" w:color="auto" w:fill="auto"/>
            <w:vAlign w:val="center"/>
            <w:hideMark/>
          </w:tcPr>
          <w:p w14:paraId="1F341A4D" w14:textId="77777777" w:rsidR="007E7C3A" w:rsidRPr="006E2930" w:rsidRDefault="007E7C3A" w:rsidP="00F45709">
            <w:pPr>
              <w:rPr>
                <w:rFonts w:eastAsia="Times New Roman" w:cstheme="minorHAnsi"/>
                <w:sz w:val="20"/>
                <w:szCs w:val="20"/>
                <w:lang w:eastAsia="hr-HR"/>
              </w:rPr>
            </w:pPr>
            <w:r w:rsidRPr="006E2930">
              <w:rPr>
                <w:rFonts w:eastAsia="Times New Roman" w:cstheme="minorHAnsi"/>
                <w:sz w:val="20"/>
                <w:szCs w:val="20"/>
                <w:lang w:eastAsia="hr-HR"/>
              </w:rPr>
              <w:t>Troškovi energije</w:t>
            </w:r>
          </w:p>
        </w:tc>
        <w:tc>
          <w:tcPr>
            <w:tcW w:w="549" w:type="pct"/>
            <w:tcBorders>
              <w:top w:val="single" w:sz="4" w:space="0" w:color="auto"/>
              <w:left w:val="nil"/>
              <w:bottom w:val="single" w:sz="4" w:space="0" w:color="auto"/>
              <w:right w:val="single" w:sz="4" w:space="0" w:color="auto"/>
            </w:tcBorders>
            <w:shd w:val="clear" w:color="auto" w:fill="auto"/>
            <w:noWrap/>
            <w:vAlign w:val="center"/>
            <w:hideMark/>
          </w:tcPr>
          <w:p w14:paraId="2CE1B2AC"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160.070</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14:paraId="69903AE3"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174.053</w:t>
            </w:r>
          </w:p>
        </w:tc>
        <w:tc>
          <w:tcPr>
            <w:tcW w:w="614" w:type="pct"/>
            <w:tcBorders>
              <w:top w:val="single" w:sz="4" w:space="0" w:color="auto"/>
              <w:left w:val="nil"/>
              <w:bottom w:val="single" w:sz="4" w:space="0" w:color="auto"/>
              <w:right w:val="single" w:sz="4" w:space="0" w:color="auto"/>
            </w:tcBorders>
            <w:shd w:val="clear" w:color="auto" w:fill="auto"/>
            <w:noWrap/>
            <w:vAlign w:val="center"/>
            <w:hideMark/>
          </w:tcPr>
          <w:p w14:paraId="5D2FFE77"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161.424</w:t>
            </w:r>
          </w:p>
        </w:tc>
        <w:tc>
          <w:tcPr>
            <w:tcW w:w="481" w:type="pct"/>
            <w:tcBorders>
              <w:top w:val="single" w:sz="4" w:space="0" w:color="auto"/>
              <w:left w:val="nil"/>
              <w:bottom w:val="single" w:sz="4" w:space="0" w:color="auto"/>
              <w:right w:val="single" w:sz="4" w:space="0" w:color="auto"/>
            </w:tcBorders>
            <w:shd w:val="clear" w:color="auto" w:fill="auto"/>
            <w:noWrap/>
            <w:vAlign w:val="center"/>
            <w:hideMark/>
          </w:tcPr>
          <w:p w14:paraId="1541F991"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93%</w:t>
            </w:r>
          </w:p>
        </w:tc>
        <w:tc>
          <w:tcPr>
            <w:tcW w:w="549" w:type="pct"/>
            <w:tcBorders>
              <w:top w:val="single" w:sz="4" w:space="0" w:color="auto"/>
              <w:left w:val="nil"/>
              <w:bottom w:val="single" w:sz="4" w:space="0" w:color="auto"/>
              <w:right w:val="single" w:sz="4" w:space="0" w:color="auto"/>
            </w:tcBorders>
            <w:shd w:val="clear" w:color="auto" w:fill="auto"/>
            <w:noWrap/>
            <w:vAlign w:val="center"/>
            <w:hideMark/>
          </w:tcPr>
          <w:p w14:paraId="1F0FFD74"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1%</w:t>
            </w:r>
          </w:p>
        </w:tc>
        <w:tc>
          <w:tcPr>
            <w:tcW w:w="615" w:type="pct"/>
            <w:tcBorders>
              <w:top w:val="single" w:sz="4" w:space="0" w:color="auto"/>
              <w:left w:val="nil"/>
              <w:bottom w:val="single" w:sz="4" w:space="0" w:color="auto"/>
              <w:right w:val="single" w:sz="4" w:space="0" w:color="auto"/>
            </w:tcBorders>
            <w:shd w:val="clear" w:color="auto" w:fill="auto"/>
            <w:noWrap/>
            <w:vAlign w:val="center"/>
            <w:hideMark/>
          </w:tcPr>
          <w:p w14:paraId="437B1372"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101%</w:t>
            </w:r>
          </w:p>
        </w:tc>
      </w:tr>
      <w:tr w:rsidR="007E7C3A" w:rsidRPr="006E2930" w14:paraId="74CE2BDB" w14:textId="77777777" w:rsidTr="00F45709">
        <w:trPr>
          <w:trHeight w:val="170"/>
          <w:tblHeader/>
        </w:trPr>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BA1A88" w14:textId="77777777" w:rsidR="007E7C3A" w:rsidRPr="006E2930" w:rsidRDefault="007E7C3A" w:rsidP="00F45709">
            <w:pPr>
              <w:jc w:val="center"/>
              <w:rPr>
                <w:rFonts w:eastAsia="Times New Roman" w:cstheme="minorHAnsi"/>
                <w:sz w:val="20"/>
                <w:szCs w:val="20"/>
                <w:lang w:eastAsia="hr-HR"/>
              </w:rPr>
            </w:pPr>
            <w:r w:rsidRPr="006E2930">
              <w:rPr>
                <w:rFonts w:eastAsia="Times New Roman" w:cstheme="minorHAnsi"/>
                <w:sz w:val="20"/>
                <w:szCs w:val="20"/>
                <w:lang w:eastAsia="hr-HR"/>
              </w:rPr>
              <w:t>3.</w:t>
            </w:r>
          </w:p>
        </w:tc>
        <w:tc>
          <w:tcPr>
            <w:tcW w:w="1415" w:type="pct"/>
            <w:tcBorders>
              <w:top w:val="single" w:sz="4" w:space="0" w:color="auto"/>
              <w:left w:val="nil"/>
              <w:bottom w:val="single" w:sz="4" w:space="0" w:color="auto"/>
              <w:right w:val="single" w:sz="4" w:space="0" w:color="auto"/>
            </w:tcBorders>
            <w:shd w:val="clear" w:color="auto" w:fill="auto"/>
            <w:vAlign w:val="center"/>
            <w:hideMark/>
          </w:tcPr>
          <w:p w14:paraId="1798BD0F" w14:textId="77777777" w:rsidR="007E7C3A" w:rsidRPr="006E2930" w:rsidRDefault="007E7C3A" w:rsidP="00F45709">
            <w:pPr>
              <w:rPr>
                <w:rFonts w:eastAsia="Times New Roman" w:cstheme="minorHAnsi"/>
                <w:sz w:val="20"/>
                <w:szCs w:val="20"/>
                <w:lang w:eastAsia="hr-HR"/>
              </w:rPr>
            </w:pPr>
            <w:r w:rsidRPr="006E2930">
              <w:rPr>
                <w:rFonts w:eastAsia="Times New Roman" w:cstheme="minorHAnsi"/>
                <w:sz w:val="20"/>
                <w:szCs w:val="20"/>
                <w:lang w:eastAsia="hr-HR"/>
              </w:rPr>
              <w:t>Poštanske, telekomunikacijske i usluge prijevoza</w:t>
            </w:r>
          </w:p>
        </w:tc>
        <w:tc>
          <w:tcPr>
            <w:tcW w:w="549" w:type="pct"/>
            <w:tcBorders>
              <w:top w:val="single" w:sz="4" w:space="0" w:color="auto"/>
              <w:left w:val="nil"/>
              <w:bottom w:val="single" w:sz="4" w:space="0" w:color="auto"/>
              <w:right w:val="single" w:sz="4" w:space="0" w:color="auto"/>
            </w:tcBorders>
            <w:shd w:val="clear" w:color="auto" w:fill="auto"/>
            <w:noWrap/>
            <w:vAlign w:val="center"/>
            <w:hideMark/>
          </w:tcPr>
          <w:p w14:paraId="5999A06B"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72.202</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14:paraId="75AC1D02"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81.830</w:t>
            </w:r>
          </w:p>
        </w:tc>
        <w:tc>
          <w:tcPr>
            <w:tcW w:w="614" w:type="pct"/>
            <w:tcBorders>
              <w:top w:val="single" w:sz="4" w:space="0" w:color="auto"/>
              <w:left w:val="nil"/>
              <w:bottom w:val="single" w:sz="4" w:space="0" w:color="auto"/>
              <w:right w:val="single" w:sz="4" w:space="0" w:color="auto"/>
            </w:tcBorders>
            <w:shd w:val="clear" w:color="auto" w:fill="auto"/>
            <w:noWrap/>
            <w:vAlign w:val="center"/>
            <w:hideMark/>
          </w:tcPr>
          <w:p w14:paraId="66E1C465"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69.448</w:t>
            </w:r>
          </w:p>
        </w:tc>
        <w:tc>
          <w:tcPr>
            <w:tcW w:w="481" w:type="pct"/>
            <w:tcBorders>
              <w:top w:val="single" w:sz="4" w:space="0" w:color="auto"/>
              <w:left w:val="nil"/>
              <w:bottom w:val="single" w:sz="4" w:space="0" w:color="auto"/>
              <w:right w:val="single" w:sz="4" w:space="0" w:color="auto"/>
            </w:tcBorders>
            <w:shd w:val="clear" w:color="auto" w:fill="auto"/>
            <w:noWrap/>
            <w:vAlign w:val="center"/>
            <w:hideMark/>
          </w:tcPr>
          <w:p w14:paraId="7E383B77"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85%</w:t>
            </w:r>
          </w:p>
        </w:tc>
        <w:tc>
          <w:tcPr>
            <w:tcW w:w="549" w:type="pct"/>
            <w:tcBorders>
              <w:top w:val="single" w:sz="4" w:space="0" w:color="auto"/>
              <w:left w:val="nil"/>
              <w:bottom w:val="single" w:sz="4" w:space="0" w:color="auto"/>
              <w:right w:val="single" w:sz="4" w:space="0" w:color="auto"/>
            </w:tcBorders>
            <w:shd w:val="clear" w:color="auto" w:fill="auto"/>
            <w:noWrap/>
            <w:vAlign w:val="center"/>
            <w:hideMark/>
          </w:tcPr>
          <w:p w14:paraId="4E4E5032"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1%</w:t>
            </w:r>
          </w:p>
        </w:tc>
        <w:tc>
          <w:tcPr>
            <w:tcW w:w="615" w:type="pct"/>
            <w:tcBorders>
              <w:top w:val="single" w:sz="4" w:space="0" w:color="auto"/>
              <w:left w:val="nil"/>
              <w:bottom w:val="single" w:sz="4" w:space="0" w:color="auto"/>
              <w:right w:val="single" w:sz="4" w:space="0" w:color="auto"/>
            </w:tcBorders>
            <w:shd w:val="clear" w:color="auto" w:fill="auto"/>
            <w:noWrap/>
            <w:vAlign w:val="center"/>
            <w:hideMark/>
          </w:tcPr>
          <w:p w14:paraId="2D6773B1"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96%</w:t>
            </w:r>
          </w:p>
        </w:tc>
      </w:tr>
      <w:tr w:rsidR="007E7C3A" w:rsidRPr="006E2930" w14:paraId="2CE57B48" w14:textId="77777777" w:rsidTr="00F45709">
        <w:trPr>
          <w:trHeight w:val="170"/>
          <w:tblHeader/>
        </w:trPr>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75799B" w14:textId="77777777" w:rsidR="007E7C3A" w:rsidRPr="006E2930" w:rsidRDefault="007E7C3A" w:rsidP="00F45709">
            <w:pPr>
              <w:jc w:val="center"/>
              <w:rPr>
                <w:rFonts w:eastAsia="Times New Roman" w:cstheme="minorHAnsi"/>
                <w:sz w:val="20"/>
                <w:szCs w:val="20"/>
                <w:lang w:eastAsia="hr-HR"/>
              </w:rPr>
            </w:pPr>
            <w:r w:rsidRPr="006E2930">
              <w:rPr>
                <w:rFonts w:eastAsia="Times New Roman" w:cstheme="minorHAnsi"/>
                <w:sz w:val="20"/>
                <w:szCs w:val="20"/>
                <w:lang w:eastAsia="hr-HR"/>
              </w:rPr>
              <w:t>4.</w:t>
            </w:r>
          </w:p>
        </w:tc>
        <w:tc>
          <w:tcPr>
            <w:tcW w:w="1415" w:type="pct"/>
            <w:tcBorders>
              <w:top w:val="single" w:sz="4" w:space="0" w:color="auto"/>
              <w:left w:val="nil"/>
              <w:bottom w:val="single" w:sz="4" w:space="0" w:color="auto"/>
              <w:right w:val="single" w:sz="4" w:space="0" w:color="auto"/>
            </w:tcBorders>
            <w:shd w:val="clear" w:color="auto" w:fill="auto"/>
            <w:vAlign w:val="center"/>
            <w:hideMark/>
          </w:tcPr>
          <w:p w14:paraId="49C6EB53" w14:textId="77777777" w:rsidR="007E7C3A" w:rsidRPr="006E2930" w:rsidRDefault="007E7C3A" w:rsidP="00F45709">
            <w:pPr>
              <w:rPr>
                <w:rFonts w:eastAsia="Times New Roman" w:cstheme="minorHAnsi"/>
                <w:sz w:val="20"/>
                <w:szCs w:val="20"/>
                <w:lang w:eastAsia="hr-HR"/>
              </w:rPr>
            </w:pPr>
            <w:r w:rsidRPr="006E2930">
              <w:rPr>
                <w:rFonts w:eastAsia="Times New Roman" w:cstheme="minorHAnsi"/>
                <w:sz w:val="20"/>
                <w:szCs w:val="20"/>
                <w:lang w:eastAsia="hr-HR"/>
              </w:rPr>
              <w:t>Usluge održavanja</w:t>
            </w:r>
          </w:p>
        </w:tc>
        <w:tc>
          <w:tcPr>
            <w:tcW w:w="549" w:type="pct"/>
            <w:tcBorders>
              <w:top w:val="single" w:sz="4" w:space="0" w:color="auto"/>
              <w:left w:val="nil"/>
              <w:bottom w:val="single" w:sz="4" w:space="0" w:color="auto"/>
              <w:right w:val="single" w:sz="4" w:space="0" w:color="auto"/>
            </w:tcBorders>
            <w:shd w:val="clear" w:color="auto" w:fill="auto"/>
            <w:noWrap/>
            <w:vAlign w:val="center"/>
            <w:hideMark/>
          </w:tcPr>
          <w:p w14:paraId="6F3EBBF2"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1.255.736</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14:paraId="54BD293A"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1.425.951</w:t>
            </w:r>
          </w:p>
        </w:tc>
        <w:tc>
          <w:tcPr>
            <w:tcW w:w="614" w:type="pct"/>
            <w:tcBorders>
              <w:top w:val="single" w:sz="4" w:space="0" w:color="auto"/>
              <w:left w:val="nil"/>
              <w:bottom w:val="single" w:sz="4" w:space="0" w:color="auto"/>
              <w:right w:val="single" w:sz="4" w:space="0" w:color="auto"/>
            </w:tcBorders>
            <w:shd w:val="clear" w:color="auto" w:fill="auto"/>
            <w:noWrap/>
            <w:vAlign w:val="center"/>
            <w:hideMark/>
          </w:tcPr>
          <w:p w14:paraId="77E368B7"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1.501.958</w:t>
            </w:r>
          </w:p>
        </w:tc>
        <w:tc>
          <w:tcPr>
            <w:tcW w:w="481" w:type="pct"/>
            <w:tcBorders>
              <w:top w:val="single" w:sz="4" w:space="0" w:color="auto"/>
              <w:left w:val="nil"/>
              <w:bottom w:val="single" w:sz="4" w:space="0" w:color="auto"/>
              <w:right w:val="single" w:sz="4" w:space="0" w:color="auto"/>
            </w:tcBorders>
            <w:shd w:val="clear" w:color="auto" w:fill="auto"/>
            <w:noWrap/>
            <w:vAlign w:val="center"/>
            <w:hideMark/>
          </w:tcPr>
          <w:p w14:paraId="6A351BBB"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105%</w:t>
            </w:r>
          </w:p>
        </w:tc>
        <w:tc>
          <w:tcPr>
            <w:tcW w:w="549" w:type="pct"/>
            <w:tcBorders>
              <w:top w:val="single" w:sz="4" w:space="0" w:color="auto"/>
              <w:left w:val="nil"/>
              <w:bottom w:val="single" w:sz="4" w:space="0" w:color="auto"/>
              <w:right w:val="single" w:sz="4" w:space="0" w:color="auto"/>
            </w:tcBorders>
            <w:shd w:val="clear" w:color="auto" w:fill="auto"/>
            <w:noWrap/>
            <w:vAlign w:val="center"/>
            <w:hideMark/>
          </w:tcPr>
          <w:p w14:paraId="1275BA77"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12%</w:t>
            </w:r>
          </w:p>
        </w:tc>
        <w:tc>
          <w:tcPr>
            <w:tcW w:w="615" w:type="pct"/>
            <w:tcBorders>
              <w:top w:val="single" w:sz="4" w:space="0" w:color="auto"/>
              <w:left w:val="nil"/>
              <w:bottom w:val="single" w:sz="4" w:space="0" w:color="auto"/>
              <w:right w:val="single" w:sz="4" w:space="0" w:color="auto"/>
            </w:tcBorders>
            <w:shd w:val="clear" w:color="auto" w:fill="auto"/>
            <w:noWrap/>
            <w:vAlign w:val="center"/>
            <w:hideMark/>
          </w:tcPr>
          <w:p w14:paraId="497F1F6D"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120%</w:t>
            </w:r>
          </w:p>
        </w:tc>
      </w:tr>
      <w:tr w:rsidR="007E7C3A" w:rsidRPr="006E2930" w14:paraId="0751957E" w14:textId="77777777" w:rsidTr="00F45709">
        <w:trPr>
          <w:trHeight w:val="170"/>
          <w:tblHeader/>
        </w:trPr>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B73518" w14:textId="77777777" w:rsidR="007E7C3A" w:rsidRPr="006E2930" w:rsidRDefault="007E7C3A" w:rsidP="00F45709">
            <w:pPr>
              <w:jc w:val="center"/>
              <w:rPr>
                <w:rFonts w:eastAsia="Times New Roman" w:cstheme="minorHAnsi"/>
                <w:sz w:val="20"/>
                <w:szCs w:val="20"/>
                <w:lang w:eastAsia="hr-HR"/>
              </w:rPr>
            </w:pPr>
            <w:r w:rsidRPr="006E2930">
              <w:rPr>
                <w:rFonts w:eastAsia="Times New Roman" w:cstheme="minorHAnsi"/>
                <w:sz w:val="20"/>
                <w:szCs w:val="20"/>
                <w:lang w:eastAsia="hr-HR"/>
              </w:rPr>
              <w:t>5.</w:t>
            </w:r>
          </w:p>
        </w:tc>
        <w:tc>
          <w:tcPr>
            <w:tcW w:w="1415" w:type="pct"/>
            <w:tcBorders>
              <w:top w:val="single" w:sz="4" w:space="0" w:color="auto"/>
              <w:left w:val="nil"/>
              <w:bottom w:val="single" w:sz="4" w:space="0" w:color="auto"/>
              <w:right w:val="single" w:sz="4" w:space="0" w:color="auto"/>
            </w:tcBorders>
            <w:shd w:val="clear" w:color="auto" w:fill="auto"/>
            <w:vAlign w:val="center"/>
            <w:hideMark/>
          </w:tcPr>
          <w:p w14:paraId="617CE5E8" w14:textId="77777777" w:rsidR="007E7C3A" w:rsidRPr="006E2930" w:rsidRDefault="007E7C3A" w:rsidP="00F45709">
            <w:pPr>
              <w:rPr>
                <w:rFonts w:eastAsia="Times New Roman" w:cstheme="minorHAnsi"/>
                <w:sz w:val="20"/>
                <w:szCs w:val="20"/>
                <w:lang w:eastAsia="hr-HR"/>
              </w:rPr>
            </w:pPr>
            <w:r w:rsidRPr="006E2930">
              <w:rPr>
                <w:rFonts w:eastAsia="Times New Roman" w:cstheme="minorHAnsi"/>
                <w:sz w:val="20"/>
                <w:szCs w:val="20"/>
                <w:lang w:eastAsia="hr-HR"/>
              </w:rPr>
              <w:t>Bankovne usluge</w:t>
            </w:r>
          </w:p>
        </w:tc>
        <w:tc>
          <w:tcPr>
            <w:tcW w:w="549" w:type="pct"/>
            <w:tcBorders>
              <w:top w:val="single" w:sz="4" w:space="0" w:color="auto"/>
              <w:left w:val="nil"/>
              <w:bottom w:val="single" w:sz="4" w:space="0" w:color="auto"/>
              <w:right w:val="single" w:sz="4" w:space="0" w:color="auto"/>
            </w:tcBorders>
            <w:shd w:val="clear" w:color="auto" w:fill="auto"/>
            <w:noWrap/>
            <w:vAlign w:val="center"/>
            <w:hideMark/>
          </w:tcPr>
          <w:p w14:paraId="0F8CEFCB"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13.012</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14:paraId="2CD7F18D"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9.000</w:t>
            </w:r>
          </w:p>
        </w:tc>
        <w:tc>
          <w:tcPr>
            <w:tcW w:w="614" w:type="pct"/>
            <w:tcBorders>
              <w:top w:val="single" w:sz="4" w:space="0" w:color="auto"/>
              <w:left w:val="nil"/>
              <w:bottom w:val="single" w:sz="4" w:space="0" w:color="auto"/>
              <w:right w:val="single" w:sz="4" w:space="0" w:color="auto"/>
            </w:tcBorders>
            <w:shd w:val="clear" w:color="auto" w:fill="auto"/>
            <w:noWrap/>
            <w:vAlign w:val="center"/>
            <w:hideMark/>
          </w:tcPr>
          <w:p w14:paraId="735A678A"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11.269</w:t>
            </w:r>
          </w:p>
        </w:tc>
        <w:tc>
          <w:tcPr>
            <w:tcW w:w="481" w:type="pct"/>
            <w:tcBorders>
              <w:top w:val="single" w:sz="4" w:space="0" w:color="auto"/>
              <w:left w:val="nil"/>
              <w:bottom w:val="single" w:sz="4" w:space="0" w:color="auto"/>
              <w:right w:val="single" w:sz="4" w:space="0" w:color="auto"/>
            </w:tcBorders>
            <w:shd w:val="clear" w:color="auto" w:fill="auto"/>
            <w:noWrap/>
            <w:vAlign w:val="center"/>
            <w:hideMark/>
          </w:tcPr>
          <w:p w14:paraId="6E43179C"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125%</w:t>
            </w:r>
          </w:p>
        </w:tc>
        <w:tc>
          <w:tcPr>
            <w:tcW w:w="549" w:type="pct"/>
            <w:tcBorders>
              <w:top w:val="single" w:sz="4" w:space="0" w:color="auto"/>
              <w:left w:val="nil"/>
              <w:bottom w:val="single" w:sz="4" w:space="0" w:color="auto"/>
              <w:right w:val="single" w:sz="4" w:space="0" w:color="auto"/>
            </w:tcBorders>
            <w:shd w:val="clear" w:color="auto" w:fill="auto"/>
            <w:noWrap/>
            <w:vAlign w:val="center"/>
            <w:hideMark/>
          </w:tcPr>
          <w:p w14:paraId="1EEDACE4"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0,1%</w:t>
            </w:r>
          </w:p>
        </w:tc>
        <w:tc>
          <w:tcPr>
            <w:tcW w:w="615" w:type="pct"/>
            <w:tcBorders>
              <w:top w:val="single" w:sz="4" w:space="0" w:color="auto"/>
              <w:left w:val="nil"/>
              <w:bottom w:val="single" w:sz="4" w:space="0" w:color="auto"/>
              <w:right w:val="single" w:sz="4" w:space="0" w:color="auto"/>
            </w:tcBorders>
            <w:shd w:val="clear" w:color="auto" w:fill="auto"/>
            <w:noWrap/>
            <w:vAlign w:val="center"/>
            <w:hideMark/>
          </w:tcPr>
          <w:p w14:paraId="1F0E6BFD"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87%</w:t>
            </w:r>
          </w:p>
        </w:tc>
      </w:tr>
      <w:tr w:rsidR="007E7C3A" w:rsidRPr="006E2930" w14:paraId="3CE46C47" w14:textId="77777777" w:rsidTr="00F45709">
        <w:trPr>
          <w:trHeight w:val="170"/>
          <w:tblHeader/>
        </w:trPr>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E0A850" w14:textId="77777777" w:rsidR="007E7C3A" w:rsidRPr="006E2930" w:rsidRDefault="007E7C3A" w:rsidP="00F45709">
            <w:pPr>
              <w:jc w:val="center"/>
              <w:rPr>
                <w:rFonts w:eastAsia="Times New Roman" w:cstheme="minorHAnsi"/>
                <w:sz w:val="20"/>
                <w:szCs w:val="20"/>
                <w:lang w:eastAsia="hr-HR"/>
              </w:rPr>
            </w:pPr>
            <w:r w:rsidRPr="006E2930">
              <w:rPr>
                <w:rFonts w:eastAsia="Times New Roman" w:cstheme="minorHAnsi"/>
                <w:sz w:val="20"/>
                <w:szCs w:val="20"/>
                <w:lang w:eastAsia="hr-HR"/>
              </w:rPr>
              <w:t>6.</w:t>
            </w:r>
          </w:p>
        </w:tc>
        <w:tc>
          <w:tcPr>
            <w:tcW w:w="1415" w:type="pct"/>
            <w:tcBorders>
              <w:top w:val="single" w:sz="4" w:space="0" w:color="auto"/>
              <w:left w:val="nil"/>
              <w:bottom w:val="single" w:sz="4" w:space="0" w:color="auto"/>
              <w:right w:val="single" w:sz="4" w:space="0" w:color="auto"/>
            </w:tcBorders>
            <w:shd w:val="clear" w:color="auto" w:fill="auto"/>
            <w:vAlign w:val="center"/>
            <w:hideMark/>
          </w:tcPr>
          <w:p w14:paraId="48A5DEFA" w14:textId="77777777" w:rsidR="007E7C3A" w:rsidRPr="006E2930" w:rsidRDefault="007E7C3A" w:rsidP="00F45709">
            <w:pPr>
              <w:rPr>
                <w:rFonts w:eastAsia="Times New Roman" w:cstheme="minorHAnsi"/>
                <w:sz w:val="20"/>
                <w:szCs w:val="20"/>
                <w:lang w:eastAsia="hr-HR"/>
              </w:rPr>
            </w:pPr>
            <w:r w:rsidRPr="006E2930">
              <w:rPr>
                <w:rFonts w:eastAsia="Times New Roman" w:cstheme="minorHAnsi"/>
                <w:sz w:val="20"/>
                <w:szCs w:val="20"/>
                <w:lang w:eastAsia="hr-HR"/>
              </w:rPr>
              <w:t xml:space="preserve">Premije osiguranja </w:t>
            </w:r>
          </w:p>
        </w:tc>
        <w:tc>
          <w:tcPr>
            <w:tcW w:w="549" w:type="pct"/>
            <w:tcBorders>
              <w:top w:val="single" w:sz="4" w:space="0" w:color="auto"/>
              <w:left w:val="nil"/>
              <w:bottom w:val="single" w:sz="4" w:space="0" w:color="auto"/>
              <w:right w:val="single" w:sz="4" w:space="0" w:color="auto"/>
            </w:tcBorders>
            <w:shd w:val="clear" w:color="auto" w:fill="auto"/>
            <w:noWrap/>
            <w:vAlign w:val="center"/>
            <w:hideMark/>
          </w:tcPr>
          <w:p w14:paraId="1E67F576"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78.647</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14:paraId="15408523"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94.803</w:t>
            </w:r>
          </w:p>
        </w:tc>
        <w:tc>
          <w:tcPr>
            <w:tcW w:w="614" w:type="pct"/>
            <w:tcBorders>
              <w:top w:val="single" w:sz="4" w:space="0" w:color="auto"/>
              <w:left w:val="nil"/>
              <w:bottom w:val="single" w:sz="4" w:space="0" w:color="auto"/>
              <w:right w:val="single" w:sz="4" w:space="0" w:color="auto"/>
            </w:tcBorders>
            <w:shd w:val="clear" w:color="auto" w:fill="auto"/>
            <w:noWrap/>
            <w:vAlign w:val="center"/>
            <w:hideMark/>
          </w:tcPr>
          <w:p w14:paraId="67405E50"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92.031</w:t>
            </w:r>
          </w:p>
        </w:tc>
        <w:tc>
          <w:tcPr>
            <w:tcW w:w="481" w:type="pct"/>
            <w:tcBorders>
              <w:top w:val="single" w:sz="4" w:space="0" w:color="auto"/>
              <w:left w:val="nil"/>
              <w:bottom w:val="single" w:sz="4" w:space="0" w:color="auto"/>
              <w:right w:val="single" w:sz="4" w:space="0" w:color="auto"/>
            </w:tcBorders>
            <w:shd w:val="clear" w:color="auto" w:fill="auto"/>
            <w:noWrap/>
            <w:vAlign w:val="center"/>
            <w:hideMark/>
          </w:tcPr>
          <w:p w14:paraId="2B6F11A9"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97%</w:t>
            </w:r>
          </w:p>
        </w:tc>
        <w:tc>
          <w:tcPr>
            <w:tcW w:w="549" w:type="pct"/>
            <w:tcBorders>
              <w:top w:val="single" w:sz="4" w:space="0" w:color="auto"/>
              <w:left w:val="nil"/>
              <w:bottom w:val="single" w:sz="4" w:space="0" w:color="auto"/>
              <w:right w:val="single" w:sz="4" w:space="0" w:color="auto"/>
            </w:tcBorders>
            <w:shd w:val="clear" w:color="auto" w:fill="auto"/>
            <w:noWrap/>
            <w:vAlign w:val="center"/>
            <w:hideMark/>
          </w:tcPr>
          <w:p w14:paraId="5F0537C4"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1%</w:t>
            </w:r>
          </w:p>
        </w:tc>
        <w:tc>
          <w:tcPr>
            <w:tcW w:w="615" w:type="pct"/>
            <w:tcBorders>
              <w:top w:val="single" w:sz="4" w:space="0" w:color="auto"/>
              <w:left w:val="nil"/>
              <w:bottom w:val="single" w:sz="4" w:space="0" w:color="auto"/>
              <w:right w:val="single" w:sz="4" w:space="0" w:color="auto"/>
            </w:tcBorders>
            <w:shd w:val="clear" w:color="auto" w:fill="auto"/>
            <w:noWrap/>
            <w:vAlign w:val="center"/>
            <w:hideMark/>
          </w:tcPr>
          <w:p w14:paraId="66393CF5"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117%</w:t>
            </w:r>
          </w:p>
        </w:tc>
      </w:tr>
      <w:tr w:rsidR="007E7C3A" w:rsidRPr="006E2930" w14:paraId="23B2F9E5" w14:textId="77777777" w:rsidTr="00F45709">
        <w:trPr>
          <w:trHeight w:val="170"/>
          <w:tblHeader/>
        </w:trPr>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1AC180" w14:textId="77777777" w:rsidR="007E7C3A" w:rsidRPr="006E2930" w:rsidRDefault="007E7C3A" w:rsidP="00F45709">
            <w:pPr>
              <w:jc w:val="center"/>
              <w:rPr>
                <w:rFonts w:eastAsia="Times New Roman" w:cstheme="minorHAnsi"/>
                <w:sz w:val="20"/>
                <w:szCs w:val="20"/>
                <w:lang w:eastAsia="hr-HR"/>
              </w:rPr>
            </w:pPr>
            <w:r w:rsidRPr="006E2930">
              <w:rPr>
                <w:rFonts w:eastAsia="Times New Roman" w:cstheme="minorHAnsi"/>
                <w:sz w:val="20"/>
                <w:szCs w:val="20"/>
                <w:lang w:eastAsia="hr-HR"/>
              </w:rPr>
              <w:t>7.</w:t>
            </w:r>
          </w:p>
        </w:tc>
        <w:tc>
          <w:tcPr>
            <w:tcW w:w="1415" w:type="pct"/>
            <w:tcBorders>
              <w:top w:val="single" w:sz="4" w:space="0" w:color="auto"/>
              <w:left w:val="nil"/>
              <w:bottom w:val="single" w:sz="4" w:space="0" w:color="auto"/>
              <w:right w:val="single" w:sz="4" w:space="0" w:color="auto"/>
            </w:tcBorders>
            <w:shd w:val="clear" w:color="auto" w:fill="auto"/>
            <w:vAlign w:val="center"/>
            <w:hideMark/>
          </w:tcPr>
          <w:p w14:paraId="777E1FF1" w14:textId="77777777" w:rsidR="007E7C3A" w:rsidRPr="006E2930" w:rsidRDefault="007E7C3A" w:rsidP="00F45709">
            <w:pPr>
              <w:rPr>
                <w:rFonts w:eastAsia="Times New Roman" w:cstheme="minorHAnsi"/>
                <w:sz w:val="20"/>
                <w:szCs w:val="20"/>
                <w:lang w:eastAsia="hr-HR"/>
              </w:rPr>
            </w:pPr>
            <w:r w:rsidRPr="006E2930">
              <w:rPr>
                <w:rFonts w:eastAsia="Times New Roman" w:cstheme="minorHAnsi"/>
                <w:sz w:val="20"/>
                <w:szCs w:val="20"/>
                <w:lang w:eastAsia="hr-HR"/>
              </w:rPr>
              <w:t>Ostali vanjski troškovi-usluge najma prostora, vanjskih suradnika, studenata, privremenih radnika, digitalizacije</w:t>
            </w:r>
          </w:p>
        </w:tc>
        <w:tc>
          <w:tcPr>
            <w:tcW w:w="549" w:type="pct"/>
            <w:tcBorders>
              <w:top w:val="single" w:sz="4" w:space="0" w:color="auto"/>
              <w:left w:val="nil"/>
              <w:bottom w:val="single" w:sz="4" w:space="0" w:color="auto"/>
              <w:right w:val="single" w:sz="4" w:space="0" w:color="auto"/>
            </w:tcBorders>
            <w:shd w:val="clear" w:color="auto" w:fill="auto"/>
            <w:noWrap/>
            <w:vAlign w:val="center"/>
            <w:hideMark/>
          </w:tcPr>
          <w:p w14:paraId="3C9C5597"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975.264</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14:paraId="548C5134"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1.048.326</w:t>
            </w:r>
          </w:p>
        </w:tc>
        <w:tc>
          <w:tcPr>
            <w:tcW w:w="614" w:type="pct"/>
            <w:tcBorders>
              <w:top w:val="single" w:sz="4" w:space="0" w:color="auto"/>
              <w:left w:val="nil"/>
              <w:bottom w:val="single" w:sz="4" w:space="0" w:color="auto"/>
              <w:right w:val="single" w:sz="4" w:space="0" w:color="auto"/>
            </w:tcBorders>
            <w:shd w:val="clear" w:color="auto" w:fill="auto"/>
            <w:noWrap/>
            <w:vAlign w:val="center"/>
            <w:hideMark/>
          </w:tcPr>
          <w:p w14:paraId="26141F72"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982.008</w:t>
            </w:r>
          </w:p>
        </w:tc>
        <w:tc>
          <w:tcPr>
            <w:tcW w:w="481" w:type="pct"/>
            <w:tcBorders>
              <w:top w:val="single" w:sz="4" w:space="0" w:color="auto"/>
              <w:left w:val="nil"/>
              <w:bottom w:val="single" w:sz="4" w:space="0" w:color="auto"/>
              <w:right w:val="single" w:sz="4" w:space="0" w:color="auto"/>
            </w:tcBorders>
            <w:shd w:val="clear" w:color="auto" w:fill="auto"/>
            <w:noWrap/>
            <w:vAlign w:val="center"/>
            <w:hideMark/>
          </w:tcPr>
          <w:p w14:paraId="6D070CF0"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94%</w:t>
            </w:r>
          </w:p>
        </w:tc>
        <w:tc>
          <w:tcPr>
            <w:tcW w:w="549" w:type="pct"/>
            <w:tcBorders>
              <w:top w:val="single" w:sz="4" w:space="0" w:color="auto"/>
              <w:left w:val="nil"/>
              <w:bottom w:val="single" w:sz="4" w:space="0" w:color="auto"/>
              <w:right w:val="single" w:sz="4" w:space="0" w:color="auto"/>
            </w:tcBorders>
            <w:shd w:val="clear" w:color="auto" w:fill="auto"/>
            <w:noWrap/>
            <w:vAlign w:val="center"/>
            <w:hideMark/>
          </w:tcPr>
          <w:p w14:paraId="428839B1"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8%</w:t>
            </w:r>
          </w:p>
        </w:tc>
        <w:tc>
          <w:tcPr>
            <w:tcW w:w="615" w:type="pct"/>
            <w:tcBorders>
              <w:top w:val="single" w:sz="4" w:space="0" w:color="auto"/>
              <w:left w:val="nil"/>
              <w:bottom w:val="single" w:sz="4" w:space="0" w:color="auto"/>
              <w:right w:val="single" w:sz="4" w:space="0" w:color="auto"/>
            </w:tcBorders>
            <w:shd w:val="clear" w:color="auto" w:fill="auto"/>
            <w:noWrap/>
            <w:vAlign w:val="center"/>
            <w:hideMark/>
          </w:tcPr>
          <w:p w14:paraId="7F1A015B"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101%</w:t>
            </w:r>
          </w:p>
        </w:tc>
      </w:tr>
      <w:tr w:rsidR="007E7C3A" w:rsidRPr="006E2930" w14:paraId="25F6EF94" w14:textId="77777777" w:rsidTr="00F45709">
        <w:trPr>
          <w:trHeight w:val="170"/>
          <w:tblHeader/>
        </w:trPr>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298728" w14:textId="77777777" w:rsidR="007E7C3A" w:rsidRPr="006E2930" w:rsidRDefault="007E7C3A" w:rsidP="00F45709">
            <w:pPr>
              <w:jc w:val="center"/>
              <w:rPr>
                <w:rFonts w:eastAsia="Times New Roman" w:cstheme="minorHAnsi"/>
                <w:sz w:val="20"/>
                <w:szCs w:val="20"/>
                <w:lang w:eastAsia="hr-HR"/>
              </w:rPr>
            </w:pPr>
            <w:r w:rsidRPr="006E2930">
              <w:rPr>
                <w:rFonts w:eastAsia="Times New Roman" w:cstheme="minorHAnsi"/>
                <w:sz w:val="20"/>
                <w:szCs w:val="20"/>
                <w:lang w:eastAsia="hr-HR"/>
              </w:rPr>
              <w:t>8.</w:t>
            </w:r>
          </w:p>
        </w:tc>
        <w:tc>
          <w:tcPr>
            <w:tcW w:w="1415" w:type="pct"/>
            <w:tcBorders>
              <w:top w:val="single" w:sz="4" w:space="0" w:color="auto"/>
              <w:left w:val="nil"/>
              <w:bottom w:val="single" w:sz="4" w:space="0" w:color="auto"/>
              <w:right w:val="single" w:sz="4" w:space="0" w:color="auto"/>
            </w:tcBorders>
            <w:shd w:val="clear" w:color="auto" w:fill="auto"/>
            <w:vAlign w:val="center"/>
            <w:hideMark/>
          </w:tcPr>
          <w:p w14:paraId="6832CF83" w14:textId="77777777" w:rsidR="007E7C3A" w:rsidRPr="006E2930" w:rsidRDefault="007E7C3A" w:rsidP="00F45709">
            <w:pPr>
              <w:rPr>
                <w:rFonts w:eastAsia="Times New Roman" w:cstheme="minorHAnsi"/>
                <w:sz w:val="20"/>
                <w:szCs w:val="20"/>
                <w:lang w:eastAsia="hr-HR"/>
              </w:rPr>
            </w:pPr>
            <w:r w:rsidRPr="006E2930">
              <w:rPr>
                <w:rFonts w:eastAsia="Times New Roman" w:cstheme="minorHAnsi"/>
                <w:sz w:val="20"/>
                <w:szCs w:val="20"/>
                <w:lang w:eastAsia="hr-HR"/>
              </w:rPr>
              <w:t>Potpore, naknade, prigodne i ostale nagrade</w:t>
            </w:r>
          </w:p>
        </w:tc>
        <w:tc>
          <w:tcPr>
            <w:tcW w:w="549" w:type="pct"/>
            <w:tcBorders>
              <w:top w:val="single" w:sz="4" w:space="0" w:color="auto"/>
              <w:left w:val="nil"/>
              <w:bottom w:val="single" w:sz="4" w:space="0" w:color="auto"/>
              <w:right w:val="single" w:sz="4" w:space="0" w:color="auto"/>
            </w:tcBorders>
            <w:shd w:val="clear" w:color="auto" w:fill="auto"/>
            <w:noWrap/>
            <w:vAlign w:val="center"/>
            <w:hideMark/>
          </w:tcPr>
          <w:p w14:paraId="004FC776"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623.612</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14:paraId="0FA39871"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660.730</w:t>
            </w:r>
          </w:p>
        </w:tc>
        <w:tc>
          <w:tcPr>
            <w:tcW w:w="614" w:type="pct"/>
            <w:tcBorders>
              <w:top w:val="single" w:sz="4" w:space="0" w:color="auto"/>
              <w:left w:val="nil"/>
              <w:bottom w:val="single" w:sz="4" w:space="0" w:color="auto"/>
              <w:right w:val="single" w:sz="4" w:space="0" w:color="auto"/>
            </w:tcBorders>
            <w:shd w:val="clear" w:color="auto" w:fill="auto"/>
            <w:noWrap/>
            <w:vAlign w:val="center"/>
            <w:hideMark/>
          </w:tcPr>
          <w:p w14:paraId="121BDEBA"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643.888</w:t>
            </w:r>
          </w:p>
        </w:tc>
        <w:tc>
          <w:tcPr>
            <w:tcW w:w="481" w:type="pct"/>
            <w:tcBorders>
              <w:top w:val="single" w:sz="4" w:space="0" w:color="auto"/>
              <w:left w:val="nil"/>
              <w:bottom w:val="single" w:sz="4" w:space="0" w:color="auto"/>
              <w:right w:val="single" w:sz="4" w:space="0" w:color="auto"/>
            </w:tcBorders>
            <w:shd w:val="clear" w:color="auto" w:fill="auto"/>
            <w:noWrap/>
            <w:vAlign w:val="center"/>
            <w:hideMark/>
          </w:tcPr>
          <w:p w14:paraId="523C45D7"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97%</w:t>
            </w:r>
          </w:p>
        </w:tc>
        <w:tc>
          <w:tcPr>
            <w:tcW w:w="549" w:type="pct"/>
            <w:tcBorders>
              <w:top w:val="single" w:sz="4" w:space="0" w:color="auto"/>
              <w:left w:val="nil"/>
              <w:bottom w:val="single" w:sz="4" w:space="0" w:color="auto"/>
              <w:right w:val="single" w:sz="4" w:space="0" w:color="auto"/>
            </w:tcBorders>
            <w:shd w:val="clear" w:color="auto" w:fill="auto"/>
            <w:noWrap/>
            <w:vAlign w:val="center"/>
            <w:hideMark/>
          </w:tcPr>
          <w:p w14:paraId="6D5024F2"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5%</w:t>
            </w:r>
          </w:p>
        </w:tc>
        <w:tc>
          <w:tcPr>
            <w:tcW w:w="615" w:type="pct"/>
            <w:tcBorders>
              <w:top w:val="single" w:sz="4" w:space="0" w:color="auto"/>
              <w:left w:val="nil"/>
              <w:bottom w:val="single" w:sz="4" w:space="0" w:color="auto"/>
              <w:right w:val="single" w:sz="4" w:space="0" w:color="auto"/>
            </w:tcBorders>
            <w:shd w:val="clear" w:color="auto" w:fill="auto"/>
            <w:noWrap/>
            <w:vAlign w:val="center"/>
            <w:hideMark/>
          </w:tcPr>
          <w:p w14:paraId="36A65425"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103%</w:t>
            </w:r>
          </w:p>
        </w:tc>
      </w:tr>
      <w:tr w:rsidR="007E7C3A" w:rsidRPr="006E2930" w14:paraId="08B15E9B" w14:textId="77777777" w:rsidTr="00F45709">
        <w:trPr>
          <w:trHeight w:val="170"/>
          <w:tblHeader/>
        </w:trPr>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51B5F8" w14:textId="77777777" w:rsidR="007E7C3A" w:rsidRPr="006E2930" w:rsidRDefault="007E7C3A" w:rsidP="00F45709">
            <w:pPr>
              <w:jc w:val="center"/>
              <w:rPr>
                <w:rFonts w:eastAsia="Times New Roman" w:cstheme="minorHAnsi"/>
                <w:sz w:val="20"/>
                <w:szCs w:val="20"/>
                <w:lang w:eastAsia="hr-HR"/>
              </w:rPr>
            </w:pPr>
            <w:r w:rsidRPr="006E2930">
              <w:rPr>
                <w:rFonts w:eastAsia="Times New Roman" w:cstheme="minorHAnsi"/>
                <w:sz w:val="20"/>
                <w:szCs w:val="20"/>
                <w:lang w:eastAsia="hr-HR"/>
              </w:rPr>
              <w:t>9.</w:t>
            </w:r>
          </w:p>
        </w:tc>
        <w:tc>
          <w:tcPr>
            <w:tcW w:w="1415" w:type="pct"/>
            <w:tcBorders>
              <w:top w:val="single" w:sz="4" w:space="0" w:color="auto"/>
              <w:left w:val="nil"/>
              <w:bottom w:val="single" w:sz="4" w:space="0" w:color="auto"/>
              <w:right w:val="single" w:sz="4" w:space="0" w:color="auto"/>
            </w:tcBorders>
            <w:shd w:val="clear" w:color="auto" w:fill="auto"/>
            <w:vAlign w:val="center"/>
            <w:hideMark/>
          </w:tcPr>
          <w:p w14:paraId="12BE9D39" w14:textId="77777777" w:rsidR="007E7C3A" w:rsidRPr="006E2930" w:rsidRDefault="007E7C3A" w:rsidP="00F45709">
            <w:pPr>
              <w:rPr>
                <w:rFonts w:eastAsia="Times New Roman" w:cstheme="minorHAnsi"/>
                <w:sz w:val="20"/>
                <w:szCs w:val="20"/>
                <w:lang w:eastAsia="hr-HR"/>
              </w:rPr>
            </w:pPr>
            <w:r w:rsidRPr="006E2930">
              <w:rPr>
                <w:rFonts w:eastAsia="Times New Roman" w:cstheme="minorHAnsi"/>
                <w:sz w:val="20"/>
                <w:szCs w:val="20"/>
                <w:lang w:eastAsia="hr-HR"/>
              </w:rPr>
              <w:t>Amortizacija</w:t>
            </w:r>
          </w:p>
        </w:tc>
        <w:tc>
          <w:tcPr>
            <w:tcW w:w="549" w:type="pct"/>
            <w:tcBorders>
              <w:top w:val="single" w:sz="4" w:space="0" w:color="auto"/>
              <w:left w:val="nil"/>
              <w:bottom w:val="single" w:sz="4" w:space="0" w:color="auto"/>
              <w:right w:val="single" w:sz="4" w:space="0" w:color="auto"/>
            </w:tcBorders>
            <w:shd w:val="clear" w:color="auto" w:fill="auto"/>
            <w:noWrap/>
            <w:vAlign w:val="center"/>
            <w:hideMark/>
          </w:tcPr>
          <w:p w14:paraId="35A25B0A"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319.331</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14:paraId="308B657A"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400.000</w:t>
            </w:r>
          </w:p>
        </w:tc>
        <w:tc>
          <w:tcPr>
            <w:tcW w:w="614" w:type="pct"/>
            <w:tcBorders>
              <w:top w:val="single" w:sz="4" w:space="0" w:color="auto"/>
              <w:left w:val="nil"/>
              <w:bottom w:val="single" w:sz="4" w:space="0" w:color="auto"/>
              <w:right w:val="single" w:sz="4" w:space="0" w:color="auto"/>
            </w:tcBorders>
            <w:shd w:val="clear" w:color="auto" w:fill="auto"/>
            <w:noWrap/>
            <w:vAlign w:val="center"/>
            <w:hideMark/>
          </w:tcPr>
          <w:p w14:paraId="6EC0C0CD"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436.024</w:t>
            </w:r>
          </w:p>
        </w:tc>
        <w:tc>
          <w:tcPr>
            <w:tcW w:w="481" w:type="pct"/>
            <w:tcBorders>
              <w:top w:val="single" w:sz="4" w:space="0" w:color="auto"/>
              <w:left w:val="nil"/>
              <w:bottom w:val="single" w:sz="4" w:space="0" w:color="auto"/>
              <w:right w:val="single" w:sz="4" w:space="0" w:color="auto"/>
            </w:tcBorders>
            <w:shd w:val="clear" w:color="auto" w:fill="auto"/>
            <w:noWrap/>
            <w:vAlign w:val="center"/>
            <w:hideMark/>
          </w:tcPr>
          <w:p w14:paraId="73B15D40"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109%</w:t>
            </w:r>
          </w:p>
        </w:tc>
        <w:tc>
          <w:tcPr>
            <w:tcW w:w="549" w:type="pct"/>
            <w:tcBorders>
              <w:top w:val="single" w:sz="4" w:space="0" w:color="auto"/>
              <w:left w:val="nil"/>
              <w:bottom w:val="single" w:sz="4" w:space="0" w:color="auto"/>
              <w:right w:val="single" w:sz="4" w:space="0" w:color="auto"/>
            </w:tcBorders>
            <w:shd w:val="clear" w:color="auto" w:fill="auto"/>
            <w:noWrap/>
            <w:vAlign w:val="center"/>
            <w:hideMark/>
          </w:tcPr>
          <w:p w14:paraId="765345ED"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3%</w:t>
            </w:r>
          </w:p>
        </w:tc>
        <w:tc>
          <w:tcPr>
            <w:tcW w:w="615" w:type="pct"/>
            <w:tcBorders>
              <w:top w:val="single" w:sz="4" w:space="0" w:color="auto"/>
              <w:left w:val="nil"/>
              <w:bottom w:val="single" w:sz="4" w:space="0" w:color="auto"/>
              <w:right w:val="single" w:sz="4" w:space="0" w:color="auto"/>
            </w:tcBorders>
            <w:shd w:val="clear" w:color="auto" w:fill="auto"/>
            <w:noWrap/>
            <w:vAlign w:val="center"/>
            <w:hideMark/>
          </w:tcPr>
          <w:p w14:paraId="73AE81AA"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137%</w:t>
            </w:r>
          </w:p>
        </w:tc>
      </w:tr>
      <w:tr w:rsidR="007E7C3A" w:rsidRPr="006E2930" w14:paraId="0F9C5036" w14:textId="77777777" w:rsidTr="00F45709">
        <w:trPr>
          <w:trHeight w:val="170"/>
          <w:tblHeader/>
        </w:trPr>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871FED" w14:textId="77777777" w:rsidR="007E7C3A" w:rsidRPr="006E2930" w:rsidRDefault="007E7C3A" w:rsidP="00F45709">
            <w:pPr>
              <w:jc w:val="center"/>
              <w:rPr>
                <w:rFonts w:eastAsia="Times New Roman" w:cstheme="minorHAnsi"/>
                <w:sz w:val="20"/>
                <w:szCs w:val="20"/>
                <w:lang w:eastAsia="hr-HR"/>
              </w:rPr>
            </w:pPr>
            <w:r w:rsidRPr="006E2930">
              <w:rPr>
                <w:rFonts w:eastAsia="Times New Roman" w:cstheme="minorHAnsi"/>
                <w:sz w:val="20"/>
                <w:szCs w:val="20"/>
                <w:lang w:eastAsia="hr-HR"/>
              </w:rPr>
              <w:t>10.</w:t>
            </w:r>
          </w:p>
        </w:tc>
        <w:tc>
          <w:tcPr>
            <w:tcW w:w="1415" w:type="pct"/>
            <w:tcBorders>
              <w:top w:val="single" w:sz="4" w:space="0" w:color="auto"/>
              <w:left w:val="nil"/>
              <w:bottom w:val="single" w:sz="4" w:space="0" w:color="auto"/>
              <w:right w:val="single" w:sz="4" w:space="0" w:color="auto"/>
            </w:tcBorders>
            <w:shd w:val="clear" w:color="auto" w:fill="auto"/>
            <w:vAlign w:val="center"/>
            <w:hideMark/>
          </w:tcPr>
          <w:p w14:paraId="35E082BE" w14:textId="77777777" w:rsidR="007E7C3A" w:rsidRPr="006E2930" w:rsidRDefault="007E7C3A" w:rsidP="00F45709">
            <w:pPr>
              <w:rPr>
                <w:rFonts w:eastAsia="Times New Roman" w:cstheme="minorHAnsi"/>
                <w:sz w:val="20"/>
                <w:szCs w:val="20"/>
                <w:lang w:eastAsia="hr-HR"/>
              </w:rPr>
            </w:pPr>
            <w:r w:rsidRPr="006E2930">
              <w:rPr>
                <w:rFonts w:eastAsia="Times New Roman" w:cstheme="minorHAnsi"/>
                <w:sz w:val="20"/>
                <w:szCs w:val="20"/>
                <w:lang w:eastAsia="hr-HR"/>
              </w:rPr>
              <w:t>Troškovi osoblja - neto plaće i nadoknade</w:t>
            </w:r>
          </w:p>
        </w:tc>
        <w:tc>
          <w:tcPr>
            <w:tcW w:w="549" w:type="pct"/>
            <w:tcBorders>
              <w:top w:val="single" w:sz="4" w:space="0" w:color="auto"/>
              <w:left w:val="nil"/>
              <w:bottom w:val="single" w:sz="4" w:space="0" w:color="auto"/>
              <w:right w:val="single" w:sz="4" w:space="0" w:color="auto"/>
            </w:tcBorders>
            <w:shd w:val="clear" w:color="auto" w:fill="auto"/>
            <w:noWrap/>
            <w:vAlign w:val="center"/>
            <w:hideMark/>
          </w:tcPr>
          <w:p w14:paraId="01047CFB"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4.247.942</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14:paraId="243B6760"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4.616.597</w:t>
            </w:r>
          </w:p>
        </w:tc>
        <w:tc>
          <w:tcPr>
            <w:tcW w:w="614" w:type="pct"/>
            <w:tcBorders>
              <w:top w:val="single" w:sz="4" w:space="0" w:color="auto"/>
              <w:left w:val="nil"/>
              <w:bottom w:val="single" w:sz="4" w:space="0" w:color="auto"/>
              <w:right w:val="single" w:sz="4" w:space="0" w:color="auto"/>
            </w:tcBorders>
            <w:shd w:val="clear" w:color="auto" w:fill="auto"/>
            <w:noWrap/>
            <w:vAlign w:val="center"/>
            <w:hideMark/>
          </w:tcPr>
          <w:p w14:paraId="15F99E94"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4.646.637</w:t>
            </w:r>
          </w:p>
        </w:tc>
        <w:tc>
          <w:tcPr>
            <w:tcW w:w="481" w:type="pct"/>
            <w:tcBorders>
              <w:top w:val="single" w:sz="4" w:space="0" w:color="auto"/>
              <w:left w:val="nil"/>
              <w:bottom w:val="single" w:sz="4" w:space="0" w:color="auto"/>
              <w:right w:val="single" w:sz="4" w:space="0" w:color="auto"/>
            </w:tcBorders>
            <w:shd w:val="clear" w:color="auto" w:fill="auto"/>
            <w:noWrap/>
            <w:vAlign w:val="center"/>
            <w:hideMark/>
          </w:tcPr>
          <w:p w14:paraId="2445446F"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101%</w:t>
            </w:r>
          </w:p>
        </w:tc>
        <w:tc>
          <w:tcPr>
            <w:tcW w:w="549" w:type="pct"/>
            <w:tcBorders>
              <w:top w:val="single" w:sz="4" w:space="0" w:color="auto"/>
              <w:left w:val="nil"/>
              <w:bottom w:val="single" w:sz="4" w:space="0" w:color="auto"/>
              <w:right w:val="single" w:sz="4" w:space="0" w:color="auto"/>
            </w:tcBorders>
            <w:shd w:val="clear" w:color="auto" w:fill="auto"/>
            <w:noWrap/>
            <w:vAlign w:val="center"/>
            <w:hideMark/>
          </w:tcPr>
          <w:p w14:paraId="105F1C0C"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36%</w:t>
            </w:r>
          </w:p>
        </w:tc>
        <w:tc>
          <w:tcPr>
            <w:tcW w:w="615" w:type="pct"/>
            <w:tcBorders>
              <w:top w:val="single" w:sz="4" w:space="0" w:color="auto"/>
              <w:left w:val="nil"/>
              <w:bottom w:val="single" w:sz="4" w:space="0" w:color="auto"/>
              <w:right w:val="single" w:sz="4" w:space="0" w:color="auto"/>
            </w:tcBorders>
            <w:shd w:val="clear" w:color="auto" w:fill="auto"/>
            <w:noWrap/>
            <w:vAlign w:val="center"/>
            <w:hideMark/>
          </w:tcPr>
          <w:p w14:paraId="2BC3BFA8"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109%</w:t>
            </w:r>
          </w:p>
        </w:tc>
      </w:tr>
      <w:tr w:rsidR="007E7C3A" w:rsidRPr="006E2930" w14:paraId="76E6091B" w14:textId="77777777" w:rsidTr="00F45709">
        <w:trPr>
          <w:trHeight w:val="170"/>
          <w:tblHeader/>
        </w:trPr>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BDDDF9" w14:textId="77777777" w:rsidR="007E7C3A" w:rsidRPr="006E2930" w:rsidRDefault="007E7C3A" w:rsidP="00F45709">
            <w:pPr>
              <w:jc w:val="center"/>
              <w:rPr>
                <w:rFonts w:eastAsia="Times New Roman" w:cstheme="minorHAnsi"/>
                <w:sz w:val="20"/>
                <w:szCs w:val="20"/>
                <w:lang w:eastAsia="hr-HR"/>
              </w:rPr>
            </w:pPr>
            <w:r w:rsidRPr="006E2930">
              <w:rPr>
                <w:rFonts w:eastAsia="Times New Roman" w:cstheme="minorHAnsi"/>
                <w:sz w:val="20"/>
                <w:szCs w:val="20"/>
                <w:lang w:eastAsia="hr-HR"/>
              </w:rPr>
              <w:t>11.</w:t>
            </w:r>
          </w:p>
        </w:tc>
        <w:tc>
          <w:tcPr>
            <w:tcW w:w="1415" w:type="pct"/>
            <w:tcBorders>
              <w:top w:val="single" w:sz="4" w:space="0" w:color="auto"/>
              <w:left w:val="nil"/>
              <w:bottom w:val="single" w:sz="4" w:space="0" w:color="auto"/>
              <w:right w:val="single" w:sz="4" w:space="0" w:color="auto"/>
            </w:tcBorders>
            <w:shd w:val="clear" w:color="auto" w:fill="auto"/>
            <w:vAlign w:val="center"/>
            <w:hideMark/>
          </w:tcPr>
          <w:p w14:paraId="60F9A469" w14:textId="77777777" w:rsidR="007E7C3A" w:rsidRPr="006E2930" w:rsidRDefault="007E7C3A" w:rsidP="00F45709">
            <w:pPr>
              <w:rPr>
                <w:rFonts w:eastAsia="Times New Roman" w:cstheme="minorHAnsi"/>
                <w:sz w:val="20"/>
                <w:szCs w:val="20"/>
                <w:lang w:eastAsia="hr-HR"/>
              </w:rPr>
            </w:pPr>
            <w:r w:rsidRPr="006E2930">
              <w:rPr>
                <w:rFonts w:eastAsia="Times New Roman" w:cstheme="minorHAnsi"/>
                <w:sz w:val="20"/>
                <w:szCs w:val="20"/>
                <w:lang w:eastAsia="hr-HR"/>
              </w:rPr>
              <w:t>Troškovi osoblja - porez, prirez, doprinosi iz plaća</w:t>
            </w:r>
          </w:p>
        </w:tc>
        <w:tc>
          <w:tcPr>
            <w:tcW w:w="549" w:type="pct"/>
            <w:tcBorders>
              <w:top w:val="single" w:sz="4" w:space="0" w:color="auto"/>
              <w:left w:val="nil"/>
              <w:bottom w:val="single" w:sz="4" w:space="0" w:color="auto"/>
              <w:right w:val="single" w:sz="4" w:space="0" w:color="auto"/>
            </w:tcBorders>
            <w:shd w:val="clear" w:color="auto" w:fill="auto"/>
            <w:noWrap/>
            <w:vAlign w:val="center"/>
            <w:hideMark/>
          </w:tcPr>
          <w:p w14:paraId="6425379E"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1.955.198</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14:paraId="02D3A2AF"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2.151.765</w:t>
            </w:r>
          </w:p>
        </w:tc>
        <w:tc>
          <w:tcPr>
            <w:tcW w:w="614" w:type="pct"/>
            <w:tcBorders>
              <w:top w:val="single" w:sz="4" w:space="0" w:color="auto"/>
              <w:left w:val="nil"/>
              <w:bottom w:val="single" w:sz="4" w:space="0" w:color="auto"/>
              <w:right w:val="single" w:sz="4" w:space="0" w:color="auto"/>
            </w:tcBorders>
            <w:shd w:val="clear" w:color="auto" w:fill="auto"/>
            <w:noWrap/>
            <w:vAlign w:val="center"/>
            <w:hideMark/>
          </w:tcPr>
          <w:p w14:paraId="0C14D7D6"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2.166.309</w:t>
            </w:r>
          </w:p>
        </w:tc>
        <w:tc>
          <w:tcPr>
            <w:tcW w:w="481" w:type="pct"/>
            <w:tcBorders>
              <w:top w:val="single" w:sz="4" w:space="0" w:color="auto"/>
              <w:left w:val="nil"/>
              <w:bottom w:val="single" w:sz="4" w:space="0" w:color="auto"/>
              <w:right w:val="single" w:sz="4" w:space="0" w:color="auto"/>
            </w:tcBorders>
            <w:shd w:val="clear" w:color="auto" w:fill="auto"/>
            <w:noWrap/>
            <w:vAlign w:val="center"/>
            <w:hideMark/>
          </w:tcPr>
          <w:p w14:paraId="16A8F26E"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101%</w:t>
            </w:r>
          </w:p>
        </w:tc>
        <w:tc>
          <w:tcPr>
            <w:tcW w:w="549" w:type="pct"/>
            <w:tcBorders>
              <w:top w:val="single" w:sz="4" w:space="0" w:color="auto"/>
              <w:left w:val="nil"/>
              <w:bottom w:val="single" w:sz="4" w:space="0" w:color="auto"/>
              <w:right w:val="single" w:sz="4" w:space="0" w:color="auto"/>
            </w:tcBorders>
            <w:shd w:val="clear" w:color="auto" w:fill="auto"/>
            <w:noWrap/>
            <w:vAlign w:val="center"/>
            <w:hideMark/>
          </w:tcPr>
          <w:p w14:paraId="6A692D95"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17%</w:t>
            </w:r>
          </w:p>
        </w:tc>
        <w:tc>
          <w:tcPr>
            <w:tcW w:w="615" w:type="pct"/>
            <w:tcBorders>
              <w:top w:val="single" w:sz="4" w:space="0" w:color="auto"/>
              <w:left w:val="nil"/>
              <w:bottom w:val="single" w:sz="4" w:space="0" w:color="auto"/>
              <w:right w:val="single" w:sz="4" w:space="0" w:color="auto"/>
            </w:tcBorders>
            <w:shd w:val="clear" w:color="auto" w:fill="auto"/>
            <w:noWrap/>
            <w:vAlign w:val="center"/>
            <w:hideMark/>
          </w:tcPr>
          <w:p w14:paraId="60069098"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111%</w:t>
            </w:r>
          </w:p>
        </w:tc>
      </w:tr>
      <w:tr w:rsidR="007E7C3A" w:rsidRPr="006E2930" w14:paraId="7E2AC2D5" w14:textId="77777777" w:rsidTr="00F45709">
        <w:trPr>
          <w:trHeight w:val="170"/>
          <w:tblHeader/>
        </w:trPr>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F8549B" w14:textId="77777777" w:rsidR="007E7C3A" w:rsidRPr="006E2930" w:rsidRDefault="007E7C3A" w:rsidP="00F45709">
            <w:pPr>
              <w:jc w:val="center"/>
              <w:rPr>
                <w:rFonts w:eastAsia="Times New Roman" w:cstheme="minorHAnsi"/>
                <w:sz w:val="20"/>
                <w:szCs w:val="20"/>
                <w:lang w:eastAsia="hr-HR"/>
              </w:rPr>
            </w:pPr>
            <w:r w:rsidRPr="006E2930">
              <w:rPr>
                <w:rFonts w:eastAsia="Times New Roman" w:cstheme="minorHAnsi"/>
                <w:sz w:val="20"/>
                <w:szCs w:val="20"/>
                <w:lang w:eastAsia="hr-HR"/>
              </w:rPr>
              <w:t>12.</w:t>
            </w:r>
          </w:p>
        </w:tc>
        <w:tc>
          <w:tcPr>
            <w:tcW w:w="1415" w:type="pct"/>
            <w:tcBorders>
              <w:top w:val="single" w:sz="4" w:space="0" w:color="auto"/>
              <w:left w:val="nil"/>
              <w:bottom w:val="single" w:sz="4" w:space="0" w:color="auto"/>
              <w:right w:val="single" w:sz="4" w:space="0" w:color="auto"/>
            </w:tcBorders>
            <w:shd w:val="clear" w:color="auto" w:fill="auto"/>
            <w:vAlign w:val="center"/>
            <w:hideMark/>
          </w:tcPr>
          <w:p w14:paraId="5ED2ABA1" w14:textId="77777777" w:rsidR="007E7C3A" w:rsidRPr="006E2930" w:rsidRDefault="007E7C3A" w:rsidP="00F45709">
            <w:pPr>
              <w:rPr>
                <w:rFonts w:eastAsia="Times New Roman" w:cstheme="minorHAnsi"/>
                <w:sz w:val="20"/>
                <w:szCs w:val="20"/>
                <w:lang w:eastAsia="hr-HR"/>
              </w:rPr>
            </w:pPr>
            <w:r w:rsidRPr="006E2930">
              <w:rPr>
                <w:rFonts w:eastAsia="Times New Roman" w:cstheme="minorHAnsi"/>
                <w:sz w:val="20"/>
                <w:szCs w:val="20"/>
                <w:lang w:eastAsia="hr-HR"/>
              </w:rPr>
              <w:t xml:space="preserve">Troškovi osoblja - doprinosi na plaće i na ino putne naloge </w:t>
            </w:r>
          </w:p>
        </w:tc>
        <w:tc>
          <w:tcPr>
            <w:tcW w:w="549" w:type="pct"/>
            <w:tcBorders>
              <w:top w:val="single" w:sz="4" w:space="0" w:color="auto"/>
              <w:left w:val="nil"/>
              <w:bottom w:val="single" w:sz="4" w:space="0" w:color="auto"/>
              <w:right w:val="single" w:sz="4" w:space="0" w:color="auto"/>
            </w:tcBorders>
            <w:shd w:val="clear" w:color="auto" w:fill="auto"/>
            <w:noWrap/>
            <w:vAlign w:val="center"/>
            <w:hideMark/>
          </w:tcPr>
          <w:p w14:paraId="530F19ED"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944.914</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14:paraId="05627C28"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1.032.384</w:t>
            </w:r>
          </w:p>
        </w:tc>
        <w:tc>
          <w:tcPr>
            <w:tcW w:w="614" w:type="pct"/>
            <w:tcBorders>
              <w:top w:val="single" w:sz="4" w:space="0" w:color="auto"/>
              <w:left w:val="nil"/>
              <w:bottom w:val="single" w:sz="4" w:space="0" w:color="auto"/>
              <w:right w:val="single" w:sz="4" w:space="0" w:color="auto"/>
            </w:tcBorders>
            <w:shd w:val="clear" w:color="auto" w:fill="auto"/>
            <w:noWrap/>
            <w:vAlign w:val="center"/>
            <w:hideMark/>
          </w:tcPr>
          <w:p w14:paraId="2E41C2F4"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1.052.360</w:t>
            </w:r>
          </w:p>
        </w:tc>
        <w:tc>
          <w:tcPr>
            <w:tcW w:w="481" w:type="pct"/>
            <w:tcBorders>
              <w:top w:val="single" w:sz="4" w:space="0" w:color="auto"/>
              <w:left w:val="nil"/>
              <w:bottom w:val="single" w:sz="4" w:space="0" w:color="auto"/>
              <w:right w:val="single" w:sz="4" w:space="0" w:color="auto"/>
            </w:tcBorders>
            <w:shd w:val="clear" w:color="auto" w:fill="auto"/>
            <w:noWrap/>
            <w:vAlign w:val="center"/>
            <w:hideMark/>
          </w:tcPr>
          <w:p w14:paraId="2BE0DBDD"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102%</w:t>
            </w:r>
          </w:p>
        </w:tc>
        <w:tc>
          <w:tcPr>
            <w:tcW w:w="549" w:type="pct"/>
            <w:tcBorders>
              <w:top w:val="single" w:sz="4" w:space="0" w:color="auto"/>
              <w:left w:val="nil"/>
              <w:bottom w:val="single" w:sz="4" w:space="0" w:color="auto"/>
              <w:right w:val="single" w:sz="4" w:space="0" w:color="auto"/>
            </w:tcBorders>
            <w:shd w:val="clear" w:color="auto" w:fill="auto"/>
            <w:noWrap/>
            <w:vAlign w:val="center"/>
            <w:hideMark/>
          </w:tcPr>
          <w:p w14:paraId="6C5F833A"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8%</w:t>
            </w:r>
          </w:p>
        </w:tc>
        <w:tc>
          <w:tcPr>
            <w:tcW w:w="615" w:type="pct"/>
            <w:tcBorders>
              <w:top w:val="single" w:sz="4" w:space="0" w:color="auto"/>
              <w:left w:val="nil"/>
              <w:bottom w:val="single" w:sz="4" w:space="0" w:color="auto"/>
              <w:right w:val="single" w:sz="4" w:space="0" w:color="auto"/>
            </w:tcBorders>
            <w:shd w:val="clear" w:color="auto" w:fill="auto"/>
            <w:noWrap/>
            <w:vAlign w:val="center"/>
            <w:hideMark/>
          </w:tcPr>
          <w:p w14:paraId="273A2F06"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111%</w:t>
            </w:r>
          </w:p>
        </w:tc>
      </w:tr>
      <w:tr w:rsidR="007E7C3A" w:rsidRPr="006E2930" w14:paraId="380B7485" w14:textId="77777777" w:rsidTr="00F45709">
        <w:trPr>
          <w:trHeight w:val="170"/>
          <w:tblHeader/>
        </w:trPr>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81546C" w14:textId="77777777" w:rsidR="007E7C3A" w:rsidRPr="006E2930" w:rsidRDefault="007E7C3A" w:rsidP="00F45709">
            <w:pPr>
              <w:jc w:val="center"/>
              <w:rPr>
                <w:rFonts w:eastAsia="Times New Roman" w:cstheme="minorHAnsi"/>
                <w:sz w:val="20"/>
                <w:szCs w:val="20"/>
                <w:lang w:eastAsia="hr-HR"/>
              </w:rPr>
            </w:pPr>
            <w:r w:rsidRPr="006E2930">
              <w:rPr>
                <w:rFonts w:eastAsia="Times New Roman" w:cstheme="minorHAnsi"/>
                <w:sz w:val="20"/>
                <w:szCs w:val="20"/>
                <w:lang w:eastAsia="hr-HR"/>
              </w:rPr>
              <w:t>13.</w:t>
            </w:r>
          </w:p>
        </w:tc>
        <w:tc>
          <w:tcPr>
            <w:tcW w:w="1415" w:type="pct"/>
            <w:tcBorders>
              <w:top w:val="single" w:sz="4" w:space="0" w:color="auto"/>
              <w:left w:val="nil"/>
              <w:bottom w:val="single" w:sz="4" w:space="0" w:color="auto"/>
              <w:right w:val="single" w:sz="4" w:space="0" w:color="auto"/>
            </w:tcBorders>
            <w:shd w:val="clear" w:color="auto" w:fill="auto"/>
            <w:vAlign w:val="center"/>
            <w:hideMark/>
          </w:tcPr>
          <w:p w14:paraId="01909492" w14:textId="77777777" w:rsidR="007E7C3A" w:rsidRPr="006E2930" w:rsidRDefault="007E7C3A" w:rsidP="00F45709">
            <w:pPr>
              <w:rPr>
                <w:rFonts w:eastAsia="Times New Roman" w:cstheme="minorHAnsi"/>
                <w:sz w:val="20"/>
                <w:szCs w:val="20"/>
                <w:lang w:eastAsia="hr-HR"/>
              </w:rPr>
            </w:pPr>
            <w:r w:rsidRPr="006E2930">
              <w:rPr>
                <w:rFonts w:eastAsia="Times New Roman" w:cstheme="minorHAnsi"/>
                <w:sz w:val="20"/>
                <w:szCs w:val="20"/>
                <w:lang w:eastAsia="hr-HR"/>
              </w:rPr>
              <w:t>Članarine, nadoknade i slična davanja</w:t>
            </w:r>
          </w:p>
        </w:tc>
        <w:tc>
          <w:tcPr>
            <w:tcW w:w="549" w:type="pct"/>
            <w:tcBorders>
              <w:top w:val="single" w:sz="4" w:space="0" w:color="auto"/>
              <w:left w:val="nil"/>
              <w:bottom w:val="single" w:sz="4" w:space="0" w:color="auto"/>
              <w:right w:val="single" w:sz="4" w:space="0" w:color="auto"/>
            </w:tcBorders>
            <w:shd w:val="clear" w:color="auto" w:fill="auto"/>
            <w:noWrap/>
            <w:vAlign w:val="center"/>
            <w:hideMark/>
          </w:tcPr>
          <w:p w14:paraId="22A056A5"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17.292</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14:paraId="7C28B4DB"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19.244</w:t>
            </w:r>
          </w:p>
        </w:tc>
        <w:tc>
          <w:tcPr>
            <w:tcW w:w="614" w:type="pct"/>
            <w:tcBorders>
              <w:top w:val="single" w:sz="4" w:space="0" w:color="auto"/>
              <w:left w:val="nil"/>
              <w:bottom w:val="single" w:sz="4" w:space="0" w:color="auto"/>
              <w:right w:val="single" w:sz="4" w:space="0" w:color="auto"/>
            </w:tcBorders>
            <w:shd w:val="clear" w:color="auto" w:fill="auto"/>
            <w:noWrap/>
            <w:vAlign w:val="center"/>
            <w:hideMark/>
          </w:tcPr>
          <w:p w14:paraId="40AF34C0"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19.041</w:t>
            </w:r>
          </w:p>
        </w:tc>
        <w:tc>
          <w:tcPr>
            <w:tcW w:w="481" w:type="pct"/>
            <w:tcBorders>
              <w:top w:val="single" w:sz="4" w:space="0" w:color="auto"/>
              <w:left w:val="nil"/>
              <w:bottom w:val="single" w:sz="4" w:space="0" w:color="auto"/>
              <w:right w:val="single" w:sz="4" w:space="0" w:color="auto"/>
            </w:tcBorders>
            <w:shd w:val="clear" w:color="auto" w:fill="auto"/>
            <w:noWrap/>
            <w:vAlign w:val="center"/>
            <w:hideMark/>
          </w:tcPr>
          <w:p w14:paraId="1C877D4C"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99%</w:t>
            </w:r>
          </w:p>
        </w:tc>
        <w:tc>
          <w:tcPr>
            <w:tcW w:w="549" w:type="pct"/>
            <w:tcBorders>
              <w:top w:val="single" w:sz="4" w:space="0" w:color="auto"/>
              <w:left w:val="nil"/>
              <w:bottom w:val="single" w:sz="4" w:space="0" w:color="auto"/>
              <w:right w:val="single" w:sz="4" w:space="0" w:color="auto"/>
            </w:tcBorders>
            <w:shd w:val="clear" w:color="auto" w:fill="auto"/>
            <w:noWrap/>
            <w:vAlign w:val="center"/>
            <w:hideMark/>
          </w:tcPr>
          <w:p w14:paraId="14DE9465"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0,1%</w:t>
            </w:r>
          </w:p>
        </w:tc>
        <w:tc>
          <w:tcPr>
            <w:tcW w:w="615" w:type="pct"/>
            <w:tcBorders>
              <w:top w:val="single" w:sz="4" w:space="0" w:color="auto"/>
              <w:left w:val="nil"/>
              <w:bottom w:val="single" w:sz="4" w:space="0" w:color="auto"/>
              <w:right w:val="single" w:sz="4" w:space="0" w:color="auto"/>
            </w:tcBorders>
            <w:shd w:val="clear" w:color="auto" w:fill="auto"/>
            <w:noWrap/>
            <w:vAlign w:val="center"/>
            <w:hideMark/>
          </w:tcPr>
          <w:p w14:paraId="39EF9A9E"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110%</w:t>
            </w:r>
          </w:p>
        </w:tc>
      </w:tr>
      <w:tr w:rsidR="007E7C3A" w:rsidRPr="006E2930" w14:paraId="40FC6D83" w14:textId="77777777" w:rsidTr="00F45709">
        <w:trPr>
          <w:trHeight w:val="170"/>
          <w:tblHeader/>
        </w:trPr>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81D2FB" w14:textId="77777777" w:rsidR="007E7C3A" w:rsidRPr="006E2930" w:rsidRDefault="007E7C3A" w:rsidP="00F45709">
            <w:pPr>
              <w:jc w:val="center"/>
              <w:rPr>
                <w:rFonts w:eastAsia="Times New Roman" w:cstheme="minorHAnsi"/>
                <w:sz w:val="20"/>
                <w:szCs w:val="20"/>
                <w:lang w:eastAsia="hr-HR"/>
              </w:rPr>
            </w:pPr>
            <w:r w:rsidRPr="006E2930">
              <w:rPr>
                <w:rFonts w:eastAsia="Times New Roman" w:cstheme="minorHAnsi"/>
                <w:sz w:val="20"/>
                <w:szCs w:val="20"/>
                <w:lang w:eastAsia="hr-HR"/>
              </w:rPr>
              <w:t>14.</w:t>
            </w:r>
          </w:p>
        </w:tc>
        <w:tc>
          <w:tcPr>
            <w:tcW w:w="1415" w:type="pct"/>
            <w:tcBorders>
              <w:top w:val="single" w:sz="4" w:space="0" w:color="auto"/>
              <w:left w:val="nil"/>
              <w:bottom w:val="single" w:sz="4" w:space="0" w:color="auto"/>
              <w:right w:val="single" w:sz="4" w:space="0" w:color="auto"/>
            </w:tcBorders>
            <w:shd w:val="clear" w:color="auto" w:fill="auto"/>
            <w:vAlign w:val="center"/>
            <w:hideMark/>
          </w:tcPr>
          <w:p w14:paraId="5187B7A8" w14:textId="77777777" w:rsidR="007E7C3A" w:rsidRPr="006E2930" w:rsidRDefault="007E7C3A" w:rsidP="00F45709">
            <w:pPr>
              <w:rPr>
                <w:rFonts w:eastAsia="Times New Roman" w:cstheme="minorHAnsi"/>
                <w:sz w:val="20"/>
                <w:szCs w:val="20"/>
                <w:lang w:eastAsia="hr-HR"/>
              </w:rPr>
            </w:pPr>
            <w:r w:rsidRPr="006E2930">
              <w:rPr>
                <w:rFonts w:eastAsia="Times New Roman" w:cstheme="minorHAnsi"/>
                <w:sz w:val="20"/>
                <w:szCs w:val="20"/>
                <w:lang w:eastAsia="hr-HR"/>
              </w:rPr>
              <w:t>Naknade troškova radnika (sl. putovanja, edukacije, zdrav. pregledi), troškovi reprezentacije, donacije i ostali nesp. nematerijalni troškovi</w:t>
            </w:r>
          </w:p>
        </w:tc>
        <w:tc>
          <w:tcPr>
            <w:tcW w:w="549" w:type="pct"/>
            <w:tcBorders>
              <w:top w:val="single" w:sz="4" w:space="0" w:color="auto"/>
              <w:left w:val="nil"/>
              <w:bottom w:val="single" w:sz="4" w:space="0" w:color="auto"/>
              <w:right w:val="single" w:sz="4" w:space="0" w:color="auto"/>
            </w:tcBorders>
            <w:shd w:val="clear" w:color="auto" w:fill="auto"/>
            <w:noWrap/>
            <w:vAlign w:val="center"/>
            <w:hideMark/>
          </w:tcPr>
          <w:p w14:paraId="5E9D8504"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538.838</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14:paraId="5C04D440"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902.449</w:t>
            </w:r>
          </w:p>
        </w:tc>
        <w:tc>
          <w:tcPr>
            <w:tcW w:w="614" w:type="pct"/>
            <w:tcBorders>
              <w:top w:val="single" w:sz="4" w:space="0" w:color="auto"/>
              <w:left w:val="nil"/>
              <w:bottom w:val="single" w:sz="4" w:space="0" w:color="auto"/>
              <w:right w:val="single" w:sz="4" w:space="0" w:color="auto"/>
            </w:tcBorders>
            <w:shd w:val="clear" w:color="auto" w:fill="auto"/>
            <w:noWrap/>
            <w:vAlign w:val="center"/>
            <w:hideMark/>
          </w:tcPr>
          <w:p w14:paraId="404F875F"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867.685</w:t>
            </w:r>
          </w:p>
        </w:tc>
        <w:tc>
          <w:tcPr>
            <w:tcW w:w="481" w:type="pct"/>
            <w:tcBorders>
              <w:top w:val="single" w:sz="4" w:space="0" w:color="auto"/>
              <w:left w:val="nil"/>
              <w:bottom w:val="single" w:sz="4" w:space="0" w:color="auto"/>
              <w:right w:val="single" w:sz="4" w:space="0" w:color="auto"/>
            </w:tcBorders>
            <w:shd w:val="clear" w:color="auto" w:fill="auto"/>
            <w:noWrap/>
            <w:vAlign w:val="center"/>
            <w:hideMark/>
          </w:tcPr>
          <w:p w14:paraId="46092579"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96%</w:t>
            </w:r>
          </w:p>
        </w:tc>
        <w:tc>
          <w:tcPr>
            <w:tcW w:w="549" w:type="pct"/>
            <w:tcBorders>
              <w:top w:val="single" w:sz="4" w:space="0" w:color="auto"/>
              <w:left w:val="nil"/>
              <w:bottom w:val="single" w:sz="4" w:space="0" w:color="auto"/>
              <w:right w:val="single" w:sz="4" w:space="0" w:color="auto"/>
            </w:tcBorders>
            <w:shd w:val="clear" w:color="auto" w:fill="auto"/>
            <w:noWrap/>
            <w:vAlign w:val="center"/>
            <w:hideMark/>
          </w:tcPr>
          <w:p w14:paraId="67EF6441"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7%</w:t>
            </w:r>
          </w:p>
        </w:tc>
        <w:tc>
          <w:tcPr>
            <w:tcW w:w="615" w:type="pct"/>
            <w:tcBorders>
              <w:top w:val="single" w:sz="4" w:space="0" w:color="auto"/>
              <w:left w:val="nil"/>
              <w:bottom w:val="single" w:sz="4" w:space="0" w:color="auto"/>
              <w:right w:val="single" w:sz="4" w:space="0" w:color="auto"/>
            </w:tcBorders>
            <w:shd w:val="clear" w:color="auto" w:fill="auto"/>
            <w:noWrap/>
            <w:vAlign w:val="center"/>
            <w:hideMark/>
          </w:tcPr>
          <w:p w14:paraId="65E5EE86"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161%</w:t>
            </w:r>
          </w:p>
        </w:tc>
      </w:tr>
      <w:tr w:rsidR="007E7C3A" w:rsidRPr="006E2930" w14:paraId="6D2CF1E7" w14:textId="77777777" w:rsidTr="00F45709">
        <w:trPr>
          <w:trHeight w:val="170"/>
          <w:tblHeader/>
        </w:trPr>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020478" w14:textId="77777777" w:rsidR="007E7C3A" w:rsidRPr="006E2930" w:rsidRDefault="007E7C3A" w:rsidP="00F45709">
            <w:pPr>
              <w:jc w:val="center"/>
              <w:rPr>
                <w:rFonts w:eastAsia="Times New Roman" w:cstheme="minorHAnsi"/>
                <w:sz w:val="20"/>
                <w:szCs w:val="20"/>
                <w:lang w:eastAsia="hr-HR"/>
              </w:rPr>
            </w:pPr>
            <w:r w:rsidRPr="006E2930">
              <w:rPr>
                <w:rFonts w:eastAsia="Times New Roman" w:cstheme="minorHAnsi"/>
                <w:sz w:val="20"/>
                <w:szCs w:val="20"/>
                <w:lang w:eastAsia="hr-HR"/>
              </w:rPr>
              <w:t>15.</w:t>
            </w:r>
          </w:p>
        </w:tc>
        <w:tc>
          <w:tcPr>
            <w:tcW w:w="1415" w:type="pct"/>
            <w:tcBorders>
              <w:top w:val="single" w:sz="4" w:space="0" w:color="auto"/>
              <w:left w:val="nil"/>
              <w:bottom w:val="single" w:sz="4" w:space="0" w:color="auto"/>
              <w:right w:val="single" w:sz="4" w:space="0" w:color="auto"/>
            </w:tcBorders>
            <w:shd w:val="clear" w:color="auto" w:fill="auto"/>
            <w:vAlign w:val="center"/>
            <w:hideMark/>
          </w:tcPr>
          <w:p w14:paraId="7B724D2D" w14:textId="77777777" w:rsidR="007E7C3A" w:rsidRPr="006E2930" w:rsidRDefault="007E7C3A" w:rsidP="00F45709">
            <w:pPr>
              <w:rPr>
                <w:rFonts w:eastAsia="Times New Roman" w:cstheme="minorHAnsi"/>
                <w:sz w:val="20"/>
                <w:szCs w:val="20"/>
                <w:lang w:eastAsia="hr-HR"/>
              </w:rPr>
            </w:pPr>
            <w:r w:rsidRPr="006E2930">
              <w:rPr>
                <w:rFonts w:eastAsia="Times New Roman" w:cstheme="minorHAnsi"/>
                <w:sz w:val="20"/>
                <w:szCs w:val="20"/>
                <w:lang w:eastAsia="hr-HR"/>
              </w:rPr>
              <w:t>Neamort.vrijed.rashod.imovine</w:t>
            </w:r>
          </w:p>
        </w:tc>
        <w:tc>
          <w:tcPr>
            <w:tcW w:w="549" w:type="pct"/>
            <w:tcBorders>
              <w:top w:val="single" w:sz="4" w:space="0" w:color="auto"/>
              <w:left w:val="nil"/>
              <w:bottom w:val="single" w:sz="4" w:space="0" w:color="auto"/>
              <w:right w:val="single" w:sz="4" w:space="0" w:color="auto"/>
            </w:tcBorders>
            <w:shd w:val="clear" w:color="auto" w:fill="auto"/>
            <w:noWrap/>
            <w:vAlign w:val="center"/>
            <w:hideMark/>
          </w:tcPr>
          <w:p w14:paraId="6B07B287"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64</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14:paraId="2158D690"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665</w:t>
            </w:r>
          </w:p>
        </w:tc>
        <w:tc>
          <w:tcPr>
            <w:tcW w:w="614" w:type="pct"/>
            <w:tcBorders>
              <w:top w:val="single" w:sz="4" w:space="0" w:color="auto"/>
              <w:left w:val="nil"/>
              <w:bottom w:val="single" w:sz="4" w:space="0" w:color="auto"/>
              <w:right w:val="single" w:sz="4" w:space="0" w:color="auto"/>
            </w:tcBorders>
            <w:shd w:val="clear" w:color="auto" w:fill="auto"/>
            <w:noWrap/>
            <w:vAlign w:val="center"/>
            <w:hideMark/>
          </w:tcPr>
          <w:p w14:paraId="682C0CFB"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0</w:t>
            </w:r>
          </w:p>
        </w:tc>
        <w:tc>
          <w:tcPr>
            <w:tcW w:w="481" w:type="pct"/>
            <w:tcBorders>
              <w:top w:val="single" w:sz="4" w:space="0" w:color="auto"/>
              <w:left w:val="nil"/>
              <w:bottom w:val="single" w:sz="4" w:space="0" w:color="auto"/>
              <w:right w:val="single" w:sz="4" w:space="0" w:color="auto"/>
            </w:tcBorders>
            <w:shd w:val="clear" w:color="auto" w:fill="auto"/>
            <w:noWrap/>
            <w:vAlign w:val="center"/>
            <w:hideMark/>
          </w:tcPr>
          <w:p w14:paraId="7CFADBA3"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0%</w:t>
            </w:r>
          </w:p>
        </w:tc>
        <w:tc>
          <w:tcPr>
            <w:tcW w:w="549" w:type="pct"/>
            <w:tcBorders>
              <w:top w:val="single" w:sz="4" w:space="0" w:color="auto"/>
              <w:left w:val="nil"/>
              <w:bottom w:val="single" w:sz="4" w:space="0" w:color="auto"/>
              <w:right w:val="single" w:sz="4" w:space="0" w:color="auto"/>
            </w:tcBorders>
            <w:shd w:val="clear" w:color="auto" w:fill="auto"/>
            <w:noWrap/>
            <w:vAlign w:val="center"/>
            <w:hideMark/>
          </w:tcPr>
          <w:p w14:paraId="3EC8EFFB"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0%</w:t>
            </w:r>
          </w:p>
        </w:tc>
        <w:tc>
          <w:tcPr>
            <w:tcW w:w="615" w:type="pct"/>
            <w:tcBorders>
              <w:top w:val="single" w:sz="4" w:space="0" w:color="auto"/>
              <w:left w:val="nil"/>
              <w:bottom w:val="single" w:sz="4" w:space="0" w:color="auto"/>
              <w:right w:val="single" w:sz="4" w:space="0" w:color="auto"/>
            </w:tcBorders>
            <w:shd w:val="clear" w:color="auto" w:fill="auto"/>
            <w:noWrap/>
            <w:vAlign w:val="center"/>
            <w:hideMark/>
          </w:tcPr>
          <w:p w14:paraId="3DAB3C16"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0%</w:t>
            </w:r>
          </w:p>
        </w:tc>
      </w:tr>
      <w:tr w:rsidR="007E7C3A" w:rsidRPr="006E2930" w14:paraId="478E1B3C" w14:textId="77777777" w:rsidTr="00F45709">
        <w:trPr>
          <w:trHeight w:val="170"/>
          <w:tblHeader/>
        </w:trPr>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4929EB" w14:textId="77777777" w:rsidR="007E7C3A" w:rsidRPr="006E2930" w:rsidRDefault="007E7C3A" w:rsidP="00F45709">
            <w:pPr>
              <w:jc w:val="center"/>
              <w:rPr>
                <w:rFonts w:eastAsia="Times New Roman" w:cstheme="minorHAnsi"/>
                <w:sz w:val="20"/>
                <w:szCs w:val="20"/>
                <w:lang w:eastAsia="hr-HR"/>
              </w:rPr>
            </w:pPr>
            <w:r w:rsidRPr="006E2930">
              <w:rPr>
                <w:rFonts w:eastAsia="Times New Roman" w:cstheme="minorHAnsi"/>
                <w:sz w:val="20"/>
                <w:szCs w:val="20"/>
                <w:lang w:eastAsia="hr-HR"/>
              </w:rPr>
              <w:t>16.</w:t>
            </w:r>
          </w:p>
        </w:tc>
        <w:tc>
          <w:tcPr>
            <w:tcW w:w="1415" w:type="pct"/>
            <w:tcBorders>
              <w:top w:val="single" w:sz="4" w:space="0" w:color="auto"/>
              <w:left w:val="nil"/>
              <w:bottom w:val="single" w:sz="4" w:space="0" w:color="auto"/>
              <w:right w:val="single" w:sz="4" w:space="0" w:color="auto"/>
            </w:tcBorders>
            <w:shd w:val="clear" w:color="auto" w:fill="auto"/>
            <w:vAlign w:val="center"/>
            <w:hideMark/>
          </w:tcPr>
          <w:p w14:paraId="41DA1814" w14:textId="77777777" w:rsidR="007E7C3A" w:rsidRPr="006E2930" w:rsidRDefault="007E7C3A" w:rsidP="00F45709">
            <w:pPr>
              <w:rPr>
                <w:rFonts w:eastAsia="Times New Roman" w:cstheme="minorHAnsi"/>
                <w:sz w:val="20"/>
                <w:szCs w:val="20"/>
                <w:lang w:eastAsia="hr-HR"/>
              </w:rPr>
            </w:pPr>
            <w:r w:rsidRPr="006E2930">
              <w:rPr>
                <w:rFonts w:eastAsia="Times New Roman" w:cstheme="minorHAnsi"/>
                <w:sz w:val="20"/>
                <w:szCs w:val="20"/>
                <w:lang w:eastAsia="hr-HR"/>
              </w:rPr>
              <w:t>Troškovi sitnog inventara</w:t>
            </w:r>
          </w:p>
        </w:tc>
        <w:tc>
          <w:tcPr>
            <w:tcW w:w="549" w:type="pct"/>
            <w:tcBorders>
              <w:top w:val="single" w:sz="4" w:space="0" w:color="auto"/>
              <w:left w:val="nil"/>
              <w:bottom w:val="single" w:sz="4" w:space="0" w:color="auto"/>
              <w:right w:val="single" w:sz="4" w:space="0" w:color="auto"/>
            </w:tcBorders>
            <w:shd w:val="clear" w:color="auto" w:fill="auto"/>
            <w:noWrap/>
            <w:vAlign w:val="center"/>
            <w:hideMark/>
          </w:tcPr>
          <w:p w14:paraId="66DA8CE8"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4.059</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14:paraId="695C91B8"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9.333</w:t>
            </w:r>
          </w:p>
        </w:tc>
        <w:tc>
          <w:tcPr>
            <w:tcW w:w="614" w:type="pct"/>
            <w:tcBorders>
              <w:top w:val="single" w:sz="4" w:space="0" w:color="auto"/>
              <w:left w:val="nil"/>
              <w:bottom w:val="single" w:sz="4" w:space="0" w:color="auto"/>
              <w:right w:val="single" w:sz="4" w:space="0" w:color="auto"/>
            </w:tcBorders>
            <w:shd w:val="clear" w:color="auto" w:fill="auto"/>
            <w:noWrap/>
            <w:vAlign w:val="center"/>
            <w:hideMark/>
          </w:tcPr>
          <w:p w14:paraId="1F4F4033"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4.332</w:t>
            </w:r>
          </w:p>
        </w:tc>
        <w:tc>
          <w:tcPr>
            <w:tcW w:w="481" w:type="pct"/>
            <w:tcBorders>
              <w:top w:val="single" w:sz="4" w:space="0" w:color="auto"/>
              <w:left w:val="nil"/>
              <w:bottom w:val="single" w:sz="4" w:space="0" w:color="auto"/>
              <w:right w:val="single" w:sz="4" w:space="0" w:color="auto"/>
            </w:tcBorders>
            <w:shd w:val="clear" w:color="auto" w:fill="auto"/>
            <w:noWrap/>
            <w:vAlign w:val="center"/>
            <w:hideMark/>
          </w:tcPr>
          <w:p w14:paraId="3E5E9DC6"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46%</w:t>
            </w:r>
          </w:p>
        </w:tc>
        <w:tc>
          <w:tcPr>
            <w:tcW w:w="549" w:type="pct"/>
            <w:tcBorders>
              <w:top w:val="single" w:sz="4" w:space="0" w:color="auto"/>
              <w:left w:val="nil"/>
              <w:bottom w:val="single" w:sz="4" w:space="0" w:color="auto"/>
              <w:right w:val="single" w:sz="4" w:space="0" w:color="auto"/>
            </w:tcBorders>
            <w:shd w:val="clear" w:color="auto" w:fill="auto"/>
            <w:noWrap/>
            <w:vAlign w:val="center"/>
            <w:hideMark/>
          </w:tcPr>
          <w:p w14:paraId="4ED78614"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0,03%</w:t>
            </w:r>
          </w:p>
        </w:tc>
        <w:tc>
          <w:tcPr>
            <w:tcW w:w="615" w:type="pct"/>
            <w:tcBorders>
              <w:top w:val="single" w:sz="4" w:space="0" w:color="auto"/>
              <w:left w:val="nil"/>
              <w:bottom w:val="single" w:sz="4" w:space="0" w:color="auto"/>
              <w:right w:val="single" w:sz="4" w:space="0" w:color="auto"/>
            </w:tcBorders>
            <w:shd w:val="clear" w:color="auto" w:fill="auto"/>
            <w:noWrap/>
            <w:vAlign w:val="center"/>
            <w:hideMark/>
          </w:tcPr>
          <w:p w14:paraId="3D3F7C3E"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107%</w:t>
            </w:r>
          </w:p>
        </w:tc>
      </w:tr>
      <w:tr w:rsidR="007E7C3A" w:rsidRPr="006E2930" w14:paraId="2AAF71D6" w14:textId="77777777" w:rsidTr="00F45709">
        <w:trPr>
          <w:trHeight w:val="170"/>
          <w:tblHeader/>
        </w:trPr>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B795EE" w14:textId="77777777" w:rsidR="007E7C3A" w:rsidRPr="006E2930" w:rsidRDefault="007E7C3A" w:rsidP="00F45709">
            <w:pPr>
              <w:jc w:val="center"/>
              <w:rPr>
                <w:rFonts w:eastAsia="Times New Roman" w:cstheme="minorHAnsi"/>
                <w:sz w:val="20"/>
                <w:szCs w:val="20"/>
                <w:lang w:eastAsia="hr-HR"/>
              </w:rPr>
            </w:pPr>
            <w:r w:rsidRPr="006E2930">
              <w:rPr>
                <w:rFonts w:eastAsia="Times New Roman" w:cstheme="minorHAnsi"/>
                <w:sz w:val="20"/>
                <w:szCs w:val="20"/>
                <w:lang w:eastAsia="hr-HR"/>
              </w:rPr>
              <w:t>17.</w:t>
            </w:r>
          </w:p>
        </w:tc>
        <w:tc>
          <w:tcPr>
            <w:tcW w:w="1415" w:type="pct"/>
            <w:tcBorders>
              <w:top w:val="single" w:sz="4" w:space="0" w:color="auto"/>
              <w:left w:val="nil"/>
              <w:bottom w:val="single" w:sz="4" w:space="0" w:color="auto"/>
              <w:right w:val="single" w:sz="4" w:space="0" w:color="auto"/>
            </w:tcBorders>
            <w:shd w:val="clear" w:color="auto" w:fill="auto"/>
            <w:vAlign w:val="center"/>
            <w:hideMark/>
          </w:tcPr>
          <w:p w14:paraId="6AFF89B9" w14:textId="77777777" w:rsidR="007E7C3A" w:rsidRPr="006E2930" w:rsidRDefault="007E7C3A" w:rsidP="00F45709">
            <w:pPr>
              <w:rPr>
                <w:rFonts w:eastAsia="Times New Roman" w:cstheme="minorHAnsi"/>
                <w:sz w:val="20"/>
                <w:szCs w:val="20"/>
                <w:lang w:eastAsia="hr-HR"/>
              </w:rPr>
            </w:pPr>
            <w:r w:rsidRPr="006E2930">
              <w:rPr>
                <w:rFonts w:eastAsia="Times New Roman" w:cstheme="minorHAnsi"/>
                <w:sz w:val="20"/>
                <w:szCs w:val="20"/>
                <w:lang w:eastAsia="hr-HR"/>
              </w:rPr>
              <w:t>Vrijednosna usklađivanja kratkotrajnih potraživanja</w:t>
            </w:r>
          </w:p>
        </w:tc>
        <w:tc>
          <w:tcPr>
            <w:tcW w:w="549" w:type="pct"/>
            <w:tcBorders>
              <w:top w:val="single" w:sz="4" w:space="0" w:color="auto"/>
              <w:left w:val="nil"/>
              <w:bottom w:val="single" w:sz="4" w:space="0" w:color="auto"/>
              <w:right w:val="single" w:sz="4" w:space="0" w:color="auto"/>
            </w:tcBorders>
            <w:shd w:val="clear" w:color="auto" w:fill="auto"/>
            <w:noWrap/>
            <w:vAlign w:val="center"/>
            <w:hideMark/>
          </w:tcPr>
          <w:p w14:paraId="68537C3C"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17.851</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14:paraId="65D1F7B7"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10.620</w:t>
            </w:r>
          </w:p>
        </w:tc>
        <w:tc>
          <w:tcPr>
            <w:tcW w:w="614" w:type="pct"/>
            <w:tcBorders>
              <w:top w:val="single" w:sz="4" w:space="0" w:color="auto"/>
              <w:left w:val="nil"/>
              <w:bottom w:val="single" w:sz="4" w:space="0" w:color="auto"/>
              <w:right w:val="single" w:sz="4" w:space="0" w:color="auto"/>
            </w:tcBorders>
            <w:shd w:val="clear" w:color="auto" w:fill="auto"/>
            <w:noWrap/>
            <w:vAlign w:val="center"/>
            <w:hideMark/>
          </w:tcPr>
          <w:p w14:paraId="4319133A"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11.133</w:t>
            </w:r>
          </w:p>
        </w:tc>
        <w:tc>
          <w:tcPr>
            <w:tcW w:w="481" w:type="pct"/>
            <w:tcBorders>
              <w:top w:val="single" w:sz="4" w:space="0" w:color="auto"/>
              <w:left w:val="nil"/>
              <w:bottom w:val="single" w:sz="4" w:space="0" w:color="auto"/>
              <w:right w:val="single" w:sz="4" w:space="0" w:color="auto"/>
            </w:tcBorders>
            <w:shd w:val="clear" w:color="auto" w:fill="auto"/>
            <w:noWrap/>
            <w:vAlign w:val="center"/>
            <w:hideMark/>
          </w:tcPr>
          <w:p w14:paraId="3403798E"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105%</w:t>
            </w:r>
          </w:p>
        </w:tc>
        <w:tc>
          <w:tcPr>
            <w:tcW w:w="549" w:type="pct"/>
            <w:tcBorders>
              <w:top w:val="single" w:sz="4" w:space="0" w:color="auto"/>
              <w:left w:val="nil"/>
              <w:bottom w:val="single" w:sz="4" w:space="0" w:color="auto"/>
              <w:right w:val="single" w:sz="4" w:space="0" w:color="auto"/>
            </w:tcBorders>
            <w:shd w:val="clear" w:color="auto" w:fill="auto"/>
            <w:noWrap/>
            <w:vAlign w:val="center"/>
            <w:hideMark/>
          </w:tcPr>
          <w:p w14:paraId="045AFC21"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0,1%</w:t>
            </w:r>
          </w:p>
        </w:tc>
        <w:tc>
          <w:tcPr>
            <w:tcW w:w="615" w:type="pct"/>
            <w:tcBorders>
              <w:top w:val="single" w:sz="4" w:space="0" w:color="auto"/>
              <w:left w:val="nil"/>
              <w:bottom w:val="single" w:sz="4" w:space="0" w:color="auto"/>
              <w:right w:val="single" w:sz="4" w:space="0" w:color="auto"/>
            </w:tcBorders>
            <w:shd w:val="clear" w:color="auto" w:fill="auto"/>
            <w:noWrap/>
            <w:vAlign w:val="center"/>
            <w:hideMark/>
          </w:tcPr>
          <w:p w14:paraId="318732AA"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62%</w:t>
            </w:r>
          </w:p>
        </w:tc>
      </w:tr>
      <w:tr w:rsidR="007E7C3A" w:rsidRPr="006E2930" w14:paraId="32EF3405" w14:textId="77777777" w:rsidTr="00F45709">
        <w:trPr>
          <w:trHeight w:val="170"/>
          <w:tblHeader/>
        </w:trPr>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AEDC8F" w14:textId="77777777" w:rsidR="007E7C3A" w:rsidRPr="006E2930" w:rsidRDefault="007E7C3A" w:rsidP="00F45709">
            <w:pPr>
              <w:jc w:val="center"/>
              <w:rPr>
                <w:rFonts w:eastAsia="Times New Roman" w:cstheme="minorHAnsi"/>
                <w:sz w:val="20"/>
                <w:szCs w:val="20"/>
                <w:lang w:eastAsia="hr-HR"/>
              </w:rPr>
            </w:pPr>
            <w:r w:rsidRPr="006E2930">
              <w:rPr>
                <w:rFonts w:eastAsia="Times New Roman" w:cstheme="minorHAnsi"/>
                <w:sz w:val="20"/>
                <w:szCs w:val="20"/>
                <w:lang w:eastAsia="hr-HR"/>
              </w:rPr>
              <w:t>18.</w:t>
            </w:r>
          </w:p>
        </w:tc>
        <w:tc>
          <w:tcPr>
            <w:tcW w:w="1415" w:type="pct"/>
            <w:tcBorders>
              <w:top w:val="single" w:sz="4" w:space="0" w:color="auto"/>
              <w:left w:val="nil"/>
              <w:bottom w:val="single" w:sz="4" w:space="0" w:color="auto"/>
              <w:right w:val="single" w:sz="4" w:space="0" w:color="auto"/>
            </w:tcBorders>
            <w:shd w:val="clear" w:color="auto" w:fill="auto"/>
            <w:vAlign w:val="center"/>
            <w:hideMark/>
          </w:tcPr>
          <w:p w14:paraId="7A502E2A" w14:textId="77777777" w:rsidR="007E7C3A" w:rsidRPr="006E2930" w:rsidRDefault="007E7C3A" w:rsidP="00F45709">
            <w:pPr>
              <w:rPr>
                <w:rFonts w:eastAsia="Times New Roman" w:cstheme="minorHAnsi"/>
                <w:sz w:val="20"/>
                <w:szCs w:val="20"/>
                <w:lang w:eastAsia="hr-HR"/>
              </w:rPr>
            </w:pPr>
            <w:r w:rsidRPr="006E2930">
              <w:rPr>
                <w:rFonts w:eastAsia="Times New Roman" w:cstheme="minorHAnsi"/>
                <w:sz w:val="20"/>
                <w:szCs w:val="20"/>
                <w:lang w:eastAsia="hr-HR"/>
              </w:rPr>
              <w:t>Negativne tečajne razlike</w:t>
            </w:r>
          </w:p>
        </w:tc>
        <w:tc>
          <w:tcPr>
            <w:tcW w:w="549" w:type="pct"/>
            <w:tcBorders>
              <w:top w:val="single" w:sz="4" w:space="0" w:color="auto"/>
              <w:left w:val="nil"/>
              <w:bottom w:val="single" w:sz="4" w:space="0" w:color="auto"/>
              <w:right w:val="single" w:sz="4" w:space="0" w:color="auto"/>
            </w:tcBorders>
            <w:shd w:val="clear" w:color="auto" w:fill="auto"/>
            <w:noWrap/>
            <w:vAlign w:val="center"/>
            <w:hideMark/>
          </w:tcPr>
          <w:p w14:paraId="710807C0"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15.381</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14:paraId="5C1E52C0"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6.000</w:t>
            </w:r>
          </w:p>
        </w:tc>
        <w:tc>
          <w:tcPr>
            <w:tcW w:w="614" w:type="pct"/>
            <w:tcBorders>
              <w:top w:val="single" w:sz="4" w:space="0" w:color="auto"/>
              <w:left w:val="nil"/>
              <w:bottom w:val="single" w:sz="4" w:space="0" w:color="auto"/>
              <w:right w:val="single" w:sz="4" w:space="0" w:color="auto"/>
            </w:tcBorders>
            <w:shd w:val="clear" w:color="auto" w:fill="auto"/>
            <w:noWrap/>
            <w:vAlign w:val="center"/>
            <w:hideMark/>
          </w:tcPr>
          <w:p w14:paraId="12596F49"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5.580</w:t>
            </w:r>
          </w:p>
        </w:tc>
        <w:tc>
          <w:tcPr>
            <w:tcW w:w="481" w:type="pct"/>
            <w:tcBorders>
              <w:top w:val="single" w:sz="4" w:space="0" w:color="auto"/>
              <w:left w:val="nil"/>
              <w:bottom w:val="single" w:sz="4" w:space="0" w:color="auto"/>
              <w:right w:val="single" w:sz="4" w:space="0" w:color="auto"/>
            </w:tcBorders>
            <w:shd w:val="clear" w:color="auto" w:fill="auto"/>
            <w:noWrap/>
            <w:vAlign w:val="center"/>
            <w:hideMark/>
          </w:tcPr>
          <w:p w14:paraId="0C0F0DB4"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93%</w:t>
            </w:r>
          </w:p>
        </w:tc>
        <w:tc>
          <w:tcPr>
            <w:tcW w:w="549" w:type="pct"/>
            <w:tcBorders>
              <w:top w:val="single" w:sz="4" w:space="0" w:color="auto"/>
              <w:left w:val="nil"/>
              <w:bottom w:val="single" w:sz="4" w:space="0" w:color="auto"/>
              <w:right w:val="single" w:sz="4" w:space="0" w:color="auto"/>
            </w:tcBorders>
            <w:shd w:val="clear" w:color="auto" w:fill="auto"/>
            <w:noWrap/>
            <w:vAlign w:val="center"/>
            <w:hideMark/>
          </w:tcPr>
          <w:p w14:paraId="388D5F20"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0,04%</w:t>
            </w:r>
          </w:p>
        </w:tc>
        <w:tc>
          <w:tcPr>
            <w:tcW w:w="615" w:type="pct"/>
            <w:tcBorders>
              <w:top w:val="single" w:sz="4" w:space="0" w:color="auto"/>
              <w:left w:val="nil"/>
              <w:bottom w:val="single" w:sz="4" w:space="0" w:color="auto"/>
              <w:right w:val="single" w:sz="4" w:space="0" w:color="auto"/>
            </w:tcBorders>
            <w:shd w:val="clear" w:color="auto" w:fill="auto"/>
            <w:noWrap/>
            <w:vAlign w:val="center"/>
            <w:hideMark/>
          </w:tcPr>
          <w:p w14:paraId="228712F6"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36%</w:t>
            </w:r>
          </w:p>
        </w:tc>
      </w:tr>
      <w:tr w:rsidR="007E7C3A" w:rsidRPr="006E2930" w14:paraId="76930FE1" w14:textId="77777777" w:rsidTr="00F45709">
        <w:trPr>
          <w:trHeight w:val="170"/>
          <w:tblHeader/>
        </w:trPr>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AB76B1" w14:textId="77777777" w:rsidR="007E7C3A" w:rsidRPr="006E2930" w:rsidRDefault="007E7C3A" w:rsidP="00F45709">
            <w:pPr>
              <w:jc w:val="center"/>
              <w:rPr>
                <w:rFonts w:eastAsia="Times New Roman" w:cstheme="minorHAnsi"/>
                <w:sz w:val="20"/>
                <w:szCs w:val="20"/>
                <w:lang w:eastAsia="hr-HR"/>
              </w:rPr>
            </w:pPr>
            <w:r w:rsidRPr="006E2930">
              <w:rPr>
                <w:rFonts w:eastAsia="Times New Roman" w:cstheme="minorHAnsi"/>
                <w:sz w:val="20"/>
                <w:szCs w:val="20"/>
                <w:lang w:eastAsia="hr-HR"/>
              </w:rPr>
              <w:t>19.</w:t>
            </w:r>
          </w:p>
        </w:tc>
        <w:tc>
          <w:tcPr>
            <w:tcW w:w="1415" w:type="pct"/>
            <w:tcBorders>
              <w:top w:val="single" w:sz="4" w:space="0" w:color="auto"/>
              <w:left w:val="nil"/>
              <w:bottom w:val="single" w:sz="4" w:space="0" w:color="auto"/>
              <w:right w:val="single" w:sz="4" w:space="0" w:color="auto"/>
            </w:tcBorders>
            <w:shd w:val="clear" w:color="auto" w:fill="auto"/>
            <w:vAlign w:val="center"/>
            <w:hideMark/>
          </w:tcPr>
          <w:p w14:paraId="55F513BB" w14:textId="77777777" w:rsidR="007E7C3A" w:rsidRPr="006E2930" w:rsidRDefault="007E7C3A" w:rsidP="00F45709">
            <w:pPr>
              <w:rPr>
                <w:rFonts w:eastAsia="Times New Roman" w:cstheme="minorHAnsi"/>
                <w:sz w:val="20"/>
                <w:szCs w:val="20"/>
                <w:lang w:eastAsia="hr-HR"/>
              </w:rPr>
            </w:pPr>
            <w:r w:rsidRPr="006E2930">
              <w:rPr>
                <w:rFonts w:eastAsia="Times New Roman" w:cstheme="minorHAnsi"/>
                <w:sz w:val="20"/>
                <w:szCs w:val="20"/>
                <w:lang w:eastAsia="hr-HR"/>
              </w:rPr>
              <w:t>Ostali financijski rashodi</w:t>
            </w:r>
          </w:p>
        </w:tc>
        <w:tc>
          <w:tcPr>
            <w:tcW w:w="549" w:type="pct"/>
            <w:tcBorders>
              <w:top w:val="single" w:sz="4" w:space="0" w:color="auto"/>
              <w:left w:val="nil"/>
              <w:bottom w:val="single" w:sz="4" w:space="0" w:color="auto"/>
              <w:right w:val="single" w:sz="4" w:space="0" w:color="auto"/>
            </w:tcBorders>
            <w:shd w:val="clear" w:color="auto" w:fill="auto"/>
            <w:noWrap/>
            <w:vAlign w:val="center"/>
            <w:hideMark/>
          </w:tcPr>
          <w:p w14:paraId="3602C5F3"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43</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14:paraId="2370CD07"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2.130</w:t>
            </w:r>
          </w:p>
        </w:tc>
        <w:tc>
          <w:tcPr>
            <w:tcW w:w="614" w:type="pct"/>
            <w:tcBorders>
              <w:top w:val="single" w:sz="4" w:space="0" w:color="auto"/>
              <w:left w:val="nil"/>
              <w:bottom w:val="single" w:sz="4" w:space="0" w:color="auto"/>
              <w:right w:val="single" w:sz="4" w:space="0" w:color="auto"/>
            </w:tcBorders>
            <w:shd w:val="clear" w:color="auto" w:fill="auto"/>
            <w:noWrap/>
            <w:vAlign w:val="center"/>
            <w:hideMark/>
          </w:tcPr>
          <w:p w14:paraId="39763F8A"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2.626</w:t>
            </w:r>
          </w:p>
        </w:tc>
        <w:tc>
          <w:tcPr>
            <w:tcW w:w="481" w:type="pct"/>
            <w:tcBorders>
              <w:top w:val="single" w:sz="4" w:space="0" w:color="auto"/>
              <w:left w:val="nil"/>
              <w:bottom w:val="single" w:sz="4" w:space="0" w:color="auto"/>
              <w:right w:val="single" w:sz="4" w:space="0" w:color="auto"/>
            </w:tcBorders>
            <w:shd w:val="clear" w:color="auto" w:fill="auto"/>
            <w:noWrap/>
            <w:vAlign w:val="center"/>
            <w:hideMark/>
          </w:tcPr>
          <w:p w14:paraId="08705B3E"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123%</w:t>
            </w:r>
          </w:p>
        </w:tc>
        <w:tc>
          <w:tcPr>
            <w:tcW w:w="549" w:type="pct"/>
            <w:tcBorders>
              <w:top w:val="single" w:sz="4" w:space="0" w:color="auto"/>
              <w:left w:val="nil"/>
              <w:bottom w:val="single" w:sz="4" w:space="0" w:color="auto"/>
              <w:right w:val="single" w:sz="4" w:space="0" w:color="auto"/>
            </w:tcBorders>
            <w:shd w:val="clear" w:color="auto" w:fill="auto"/>
            <w:noWrap/>
            <w:vAlign w:val="center"/>
            <w:hideMark/>
          </w:tcPr>
          <w:p w14:paraId="5968FF49"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0,02%</w:t>
            </w:r>
          </w:p>
        </w:tc>
        <w:tc>
          <w:tcPr>
            <w:tcW w:w="615" w:type="pct"/>
            <w:tcBorders>
              <w:top w:val="single" w:sz="4" w:space="0" w:color="auto"/>
              <w:left w:val="nil"/>
              <w:bottom w:val="single" w:sz="4" w:space="0" w:color="auto"/>
              <w:right w:val="single" w:sz="4" w:space="0" w:color="auto"/>
            </w:tcBorders>
            <w:shd w:val="clear" w:color="auto" w:fill="auto"/>
            <w:noWrap/>
            <w:vAlign w:val="center"/>
            <w:hideMark/>
          </w:tcPr>
          <w:p w14:paraId="2C168257" w14:textId="77777777" w:rsidR="007E7C3A" w:rsidRPr="006E2930" w:rsidRDefault="007E7C3A" w:rsidP="00F45709">
            <w:pPr>
              <w:jc w:val="right"/>
              <w:rPr>
                <w:rFonts w:eastAsia="Times New Roman" w:cstheme="minorHAnsi"/>
                <w:sz w:val="20"/>
                <w:szCs w:val="20"/>
                <w:lang w:eastAsia="hr-HR"/>
              </w:rPr>
            </w:pPr>
            <w:r w:rsidRPr="006E2930">
              <w:rPr>
                <w:rFonts w:eastAsia="Times New Roman" w:cstheme="minorHAnsi"/>
                <w:sz w:val="20"/>
                <w:szCs w:val="20"/>
                <w:lang w:eastAsia="hr-HR"/>
              </w:rPr>
              <w:t>6073%</w:t>
            </w:r>
          </w:p>
        </w:tc>
      </w:tr>
      <w:tr w:rsidR="007E7C3A" w:rsidRPr="006E2930" w14:paraId="4E9C4FE9" w14:textId="77777777" w:rsidTr="00F45709">
        <w:trPr>
          <w:trHeight w:val="170"/>
          <w:tblHeader/>
        </w:trPr>
        <w:tc>
          <w:tcPr>
            <w:tcW w:w="1644" w:type="pct"/>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02D5277F" w14:textId="77777777" w:rsidR="007E7C3A" w:rsidRPr="006E2930" w:rsidRDefault="007E7C3A" w:rsidP="00F45709">
            <w:pPr>
              <w:jc w:val="center"/>
              <w:rPr>
                <w:rFonts w:eastAsia="Times New Roman" w:cstheme="minorHAnsi"/>
                <w:b/>
                <w:bCs/>
                <w:sz w:val="20"/>
                <w:szCs w:val="20"/>
                <w:lang w:eastAsia="hr-HR"/>
              </w:rPr>
            </w:pPr>
            <w:r w:rsidRPr="006E2930">
              <w:rPr>
                <w:rFonts w:eastAsia="Times New Roman" w:cstheme="minorHAnsi"/>
                <w:b/>
                <w:bCs/>
                <w:sz w:val="20"/>
                <w:szCs w:val="20"/>
                <w:lang w:eastAsia="hr-HR"/>
              </w:rPr>
              <w:t>UKUPNO:</w:t>
            </w:r>
          </w:p>
        </w:tc>
        <w:tc>
          <w:tcPr>
            <w:tcW w:w="549"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658F73F" w14:textId="77777777" w:rsidR="007E7C3A" w:rsidRPr="006E2930" w:rsidRDefault="007E7C3A" w:rsidP="00F45709">
            <w:pPr>
              <w:jc w:val="right"/>
              <w:rPr>
                <w:rFonts w:eastAsia="Times New Roman" w:cstheme="minorHAnsi"/>
                <w:b/>
                <w:bCs/>
                <w:sz w:val="20"/>
                <w:szCs w:val="20"/>
                <w:lang w:eastAsia="hr-HR"/>
              </w:rPr>
            </w:pPr>
            <w:r w:rsidRPr="006E2930">
              <w:rPr>
                <w:rFonts w:eastAsia="Times New Roman" w:cstheme="minorHAnsi"/>
                <w:b/>
                <w:bCs/>
                <w:sz w:val="20"/>
                <w:szCs w:val="20"/>
                <w:lang w:eastAsia="hr-HR"/>
              </w:rPr>
              <w:t>11.430.596</w:t>
            </w:r>
          </w:p>
        </w:tc>
        <w:tc>
          <w:tcPr>
            <w:tcW w:w="548" w:type="pct"/>
            <w:tcBorders>
              <w:top w:val="single" w:sz="4" w:space="0" w:color="auto"/>
              <w:left w:val="nil"/>
              <w:bottom w:val="single" w:sz="4" w:space="0" w:color="auto"/>
              <w:right w:val="single" w:sz="4" w:space="0" w:color="auto"/>
            </w:tcBorders>
            <w:shd w:val="clear" w:color="000000" w:fill="BFBFBF"/>
            <w:noWrap/>
            <w:vAlign w:val="center"/>
            <w:hideMark/>
          </w:tcPr>
          <w:p w14:paraId="5E1209FF" w14:textId="77777777" w:rsidR="007E7C3A" w:rsidRPr="006E2930" w:rsidRDefault="007E7C3A" w:rsidP="00F45709">
            <w:pPr>
              <w:jc w:val="right"/>
              <w:rPr>
                <w:rFonts w:eastAsia="Times New Roman" w:cstheme="minorHAnsi"/>
                <w:b/>
                <w:bCs/>
                <w:sz w:val="20"/>
                <w:szCs w:val="20"/>
                <w:lang w:eastAsia="hr-HR"/>
              </w:rPr>
            </w:pPr>
            <w:r w:rsidRPr="006E2930">
              <w:rPr>
                <w:rFonts w:eastAsia="Times New Roman" w:cstheme="minorHAnsi"/>
                <w:b/>
                <w:bCs/>
                <w:sz w:val="20"/>
                <w:szCs w:val="20"/>
                <w:lang w:eastAsia="hr-HR"/>
              </w:rPr>
              <w:t>12.866.889</w:t>
            </w:r>
          </w:p>
        </w:tc>
        <w:tc>
          <w:tcPr>
            <w:tcW w:w="614" w:type="pct"/>
            <w:tcBorders>
              <w:top w:val="single" w:sz="4" w:space="0" w:color="auto"/>
              <w:left w:val="nil"/>
              <w:bottom w:val="single" w:sz="4" w:space="0" w:color="auto"/>
              <w:right w:val="single" w:sz="4" w:space="0" w:color="auto"/>
            </w:tcBorders>
            <w:shd w:val="clear" w:color="000000" w:fill="BFBFBF"/>
            <w:noWrap/>
            <w:vAlign w:val="center"/>
            <w:hideMark/>
          </w:tcPr>
          <w:p w14:paraId="751671DF" w14:textId="77777777" w:rsidR="007E7C3A" w:rsidRPr="006E2930" w:rsidRDefault="007E7C3A" w:rsidP="00F45709">
            <w:pPr>
              <w:jc w:val="right"/>
              <w:rPr>
                <w:rFonts w:eastAsia="Times New Roman" w:cstheme="minorHAnsi"/>
                <w:b/>
                <w:bCs/>
                <w:sz w:val="20"/>
                <w:szCs w:val="20"/>
                <w:lang w:eastAsia="hr-HR"/>
              </w:rPr>
            </w:pPr>
            <w:r w:rsidRPr="006E2930">
              <w:rPr>
                <w:rFonts w:eastAsia="Times New Roman" w:cstheme="minorHAnsi"/>
                <w:b/>
                <w:bCs/>
                <w:sz w:val="20"/>
                <w:szCs w:val="20"/>
                <w:lang w:eastAsia="hr-HR"/>
              </w:rPr>
              <w:t>12.880.538</w:t>
            </w:r>
          </w:p>
        </w:tc>
        <w:tc>
          <w:tcPr>
            <w:tcW w:w="481" w:type="pct"/>
            <w:tcBorders>
              <w:top w:val="single" w:sz="4" w:space="0" w:color="auto"/>
              <w:left w:val="nil"/>
              <w:bottom w:val="single" w:sz="4" w:space="0" w:color="auto"/>
              <w:right w:val="single" w:sz="4" w:space="0" w:color="auto"/>
            </w:tcBorders>
            <w:shd w:val="clear" w:color="000000" w:fill="BFBFBF"/>
            <w:noWrap/>
            <w:vAlign w:val="center"/>
            <w:hideMark/>
          </w:tcPr>
          <w:p w14:paraId="791B69F9" w14:textId="77777777" w:rsidR="007E7C3A" w:rsidRPr="006E2930" w:rsidRDefault="007E7C3A" w:rsidP="00F45709">
            <w:pPr>
              <w:jc w:val="right"/>
              <w:rPr>
                <w:rFonts w:eastAsia="Times New Roman" w:cstheme="minorHAnsi"/>
                <w:b/>
                <w:bCs/>
                <w:sz w:val="20"/>
                <w:szCs w:val="20"/>
                <w:lang w:eastAsia="hr-HR"/>
              </w:rPr>
            </w:pPr>
            <w:r w:rsidRPr="006E2930">
              <w:rPr>
                <w:rFonts w:eastAsia="Times New Roman" w:cstheme="minorHAnsi"/>
                <w:b/>
                <w:bCs/>
                <w:sz w:val="20"/>
                <w:szCs w:val="20"/>
                <w:lang w:eastAsia="hr-HR"/>
              </w:rPr>
              <w:t>100,1%</w:t>
            </w:r>
          </w:p>
        </w:tc>
        <w:tc>
          <w:tcPr>
            <w:tcW w:w="549" w:type="pct"/>
            <w:tcBorders>
              <w:top w:val="single" w:sz="4" w:space="0" w:color="auto"/>
              <w:left w:val="nil"/>
              <w:bottom w:val="single" w:sz="4" w:space="0" w:color="auto"/>
              <w:right w:val="single" w:sz="4" w:space="0" w:color="auto"/>
            </w:tcBorders>
            <w:shd w:val="clear" w:color="000000" w:fill="BFBFBF"/>
            <w:noWrap/>
            <w:vAlign w:val="center"/>
            <w:hideMark/>
          </w:tcPr>
          <w:p w14:paraId="2BBD804D" w14:textId="77777777" w:rsidR="007E7C3A" w:rsidRPr="006E2930" w:rsidRDefault="007E7C3A" w:rsidP="00F45709">
            <w:pPr>
              <w:jc w:val="right"/>
              <w:rPr>
                <w:rFonts w:eastAsia="Times New Roman" w:cstheme="minorHAnsi"/>
                <w:b/>
                <w:bCs/>
                <w:sz w:val="20"/>
                <w:szCs w:val="20"/>
                <w:lang w:eastAsia="hr-HR"/>
              </w:rPr>
            </w:pPr>
            <w:r w:rsidRPr="006E2930">
              <w:rPr>
                <w:rFonts w:eastAsia="Times New Roman" w:cstheme="minorHAnsi"/>
                <w:b/>
                <w:bCs/>
                <w:sz w:val="20"/>
                <w:szCs w:val="20"/>
                <w:lang w:eastAsia="hr-HR"/>
              </w:rPr>
              <w:t>100%</w:t>
            </w:r>
          </w:p>
        </w:tc>
        <w:tc>
          <w:tcPr>
            <w:tcW w:w="615" w:type="pct"/>
            <w:tcBorders>
              <w:top w:val="single" w:sz="4" w:space="0" w:color="auto"/>
              <w:left w:val="nil"/>
              <w:bottom w:val="single" w:sz="4" w:space="0" w:color="auto"/>
              <w:right w:val="single" w:sz="4" w:space="0" w:color="auto"/>
            </w:tcBorders>
            <w:shd w:val="clear" w:color="000000" w:fill="BFBFBF"/>
            <w:noWrap/>
            <w:vAlign w:val="center"/>
            <w:hideMark/>
          </w:tcPr>
          <w:p w14:paraId="1FEFD3C8" w14:textId="77777777" w:rsidR="007E7C3A" w:rsidRPr="006E2930" w:rsidRDefault="007E7C3A" w:rsidP="00F45709">
            <w:pPr>
              <w:jc w:val="right"/>
              <w:rPr>
                <w:rFonts w:eastAsia="Times New Roman" w:cstheme="minorHAnsi"/>
                <w:b/>
                <w:bCs/>
                <w:sz w:val="20"/>
                <w:szCs w:val="20"/>
                <w:lang w:eastAsia="hr-HR"/>
              </w:rPr>
            </w:pPr>
            <w:r w:rsidRPr="006E2930">
              <w:rPr>
                <w:rFonts w:eastAsia="Times New Roman" w:cstheme="minorHAnsi"/>
                <w:b/>
                <w:bCs/>
                <w:sz w:val="20"/>
                <w:szCs w:val="20"/>
                <w:lang w:eastAsia="hr-HR"/>
              </w:rPr>
              <w:t>113%</w:t>
            </w:r>
          </w:p>
        </w:tc>
      </w:tr>
    </w:tbl>
    <w:p w14:paraId="6721C290" w14:textId="77777777" w:rsidR="002454FD" w:rsidRDefault="002454FD"/>
    <w:p w14:paraId="746851A2" w14:textId="77777777" w:rsidR="002454FD" w:rsidRDefault="002454FD" w:rsidP="003F46B7">
      <w:pPr>
        <w:spacing w:after="200" w:line="276" w:lineRule="auto"/>
        <w:jc w:val="both"/>
        <w:rPr>
          <w:rFonts w:cstheme="minorHAnsi"/>
          <w:b/>
          <w:color w:val="000000"/>
        </w:rPr>
      </w:pPr>
      <w:r w:rsidRPr="002A6222">
        <w:rPr>
          <w:rFonts w:eastAsia="Times New Roman" w:cstheme="minorHAnsi"/>
          <w:color w:val="000000"/>
          <w:lang w:eastAsia="hr-HR"/>
        </w:rPr>
        <w:t>U strukturi rashoda troškovi za zaposlene</w:t>
      </w:r>
      <w:r>
        <w:rPr>
          <w:rFonts w:eastAsia="Times New Roman" w:cstheme="minorHAnsi"/>
          <w:color w:val="000000"/>
          <w:lang w:eastAsia="hr-HR"/>
        </w:rPr>
        <w:t xml:space="preserve"> (plaće) </w:t>
      </w:r>
      <w:r w:rsidRPr="002A6222">
        <w:rPr>
          <w:rFonts w:eastAsia="Times New Roman" w:cstheme="minorHAnsi"/>
          <w:color w:val="000000"/>
          <w:lang w:eastAsia="hr-HR"/>
        </w:rPr>
        <w:t xml:space="preserve">iznose </w:t>
      </w:r>
      <w:r>
        <w:rPr>
          <w:rFonts w:eastAsia="Times New Roman" w:cstheme="minorHAnsi"/>
          <w:color w:val="000000"/>
          <w:lang w:eastAsia="hr-HR"/>
        </w:rPr>
        <w:t>61</w:t>
      </w:r>
      <w:r w:rsidRPr="002A6222">
        <w:rPr>
          <w:rFonts w:eastAsia="Times New Roman" w:cstheme="minorHAnsi"/>
          <w:color w:val="000000"/>
          <w:lang w:eastAsia="hr-HR"/>
        </w:rPr>
        <w:t xml:space="preserve">% svih rashoda, usluge održavanja </w:t>
      </w:r>
      <w:r>
        <w:rPr>
          <w:rFonts w:eastAsia="Times New Roman" w:cstheme="minorHAnsi"/>
          <w:color w:val="000000"/>
          <w:lang w:eastAsia="hr-HR"/>
        </w:rPr>
        <w:t xml:space="preserve">12%, ostali </w:t>
      </w:r>
      <w:r w:rsidRPr="002A6222">
        <w:rPr>
          <w:rFonts w:eastAsia="Times New Roman" w:cstheme="minorHAnsi"/>
          <w:color w:val="000000"/>
          <w:lang w:eastAsia="hr-HR"/>
        </w:rPr>
        <w:t xml:space="preserve">vanjski troškovi iznose </w:t>
      </w:r>
      <w:r>
        <w:rPr>
          <w:rFonts w:eastAsia="Times New Roman" w:cstheme="minorHAnsi"/>
          <w:color w:val="000000"/>
          <w:lang w:eastAsia="hr-HR"/>
        </w:rPr>
        <w:t>8</w:t>
      </w:r>
      <w:r w:rsidRPr="002A6222">
        <w:rPr>
          <w:rFonts w:eastAsia="Times New Roman" w:cstheme="minorHAnsi"/>
          <w:color w:val="000000"/>
          <w:lang w:eastAsia="hr-HR"/>
        </w:rPr>
        <w:t>% rashoda,</w:t>
      </w:r>
      <w:r>
        <w:rPr>
          <w:rFonts w:eastAsia="Times New Roman" w:cstheme="minorHAnsi"/>
          <w:color w:val="000000"/>
          <w:lang w:eastAsia="hr-HR"/>
        </w:rPr>
        <w:t xml:space="preserve"> potpore, naknade, prigodne i ostale nagrade iznose 5% </w:t>
      </w:r>
      <w:r w:rsidRPr="002A6222">
        <w:rPr>
          <w:rFonts w:eastAsia="Times New Roman" w:cstheme="minorHAnsi"/>
          <w:color w:val="000000"/>
          <w:lang w:eastAsia="hr-HR"/>
        </w:rPr>
        <w:t>svih rashoda</w:t>
      </w:r>
      <w:r>
        <w:rPr>
          <w:rFonts w:eastAsia="Times New Roman" w:cstheme="minorHAnsi"/>
          <w:color w:val="000000"/>
          <w:lang w:eastAsia="hr-HR"/>
        </w:rPr>
        <w:t>, naknade troškova radnika, troškovi reprezentacije i ostali nespomenuti troškovi iznose 7% ukupnih rashoda, a</w:t>
      </w:r>
      <w:r w:rsidRPr="002A6222">
        <w:rPr>
          <w:rFonts w:eastAsia="Times New Roman" w:cstheme="minorHAnsi"/>
          <w:color w:val="000000"/>
          <w:lang w:eastAsia="hr-HR"/>
        </w:rPr>
        <w:t xml:space="preserve"> što se vidi iz grafa 2.</w:t>
      </w:r>
    </w:p>
    <w:p w14:paraId="0ACD15F9" w14:textId="1999C1D7" w:rsidR="00EA1914" w:rsidRDefault="00EA1914">
      <w:r>
        <w:br w:type="page"/>
      </w:r>
    </w:p>
    <w:p w14:paraId="00A8C126" w14:textId="77777777" w:rsidR="002454FD" w:rsidRPr="00C155C7" w:rsidRDefault="002454FD" w:rsidP="002454FD">
      <w:pPr>
        <w:spacing w:after="200" w:line="276" w:lineRule="auto"/>
        <w:rPr>
          <w:rFonts w:cstheme="minorHAnsi"/>
          <w:b/>
          <w:color w:val="000000"/>
        </w:rPr>
      </w:pPr>
      <w:r w:rsidRPr="00C155C7">
        <w:rPr>
          <w:rFonts w:cstheme="minorHAnsi"/>
          <w:b/>
          <w:color w:val="000000"/>
        </w:rPr>
        <w:lastRenderedPageBreak/>
        <w:t xml:space="preserve">Graf 2. Struktura rashoda na dan </w:t>
      </w:r>
      <w:r>
        <w:rPr>
          <w:rFonts w:cstheme="minorHAnsi"/>
          <w:b/>
          <w:color w:val="000000"/>
        </w:rPr>
        <w:t>31.12</w:t>
      </w:r>
      <w:r w:rsidRPr="00C155C7">
        <w:rPr>
          <w:rFonts w:cstheme="minorHAnsi"/>
          <w:b/>
          <w:color w:val="000000"/>
        </w:rPr>
        <w:t>.202</w:t>
      </w:r>
      <w:r>
        <w:rPr>
          <w:rFonts w:cstheme="minorHAnsi"/>
          <w:b/>
          <w:color w:val="000000"/>
        </w:rPr>
        <w:t>3</w:t>
      </w:r>
      <w:r w:rsidRPr="00C155C7">
        <w:rPr>
          <w:rFonts w:cstheme="minorHAnsi"/>
          <w:b/>
          <w:color w:val="000000"/>
        </w:rPr>
        <w:t>. godine</w:t>
      </w:r>
      <w:r>
        <w:rPr>
          <w:rFonts w:eastAsia="Times New Roman" w:cstheme="minorHAnsi"/>
          <w:lang w:eastAsia="hr-HR"/>
        </w:rPr>
        <w:t xml:space="preserve"> </w:t>
      </w:r>
    </w:p>
    <w:p w14:paraId="3AAE1026" w14:textId="00E66316" w:rsidR="002454FD" w:rsidRDefault="002454FD">
      <w:r>
        <w:rPr>
          <w:noProof/>
          <w:lang w:eastAsia="hr-HR"/>
        </w:rPr>
        <w:drawing>
          <wp:inline distT="0" distB="0" distL="0" distR="0" wp14:anchorId="46315F54" wp14:editId="504D0771">
            <wp:extent cx="6223000" cy="5782733"/>
            <wp:effectExtent l="0" t="0" r="6350" b="889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2173FA84" w14:textId="209E96E9" w:rsidR="00926B29" w:rsidRDefault="00926B29"/>
    <w:p w14:paraId="7F103092" w14:textId="1C45CF38" w:rsidR="00926B29" w:rsidRDefault="00926B29"/>
    <w:p w14:paraId="3D2B4C3E" w14:textId="545F605D" w:rsidR="00175598" w:rsidRDefault="00175598"/>
    <w:p w14:paraId="6A00AABF" w14:textId="4F8AA2F1" w:rsidR="00175598" w:rsidRDefault="00175598"/>
    <w:p w14:paraId="1499C721" w14:textId="0D6B258A" w:rsidR="00175598" w:rsidRDefault="00175598"/>
    <w:p w14:paraId="628BD54E" w14:textId="0D96FC0B" w:rsidR="00175598" w:rsidRDefault="00175598"/>
    <w:p w14:paraId="744FFCD9" w14:textId="1C98C4F4" w:rsidR="00175598" w:rsidRDefault="00175598"/>
    <w:p w14:paraId="2BC889F3" w14:textId="477B89C0" w:rsidR="00175598" w:rsidRDefault="00175598"/>
    <w:p w14:paraId="69606CC1" w14:textId="2BC21DC7" w:rsidR="00175598" w:rsidRDefault="00175598"/>
    <w:p w14:paraId="50FD27F2" w14:textId="24E50D3F" w:rsidR="00175598" w:rsidRDefault="00175598"/>
    <w:p w14:paraId="0239FA24" w14:textId="77777777" w:rsidR="00175598" w:rsidRDefault="00175598"/>
    <w:p w14:paraId="0AFBE901" w14:textId="2B38CAA7" w:rsidR="00926B29" w:rsidRDefault="00926B29" w:rsidP="00926B29">
      <w:pPr>
        <w:pStyle w:val="Heading2"/>
        <w:rPr>
          <w:rFonts w:eastAsia="Calibri"/>
        </w:rPr>
      </w:pPr>
      <w:bookmarkStart w:id="339" w:name="_Toc165035550"/>
      <w:r w:rsidRPr="00456D20">
        <w:rPr>
          <w:rFonts w:eastAsia="Calibri"/>
        </w:rPr>
        <w:lastRenderedPageBreak/>
        <w:t>3.4. Rezultat poslovanja</w:t>
      </w:r>
      <w:bookmarkEnd w:id="339"/>
    </w:p>
    <w:p w14:paraId="3CC33E3D" w14:textId="77777777" w:rsidR="00175598" w:rsidRPr="00175598" w:rsidRDefault="00175598" w:rsidP="00175598"/>
    <w:p w14:paraId="105C2C82" w14:textId="4D460B64" w:rsidR="00175598" w:rsidRDefault="00926B29" w:rsidP="00926B29">
      <w:pPr>
        <w:tabs>
          <w:tab w:val="num" w:pos="0"/>
        </w:tabs>
        <w:spacing w:after="240" w:line="276" w:lineRule="auto"/>
        <w:jc w:val="both"/>
        <w:rPr>
          <w:rFonts w:eastAsia="Times New Roman" w:cstheme="minorHAnsi"/>
        </w:rPr>
      </w:pPr>
      <w:r w:rsidRPr="0010296D">
        <w:rPr>
          <w:rFonts w:eastAsia="Times New Roman" w:cstheme="minorHAnsi"/>
        </w:rPr>
        <w:t xml:space="preserve">Ukupni prihodi HALMED-a iznose </w:t>
      </w:r>
      <w:r>
        <w:rPr>
          <w:rFonts w:eastAsia="Times New Roman" w:cstheme="minorHAnsi"/>
        </w:rPr>
        <w:t>12.907.148</w:t>
      </w:r>
      <w:r w:rsidRPr="00456D20">
        <w:rPr>
          <w:rFonts w:eastAsia="Times New Roman" w:cstheme="minorHAnsi"/>
        </w:rPr>
        <w:t xml:space="preserve"> eura</w:t>
      </w:r>
      <w:r>
        <w:rPr>
          <w:rFonts w:eastAsia="Times New Roman" w:cstheme="minorHAnsi"/>
        </w:rPr>
        <w:t>, a</w:t>
      </w:r>
      <w:r w:rsidRPr="0010296D">
        <w:rPr>
          <w:rFonts w:eastAsia="Times New Roman" w:cstheme="minorHAnsi"/>
        </w:rPr>
        <w:t xml:space="preserve"> ukupni rashodi</w:t>
      </w:r>
      <w:r>
        <w:rPr>
          <w:rFonts w:eastAsia="Times New Roman" w:cstheme="minorHAnsi"/>
        </w:rPr>
        <w:t xml:space="preserve"> 12.880.538 eura</w:t>
      </w:r>
      <w:r w:rsidRPr="0010296D">
        <w:rPr>
          <w:rFonts w:eastAsia="Times New Roman" w:cstheme="minorHAnsi"/>
        </w:rPr>
        <w:t xml:space="preserve"> temeljem čega je na dan </w:t>
      </w:r>
      <w:r>
        <w:rPr>
          <w:rFonts w:eastAsia="Times New Roman" w:cstheme="minorHAnsi"/>
        </w:rPr>
        <w:t>31. prosinca 2023</w:t>
      </w:r>
      <w:r w:rsidRPr="0010296D">
        <w:rPr>
          <w:rFonts w:eastAsia="Times New Roman" w:cstheme="minorHAnsi"/>
        </w:rPr>
        <w:t xml:space="preserve">. godine ostvarena dobit </w:t>
      </w:r>
      <w:r>
        <w:rPr>
          <w:rFonts w:eastAsia="Times New Roman" w:cstheme="minorHAnsi"/>
        </w:rPr>
        <w:t>prije oporezivanja u iznosu od 26.610 eura.</w:t>
      </w:r>
      <w:r w:rsidRPr="0010296D">
        <w:rPr>
          <w:rFonts w:eastAsia="Times New Roman" w:cstheme="minorHAnsi"/>
        </w:rPr>
        <w:t xml:space="preserve"> </w:t>
      </w:r>
    </w:p>
    <w:p w14:paraId="4B0A76B0" w14:textId="77777777" w:rsidR="00926B29" w:rsidRPr="0010296D" w:rsidRDefault="00926B29" w:rsidP="00926B29">
      <w:pPr>
        <w:spacing w:after="120"/>
        <w:rPr>
          <w:rFonts w:cstheme="minorHAnsi"/>
          <w:b/>
          <w:bCs/>
        </w:rPr>
      </w:pPr>
      <w:r w:rsidRPr="0010296D">
        <w:rPr>
          <w:rFonts w:eastAsia="Times New Roman" w:cstheme="minorHAnsi"/>
          <w:b/>
          <w:lang w:eastAsia="hr-HR"/>
        </w:rPr>
        <w:t>Tablica 3</w:t>
      </w:r>
      <w:r>
        <w:rPr>
          <w:rFonts w:eastAsia="Times New Roman" w:cstheme="minorHAnsi"/>
          <w:b/>
          <w:lang w:eastAsia="hr-HR"/>
        </w:rPr>
        <w:t>8</w:t>
      </w:r>
      <w:r w:rsidRPr="0010296D">
        <w:rPr>
          <w:rFonts w:eastAsia="Times New Roman" w:cstheme="minorHAnsi"/>
          <w:b/>
          <w:lang w:eastAsia="hr-HR"/>
        </w:rPr>
        <w:t>. Prihodi i rashodi za razdoblje od 01. siječnja do 3</w:t>
      </w:r>
      <w:r>
        <w:rPr>
          <w:rFonts w:eastAsia="Times New Roman" w:cstheme="minorHAnsi"/>
          <w:b/>
          <w:lang w:eastAsia="hr-HR"/>
        </w:rPr>
        <w:t>1.</w:t>
      </w:r>
      <w:r w:rsidRPr="0010296D">
        <w:rPr>
          <w:rFonts w:eastAsia="Times New Roman" w:cstheme="minorHAnsi"/>
          <w:b/>
          <w:lang w:eastAsia="hr-HR"/>
        </w:rPr>
        <w:t xml:space="preserve"> </w:t>
      </w:r>
      <w:r>
        <w:rPr>
          <w:rFonts w:eastAsia="Times New Roman" w:cstheme="minorHAnsi"/>
          <w:b/>
          <w:lang w:eastAsia="hr-HR"/>
        </w:rPr>
        <w:t xml:space="preserve">prosinca </w:t>
      </w:r>
      <w:r w:rsidRPr="0010296D">
        <w:rPr>
          <w:rFonts w:eastAsia="Times New Roman" w:cstheme="minorHAnsi"/>
          <w:b/>
          <w:lang w:eastAsia="hr-HR"/>
        </w:rPr>
        <w:t>20</w:t>
      </w:r>
      <w:r>
        <w:rPr>
          <w:rFonts w:eastAsia="Times New Roman" w:cstheme="minorHAnsi"/>
          <w:b/>
          <w:lang w:eastAsia="hr-HR"/>
        </w:rPr>
        <w:t>23</w:t>
      </w:r>
      <w:r w:rsidRPr="0010296D">
        <w:rPr>
          <w:rFonts w:eastAsia="Times New Roman" w:cstheme="minorHAnsi"/>
          <w:b/>
          <w:lang w:eastAsia="hr-HR"/>
        </w:rPr>
        <w:t>. godine</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0"/>
        <w:gridCol w:w="2960"/>
        <w:gridCol w:w="1320"/>
        <w:gridCol w:w="1460"/>
        <w:gridCol w:w="1440"/>
      </w:tblGrid>
      <w:tr w:rsidR="00926B29" w:rsidRPr="00842AF8" w14:paraId="46F9155C" w14:textId="77777777" w:rsidTr="00F45709">
        <w:trPr>
          <w:trHeight w:val="227"/>
        </w:trPr>
        <w:tc>
          <w:tcPr>
            <w:tcW w:w="1140" w:type="dxa"/>
            <w:shd w:val="clear" w:color="000000" w:fill="A3E7FF"/>
            <w:noWrap/>
            <w:vAlign w:val="center"/>
            <w:hideMark/>
          </w:tcPr>
          <w:p w14:paraId="6B781D78" w14:textId="77777777" w:rsidR="00926B29" w:rsidRPr="00945329" w:rsidRDefault="00926B29" w:rsidP="00F45709">
            <w:pPr>
              <w:jc w:val="center"/>
              <w:rPr>
                <w:rFonts w:eastAsia="Times New Roman" w:cs="Calibri"/>
                <w:b/>
                <w:bCs/>
                <w:color w:val="000000"/>
                <w:sz w:val="20"/>
                <w:szCs w:val="20"/>
                <w:lang w:eastAsia="hr-HR"/>
              </w:rPr>
            </w:pPr>
            <w:r w:rsidRPr="00945329">
              <w:rPr>
                <w:rFonts w:eastAsia="Times New Roman" w:cs="Calibri"/>
                <w:b/>
                <w:bCs/>
                <w:color w:val="000000"/>
                <w:sz w:val="20"/>
                <w:szCs w:val="20"/>
                <w:lang w:eastAsia="hr-HR"/>
              </w:rPr>
              <w:t>R.Br.</w:t>
            </w:r>
          </w:p>
        </w:tc>
        <w:tc>
          <w:tcPr>
            <w:tcW w:w="2960" w:type="dxa"/>
            <w:shd w:val="clear" w:color="000000" w:fill="A3E7FF"/>
            <w:vAlign w:val="center"/>
            <w:hideMark/>
          </w:tcPr>
          <w:p w14:paraId="7A0F7522" w14:textId="77777777" w:rsidR="00926B29" w:rsidRPr="00945329" w:rsidRDefault="00926B29" w:rsidP="00F45709">
            <w:pPr>
              <w:rPr>
                <w:rFonts w:eastAsia="Times New Roman" w:cs="Calibri"/>
                <w:b/>
                <w:bCs/>
                <w:color w:val="000000"/>
                <w:sz w:val="20"/>
                <w:szCs w:val="20"/>
                <w:lang w:eastAsia="hr-HR"/>
              </w:rPr>
            </w:pPr>
            <w:r w:rsidRPr="00945329">
              <w:rPr>
                <w:rFonts w:eastAsia="Times New Roman" w:cs="Calibri"/>
                <w:b/>
                <w:bCs/>
                <w:color w:val="000000"/>
                <w:sz w:val="20"/>
                <w:szCs w:val="20"/>
                <w:lang w:eastAsia="hr-HR"/>
              </w:rPr>
              <w:t>Naziv kategorije</w:t>
            </w:r>
          </w:p>
        </w:tc>
        <w:tc>
          <w:tcPr>
            <w:tcW w:w="1320" w:type="dxa"/>
            <w:shd w:val="clear" w:color="000000" w:fill="A3E7FF"/>
            <w:vAlign w:val="center"/>
            <w:hideMark/>
          </w:tcPr>
          <w:p w14:paraId="3E0D92F6" w14:textId="77777777" w:rsidR="00926B29" w:rsidRPr="00945329" w:rsidRDefault="00926B29" w:rsidP="00F45709">
            <w:pPr>
              <w:jc w:val="center"/>
              <w:rPr>
                <w:rFonts w:eastAsia="Times New Roman" w:cs="Calibri"/>
                <w:b/>
                <w:bCs/>
                <w:color w:val="000000"/>
                <w:sz w:val="20"/>
                <w:szCs w:val="20"/>
                <w:lang w:eastAsia="hr-HR"/>
              </w:rPr>
            </w:pPr>
            <w:r w:rsidRPr="00945329">
              <w:rPr>
                <w:rFonts w:eastAsia="Times New Roman" w:cs="Calibri"/>
                <w:b/>
                <w:bCs/>
                <w:color w:val="000000"/>
                <w:sz w:val="20"/>
                <w:szCs w:val="20"/>
                <w:lang w:eastAsia="hr-HR"/>
              </w:rPr>
              <w:t>Plan V</w:t>
            </w:r>
            <w:r>
              <w:rPr>
                <w:rFonts w:eastAsia="Times New Roman" w:cs="Calibri"/>
                <w:b/>
                <w:bCs/>
                <w:color w:val="000000"/>
                <w:sz w:val="20"/>
                <w:szCs w:val="20"/>
                <w:lang w:eastAsia="hr-HR"/>
              </w:rPr>
              <w:t>3</w:t>
            </w:r>
            <w:r w:rsidRPr="00945329">
              <w:rPr>
                <w:rFonts w:eastAsia="Times New Roman" w:cs="Calibri"/>
                <w:b/>
                <w:bCs/>
                <w:color w:val="000000"/>
                <w:sz w:val="20"/>
                <w:szCs w:val="20"/>
                <w:lang w:eastAsia="hr-HR"/>
              </w:rPr>
              <w:t xml:space="preserve"> u 2023. godini</w:t>
            </w:r>
          </w:p>
        </w:tc>
        <w:tc>
          <w:tcPr>
            <w:tcW w:w="1460" w:type="dxa"/>
            <w:shd w:val="clear" w:color="000000" w:fill="A3E7FF"/>
            <w:vAlign w:val="center"/>
            <w:hideMark/>
          </w:tcPr>
          <w:p w14:paraId="29CBB9B7" w14:textId="77777777" w:rsidR="00926B29" w:rsidRPr="00945329" w:rsidRDefault="00926B29" w:rsidP="00F45709">
            <w:pPr>
              <w:jc w:val="center"/>
              <w:rPr>
                <w:rFonts w:eastAsia="Times New Roman" w:cs="Calibri"/>
                <w:b/>
                <w:bCs/>
                <w:color w:val="000000"/>
                <w:sz w:val="20"/>
                <w:szCs w:val="20"/>
                <w:lang w:eastAsia="hr-HR"/>
              </w:rPr>
            </w:pPr>
            <w:r w:rsidRPr="00945329">
              <w:rPr>
                <w:rFonts w:eastAsia="Times New Roman" w:cs="Calibri"/>
                <w:b/>
                <w:bCs/>
                <w:color w:val="000000"/>
                <w:sz w:val="20"/>
                <w:szCs w:val="20"/>
                <w:lang w:eastAsia="hr-HR"/>
              </w:rPr>
              <w:t>Izvršenje</w:t>
            </w:r>
          </w:p>
          <w:p w14:paraId="07A06CDD" w14:textId="77777777" w:rsidR="00926B29" w:rsidRPr="00945329" w:rsidRDefault="00926B29" w:rsidP="00F45709">
            <w:pPr>
              <w:jc w:val="center"/>
              <w:rPr>
                <w:rFonts w:eastAsia="Times New Roman" w:cs="Calibri"/>
                <w:b/>
                <w:bCs/>
                <w:color w:val="000000"/>
                <w:sz w:val="20"/>
                <w:szCs w:val="20"/>
                <w:lang w:eastAsia="hr-HR"/>
              </w:rPr>
            </w:pPr>
            <w:r w:rsidRPr="00945329">
              <w:rPr>
                <w:rFonts w:eastAsia="Times New Roman" w:cs="Calibri"/>
                <w:b/>
                <w:bCs/>
                <w:color w:val="000000"/>
                <w:sz w:val="20"/>
                <w:szCs w:val="20"/>
                <w:lang w:eastAsia="hr-HR"/>
              </w:rPr>
              <w:t xml:space="preserve"> 01.01.-3</w:t>
            </w:r>
            <w:r>
              <w:rPr>
                <w:rFonts w:eastAsia="Times New Roman" w:cs="Calibri"/>
                <w:b/>
                <w:bCs/>
                <w:color w:val="000000"/>
                <w:sz w:val="20"/>
                <w:szCs w:val="20"/>
                <w:lang w:eastAsia="hr-HR"/>
              </w:rPr>
              <w:t>1</w:t>
            </w:r>
            <w:r w:rsidRPr="00945329">
              <w:rPr>
                <w:rFonts w:eastAsia="Times New Roman" w:cs="Calibri"/>
                <w:b/>
                <w:bCs/>
                <w:color w:val="000000"/>
                <w:sz w:val="20"/>
                <w:szCs w:val="20"/>
                <w:lang w:eastAsia="hr-HR"/>
              </w:rPr>
              <w:t>.</w:t>
            </w:r>
            <w:r>
              <w:rPr>
                <w:rFonts w:eastAsia="Times New Roman" w:cs="Calibri"/>
                <w:b/>
                <w:bCs/>
                <w:color w:val="000000"/>
                <w:sz w:val="20"/>
                <w:szCs w:val="20"/>
                <w:lang w:eastAsia="hr-HR"/>
              </w:rPr>
              <w:t>12</w:t>
            </w:r>
            <w:r w:rsidRPr="00945329">
              <w:rPr>
                <w:rFonts w:eastAsia="Times New Roman" w:cs="Calibri"/>
                <w:b/>
                <w:bCs/>
                <w:color w:val="000000"/>
                <w:sz w:val="20"/>
                <w:szCs w:val="20"/>
                <w:lang w:eastAsia="hr-HR"/>
              </w:rPr>
              <w:t xml:space="preserve">.2023. g. </w:t>
            </w:r>
          </w:p>
        </w:tc>
        <w:tc>
          <w:tcPr>
            <w:tcW w:w="1440" w:type="dxa"/>
            <w:shd w:val="clear" w:color="000000" w:fill="A3E7FF"/>
            <w:vAlign w:val="center"/>
            <w:hideMark/>
          </w:tcPr>
          <w:p w14:paraId="307D036C" w14:textId="77777777" w:rsidR="00926B29" w:rsidRPr="00945329" w:rsidRDefault="00926B29" w:rsidP="00F45709">
            <w:pPr>
              <w:jc w:val="center"/>
              <w:rPr>
                <w:rFonts w:eastAsia="Times New Roman" w:cs="Calibri"/>
                <w:b/>
                <w:bCs/>
                <w:color w:val="000000"/>
                <w:sz w:val="20"/>
                <w:szCs w:val="20"/>
                <w:lang w:eastAsia="hr-HR"/>
              </w:rPr>
            </w:pPr>
            <w:r w:rsidRPr="00945329">
              <w:rPr>
                <w:rFonts w:eastAsia="Times New Roman" w:cs="Calibri"/>
                <w:b/>
                <w:bCs/>
                <w:color w:val="000000"/>
                <w:sz w:val="20"/>
                <w:szCs w:val="20"/>
                <w:lang w:eastAsia="hr-HR"/>
              </w:rPr>
              <w:t>% izvršenja</w:t>
            </w:r>
          </w:p>
        </w:tc>
      </w:tr>
      <w:tr w:rsidR="00926B29" w:rsidRPr="00842AF8" w14:paraId="117E4417" w14:textId="77777777" w:rsidTr="00F45709">
        <w:trPr>
          <w:trHeight w:val="227"/>
        </w:trPr>
        <w:tc>
          <w:tcPr>
            <w:tcW w:w="1140" w:type="dxa"/>
            <w:shd w:val="clear" w:color="auto" w:fill="auto"/>
            <w:vAlign w:val="center"/>
            <w:hideMark/>
          </w:tcPr>
          <w:p w14:paraId="5CB53D11" w14:textId="77777777" w:rsidR="00926B29" w:rsidRPr="00945329" w:rsidRDefault="00926B29" w:rsidP="00F45709">
            <w:pPr>
              <w:jc w:val="center"/>
              <w:rPr>
                <w:rFonts w:eastAsia="Times New Roman" w:cs="Calibri"/>
                <w:color w:val="000000"/>
                <w:sz w:val="20"/>
                <w:szCs w:val="20"/>
                <w:lang w:eastAsia="hr-HR"/>
              </w:rPr>
            </w:pPr>
            <w:r w:rsidRPr="00945329">
              <w:rPr>
                <w:rFonts w:eastAsia="Times New Roman" w:cs="Calibri"/>
                <w:color w:val="000000"/>
                <w:sz w:val="20"/>
                <w:szCs w:val="20"/>
                <w:lang w:eastAsia="hr-HR"/>
              </w:rPr>
              <w:t>1.</w:t>
            </w:r>
          </w:p>
        </w:tc>
        <w:tc>
          <w:tcPr>
            <w:tcW w:w="2960" w:type="dxa"/>
            <w:shd w:val="clear" w:color="auto" w:fill="auto"/>
            <w:vAlign w:val="center"/>
            <w:hideMark/>
          </w:tcPr>
          <w:p w14:paraId="2FF49C6E" w14:textId="77777777" w:rsidR="00926B29" w:rsidRPr="00945329" w:rsidRDefault="00926B29" w:rsidP="00F45709">
            <w:pPr>
              <w:rPr>
                <w:rFonts w:eastAsia="Times New Roman" w:cs="Calibri"/>
                <w:color w:val="000000"/>
                <w:sz w:val="20"/>
                <w:szCs w:val="20"/>
                <w:lang w:eastAsia="hr-HR"/>
              </w:rPr>
            </w:pPr>
            <w:r w:rsidRPr="00945329">
              <w:rPr>
                <w:rFonts w:eastAsia="Times New Roman" w:cs="Calibri"/>
                <w:color w:val="000000"/>
                <w:sz w:val="20"/>
                <w:szCs w:val="20"/>
                <w:lang w:eastAsia="hr-HR"/>
              </w:rPr>
              <w:t>Ukupni prihodi</w:t>
            </w:r>
          </w:p>
        </w:tc>
        <w:tc>
          <w:tcPr>
            <w:tcW w:w="1320" w:type="dxa"/>
            <w:shd w:val="clear" w:color="auto" w:fill="auto"/>
            <w:noWrap/>
            <w:vAlign w:val="center"/>
          </w:tcPr>
          <w:p w14:paraId="5621E6F9" w14:textId="77777777" w:rsidR="00926B29" w:rsidRPr="00945329" w:rsidRDefault="00926B29" w:rsidP="00F45709">
            <w:pPr>
              <w:jc w:val="center"/>
              <w:rPr>
                <w:rFonts w:eastAsia="Times New Roman" w:cs="Calibri"/>
                <w:color w:val="000000"/>
                <w:sz w:val="20"/>
                <w:szCs w:val="20"/>
                <w:lang w:eastAsia="hr-HR"/>
              </w:rPr>
            </w:pPr>
            <w:r>
              <w:rPr>
                <w:rFonts w:ascii="Calibri" w:hAnsi="Calibri" w:cs="Calibri"/>
                <w:color w:val="000000"/>
                <w:sz w:val="20"/>
                <w:szCs w:val="20"/>
              </w:rPr>
              <w:t>12.871.977</w:t>
            </w:r>
          </w:p>
        </w:tc>
        <w:tc>
          <w:tcPr>
            <w:tcW w:w="1460" w:type="dxa"/>
            <w:shd w:val="clear" w:color="auto" w:fill="auto"/>
            <w:vAlign w:val="center"/>
          </w:tcPr>
          <w:p w14:paraId="6DA6D571" w14:textId="77777777" w:rsidR="00926B29" w:rsidRPr="00945329" w:rsidRDefault="00926B29" w:rsidP="00F45709">
            <w:pPr>
              <w:jc w:val="center"/>
              <w:rPr>
                <w:rFonts w:eastAsia="Times New Roman" w:cs="Calibri"/>
                <w:color w:val="000000"/>
                <w:sz w:val="20"/>
                <w:szCs w:val="20"/>
                <w:lang w:eastAsia="hr-HR"/>
              </w:rPr>
            </w:pPr>
            <w:r>
              <w:rPr>
                <w:rFonts w:ascii="Calibri" w:hAnsi="Calibri" w:cs="Calibri"/>
                <w:color w:val="000000"/>
                <w:sz w:val="20"/>
                <w:szCs w:val="20"/>
              </w:rPr>
              <w:t>12.907.148</w:t>
            </w:r>
          </w:p>
        </w:tc>
        <w:tc>
          <w:tcPr>
            <w:tcW w:w="1440" w:type="dxa"/>
            <w:shd w:val="clear" w:color="auto" w:fill="auto"/>
            <w:vAlign w:val="center"/>
          </w:tcPr>
          <w:p w14:paraId="34573AF9" w14:textId="77777777" w:rsidR="00926B29" w:rsidRPr="00945329" w:rsidRDefault="00926B29" w:rsidP="00F45709">
            <w:pPr>
              <w:jc w:val="center"/>
              <w:rPr>
                <w:rFonts w:eastAsia="Times New Roman" w:cs="Calibri"/>
                <w:color w:val="000000"/>
                <w:sz w:val="20"/>
                <w:szCs w:val="20"/>
                <w:lang w:eastAsia="hr-HR"/>
              </w:rPr>
            </w:pPr>
            <w:r>
              <w:rPr>
                <w:rFonts w:ascii="Calibri" w:hAnsi="Calibri" w:cs="Calibri"/>
                <w:color w:val="000000"/>
                <w:sz w:val="20"/>
                <w:szCs w:val="20"/>
              </w:rPr>
              <w:t>100,3%</w:t>
            </w:r>
          </w:p>
        </w:tc>
      </w:tr>
      <w:tr w:rsidR="00926B29" w:rsidRPr="00842AF8" w14:paraId="560EBBBB" w14:textId="77777777" w:rsidTr="00F45709">
        <w:trPr>
          <w:trHeight w:val="227"/>
        </w:trPr>
        <w:tc>
          <w:tcPr>
            <w:tcW w:w="1140" w:type="dxa"/>
            <w:shd w:val="clear" w:color="auto" w:fill="auto"/>
            <w:vAlign w:val="center"/>
            <w:hideMark/>
          </w:tcPr>
          <w:p w14:paraId="3406F3D5" w14:textId="77777777" w:rsidR="00926B29" w:rsidRPr="00945329" w:rsidRDefault="00926B29" w:rsidP="00F45709">
            <w:pPr>
              <w:jc w:val="center"/>
              <w:rPr>
                <w:rFonts w:eastAsia="Times New Roman" w:cs="Calibri"/>
                <w:color w:val="000000"/>
                <w:sz w:val="20"/>
                <w:szCs w:val="20"/>
                <w:lang w:eastAsia="hr-HR"/>
              </w:rPr>
            </w:pPr>
            <w:r w:rsidRPr="00945329">
              <w:rPr>
                <w:rFonts w:eastAsia="Times New Roman" w:cs="Calibri"/>
                <w:color w:val="000000"/>
                <w:sz w:val="20"/>
                <w:szCs w:val="20"/>
                <w:lang w:eastAsia="hr-HR"/>
              </w:rPr>
              <w:t>2.</w:t>
            </w:r>
          </w:p>
        </w:tc>
        <w:tc>
          <w:tcPr>
            <w:tcW w:w="2960" w:type="dxa"/>
            <w:shd w:val="clear" w:color="auto" w:fill="auto"/>
            <w:vAlign w:val="center"/>
            <w:hideMark/>
          </w:tcPr>
          <w:p w14:paraId="09C5052E" w14:textId="77777777" w:rsidR="00926B29" w:rsidRPr="00945329" w:rsidRDefault="00926B29" w:rsidP="00F45709">
            <w:pPr>
              <w:rPr>
                <w:rFonts w:eastAsia="Times New Roman" w:cs="Calibri"/>
                <w:color w:val="000000"/>
                <w:sz w:val="20"/>
                <w:szCs w:val="20"/>
                <w:lang w:eastAsia="hr-HR"/>
              </w:rPr>
            </w:pPr>
            <w:r w:rsidRPr="00945329">
              <w:rPr>
                <w:rFonts w:eastAsia="Times New Roman" w:cs="Calibri"/>
                <w:color w:val="000000"/>
                <w:sz w:val="20"/>
                <w:szCs w:val="20"/>
                <w:lang w:eastAsia="hr-HR"/>
              </w:rPr>
              <w:t>Ukupni rashodi</w:t>
            </w:r>
          </w:p>
        </w:tc>
        <w:tc>
          <w:tcPr>
            <w:tcW w:w="1320" w:type="dxa"/>
            <w:shd w:val="clear" w:color="auto" w:fill="auto"/>
            <w:noWrap/>
            <w:vAlign w:val="center"/>
          </w:tcPr>
          <w:p w14:paraId="66645E2C" w14:textId="77777777" w:rsidR="00926B29" w:rsidRPr="00945329" w:rsidRDefault="00926B29" w:rsidP="00F45709">
            <w:pPr>
              <w:jc w:val="center"/>
              <w:rPr>
                <w:rFonts w:eastAsia="Times New Roman" w:cs="Calibri"/>
                <w:color w:val="000000"/>
                <w:sz w:val="20"/>
                <w:szCs w:val="20"/>
                <w:lang w:eastAsia="hr-HR"/>
              </w:rPr>
            </w:pPr>
            <w:r>
              <w:rPr>
                <w:rFonts w:ascii="Calibri" w:hAnsi="Calibri" w:cs="Calibri"/>
                <w:color w:val="000000"/>
                <w:sz w:val="20"/>
                <w:szCs w:val="20"/>
              </w:rPr>
              <w:t>12.866.889</w:t>
            </w:r>
          </w:p>
        </w:tc>
        <w:tc>
          <w:tcPr>
            <w:tcW w:w="1460" w:type="dxa"/>
            <w:shd w:val="clear" w:color="auto" w:fill="auto"/>
            <w:noWrap/>
            <w:vAlign w:val="center"/>
          </w:tcPr>
          <w:p w14:paraId="337D9B1F" w14:textId="77777777" w:rsidR="00926B29" w:rsidRPr="00945329" w:rsidRDefault="00926B29" w:rsidP="00F45709">
            <w:pPr>
              <w:jc w:val="center"/>
              <w:rPr>
                <w:rFonts w:eastAsia="Times New Roman" w:cs="Calibri"/>
                <w:color w:val="000000"/>
                <w:sz w:val="20"/>
                <w:szCs w:val="20"/>
                <w:lang w:eastAsia="hr-HR"/>
              </w:rPr>
            </w:pPr>
            <w:r>
              <w:rPr>
                <w:rFonts w:ascii="Calibri" w:hAnsi="Calibri" w:cs="Calibri"/>
                <w:color w:val="000000"/>
                <w:sz w:val="20"/>
                <w:szCs w:val="20"/>
              </w:rPr>
              <w:t>12.880.538</w:t>
            </w:r>
          </w:p>
        </w:tc>
        <w:tc>
          <w:tcPr>
            <w:tcW w:w="1440" w:type="dxa"/>
            <w:shd w:val="clear" w:color="auto" w:fill="auto"/>
            <w:vAlign w:val="center"/>
          </w:tcPr>
          <w:p w14:paraId="74B4C5A2" w14:textId="77777777" w:rsidR="00926B29" w:rsidRPr="00945329" w:rsidRDefault="00926B29" w:rsidP="00F45709">
            <w:pPr>
              <w:jc w:val="center"/>
              <w:rPr>
                <w:rFonts w:eastAsia="Times New Roman" w:cs="Calibri"/>
                <w:color w:val="000000"/>
                <w:sz w:val="20"/>
                <w:szCs w:val="20"/>
                <w:lang w:eastAsia="hr-HR"/>
              </w:rPr>
            </w:pPr>
            <w:r>
              <w:rPr>
                <w:rFonts w:ascii="Calibri" w:hAnsi="Calibri" w:cs="Calibri"/>
                <w:color w:val="000000"/>
                <w:sz w:val="20"/>
                <w:szCs w:val="20"/>
              </w:rPr>
              <w:t>100,1%</w:t>
            </w:r>
          </w:p>
        </w:tc>
      </w:tr>
      <w:tr w:rsidR="00926B29" w:rsidRPr="00842AF8" w14:paraId="76EA5A29" w14:textId="77777777" w:rsidTr="00F45709">
        <w:trPr>
          <w:trHeight w:val="227"/>
        </w:trPr>
        <w:tc>
          <w:tcPr>
            <w:tcW w:w="4100" w:type="dxa"/>
            <w:gridSpan w:val="2"/>
            <w:shd w:val="clear" w:color="000000" w:fill="BFBFBF"/>
            <w:vAlign w:val="center"/>
            <w:hideMark/>
          </w:tcPr>
          <w:p w14:paraId="0E44D3B9" w14:textId="77777777" w:rsidR="00926B29" w:rsidRPr="00945329" w:rsidRDefault="00926B29" w:rsidP="00F45709">
            <w:pPr>
              <w:rPr>
                <w:rFonts w:eastAsia="Times New Roman" w:cs="Calibri"/>
                <w:b/>
                <w:bCs/>
                <w:color w:val="000000"/>
                <w:sz w:val="20"/>
                <w:szCs w:val="20"/>
                <w:lang w:eastAsia="hr-HR"/>
              </w:rPr>
            </w:pPr>
            <w:r w:rsidRPr="00945329">
              <w:rPr>
                <w:rFonts w:eastAsia="Times New Roman" w:cs="Calibri"/>
                <w:b/>
                <w:bCs/>
                <w:color w:val="000000"/>
                <w:sz w:val="20"/>
                <w:szCs w:val="20"/>
                <w:lang w:eastAsia="hr-HR"/>
              </w:rPr>
              <w:t>DOBIT:</w:t>
            </w:r>
          </w:p>
        </w:tc>
        <w:tc>
          <w:tcPr>
            <w:tcW w:w="1320" w:type="dxa"/>
            <w:shd w:val="clear" w:color="000000" w:fill="BFBFBF"/>
            <w:noWrap/>
            <w:vAlign w:val="center"/>
          </w:tcPr>
          <w:p w14:paraId="017B0B12" w14:textId="77777777" w:rsidR="00926B29" w:rsidRPr="00945329" w:rsidRDefault="00926B29" w:rsidP="00F45709">
            <w:pPr>
              <w:jc w:val="center"/>
              <w:rPr>
                <w:rFonts w:eastAsia="Times New Roman" w:cs="Calibri"/>
                <w:b/>
                <w:bCs/>
                <w:color w:val="000000"/>
                <w:sz w:val="20"/>
                <w:szCs w:val="20"/>
                <w:lang w:eastAsia="hr-HR"/>
              </w:rPr>
            </w:pPr>
            <w:r>
              <w:rPr>
                <w:rFonts w:ascii="Calibri" w:hAnsi="Calibri" w:cs="Calibri"/>
                <w:b/>
                <w:bCs/>
                <w:color w:val="000000"/>
                <w:sz w:val="20"/>
                <w:szCs w:val="20"/>
              </w:rPr>
              <w:t>5.088</w:t>
            </w:r>
          </w:p>
        </w:tc>
        <w:tc>
          <w:tcPr>
            <w:tcW w:w="1460" w:type="dxa"/>
            <w:shd w:val="clear" w:color="000000" w:fill="BFBFBF"/>
            <w:noWrap/>
            <w:vAlign w:val="center"/>
          </w:tcPr>
          <w:p w14:paraId="6864611E" w14:textId="77777777" w:rsidR="00926B29" w:rsidRPr="00945329" w:rsidRDefault="00926B29" w:rsidP="00F45709">
            <w:pPr>
              <w:jc w:val="center"/>
              <w:rPr>
                <w:rFonts w:eastAsia="Times New Roman" w:cs="Calibri"/>
                <w:b/>
                <w:bCs/>
                <w:color w:val="000000"/>
                <w:sz w:val="20"/>
                <w:szCs w:val="20"/>
                <w:lang w:eastAsia="hr-HR"/>
              </w:rPr>
            </w:pPr>
            <w:r>
              <w:rPr>
                <w:rFonts w:ascii="Calibri" w:hAnsi="Calibri" w:cs="Calibri"/>
                <w:b/>
                <w:bCs/>
                <w:color w:val="000000"/>
                <w:sz w:val="20"/>
                <w:szCs w:val="20"/>
              </w:rPr>
              <w:t>26.610</w:t>
            </w:r>
          </w:p>
        </w:tc>
        <w:tc>
          <w:tcPr>
            <w:tcW w:w="1440" w:type="dxa"/>
            <w:shd w:val="clear" w:color="000000" w:fill="BFBFBF"/>
            <w:noWrap/>
            <w:vAlign w:val="center"/>
          </w:tcPr>
          <w:p w14:paraId="6DEEA2D9" w14:textId="77777777" w:rsidR="00926B29" w:rsidRPr="00945329" w:rsidRDefault="00926B29" w:rsidP="00F45709">
            <w:pPr>
              <w:jc w:val="center"/>
              <w:rPr>
                <w:rFonts w:eastAsia="Times New Roman" w:cs="Calibri"/>
                <w:b/>
                <w:bCs/>
                <w:color w:val="000000"/>
                <w:sz w:val="20"/>
                <w:szCs w:val="20"/>
                <w:lang w:eastAsia="hr-HR"/>
              </w:rPr>
            </w:pPr>
            <w:r>
              <w:rPr>
                <w:rFonts w:ascii="Calibri" w:hAnsi="Calibri" w:cs="Calibri"/>
                <w:b/>
                <w:bCs/>
                <w:color w:val="000000"/>
                <w:sz w:val="20"/>
                <w:szCs w:val="20"/>
              </w:rPr>
              <w:t>-</w:t>
            </w:r>
          </w:p>
        </w:tc>
      </w:tr>
    </w:tbl>
    <w:p w14:paraId="1791D680" w14:textId="77777777" w:rsidR="00926B29" w:rsidRDefault="00926B29" w:rsidP="00926B29">
      <w:pPr>
        <w:spacing w:after="240"/>
        <w:rPr>
          <w:rFonts w:ascii="Calibri" w:eastAsia="Times New Roman" w:hAnsi="Calibri" w:cs="Times New Roman"/>
          <w:bCs/>
          <w:color w:val="000000"/>
          <w:lang w:eastAsia="hr-HR"/>
        </w:rPr>
      </w:pPr>
    </w:p>
    <w:p w14:paraId="50DEACDD" w14:textId="77777777" w:rsidR="00926B29" w:rsidRPr="00F36DA9" w:rsidRDefault="00926B29" w:rsidP="00926B29">
      <w:pPr>
        <w:pStyle w:val="Heading2"/>
        <w:rPr>
          <w:rFonts w:eastAsia="Calibri"/>
        </w:rPr>
      </w:pPr>
      <w:bookmarkStart w:id="340" w:name="_Toc463256235"/>
      <w:bookmarkStart w:id="341" w:name="_Toc487621903"/>
      <w:bookmarkStart w:id="342" w:name="_Toc50541000"/>
      <w:bookmarkStart w:id="343" w:name="_Toc107229671"/>
      <w:bookmarkStart w:id="344" w:name="_Toc165035551"/>
      <w:r w:rsidRPr="00F36DA9">
        <w:rPr>
          <w:rFonts w:eastAsia="Calibri"/>
        </w:rPr>
        <w:t>3.5. Financijska imovina</w:t>
      </w:r>
      <w:bookmarkEnd w:id="340"/>
      <w:bookmarkEnd w:id="341"/>
      <w:bookmarkEnd w:id="342"/>
      <w:bookmarkEnd w:id="343"/>
      <w:bookmarkEnd w:id="344"/>
    </w:p>
    <w:p w14:paraId="099A7540" w14:textId="77777777" w:rsidR="00926B29" w:rsidRPr="004500F0" w:rsidRDefault="00926B29" w:rsidP="00926B29">
      <w:pPr>
        <w:tabs>
          <w:tab w:val="left" w:pos="0"/>
        </w:tabs>
        <w:spacing w:after="120" w:line="276" w:lineRule="auto"/>
        <w:jc w:val="both"/>
        <w:rPr>
          <w:rFonts w:eastAsia="Calibri" w:cstheme="minorHAnsi"/>
          <w:color w:val="000000"/>
          <w:lang w:eastAsia="hr-HR"/>
        </w:rPr>
      </w:pPr>
      <w:r w:rsidRPr="004500F0">
        <w:rPr>
          <w:rFonts w:eastAsia="Calibri" w:cstheme="minorHAnsi"/>
          <w:color w:val="000000"/>
          <w:lang w:eastAsia="hr-HR"/>
        </w:rPr>
        <w:t>Ukupno stanje novčanih sredstava</w:t>
      </w:r>
      <w:r>
        <w:rPr>
          <w:rFonts w:eastAsia="Calibri" w:cstheme="minorHAnsi"/>
          <w:color w:val="000000"/>
          <w:lang w:eastAsia="hr-HR"/>
        </w:rPr>
        <w:t xml:space="preserve"> na dan 31. prosinca 2023</w:t>
      </w:r>
      <w:r w:rsidRPr="004500F0">
        <w:rPr>
          <w:rFonts w:eastAsia="Calibri" w:cstheme="minorHAnsi"/>
          <w:color w:val="000000"/>
          <w:lang w:eastAsia="hr-HR"/>
        </w:rPr>
        <w:t xml:space="preserve">. godine iznosi  </w:t>
      </w:r>
      <w:r>
        <w:rPr>
          <w:rFonts w:eastAsia="Calibri" w:cstheme="minorHAnsi"/>
          <w:color w:val="000000"/>
          <w:lang w:eastAsia="hr-HR"/>
        </w:rPr>
        <w:t xml:space="preserve">7.631.183 eura s time da obveze za primljene predujmove iznose 4.748.661 euro. </w:t>
      </w:r>
    </w:p>
    <w:p w14:paraId="0590DF5C" w14:textId="77777777" w:rsidR="00926B29" w:rsidRPr="004500F0" w:rsidRDefault="00926B29" w:rsidP="00926B29">
      <w:pPr>
        <w:tabs>
          <w:tab w:val="left" w:pos="0"/>
        </w:tabs>
        <w:spacing w:after="120" w:line="276" w:lineRule="auto"/>
        <w:jc w:val="both"/>
        <w:rPr>
          <w:rFonts w:eastAsia="Times New Roman" w:cstheme="minorHAnsi"/>
          <w:b/>
          <w:lang w:eastAsia="hr-HR"/>
        </w:rPr>
      </w:pPr>
      <w:r w:rsidRPr="004500F0">
        <w:rPr>
          <w:rFonts w:eastAsia="Calibri" w:cstheme="minorHAnsi"/>
          <w:color w:val="000000"/>
          <w:lang w:eastAsia="hr-HR"/>
        </w:rPr>
        <w:t>HALMED većinu svojih usluga od ulaska Republike Hrvatske u EU naplaćuje p</w:t>
      </w:r>
      <w:r>
        <w:rPr>
          <w:rFonts w:eastAsia="Calibri" w:cstheme="minorHAnsi"/>
          <w:color w:val="000000"/>
          <w:lang w:eastAsia="hr-HR"/>
        </w:rPr>
        <w:t>o primitku zahtjeva (predujmom).</w:t>
      </w:r>
    </w:p>
    <w:p w14:paraId="21D58E5C" w14:textId="77777777" w:rsidR="00926B29" w:rsidRPr="004500F0" w:rsidRDefault="00926B29" w:rsidP="00926B29">
      <w:pPr>
        <w:tabs>
          <w:tab w:val="left" w:pos="0"/>
        </w:tabs>
        <w:spacing w:after="120"/>
        <w:ind w:right="-142"/>
        <w:contextualSpacing/>
        <w:jc w:val="both"/>
        <w:rPr>
          <w:rFonts w:eastAsiaTheme="minorEastAsia" w:cstheme="minorHAnsi"/>
          <w:b/>
        </w:rPr>
      </w:pPr>
      <w:r w:rsidRPr="004500F0">
        <w:rPr>
          <w:rFonts w:eastAsia="Times New Roman" w:cstheme="minorHAnsi"/>
          <w:b/>
          <w:lang w:eastAsia="hr-HR"/>
        </w:rPr>
        <w:t>Tablica 3</w:t>
      </w:r>
      <w:r>
        <w:rPr>
          <w:rFonts w:eastAsia="Times New Roman" w:cstheme="minorHAnsi"/>
          <w:b/>
          <w:lang w:eastAsia="hr-HR"/>
        </w:rPr>
        <w:t>9</w:t>
      </w:r>
      <w:r w:rsidRPr="004500F0">
        <w:rPr>
          <w:rFonts w:eastAsia="Times New Roman" w:cstheme="minorHAnsi"/>
          <w:b/>
          <w:lang w:eastAsia="hr-HR"/>
        </w:rPr>
        <w:t>.</w:t>
      </w:r>
      <w:r w:rsidRPr="004500F0">
        <w:rPr>
          <w:rFonts w:eastAsia="Calibri" w:cstheme="minorHAnsi"/>
          <w:b/>
          <w:lang w:eastAsia="hr-HR"/>
        </w:rPr>
        <w:t xml:space="preserve"> Ukupna n</w:t>
      </w:r>
      <w:r w:rsidRPr="004500F0">
        <w:rPr>
          <w:rFonts w:eastAsia="Times New Roman" w:cstheme="minorHAnsi"/>
          <w:b/>
          <w:lang w:eastAsia="hr-HR"/>
        </w:rPr>
        <w:t>ovčana sredstva HALMED-a na dan 3</w:t>
      </w:r>
      <w:r>
        <w:rPr>
          <w:rFonts w:eastAsia="Times New Roman" w:cstheme="minorHAnsi"/>
          <w:b/>
          <w:lang w:eastAsia="hr-HR"/>
        </w:rPr>
        <w:t>1</w:t>
      </w:r>
      <w:r w:rsidRPr="004500F0">
        <w:rPr>
          <w:rFonts w:eastAsiaTheme="minorEastAsia" w:cstheme="minorHAnsi"/>
          <w:b/>
        </w:rPr>
        <w:t>.</w:t>
      </w:r>
      <w:r w:rsidRPr="004500F0">
        <w:rPr>
          <w:rFonts w:cstheme="minorHAnsi"/>
          <w:b/>
        </w:rPr>
        <w:t xml:space="preserve"> </w:t>
      </w:r>
      <w:r>
        <w:rPr>
          <w:rFonts w:cstheme="minorHAnsi"/>
          <w:b/>
        </w:rPr>
        <w:t>prosinca</w:t>
      </w:r>
      <w:r w:rsidRPr="004500F0">
        <w:rPr>
          <w:rFonts w:cstheme="minorHAnsi"/>
          <w:b/>
        </w:rPr>
        <w:t xml:space="preserve"> </w:t>
      </w:r>
      <w:r w:rsidRPr="004500F0">
        <w:rPr>
          <w:rFonts w:eastAsiaTheme="minorEastAsia" w:cstheme="minorHAnsi"/>
          <w:b/>
        </w:rPr>
        <w:t>20</w:t>
      </w:r>
      <w:r>
        <w:rPr>
          <w:rFonts w:eastAsiaTheme="minorEastAsia" w:cstheme="minorHAnsi"/>
          <w:b/>
        </w:rPr>
        <w:t>23.</w:t>
      </w:r>
      <w:r w:rsidRPr="004500F0">
        <w:rPr>
          <w:rFonts w:eastAsiaTheme="minorEastAsia" w:cstheme="minorHAnsi"/>
          <w:b/>
        </w:rPr>
        <w:t xml:space="preserve"> godine</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5329"/>
        <w:gridCol w:w="3415"/>
      </w:tblGrid>
      <w:tr w:rsidR="00926B29" w:rsidRPr="004500F0" w14:paraId="2519A1B0" w14:textId="77777777" w:rsidTr="00F45709">
        <w:trPr>
          <w:trHeight w:val="284"/>
        </w:trPr>
        <w:tc>
          <w:tcPr>
            <w:tcW w:w="340" w:type="pct"/>
            <w:shd w:val="clear" w:color="auto" w:fill="A3E7FF"/>
            <w:vAlign w:val="center"/>
            <w:hideMark/>
          </w:tcPr>
          <w:p w14:paraId="18C33345" w14:textId="77777777" w:rsidR="00926B29" w:rsidRPr="004500F0" w:rsidRDefault="00926B29" w:rsidP="00F45709">
            <w:pPr>
              <w:pStyle w:val="NoSpacing"/>
              <w:jc w:val="center"/>
              <w:rPr>
                <w:rFonts w:eastAsia="Times New Roman" w:cstheme="minorHAnsi"/>
                <w:b/>
                <w:lang w:eastAsia="hr-HR"/>
              </w:rPr>
            </w:pPr>
            <w:r w:rsidRPr="004500F0">
              <w:rPr>
                <w:rFonts w:eastAsia="Times New Roman" w:cstheme="minorHAnsi"/>
                <w:b/>
                <w:lang w:eastAsia="hr-HR"/>
              </w:rPr>
              <w:t>R.Br.</w:t>
            </w:r>
          </w:p>
        </w:tc>
        <w:tc>
          <w:tcPr>
            <w:tcW w:w="2840" w:type="pct"/>
            <w:shd w:val="clear" w:color="auto" w:fill="A3E7FF"/>
            <w:vAlign w:val="center"/>
          </w:tcPr>
          <w:p w14:paraId="13929B5C" w14:textId="77777777" w:rsidR="00926B29" w:rsidRPr="004500F0" w:rsidRDefault="00926B29" w:rsidP="00F45709">
            <w:pPr>
              <w:pStyle w:val="NoSpacing"/>
              <w:rPr>
                <w:rFonts w:eastAsia="Times New Roman" w:cstheme="minorHAnsi"/>
                <w:b/>
                <w:lang w:eastAsia="hr-HR"/>
              </w:rPr>
            </w:pPr>
            <w:r w:rsidRPr="004500F0">
              <w:rPr>
                <w:rFonts w:eastAsia="Times New Roman" w:cstheme="minorHAnsi"/>
                <w:b/>
                <w:lang w:eastAsia="hr-HR"/>
              </w:rPr>
              <w:t>Novčana sredstva</w:t>
            </w:r>
          </w:p>
        </w:tc>
        <w:tc>
          <w:tcPr>
            <w:tcW w:w="1820" w:type="pct"/>
            <w:shd w:val="clear" w:color="auto" w:fill="A3E7FF"/>
            <w:vAlign w:val="center"/>
          </w:tcPr>
          <w:p w14:paraId="7A5EE239" w14:textId="77777777" w:rsidR="00926B29" w:rsidRPr="004500F0" w:rsidRDefault="00926B29" w:rsidP="00F45709">
            <w:pPr>
              <w:pStyle w:val="NoSpacing"/>
              <w:jc w:val="center"/>
              <w:rPr>
                <w:rFonts w:eastAsia="Times New Roman" w:cstheme="minorHAnsi"/>
                <w:b/>
                <w:lang w:eastAsia="hr-HR"/>
              </w:rPr>
            </w:pPr>
            <w:r w:rsidRPr="004500F0">
              <w:rPr>
                <w:rFonts w:eastAsia="Times New Roman" w:cstheme="minorHAnsi"/>
                <w:b/>
                <w:lang w:eastAsia="hr-HR"/>
              </w:rPr>
              <w:t xml:space="preserve">Stanje, </w:t>
            </w:r>
            <w:r>
              <w:rPr>
                <w:rFonts w:eastAsia="Times New Roman" w:cstheme="minorHAnsi"/>
                <w:b/>
                <w:lang w:eastAsia="hr-HR"/>
              </w:rPr>
              <w:t>eur</w:t>
            </w:r>
          </w:p>
        </w:tc>
      </w:tr>
      <w:tr w:rsidR="00926B29" w:rsidRPr="004500F0" w14:paraId="08398322" w14:textId="77777777" w:rsidTr="00F45709">
        <w:trPr>
          <w:trHeight w:val="284"/>
        </w:trPr>
        <w:tc>
          <w:tcPr>
            <w:tcW w:w="340" w:type="pct"/>
            <w:shd w:val="clear" w:color="auto" w:fill="auto"/>
            <w:vAlign w:val="center"/>
            <w:hideMark/>
          </w:tcPr>
          <w:p w14:paraId="635CB5E0" w14:textId="77777777" w:rsidR="00926B29" w:rsidRPr="004500F0" w:rsidRDefault="00926B29" w:rsidP="00F45709">
            <w:pPr>
              <w:pStyle w:val="NoSpacing"/>
              <w:jc w:val="center"/>
              <w:rPr>
                <w:rFonts w:eastAsia="Times New Roman" w:cstheme="minorHAnsi"/>
                <w:lang w:eastAsia="hr-HR"/>
              </w:rPr>
            </w:pPr>
            <w:r w:rsidRPr="004500F0">
              <w:rPr>
                <w:rFonts w:eastAsia="Times New Roman" w:cstheme="minorHAnsi"/>
                <w:lang w:eastAsia="hr-HR"/>
              </w:rPr>
              <w:t>1.</w:t>
            </w:r>
          </w:p>
        </w:tc>
        <w:tc>
          <w:tcPr>
            <w:tcW w:w="2840" w:type="pct"/>
            <w:shd w:val="clear" w:color="auto" w:fill="auto"/>
            <w:vAlign w:val="center"/>
          </w:tcPr>
          <w:p w14:paraId="76BA4384" w14:textId="77777777" w:rsidR="00926B29" w:rsidRPr="004500F0" w:rsidRDefault="00926B29" w:rsidP="00F45709">
            <w:pPr>
              <w:pStyle w:val="NoSpacing"/>
              <w:rPr>
                <w:rFonts w:eastAsia="Times New Roman" w:cstheme="minorHAnsi"/>
                <w:lang w:eastAsia="hr-HR"/>
              </w:rPr>
            </w:pPr>
            <w:r w:rsidRPr="004500F0">
              <w:rPr>
                <w:rFonts w:eastAsia="Times New Roman" w:cstheme="minorHAnsi"/>
                <w:lang w:eastAsia="hr-HR"/>
              </w:rPr>
              <w:t>Na računima i u blagajni</w:t>
            </w:r>
          </w:p>
        </w:tc>
        <w:tc>
          <w:tcPr>
            <w:tcW w:w="1820" w:type="pct"/>
            <w:shd w:val="clear" w:color="auto" w:fill="auto"/>
            <w:noWrap/>
            <w:vAlign w:val="center"/>
          </w:tcPr>
          <w:p w14:paraId="62BD036E" w14:textId="77777777" w:rsidR="00926B29" w:rsidRPr="00092A41" w:rsidRDefault="00926B29" w:rsidP="00F45709">
            <w:pPr>
              <w:jc w:val="center"/>
              <w:rPr>
                <w:rFonts w:ascii="Calibri" w:hAnsi="Calibri" w:cs="Calibri"/>
                <w:color w:val="000000"/>
                <w:sz w:val="20"/>
                <w:szCs w:val="20"/>
                <w:highlight w:val="red"/>
              </w:rPr>
            </w:pPr>
            <w:r w:rsidRPr="00357EE9">
              <w:rPr>
                <w:rFonts w:ascii="Calibri" w:hAnsi="Calibri" w:cs="Calibri"/>
                <w:color w:val="000000"/>
                <w:sz w:val="20"/>
                <w:szCs w:val="20"/>
              </w:rPr>
              <w:t>1.817.58</w:t>
            </w:r>
            <w:r>
              <w:rPr>
                <w:rFonts w:ascii="Calibri" w:hAnsi="Calibri" w:cs="Calibri"/>
                <w:color w:val="000000"/>
                <w:sz w:val="20"/>
                <w:szCs w:val="20"/>
              </w:rPr>
              <w:t>3</w:t>
            </w:r>
          </w:p>
        </w:tc>
      </w:tr>
      <w:tr w:rsidR="00926B29" w:rsidRPr="004500F0" w14:paraId="61575105" w14:textId="77777777" w:rsidTr="00F45709">
        <w:trPr>
          <w:trHeight w:val="284"/>
        </w:trPr>
        <w:tc>
          <w:tcPr>
            <w:tcW w:w="340" w:type="pct"/>
            <w:shd w:val="clear" w:color="auto" w:fill="auto"/>
            <w:vAlign w:val="center"/>
            <w:hideMark/>
          </w:tcPr>
          <w:p w14:paraId="21685F9C" w14:textId="77777777" w:rsidR="00926B29" w:rsidRPr="004500F0" w:rsidRDefault="00926B29" w:rsidP="00F45709">
            <w:pPr>
              <w:pStyle w:val="NoSpacing"/>
              <w:jc w:val="center"/>
              <w:rPr>
                <w:rFonts w:eastAsia="Times New Roman" w:cstheme="minorHAnsi"/>
                <w:lang w:eastAsia="hr-HR"/>
              </w:rPr>
            </w:pPr>
            <w:r w:rsidRPr="004500F0">
              <w:rPr>
                <w:rFonts w:eastAsia="Times New Roman" w:cstheme="minorHAnsi"/>
                <w:lang w:eastAsia="hr-HR"/>
              </w:rPr>
              <w:t>2.</w:t>
            </w:r>
          </w:p>
        </w:tc>
        <w:tc>
          <w:tcPr>
            <w:tcW w:w="2840" w:type="pct"/>
            <w:shd w:val="clear" w:color="auto" w:fill="auto"/>
            <w:vAlign w:val="center"/>
          </w:tcPr>
          <w:p w14:paraId="3C289640" w14:textId="77777777" w:rsidR="00926B29" w:rsidRPr="004957D6" w:rsidRDefault="00926B29" w:rsidP="00F45709">
            <w:pPr>
              <w:pStyle w:val="NoSpacing"/>
              <w:rPr>
                <w:rFonts w:eastAsia="Times New Roman" w:cstheme="minorHAnsi"/>
                <w:lang w:eastAsia="hr-HR"/>
              </w:rPr>
            </w:pPr>
            <w:r w:rsidRPr="004957D6">
              <w:rPr>
                <w:rFonts w:eastAsia="Times New Roman" w:cstheme="minorHAnsi"/>
                <w:lang w:eastAsia="hr-HR"/>
              </w:rPr>
              <w:t>Oročeni depoziti i jamstva</w:t>
            </w:r>
          </w:p>
        </w:tc>
        <w:tc>
          <w:tcPr>
            <w:tcW w:w="1820" w:type="pct"/>
            <w:shd w:val="clear" w:color="auto" w:fill="auto"/>
            <w:vAlign w:val="center"/>
          </w:tcPr>
          <w:p w14:paraId="7C18E006" w14:textId="77777777" w:rsidR="00926B29" w:rsidRPr="004957D6" w:rsidRDefault="00926B29" w:rsidP="00F45709">
            <w:pPr>
              <w:jc w:val="center"/>
              <w:rPr>
                <w:rFonts w:ascii="Calibri" w:hAnsi="Calibri" w:cs="Calibri"/>
                <w:color w:val="000000"/>
                <w:sz w:val="20"/>
                <w:szCs w:val="20"/>
              </w:rPr>
            </w:pPr>
            <w:r>
              <w:rPr>
                <w:rFonts w:ascii="Calibri" w:hAnsi="Calibri" w:cs="Calibri"/>
                <w:color w:val="000000"/>
                <w:sz w:val="20"/>
                <w:szCs w:val="20"/>
              </w:rPr>
              <w:t>5.813.600</w:t>
            </w:r>
          </w:p>
        </w:tc>
      </w:tr>
      <w:tr w:rsidR="00926B29" w:rsidRPr="004500F0" w14:paraId="493F1233" w14:textId="77777777" w:rsidTr="00F45709">
        <w:trPr>
          <w:trHeight w:val="284"/>
        </w:trPr>
        <w:tc>
          <w:tcPr>
            <w:tcW w:w="3180" w:type="pct"/>
            <w:gridSpan w:val="2"/>
            <w:shd w:val="clear" w:color="auto" w:fill="BFBFBF"/>
            <w:vAlign w:val="center"/>
            <w:hideMark/>
          </w:tcPr>
          <w:p w14:paraId="6DCC1CFB" w14:textId="77777777" w:rsidR="00926B29" w:rsidRPr="004957D6" w:rsidRDefault="00926B29" w:rsidP="00F45709">
            <w:pPr>
              <w:pStyle w:val="NoSpacing"/>
              <w:rPr>
                <w:rFonts w:eastAsia="Times New Roman" w:cstheme="minorHAnsi"/>
                <w:b/>
                <w:bCs/>
                <w:lang w:eastAsia="hr-HR"/>
              </w:rPr>
            </w:pPr>
            <w:r w:rsidRPr="004957D6">
              <w:rPr>
                <w:rFonts w:eastAsia="Times New Roman" w:cstheme="minorHAnsi"/>
                <w:b/>
                <w:bCs/>
                <w:lang w:eastAsia="hr-HR"/>
              </w:rPr>
              <w:t>UKUPNO:</w:t>
            </w:r>
          </w:p>
        </w:tc>
        <w:tc>
          <w:tcPr>
            <w:tcW w:w="1820" w:type="pct"/>
            <w:shd w:val="clear" w:color="auto" w:fill="BFBFBF"/>
            <w:vAlign w:val="center"/>
          </w:tcPr>
          <w:p w14:paraId="4A80C62A" w14:textId="77777777" w:rsidR="00926B29" w:rsidRPr="004957D6" w:rsidRDefault="00926B29" w:rsidP="00F45709">
            <w:pPr>
              <w:jc w:val="center"/>
              <w:rPr>
                <w:rFonts w:ascii="Calibri" w:hAnsi="Calibri" w:cs="Calibri"/>
                <w:b/>
                <w:bCs/>
                <w:color w:val="000000"/>
                <w:sz w:val="20"/>
                <w:szCs w:val="20"/>
              </w:rPr>
            </w:pPr>
            <w:r>
              <w:rPr>
                <w:rFonts w:ascii="Calibri" w:hAnsi="Calibri" w:cs="Calibri"/>
                <w:b/>
                <w:bCs/>
                <w:color w:val="000000"/>
                <w:sz w:val="20"/>
                <w:szCs w:val="20"/>
              </w:rPr>
              <w:t>7.631.183</w:t>
            </w:r>
          </w:p>
        </w:tc>
      </w:tr>
    </w:tbl>
    <w:p w14:paraId="13A9F94F" w14:textId="77777777" w:rsidR="00926B29" w:rsidRDefault="00926B29" w:rsidP="00926B29">
      <w:pPr>
        <w:spacing w:after="240"/>
        <w:rPr>
          <w:rFonts w:eastAsia="Times New Roman" w:cstheme="minorHAnsi"/>
          <w:bCs/>
          <w:color w:val="000000"/>
          <w:lang w:eastAsia="hr-HR"/>
        </w:rPr>
      </w:pPr>
    </w:p>
    <w:p w14:paraId="7ACE09D0" w14:textId="77777777" w:rsidR="00926B29" w:rsidRPr="002A6222" w:rsidRDefault="00926B29" w:rsidP="00926B29">
      <w:pPr>
        <w:tabs>
          <w:tab w:val="left" w:pos="0"/>
        </w:tabs>
        <w:spacing w:after="240"/>
        <w:ind w:right="-2"/>
        <w:contextualSpacing/>
        <w:jc w:val="both"/>
        <w:rPr>
          <w:rFonts w:eastAsia="Calibri" w:cstheme="minorHAnsi"/>
          <w:b/>
          <w:color w:val="000000"/>
          <w:lang w:eastAsia="hr-HR"/>
        </w:rPr>
      </w:pPr>
      <w:r w:rsidRPr="00FD01FF">
        <w:rPr>
          <w:rFonts w:eastAsia="Calibri" w:cstheme="minorHAnsi"/>
          <w:b/>
          <w:color w:val="000000"/>
          <w:lang w:eastAsia="hr-HR"/>
        </w:rPr>
        <w:t>Oročeni depoziti</w:t>
      </w:r>
      <w:r>
        <w:rPr>
          <w:rFonts w:eastAsia="Calibri" w:cstheme="minorHAnsi"/>
          <w:b/>
          <w:color w:val="000000"/>
          <w:lang w:eastAsia="hr-HR"/>
        </w:rPr>
        <w:t xml:space="preserve"> </w:t>
      </w:r>
    </w:p>
    <w:p w14:paraId="4D5B60A8" w14:textId="77777777" w:rsidR="00926B29" w:rsidRPr="002A6222" w:rsidRDefault="00926B29" w:rsidP="00926B29">
      <w:pPr>
        <w:tabs>
          <w:tab w:val="left" w:pos="0"/>
        </w:tabs>
        <w:spacing w:after="240"/>
        <w:ind w:right="-2"/>
        <w:contextualSpacing/>
        <w:jc w:val="both"/>
        <w:rPr>
          <w:rFonts w:eastAsia="Calibri" w:cstheme="minorHAnsi"/>
          <w:color w:val="002060"/>
          <w:lang w:eastAsia="hr-HR"/>
        </w:rPr>
      </w:pPr>
    </w:p>
    <w:p w14:paraId="4597DCAE" w14:textId="77777777" w:rsidR="00926B29" w:rsidRPr="002A6222" w:rsidRDefault="00926B29" w:rsidP="00926B29">
      <w:pPr>
        <w:tabs>
          <w:tab w:val="left" w:pos="0"/>
        </w:tabs>
        <w:spacing w:after="240" w:line="276" w:lineRule="auto"/>
        <w:ind w:right="-2"/>
        <w:contextualSpacing/>
        <w:jc w:val="both"/>
        <w:rPr>
          <w:rFonts w:eastAsia="Times New Roman" w:cstheme="minorHAnsi"/>
          <w:color w:val="000000"/>
          <w:lang w:eastAsia="hr-HR"/>
        </w:rPr>
      </w:pPr>
      <w:r>
        <w:rPr>
          <w:rFonts w:eastAsia="Calibri" w:cstheme="minorHAnsi"/>
          <w:color w:val="000000"/>
          <w:lang w:eastAsia="hr-HR"/>
        </w:rPr>
        <w:t>HALMED na dan 31</w:t>
      </w:r>
      <w:r w:rsidRPr="002A6222">
        <w:rPr>
          <w:rFonts w:eastAsia="Calibri" w:cstheme="minorHAnsi"/>
          <w:color w:val="000000"/>
          <w:lang w:eastAsia="hr-HR"/>
        </w:rPr>
        <w:t xml:space="preserve">. </w:t>
      </w:r>
      <w:r>
        <w:rPr>
          <w:rFonts w:eastAsia="Calibri" w:cstheme="minorHAnsi"/>
          <w:color w:val="000000"/>
          <w:lang w:eastAsia="hr-HR"/>
        </w:rPr>
        <w:t>prosinca 2023.</w:t>
      </w:r>
      <w:r w:rsidRPr="002A6222">
        <w:rPr>
          <w:rFonts w:eastAsia="Calibri" w:cstheme="minorHAnsi"/>
          <w:color w:val="000000"/>
          <w:lang w:eastAsia="hr-HR"/>
        </w:rPr>
        <w:t xml:space="preserve"> </w:t>
      </w:r>
      <w:r>
        <w:rPr>
          <w:rFonts w:eastAsia="Calibri" w:cstheme="minorHAnsi"/>
          <w:color w:val="000000"/>
          <w:lang w:eastAsia="hr-HR"/>
        </w:rPr>
        <w:t>g</w:t>
      </w:r>
      <w:r w:rsidRPr="002A6222">
        <w:rPr>
          <w:rFonts w:eastAsia="Calibri" w:cstheme="minorHAnsi"/>
          <w:color w:val="000000"/>
          <w:lang w:eastAsia="hr-HR"/>
        </w:rPr>
        <w:t>odine</w:t>
      </w:r>
      <w:r>
        <w:rPr>
          <w:rFonts w:eastAsia="Calibri" w:cstheme="minorHAnsi"/>
          <w:color w:val="000000"/>
          <w:lang w:eastAsia="hr-HR"/>
        </w:rPr>
        <w:t xml:space="preserve"> ima 41.000 eura danih jamstava te ukupno oročenih sredstava u iznosu od 5.772.600 eura </w:t>
      </w:r>
      <w:r w:rsidRPr="002A6222">
        <w:rPr>
          <w:rFonts w:eastAsia="Calibri" w:cstheme="minorHAnsi"/>
          <w:color w:val="000000"/>
          <w:lang w:eastAsia="hr-HR"/>
        </w:rPr>
        <w:t xml:space="preserve">na rok od 12 mjeseci </w:t>
      </w:r>
      <w:r w:rsidRPr="000D32EA">
        <w:rPr>
          <w:rFonts w:eastAsia="Calibri" w:cstheme="minorHAnsi"/>
          <w:color w:val="000000"/>
          <w:lang w:eastAsia="hr-HR"/>
        </w:rPr>
        <w:t xml:space="preserve">(dospijevaju u </w:t>
      </w:r>
      <w:r>
        <w:rPr>
          <w:rFonts w:eastAsia="Calibri" w:cstheme="minorHAnsi"/>
          <w:color w:val="000000"/>
          <w:lang w:eastAsia="hr-HR"/>
        </w:rPr>
        <w:t>svibnju i l</w:t>
      </w:r>
      <w:r w:rsidRPr="000D32EA">
        <w:rPr>
          <w:rFonts w:eastAsia="Calibri" w:cstheme="minorHAnsi"/>
          <w:color w:val="000000"/>
          <w:lang w:eastAsia="hr-HR"/>
        </w:rPr>
        <w:t>ipnju 202</w:t>
      </w:r>
      <w:r>
        <w:rPr>
          <w:rFonts w:eastAsia="Calibri" w:cstheme="minorHAnsi"/>
          <w:color w:val="000000"/>
          <w:lang w:eastAsia="hr-HR"/>
        </w:rPr>
        <w:t>4</w:t>
      </w:r>
      <w:r w:rsidRPr="000D32EA">
        <w:rPr>
          <w:rFonts w:eastAsia="Calibri" w:cstheme="minorHAnsi"/>
          <w:color w:val="000000"/>
          <w:lang w:eastAsia="hr-HR"/>
        </w:rPr>
        <w:t>. godine</w:t>
      </w:r>
      <w:r w:rsidRPr="00E9160A">
        <w:rPr>
          <w:rFonts w:eastAsia="Calibri" w:cstheme="minorHAnsi"/>
          <w:color w:val="000000"/>
          <w:lang w:eastAsia="hr-HR"/>
        </w:rPr>
        <w:t>)</w:t>
      </w:r>
      <w:r>
        <w:rPr>
          <w:rFonts w:eastAsia="Calibri" w:cstheme="minorHAnsi"/>
          <w:color w:val="000000"/>
          <w:lang w:eastAsia="hr-HR"/>
        </w:rPr>
        <w:t>.</w:t>
      </w:r>
      <w:r w:rsidRPr="002A6222">
        <w:rPr>
          <w:rFonts w:eastAsia="Calibri" w:cstheme="minorHAnsi"/>
          <w:color w:val="000000"/>
          <w:lang w:eastAsia="hr-HR"/>
        </w:rPr>
        <w:t xml:space="preserve"> Depoziti su deponirani </w:t>
      </w:r>
      <w:r>
        <w:rPr>
          <w:rFonts w:eastAsia="Calibri" w:cstheme="minorHAnsi"/>
          <w:color w:val="000000"/>
          <w:lang w:eastAsia="hr-HR"/>
        </w:rPr>
        <w:t xml:space="preserve">u </w:t>
      </w:r>
      <w:r w:rsidRPr="002A6222">
        <w:rPr>
          <w:rFonts w:eastAsia="Calibri" w:cstheme="minorHAnsi"/>
          <w:color w:val="000000"/>
          <w:lang w:eastAsia="hr-HR"/>
        </w:rPr>
        <w:t xml:space="preserve">Croatia banka d.d. </w:t>
      </w:r>
      <w:r>
        <w:rPr>
          <w:rFonts w:eastAsia="Calibri" w:cstheme="minorHAnsi"/>
          <w:color w:val="000000"/>
          <w:lang w:eastAsia="hr-HR"/>
        </w:rPr>
        <w:t xml:space="preserve">i Privredna banka Zagreb d.d. </w:t>
      </w:r>
    </w:p>
    <w:p w14:paraId="6DF9DC45" w14:textId="77777777" w:rsidR="00926B29" w:rsidRPr="004500F0" w:rsidRDefault="00926B29" w:rsidP="00926B29">
      <w:pPr>
        <w:tabs>
          <w:tab w:val="left" w:pos="0"/>
        </w:tabs>
        <w:contextualSpacing/>
        <w:jc w:val="both"/>
        <w:rPr>
          <w:rFonts w:eastAsia="Times New Roman" w:cstheme="minorHAnsi"/>
          <w:bCs/>
          <w:color w:val="000000"/>
          <w:lang w:eastAsia="hr-HR"/>
        </w:rPr>
      </w:pPr>
      <w:r>
        <w:rPr>
          <w:rFonts w:eastAsia="Calibri" w:cstheme="minorHAnsi"/>
          <w:color w:val="000000"/>
          <w:lang w:eastAsia="hr-HR"/>
        </w:rPr>
        <w:t xml:space="preserve"> </w:t>
      </w:r>
    </w:p>
    <w:p w14:paraId="6D7FD02A" w14:textId="77777777" w:rsidR="00926B29" w:rsidRDefault="00926B29"/>
    <w:p w14:paraId="6FEB8BDC" w14:textId="77777777" w:rsidR="00F8005A" w:rsidRPr="00F36DA9" w:rsidRDefault="00F8005A" w:rsidP="00F8005A">
      <w:pPr>
        <w:pStyle w:val="Heading2"/>
        <w:spacing w:before="0"/>
        <w:rPr>
          <w:rFonts w:eastAsia="Calibri"/>
        </w:rPr>
      </w:pPr>
      <w:bookmarkStart w:id="345" w:name="_Toc463256236"/>
      <w:bookmarkStart w:id="346" w:name="_Toc487621904"/>
      <w:bookmarkStart w:id="347" w:name="_Toc50541001"/>
      <w:bookmarkStart w:id="348" w:name="_Toc107229672"/>
      <w:bookmarkStart w:id="349" w:name="_Toc165035552"/>
      <w:r w:rsidRPr="00A14690">
        <w:rPr>
          <w:rFonts w:eastAsia="Calibri"/>
        </w:rPr>
        <w:t xml:space="preserve">3.6. Potraživanja </w:t>
      </w:r>
      <w:bookmarkEnd w:id="345"/>
      <w:r w:rsidRPr="00A14690">
        <w:rPr>
          <w:rFonts w:eastAsia="Calibri"/>
        </w:rPr>
        <w:t>od kupaca</w:t>
      </w:r>
      <w:bookmarkEnd w:id="346"/>
      <w:bookmarkEnd w:id="347"/>
      <w:bookmarkEnd w:id="348"/>
      <w:bookmarkEnd w:id="349"/>
    </w:p>
    <w:p w14:paraId="3A616A63" w14:textId="42BBDC44" w:rsidR="00F8005A" w:rsidRPr="00AD387B" w:rsidRDefault="00F8005A" w:rsidP="00F8005A">
      <w:pPr>
        <w:spacing w:after="240" w:line="276" w:lineRule="auto"/>
        <w:jc w:val="both"/>
        <w:rPr>
          <w:rFonts w:eastAsia="Calibri" w:cstheme="minorHAnsi"/>
          <w:color w:val="000000"/>
          <w:lang w:eastAsia="hr-HR"/>
        </w:rPr>
      </w:pPr>
      <w:r w:rsidRPr="002A6222">
        <w:rPr>
          <w:rFonts w:eastAsia="Times New Roman" w:cstheme="minorHAnsi"/>
          <w:color w:val="000000"/>
          <w:lang w:eastAsia="hr-HR"/>
        </w:rPr>
        <w:t xml:space="preserve">Na dan </w:t>
      </w:r>
      <w:r>
        <w:rPr>
          <w:rFonts w:eastAsia="Times New Roman" w:cstheme="minorHAnsi"/>
          <w:color w:val="000000"/>
          <w:lang w:eastAsia="hr-HR"/>
        </w:rPr>
        <w:t>31</w:t>
      </w:r>
      <w:r w:rsidRPr="002A6222">
        <w:rPr>
          <w:rFonts w:eastAsia="Calibri" w:cstheme="minorHAnsi"/>
          <w:color w:val="000000"/>
          <w:lang w:eastAsia="hr-HR"/>
        </w:rPr>
        <w:t xml:space="preserve">. </w:t>
      </w:r>
      <w:r>
        <w:rPr>
          <w:rFonts w:eastAsia="Calibri" w:cstheme="minorHAnsi"/>
          <w:color w:val="000000"/>
          <w:lang w:eastAsia="hr-HR"/>
        </w:rPr>
        <w:t>prosinca</w:t>
      </w:r>
      <w:r w:rsidRPr="002A6222">
        <w:rPr>
          <w:rFonts w:eastAsia="Calibri" w:cstheme="minorHAnsi"/>
          <w:color w:val="000000"/>
          <w:lang w:eastAsia="hr-HR"/>
        </w:rPr>
        <w:t xml:space="preserve"> </w:t>
      </w:r>
      <w:r w:rsidRPr="002A6222">
        <w:rPr>
          <w:rFonts w:eastAsia="Times New Roman" w:cstheme="minorHAnsi"/>
          <w:color w:val="000000"/>
          <w:lang w:eastAsia="hr-HR"/>
        </w:rPr>
        <w:t>20</w:t>
      </w:r>
      <w:r>
        <w:rPr>
          <w:rFonts w:eastAsia="Times New Roman" w:cstheme="minorHAnsi"/>
          <w:color w:val="000000"/>
          <w:lang w:eastAsia="hr-HR"/>
        </w:rPr>
        <w:t>23</w:t>
      </w:r>
      <w:r w:rsidRPr="002A6222">
        <w:rPr>
          <w:rFonts w:eastAsia="Times New Roman" w:cstheme="minorHAnsi"/>
          <w:color w:val="000000"/>
          <w:lang w:eastAsia="hr-HR"/>
        </w:rPr>
        <w:t>. godine</w:t>
      </w:r>
      <w:r w:rsidRPr="002A6222" w:rsidDel="009B00CC">
        <w:rPr>
          <w:rFonts w:eastAsia="Times New Roman" w:cstheme="minorHAnsi"/>
          <w:color w:val="000000"/>
          <w:lang w:eastAsia="hr-HR"/>
        </w:rPr>
        <w:t xml:space="preserve"> </w:t>
      </w:r>
      <w:r w:rsidRPr="002A6222">
        <w:rPr>
          <w:rFonts w:eastAsia="Calibri" w:cstheme="minorHAnsi"/>
          <w:color w:val="000000"/>
          <w:lang w:eastAsia="hr-HR"/>
        </w:rPr>
        <w:t xml:space="preserve">ukupna potraživanja (dospjela i nedospjela) od kupaca </w:t>
      </w:r>
      <w:r>
        <w:rPr>
          <w:rFonts w:eastAsia="Calibri" w:cstheme="minorHAnsi"/>
          <w:color w:val="000000"/>
          <w:lang w:eastAsia="hr-HR"/>
        </w:rPr>
        <w:t>iznose</w:t>
      </w:r>
      <w:r w:rsidRPr="002A6222">
        <w:rPr>
          <w:rFonts w:eastAsia="Calibri" w:cstheme="minorHAnsi"/>
          <w:color w:val="000000"/>
          <w:lang w:eastAsia="hr-HR"/>
        </w:rPr>
        <w:t xml:space="preserve"> </w:t>
      </w:r>
      <w:r>
        <w:rPr>
          <w:rFonts w:eastAsia="Calibri" w:cstheme="minorHAnsi"/>
          <w:color w:val="000000"/>
          <w:lang w:eastAsia="hr-HR"/>
        </w:rPr>
        <w:t xml:space="preserve">1.312.838 </w:t>
      </w:r>
      <w:r w:rsidRPr="00F36DA9">
        <w:rPr>
          <w:rFonts w:eastAsia="Calibri" w:cstheme="minorHAnsi"/>
          <w:color w:val="000000"/>
          <w:lang w:eastAsia="hr-HR"/>
        </w:rPr>
        <w:t xml:space="preserve"> </w:t>
      </w:r>
      <w:r>
        <w:rPr>
          <w:rFonts w:eastAsia="Calibri" w:cstheme="minorHAnsi"/>
          <w:color w:val="000000"/>
          <w:lang w:eastAsia="hr-HR"/>
        </w:rPr>
        <w:t>eura</w:t>
      </w:r>
      <w:r w:rsidR="003F46B7">
        <w:rPr>
          <w:rFonts w:eastAsia="Calibri" w:cstheme="minorHAnsi"/>
          <w:color w:val="000000"/>
          <w:lang w:eastAsia="hr-HR"/>
        </w:rPr>
        <w:t>. Od navedenog iznosa</w:t>
      </w:r>
      <w:r w:rsidRPr="00251B49">
        <w:rPr>
          <w:rFonts w:eastAsia="Calibri" w:cstheme="minorHAnsi"/>
          <w:color w:val="000000"/>
          <w:lang w:eastAsia="hr-HR"/>
        </w:rPr>
        <w:t xml:space="preserve"> </w:t>
      </w:r>
      <w:r>
        <w:rPr>
          <w:rFonts w:eastAsia="Calibri" w:cstheme="minorHAnsi"/>
          <w:color w:val="000000"/>
          <w:lang w:eastAsia="hr-HR"/>
        </w:rPr>
        <w:t xml:space="preserve">695.239 eura </w:t>
      </w:r>
      <w:r w:rsidRPr="00251B49">
        <w:rPr>
          <w:rFonts w:eastAsia="Calibri" w:cstheme="minorHAnsi"/>
          <w:color w:val="000000"/>
          <w:lang w:eastAsia="hr-HR"/>
        </w:rPr>
        <w:t>odnosi se na dospjela</w:t>
      </w:r>
      <w:r w:rsidRPr="00251B49">
        <w:rPr>
          <w:rFonts w:eastAsia="Times New Roman" w:cstheme="minorHAnsi"/>
          <w:color w:val="000000"/>
          <w:lang w:eastAsia="hr-HR"/>
        </w:rPr>
        <w:t xml:space="preserve"> potraživanja.</w:t>
      </w:r>
      <w:r w:rsidRPr="002A6222">
        <w:rPr>
          <w:rFonts w:eastAsia="Times New Roman" w:cstheme="minorHAnsi"/>
          <w:color w:val="000000"/>
          <w:lang w:eastAsia="hr-HR"/>
        </w:rPr>
        <w:t xml:space="preserve"> </w:t>
      </w:r>
    </w:p>
    <w:p w14:paraId="463B39E5" w14:textId="77777777" w:rsidR="00F8005A" w:rsidRPr="00D77148" w:rsidRDefault="00F8005A" w:rsidP="00F8005A">
      <w:pPr>
        <w:spacing w:after="120"/>
        <w:jc w:val="both"/>
        <w:rPr>
          <w:rFonts w:eastAsiaTheme="minorEastAsia" w:cs="Times New Roman"/>
          <w:b/>
        </w:rPr>
      </w:pPr>
      <w:r w:rsidRPr="00D77148">
        <w:rPr>
          <w:rFonts w:eastAsia="Times New Roman" w:cs="Times New Roman"/>
          <w:b/>
          <w:lang w:eastAsia="hr-HR"/>
        </w:rPr>
        <w:t xml:space="preserve">Tablica </w:t>
      </w:r>
      <w:r>
        <w:rPr>
          <w:rFonts w:eastAsia="Times New Roman" w:cs="Times New Roman"/>
          <w:b/>
          <w:lang w:eastAsia="hr-HR"/>
        </w:rPr>
        <w:t>40</w:t>
      </w:r>
      <w:r w:rsidRPr="00D77148">
        <w:rPr>
          <w:rFonts w:eastAsia="Times New Roman" w:cs="Times New Roman"/>
          <w:b/>
          <w:lang w:eastAsia="hr-HR"/>
        </w:rPr>
        <w:t xml:space="preserve">. Potraživanja od kupaca na dan </w:t>
      </w:r>
      <w:r>
        <w:rPr>
          <w:rFonts w:eastAsia="Times New Roman" w:cs="Times New Roman"/>
          <w:b/>
          <w:lang w:eastAsia="hr-HR"/>
        </w:rPr>
        <w:t>31. prosinca</w:t>
      </w:r>
      <w:r w:rsidRPr="00D77148">
        <w:rPr>
          <w:rFonts w:cs="Times New Roman"/>
          <w:b/>
        </w:rPr>
        <w:t xml:space="preserve"> </w:t>
      </w:r>
      <w:r w:rsidRPr="00D77148">
        <w:rPr>
          <w:rFonts w:eastAsiaTheme="minorEastAsia" w:cs="Times New Roman"/>
          <w:b/>
        </w:rPr>
        <w:t>20</w:t>
      </w:r>
      <w:r>
        <w:rPr>
          <w:rFonts w:eastAsiaTheme="minorEastAsia" w:cs="Times New Roman"/>
          <w:b/>
        </w:rPr>
        <w:t>23.</w:t>
      </w:r>
      <w:r w:rsidRPr="00D77148">
        <w:rPr>
          <w:rFonts w:eastAsiaTheme="minorEastAsia" w:cs="Times New Roman"/>
          <w:b/>
        </w:rPr>
        <w:t xml:space="preserve"> godine</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252"/>
      </w:tblGrid>
      <w:tr w:rsidR="00F8005A" w:rsidRPr="00A87F0D" w14:paraId="0D39FA87" w14:textId="77777777" w:rsidTr="00F45709">
        <w:trPr>
          <w:trHeight w:val="284"/>
          <w:tblHeader/>
        </w:trPr>
        <w:tc>
          <w:tcPr>
            <w:tcW w:w="4962" w:type="dxa"/>
            <w:tcBorders>
              <w:bottom w:val="single" w:sz="4" w:space="0" w:color="auto"/>
            </w:tcBorders>
            <w:shd w:val="clear" w:color="auto" w:fill="A3E7FF"/>
            <w:vAlign w:val="center"/>
          </w:tcPr>
          <w:p w14:paraId="6928EF8A" w14:textId="77777777" w:rsidR="00F8005A" w:rsidRPr="00A87F0D" w:rsidRDefault="00F8005A" w:rsidP="00F45709">
            <w:pPr>
              <w:rPr>
                <w:rFonts w:eastAsia="Times New Roman" w:cs="Arial"/>
                <w:b/>
                <w:bCs/>
                <w:sz w:val="20"/>
                <w:szCs w:val="20"/>
                <w:lang w:eastAsia="hr-HR"/>
              </w:rPr>
            </w:pPr>
            <w:r w:rsidRPr="00A87F0D">
              <w:rPr>
                <w:rFonts w:eastAsia="Times New Roman" w:cs="Arial"/>
                <w:b/>
                <w:bCs/>
                <w:sz w:val="20"/>
                <w:szCs w:val="20"/>
                <w:lang w:eastAsia="hr-HR"/>
              </w:rPr>
              <w:t>Potraživanja od kupaca</w:t>
            </w:r>
          </w:p>
        </w:tc>
        <w:tc>
          <w:tcPr>
            <w:tcW w:w="4252" w:type="dxa"/>
            <w:tcBorders>
              <w:bottom w:val="single" w:sz="4" w:space="0" w:color="auto"/>
            </w:tcBorders>
            <w:shd w:val="clear" w:color="auto" w:fill="A3E7FF"/>
            <w:vAlign w:val="center"/>
            <w:hideMark/>
          </w:tcPr>
          <w:p w14:paraId="627A69CE" w14:textId="77777777" w:rsidR="00F8005A" w:rsidRPr="00A87F0D" w:rsidRDefault="00F8005A" w:rsidP="00F45709">
            <w:pPr>
              <w:jc w:val="center"/>
              <w:rPr>
                <w:rFonts w:eastAsia="Times New Roman" w:cs="Arial"/>
                <w:b/>
                <w:bCs/>
                <w:sz w:val="20"/>
                <w:szCs w:val="20"/>
                <w:lang w:eastAsia="hr-HR"/>
              </w:rPr>
            </w:pPr>
            <w:r w:rsidRPr="00A87F0D">
              <w:rPr>
                <w:rFonts w:eastAsia="Times New Roman" w:cs="Arial"/>
                <w:b/>
                <w:bCs/>
                <w:sz w:val="20"/>
                <w:szCs w:val="20"/>
                <w:lang w:eastAsia="hr-HR"/>
              </w:rPr>
              <w:t>Iznos</w:t>
            </w:r>
            <w:r>
              <w:rPr>
                <w:rFonts w:eastAsia="Times New Roman" w:cs="Arial"/>
                <w:b/>
                <w:bCs/>
                <w:sz w:val="20"/>
                <w:szCs w:val="20"/>
                <w:lang w:eastAsia="hr-HR"/>
              </w:rPr>
              <w:t>, eur</w:t>
            </w:r>
          </w:p>
        </w:tc>
      </w:tr>
      <w:tr w:rsidR="00F8005A" w:rsidRPr="00A87F0D" w14:paraId="14D9560C" w14:textId="77777777" w:rsidTr="00F45709">
        <w:trPr>
          <w:trHeight w:val="284"/>
        </w:trPr>
        <w:tc>
          <w:tcPr>
            <w:tcW w:w="4962" w:type="dxa"/>
            <w:shd w:val="clear" w:color="auto" w:fill="auto"/>
            <w:vAlign w:val="center"/>
          </w:tcPr>
          <w:p w14:paraId="044CB5BC" w14:textId="77777777" w:rsidR="00F8005A" w:rsidRPr="00A87F0D" w:rsidRDefault="00F8005A" w:rsidP="00F45709">
            <w:pPr>
              <w:rPr>
                <w:rFonts w:eastAsia="Times New Roman" w:cs="Arial"/>
                <w:b/>
                <w:bCs/>
                <w:sz w:val="20"/>
                <w:szCs w:val="20"/>
                <w:lang w:eastAsia="hr-HR"/>
              </w:rPr>
            </w:pPr>
            <w:r w:rsidRPr="00FC3EA0">
              <w:rPr>
                <w:rFonts w:eastAsia="Times New Roman" w:cs="Arial"/>
                <w:b/>
                <w:sz w:val="20"/>
                <w:szCs w:val="20"/>
                <w:lang w:eastAsia="hr-HR"/>
              </w:rPr>
              <w:t>Potraživanja od kupaca – ukupna</w:t>
            </w:r>
          </w:p>
        </w:tc>
        <w:tc>
          <w:tcPr>
            <w:tcW w:w="4252" w:type="dxa"/>
            <w:shd w:val="clear" w:color="auto" w:fill="auto"/>
            <w:vAlign w:val="center"/>
          </w:tcPr>
          <w:p w14:paraId="0DE4929D" w14:textId="77777777" w:rsidR="00F8005A" w:rsidRPr="00A87F0D" w:rsidRDefault="00F8005A" w:rsidP="00F45709">
            <w:pPr>
              <w:jc w:val="right"/>
              <w:rPr>
                <w:rFonts w:eastAsia="Times New Roman" w:cs="Arial"/>
                <w:b/>
                <w:bCs/>
                <w:sz w:val="20"/>
                <w:szCs w:val="20"/>
                <w:lang w:eastAsia="hr-HR"/>
              </w:rPr>
            </w:pPr>
            <w:r w:rsidRPr="00DA7385">
              <w:rPr>
                <w:rFonts w:eastAsia="Times New Roman" w:cs="Arial"/>
                <w:b/>
                <w:bCs/>
                <w:sz w:val="20"/>
                <w:szCs w:val="20"/>
                <w:lang w:eastAsia="hr-HR"/>
              </w:rPr>
              <w:t xml:space="preserve">1.312.838  </w:t>
            </w:r>
          </w:p>
        </w:tc>
      </w:tr>
      <w:tr w:rsidR="00F8005A" w:rsidRPr="00A87F0D" w14:paraId="1BAC39AF" w14:textId="77777777" w:rsidTr="00F45709">
        <w:trPr>
          <w:trHeight w:val="284"/>
        </w:trPr>
        <w:tc>
          <w:tcPr>
            <w:tcW w:w="4962" w:type="dxa"/>
            <w:shd w:val="clear" w:color="auto" w:fill="auto"/>
            <w:vAlign w:val="center"/>
          </w:tcPr>
          <w:p w14:paraId="70C6C8FF" w14:textId="77777777" w:rsidR="00F8005A" w:rsidRDefault="00F8005A" w:rsidP="00F45709">
            <w:pPr>
              <w:ind w:firstLineChars="400" w:firstLine="800"/>
              <w:rPr>
                <w:rFonts w:ascii="Calibri" w:hAnsi="Calibri" w:cs="Calibri"/>
                <w:color w:val="000000"/>
                <w:sz w:val="20"/>
                <w:szCs w:val="20"/>
              </w:rPr>
            </w:pPr>
            <w:r>
              <w:rPr>
                <w:rFonts w:ascii="Calibri" w:hAnsi="Calibri" w:cs="Calibri"/>
                <w:color w:val="000000"/>
                <w:sz w:val="20"/>
                <w:szCs w:val="20"/>
              </w:rPr>
              <w:t>-  od toga nedospjela potraživanja</w:t>
            </w:r>
          </w:p>
        </w:tc>
        <w:tc>
          <w:tcPr>
            <w:tcW w:w="4252" w:type="dxa"/>
            <w:shd w:val="clear" w:color="auto" w:fill="auto"/>
            <w:noWrap/>
            <w:vAlign w:val="center"/>
          </w:tcPr>
          <w:p w14:paraId="1519D926" w14:textId="77777777" w:rsidR="00F8005A" w:rsidRDefault="00F8005A" w:rsidP="00F45709">
            <w:pPr>
              <w:jc w:val="right"/>
              <w:rPr>
                <w:rFonts w:ascii="Calibri" w:hAnsi="Calibri" w:cs="Calibri"/>
                <w:color w:val="000000"/>
                <w:sz w:val="20"/>
                <w:szCs w:val="20"/>
              </w:rPr>
            </w:pPr>
            <w:r>
              <w:rPr>
                <w:rFonts w:ascii="Calibri" w:hAnsi="Calibri" w:cs="Calibri"/>
                <w:color w:val="000000"/>
                <w:sz w:val="20"/>
                <w:szCs w:val="20"/>
              </w:rPr>
              <w:t>617.599</w:t>
            </w:r>
          </w:p>
        </w:tc>
      </w:tr>
      <w:tr w:rsidR="00F8005A" w:rsidRPr="00A87F0D" w14:paraId="3D081D62" w14:textId="77777777" w:rsidTr="00F45709">
        <w:trPr>
          <w:trHeight w:val="284"/>
        </w:trPr>
        <w:tc>
          <w:tcPr>
            <w:tcW w:w="4962" w:type="dxa"/>
            <w:shd w:val="clear" w:color="auto" w:fill="auto"/>
            <w:vAlign w:val="center"/>
          </w:tcPr>
          <w:p w14:paraId="392DAEDD" w14:textId="77777777" w:rsidR="00F8005A" w:rsidRDefault="00F8005A" w:rsidP="00F45709">
            <w:pPr>
              <w:ind w:firstLineChars="400" w:firstLine="800"/>
              <w:rPr>
                <w:rFonts w:ascii="Calibri" w:hAnsi="Calibri" w:cs="Calibri"/>
                <w:color w:val="000000"/>
                <w:sz w:val="20"/>
                <w:szCs w:val="20"/>
              </w:rPr>
            </w:pPr>
            <w:r>
              <w:rPr>
                <w:rFonts w:ascii="Calibri" w:hAnsi="Calibri" w:cs="Calibri"/>
                <w:color w:val="000000"/>
                <w:sz w:val="20"/>
                <w:szCs w:val="20"/>
              </w:rPr>
              <w:t>-  od toga dospjela potraživanja do 30 dana</w:t>
            </w:r>
          </w:p>
        </w:tc>
        <w:tc>
          <w:tcPr>
            <w:tcW w:w="4252" w:type="dxa"/>
            <w:shd w:val="clear" w:color="auto" w:fill="auto"/>
            <w:noWrap/>
            <w:vAlign w:val="center"/>
          </w:tcPr>
          <w:p w14:paraId="289A2848" w14:textId="77777777" w:rsidR="00F8005A" w:rsidRDefault="00F8005A" w:rsidP="00F45709">
            <w:pPr>
              <w:jc w:val="right"/>
              <w:rPr>
                <w:rFonts w:ascii="Calibri" w:hAnsi="Calibri" w:cs="Calibri"/>
                <w:color w:val="000000"/>
                <w:sz w:val="20"/>
                <w:szCs w:val="20"/>
              </w:rPr>
            </w:pPr>
            <w:r>
              <w:rPr>
                <w:rFonts w:ascii="Calibri" w:hAnsi="Calibri" w:cs="Calibri"/>
                <w:color w:val="000000"/>
                <w:sz w:val="20"/>
                <w:szCs w:val="20"/>
              </w:rPr>
              <w:t>57.301</w:t>
            </w:r>
          </w:p>
        </w:tc>
      </w:tr>
      <w:tr w:rsidR="00F8005A" w:rsidRPr="00A87F0D" w14:paraId="1DC13832" w14:textId="77777777" w:rsidTr="00F45709">
        <w:trPr>
          <w:trHeight w:val="284"/>
        </w:trPr>
        <w:tc>
          <w:tcPr>
            <w:tcW w:w="4962" w:type="dxa"/>
            <w:shd w:val="clear" w:color="auto" w:fill="auto"/>
            <w:vAlign w:val="center"/>
          </w:tcPr>
          <w:p w14:paraId="7B5C2086" w14:textId="77777777" w:rsidR="00F8005A" w:rsidRDefault="00F8005A" w:rsidP="00F45709">
            <w:pPr>
              <w:ind w:firstLineChars="400" w:firstLine="800"/>
              <w:rPr>
                <w:rFonts w:ascii="Calibri" w:hAnsi="Calibri" w:cs="Calibri"/>
                <w:color w:val="000000"/>
                <w:sz w:val="20"/>
                <w:szCs w:val="20"/>
              </w:rPr>
            </w:pPr>
            <w:r>
              <w:rPr>
                <w:rFonts w:ascii="Calibri" w:hAnsi="Calibri" w:cs="Calibri"/>
                <w:color w:val="000000"/>
                <w:sz w:val="20"/>
                <w:szCs w:val="20"/>
              </w:rPr>
              <w:lastRenderedPageBreak/>
              <w:t>-  od toga dospjela potraživanja do 180 dana</w:t>
            </w:r>
          </w:p>
        </w:tc>
        <w:tc>
          <w:tcPr>
            <w:tcW w:w="4252" w:type="dxa"/>
            <w:shd w:val="clear" w:color="auto" w:fill="auto"/>
            <w:noWrap/>
            <w:vAlign w:val="center"/>
          </w:tcPr>
          <w:p w14:paraId="1858B26A" w14:textId="77777777" w:rsidR="00F8005A" w:rsidRDefault="00F8005A" w:rsidP="00F45709">
            <w:pPr>
              <w:jc w:val="right"/>
              <w:rPr>
                <w:rFonts w:ascii="Calibri" w:hAnsi="Calibri" w:cs="Calibri"/>
                <w:color w:val="000000"/>
                <w:sz w:val="20"/>
                <w:szCs w:val="20"/>
              </w:rPr>
            </w:pPr>
            <w:r>
              <w:rPr>
                <w:rFonts w:ascii="Calibri" w:hAnsi="Calibri" w:cs="Calibri"/>
                <w:color w:val="000000"/>
                <w:sz w:val="20"/>
                <w:szCs w:val="20"/>
              </w:rPr>
              <w:t>147.768</w:t>
            </w:r>
          </w:p>
        </w:tc>
      </w:tr>
      <w:tr w:rsidR="00F8005A" w:rsidRPr="00A87F0D" w14:paraId="1AA3C670" w14:textId="77777777" w:rsidTr="00F45709">
        <w:trPr>
          <w:trHeight w:val="284"/>
        </w:trPr>
        <w:tc>
          <w:tcPr>
            <w:tcW w:w="4962" w:type="dxa"/>
            <w:shd w:val="clear" w:color="auto" w:fill="auto"/>
            <w:vAlign w:val="center"/>
          </w:tcPr>
          <w:p w14:paraId="189585AC" w14:textId="77777777" w:rsidR="00F8005A" w:rsidRDefault="00F8005A" w:rsidP="00F45709">
            <w:pPr>
              <w:ind w:firstLineChars="400" w:firstLine="800"/>
              <w:rPr>
                <w:rFonts w:ascii="Calibri" w:hAnsi="Calibri" w:cs="Calibri"/>
                <w:color w:val="000000"/>
                <w:sz w:val="20"/>
                <w:szCs w:val="20"/>
              </w:rPr>
            </w:pPr>
            <w:r>
              <w:rPr>
                <w:rFonts w:ascii="Calibri" w:hAnsi="Calibri" w:cs="Calibri"/>
                <w:color w:val="000000"/>
                <w:sz w:val="20"/>
                <w:szCs w:val="20"/>
              </w:rPr>
              <w:t>-  od toga dospjela potraživanja do 365 dana</w:t>
            </w:r>
          </w:p>
        </w:tc>
        <w:tc>
          <w:tcPr>
            <w:tcW w:w="4252" w:type="dxa"/>
            <w:shd w:val="clear" w:color="auto" w:fill="auto"/>
            <w:noWrap/>
            <w:vAlign w:val="center"/>
          </w:tcPr>
          <w:p w14:paraId="3B35D11B" w14:textId="77777777" w:rsidR="00F8005A" w:rsidRDefault="00F8005A" w:rsidP="00F45709">
            <w:pPr>
              <w:jc w:val="right"/>
              <w:rPr>
                <w:rFonts w:ascii="Calibri" w:hAnsi="Calibri" w:cs="Calibri"/>
                <w:color w:val="000000"/>
                <w:sz w:val="20"/>
                <w:szCs w:val="20"/>
              </w:rPr>
            </w:pPr>
            <w:r>
              <w:rPr>
                <w:rFonts w:ascii="Calibri" w:hAnsi="Calibri" w:cs="Calibri"/>
                <w:color w:val="000000"/>
                <w:sz w:val="20"/>
                <w:szCs w:val="20"/>
              </w:rPr>
              <w:t>91.182</w:t>
            </w:r>
          </w:p>
        </w:tc>
      </w:tr>
      <w:tr w:rsidR="00F8005A" w:rsidRPr="00A87F0D" w14:paraId="252CF7CB" w14:textId="77777777" w:rsidTr="00F45709">
        <w:trPr>
          <w:trHeight w:val="106"/>
        </w:trPr>
        <w:tc>
          <w:tcPr>
            <w:tcW w:w="4962" w:type="dxa"/>
            <w:shd w:val="clear" w:color="auto" w:fill="auto"/>
            <w:vAlign w:val="center"/>
          </w:tcPr>
          <w:p w14:paraId="1800710F" w14:textId="77777777" w:rsidR="00F8005A" w:rsidRDefault="00F8005A" w:rsidP="00F45709">
            <w:pPr>
              <w:ind w:firstLineChars="400" w:firstLine="800"/>
              <w:rPr>
                <w:rFonts w:ascii="Calibri" w:hAnsi="Calibri" w:cs="Calibri"/>
                <w:color w:val="000000"/>
                <w:sz w:val="20"/>
                <w:szCs w:val="20"/>
              </w:rPr>
            </w:pPr>
            <w:r>
              <w:rPr>
                <w:rFonts w:ascii="Calibri" w:hAnsi="Calibri" w:cs="Calibri"/>
                <w:color w:val="000000"/>
                <w:sz w:val="20"/>
                <w:szCs w:val="20"/>
              </w:rPr>
              <w:t>-  od toga dospjela potraživanja preko 365 dana</w:t>
            </w:r>
          </w:p>
        </w:tc>
        <w:tc>
          <w:tcPr>
            <w:tcW w:w="4252" w:type="dxa"/>
            <w:shd w:val="clear" w:color="auto" w:fill="auto"/>
            <w:noWrap/>
            <w:vAlign w:val="center"/>
          </w:tcPr>
          <w:p w14:paraId="63FE1308" w14:textId="77777777" w:rsidR="00F8005A" w:rsidRDefault="00F8005A" w:rsidP="00F45709">
            <w:pPr>
              <w:jc w:val="right"/>
              <w:rPr>
                <w:rFonts w:ascii="Calibri" w:hAnsi="Calibri" w:cs="Calibri"/>
                <w:color w:val="000000"/>
                <w:sz w:val="20"/>
                <w:szCs w:val="20"/>
              </w:rPr>
            </w:pPr>
            <w:r>
              <w:rPr>
                <w:rFonts w:ascii="Calibri" w:hAnsi="Calibri" w:cs="Calibri"/>
                <w:color w:val="000000"/>
                <w:sz w:val="20"/>
                <w:szCs w:val="20"/>
              </w:rPr>
              <w:t>398.988</w:t>
            </w:r>
          </w:p>
        </w:tc>
      </w:tr>
    </w:tbl>
    <w:p w14:paraId="492AF113" w14:textId="77777777" w:rsidR="00F8005A" w:rsidRDefault="00F8005A" w:rsidP="00F8005A">
      <w:pPr>
        <w:spacing w:after="240" w:line="276" w:lineRule="auto"/>
        <w:jc w:val="both"/>
        <w:rPr>
          <w:rFonts w:eastAsia="Times New Roman" w:cstheme="minorHAnsi"/>
          <w:color w:val="000000"/>
          <w:lang w:eastAsia="hr-HR"/>
        </w:rPr>
      </w:pPr>
    </w:p>
    <w:p w14:paraId="0F6F46F0" w14:textId="77777777" w:rsidR="00F8005A" w:rsidRPr="00026B0D" w:rsidRDefault="00F8005A" w:rsidP="00F8005A">
      <w:pPr>
        <w:spacing w:after="240" w:line="276" w:lineRule="auto"/>
        <w:jc w:val="both"/>
        <w:rPr>
          <w:lang w:eastAsia="hr-HR"/>
        </w:rPr>
      </w:pPr>
      <w:r w:rsidRPr="002A6222">
        <w:rPr>
          <w:rFonts w:eastAsia="Times New Roman" w:cstheme="minorHAnsi"/>
          <w:color w:val="000000"/>
          <w:lang w:eastAsia="hr-HR"/>
        </w:rPr>
        <w:t>HALMED vodi računa o naplati potraživanja od kupaca, poduzima mjere naplate potraživanja te osigurava svoja potraživanja od zastare. Na</w:t>
      </w:r>
      <w:r>
        <w:rPr>
          <w:rFonts w:eastAsia="Times New Roman" w:cstheme="minorHAnsi"/>
          <w:color w:val="000000"/>
          <w:lang w:eastAsia="hr-HR"/>
        </w:rPr>
        <w:t xml:space="preserve">d svim dospjelim potraživanjima, vodeći računa o zastari, pokrenuti su </w:t>
      </w:r>
      <w:r w:rsidRPr="002A6222">
        <w:rPr>
          <w:rFonts w:eastAsia="Times New Roman" w:cstheme="minorHAnsi"/>
          <w:color w:val="000000"/>
          <w:lang w:eastAsia="hr-HR"/>
        </w:rPr>
        <w:t xml:space="preserve"> postup</w:t>
      </w:r>
      <w:r>
        <w:rPr>
          <w:rFonts w:eastAsia="Times New Roman" w:cstheme="minorHAnsi"/>
          <w:color w:val="000000"/>
          <w:lang w:eastAsia="hr-HR"/>
        </w:rPr>
        <w:t>ci</w:t>
      </w:r>
      <w:r w:rsidRPr="002A6222">
        <w:rPr>
          <w:rFonts w:eastAsia="Times New Roman" w:cstheme="minorHAnsi"/>
          <w:color w:val="000000"/>
          <w:lang w:eastAsia="hr-HR"/>
        </w:rPr>
        <w:t xml:space="preserve"> ovrhe</w:t>
      </w:r>
      <w:r>
        <w:rPr>
          <w:rFonts w:eastAsia="Times New Roman" w:cstheme="minorHAnsi"/>
          <w:color w:val="000000"/>
          <w:lang w:eastAsia="hr-HR"/>
        </w:rPr>
        <w:t>. U</w:t>
      </w:r>
      <w:r>
        <w:rPr>
          <w:lang w:eastAsia="hr-HR"/>
        </w:rPr>
        <w:t xml:space="preserve"> periodu od 01. siječnja do 31. prosinca 2023. godine </w:t>
      </w:r>
      <w:r w:rsidRPr="00026B0D">
        <w:rPr>
          <w:lang w:eastAsia="hr-HR"/>
        </w:rPr>
        <w:t>podnesen</w:t>
      </w:r>
      <w:r>
        <w:rPr>
          <w:lang w:eastAsia="hr-HR"/>
        </w:rPr>
        <w:t xml:space="preserve">a </w:t>
      </w:r>
      <w:r w:rsidRPr="00655B6A">
        <w:rPr>
          <w:lang w:eastAsia="hr-HR"/>
        </w:rPr>
        <w:t xml:space="preserve">su tri prijedloga za ovrhu na temelju vjerodostojne isprave u ukupnom iznosu glavnice od </w:t>
      </w:r>
      <w:r>
        <w:rPr>
          <w:lang w:eastAsia="hr-HR"/>
        </w:rPr>
        <w:t>4.123</w:t>
      </w:r>
      <w:r w:rsidRPr="00655B6A">
        <w:rPr>
          <w:lang w:eastAsia="hr-HR"/>
        </w:rPr>
        <w:t xml:space="preserve"> eura</w:t>
      </w:r>
      <w:r w:rsidRPr="00655B6A">
        <w:rPr>
          <w:iCs/>
          <w:lang w:eastAsia="hr-HR"/>
        </w:rPr>
        <w:t xml:space="preserve">. </w:t>
      </w:r>
      <w:r w:rsidRPr="00655B6A">
        <w:rPr>
          <w:rFonts w:eastAsia="Times New Roman" w:cstheme="minorHAnsi"/>
          <w:color w:val="000000"/>
          <w:lang w:eastAsia="hr-HR"/>
        </w:rPr>
        <w:t>Potraživan</w:t>
      </w:r>
      <w:r w:rsidRPr="002A6222">
        <w:rPr>
          <w:rFonts w:eastAsia="Times New Roman" w:cstheme="minorHAnsi"/>
          <w:color w:val="000000"/>
          <w:lang w:eastAsia="hr-HR"/>
        </w:rPr>
        <w:t xml:space="preserve">ja od kupaca preko 365 dana odnose se uglavnom na potraživanja od Imunološkog zavoda d.d. </w:t>
      </w:r>
    </w:p>
    <w:p w14:paraId="3B012148" w14:textId="77777777" w:rsidR="00F8005A" w:rsidRPr="00F36DA9" w:rsidRDefault="00F8005A" w:rsidP="00F8005A">
      <w:pPr>
        <w:pStyle w:val="Heading2"/>
        <w:rPr>
          <w:rFonts w:eastAsia="Calibri"/>
        </w:rPr>
      </w:pPr>
      <w:bookmarkStart w:id="350" w:name="_Toc463256237"/>
      <w:bookmarkStart w:id="351" w:name="_Toc487621905"/>
      <w:bookmarkStart w:id="352" w:name="_Toc50541002"/>
      <w:bookmarkStart w:id="353" w:name="_Toc107229673"/>
      <w:bookmarkStart w:id="354" w:name="_Toc165035553"/>
      <w:r w:rsidRPr="00F36DA9">
        <w:rPr>
          <w:rFonts w:eastAsia="Calibri"/>
        </w:rPr>
        <w:t>3.7. Obveze</w:t>
      </w:r>
      <w:bookmarkEnd w:id="350"/>
      <w:bookmarkEnd w:id="351"/>
      <w:bookmarkEnd w:id="352"/>
      <w:bookmarkEnd w:id="353"/>
      <w:bookmarkEnd w:id="354"/>
    </w:p>
    <w:p w14:paraId="3566948F" w14:textId="77777777" w:rsidR="00F8005A" w:rsidRDefault="00F8005A" w:rsidP="00F8005A">
      <w:pPr>
        <w:spacing w:after="240" w:line="276" w:lineRule="auto"/>
        <w:rPr>
          <w:rFonts w:ascii="Calibri" w:eastAsia="Calibri" w:hAnsi="Calibri" w:cs="Times New Roman"/>
          <w:bCs/>
        </w:rPr>
      </w:pPr>
      <w:r w:rsidRPr="002A6222">
        <w:rPr>
          <w:rFonts w:eastAsia="Times New Roman" w:cstheme="minorHAnsi"/>
          <w:color w:val="000000"/>
          <w:lang w:eastAsia="hr-HR"/>
        </w:rPr>
        <w:t xml:space="preserve">HALMED sve svoje obveze </w:t>
      </w:r>
      <w:r>
        <w:rPr>
          <w:rFonts w:eastAsia="Times New Roman" w:cstheme="minorHAnsi"/>
          <w:color w:val="000000"/>
          <w:lang w:eastAsia="hr-HR"/>
        </w:rPr>
        <w:t xml:space="preserve">prema dobavaljačima </w:t>
      </w:r>
      <w:r w:rsidRPr="002A6222">
        <w:rPr>
          <w:rFonts w:eastAsia="Times New Roman" w:cstheme="minorHAnsi"/>
          <w:color w:val="000000"/>
          <w:lang w:eastAsia="hr-HR"/>
        </w:rPr>
        <w:t>podmiruje u roku plaćanja.</w:t>
      </w:r>
    </w:p>
    <w:p w14:paraId="3B5DFDC7" w14:textId="530B3495" w:rsidR="00F8005A" w:rsidRDefault="00F8005A" w:rsidP="00F8005A">
      <w:pPr>
        <w:spacing w:after="240" w:line="276" w:lineRule="auto"/>
        <w:rPr>
          <w:rFonts w:eastAsia="Times New Roman" w:cstheme="minorHAnsi"/>
          <w:color w:val="000000"/>
          <w:lang w:eastAsia="hr-HR"/>
        </w:rPr>
      </w:pPr>
      <w:r w:rsidRPr="002A6222">
        <w:rPr>
          <w:rFonts w:eastAsia="Times New Roman" w:cstheme="minorHAnsi"/>
          <w:color w:val="000000"/>
          <w:lang w:eastAsia="hr-HR"/>
        </w:rPr>
        <w:t xml:space="preserve">Obveze prema dobavljačima na dan </w:t>
      </w:r>
      <w:r>
        <w:rPr>
          <w:rFonts w:eastAsia="Calibri" w:cstheme="minorHAnsi"/>
          <w:color w:val="000000"/>
          <w:lang w:eastAsia="hr-HR"/>
        </w:rPr>
        <w:t>31</w:t>
      </w:r>
      <w:r w:rsidRPr="002A6222">
        <w:rPr>
          <w:rFonts w:eastAsia="Calibri" w:cstheme="minorHAnsi"/>
          <w:color w:val="000000"/>
          <w:lang w:eastAsia="hr-HR"/>
        </w:rPr>
        <w:t xml:space="preserve">. </w:t>
      </w:r>
      <w:r>
        <w:rPr>
          <w:rFonts w:eastAsia="Calibri" w:cstheme="minorHAnsi"/>
          <w:color w:val="000000"/>
          <w:lang w:eastAsia="hr-HR"/>
        </w:rPr>
        <w:t>prosinca</w:t>
      </w:r>
      <w:r w:rsidRPr="002A6222">
        <w:rPr>
          <w:rFonts w:eastAsia="Calibri" w:cstheme="minorHAnsi"/>
          <w:color w:val="000000"/>
          <w:lang w:eastAsia="hr-HR"/>
        </w:rPr>
        <w:t xml:space="preserve"> </w:t>
      </w:r>
      <w:r w:rsidRPr="002A6222">
        <w:rPr>
          <w:rFonts w:eastAsia="Times New Roman" w:cstheme="minorHAnsi"/>
          <w:color w:val="000000"/>
          <w:lang w:eastAsia="hr-HR"/>
        </w:rPr>
        <w:t>20</w:t>
      </w:r>
      <w:r>
        <w:rPr>
          <w:rFonts w:eastAsia="Times New Roman" w:cstheme="minorHAnsi"/>
          <w:color w:val="000000"/>
          <w:lang w:eastAsia="hr-HR"/>
        </w:rPr>
        <w:t>23</w:t>
      </w:r>
      <w:r w:rsidRPr="002A6222">
        <w:rPr>
          <w:rFonts w:eastAsia="Times New Roman" w:cstheme="minorHAnsi"/>
          <w:color w:val="000000"/>
          <w:lang w:eastAsia="hr-HR"/>
        </w:rPr>
        <w:t>. godine</w:t>
      </w:r>
      <w:r w:rsidRPr="002A6222" w:rsidDel="009B00CC">
        <w:rPr>
          <w:rFonts w:eastAsia="Times New Roman" w:cstheme="minorHAnsi"/>
          <w:color w:val="000000"/>
          <w:lang w:eastAsia="hr-HR"/>
        </w:rPr>
        <w:t xml:space="preserve"> </w:t>
      </w:r>
      <w:r w:rsidRPr="002A6222">
        <w:rPr>
          <w:rFonts w:eastAsia="Times New Roman" w:cstheme="minorHAnsi"/>
          <w:color w:val="000000"/>
          <w:lang w:eastAsia="hr-HR"/>
        </w:rPr>
        <w:t xml:space="preserve">iznose </w:t>
      </w:r>
      <w:r>
        <w:rPr>
          <w:rFonts w:eastAsia="Times New Roman" w:cstheme="minorHAnsi"/>
          <w:color w:val="000000"/>
          <w:lang w:eastAsia="hr-HR"/>
        </w:rPr>
        <w:t>632.123 eura</w:t>
      </w:r>
      <w:r w:rsidRPr="002A6222">
        <w:rPr>
          <w:rFonts w:eastAsia="Times New Roman" w:cstheme="minorHAnsi"/>
          <w:color w:val="000000"/>
          <w:lang w:eastAsia="hr-HR"/>
        </w:rPr>
        <w:t>, a odnose se na obveze kojima plaćanje nije dospjelo</w:t>
      </w:r>
      <w:r>
        <w:rPr>
          <w:rFonts w:eastAsia="Times New Roman" w:cstheme="minorHAnsi"/>
          <w:color w:val="000000"/>
          <w:lang w:eastAsia="hr-HR"/>
        </w:rPr>
        <w:t xml:space="preserve">. </w:t>
      </w:r>
    </w:p>
    <w:p w14:paraId="6FED09E0" w14:textId="5FC26F2E" w:rsidR="003F46B7" w:rsidRDefault="003F46B7">
      <w:pPr>
        <w:rPr>
          <w:rFonts w:eastAsia="Times New Roman" w:cstheme="minorHAnsi"/>
          <w:color w:val="000000"/>
          <w:lang w:eastAsia="hr-HR"/>
        </w:rPr>
      </w:pPr>
      <w:r>
        <w:rPr>
          <w:rFonts w:eastAsia="Times New Roman" w:cstheme="minorHAnsi"/>
          <w:color w:val="000000"/>
          <w:lang w:eastAsia="hr-HR"/>
        </w:rPr>
        <w:br w:type="page"/>
      </w:r>
    </w:p>
    <w:p w14:paraId="3474B502" w14:textId="7665E662" w:rsidR="00F8005A" w:rsidRPr="00CA06B2" w:rsidRDefault="00F8005A" w:rsidP="00F8005A">
      <w:pPr>
        <w:pStyle w:val="Heading1"/>
      </w:pPr>
      <w:bookmarkStart w:id="355" w:name="_Toc88031871"/>
      <w:bookmarkStart w:id="356" w:name="_Toc107229674"/>
      <w:bookmarkStart w:id="357" w:name="_Toc165035554"/>
      <w:r w:rsidRPr="00343863">
        <w:lastRenderedPageBreak/>
        <w:t>4. IZVJEŠĆE O IZVRŠENJU PLANA NABAVE</w:t>
      </w:r>
      <w:bookmarkEnd w:id="355"/>
      <w:bookmarkEnd w:id="356"/>
      <w:bookmarkEnd w:id="357"/>
    </w:p>
    <w:p w14:paraId="7C50DE32" w14:textId="77777777" w:rsidR="00F8005A" w:rsidRPr="00BB35A8" w:rsidRDefault="00F8005A" w:rsidP="00F8005A">
      <w:pPr>
        <w:spacing w:after="240" w:line="276" w:lineRule="auto"/>
        <w:jc w:val="both"/>
        <w:rPr>
          <w:rFonts w:eastAsia="Times New Roman" w:cstheme="minorHAnsi"/>
          <w:color w:val="000000"/>
        </w:rPr>
      </w:pPr>
      <w:r w:rsidRPr="00BB35A8">
        <w:rPr>
          <w:rFonts w:eastAsia="Times New Roman" w:cstheme="minorHAnsi"/>
          <w:color w:val="000000"/>
        </w:rPr>
        <w:t>Sukladno odobrenom Planu nabave za 2</w:t>
      </w:r>
      <w:r>
        <w:rPr>
          <w:rFonts w:eastAsia="Times New Roman" w:cstheme="minorHAnsi"/>
          <w:color w:val="000000"/>
        </w:rPr>
        <w:t>023</w:t>
      </w:r>
      <w:r w:rsidRPr="00BB35A8">
        <w:rPr>
          <w:rFonts w:eastAsia="Times New Roman" w:cstheme="minorHAnsi"/>
          <w:color w:val="000000"/>
        </w:rPr>
        <w:t xml:space="preserve">. godinu i Zakonu o javnoj nabavi </w:t>
      </w:r>
      <w:r w:rsidRPr="008E4589">
        <w:rPr>
          <w:rFonts w:eastAsia="Times New Roman" w:cstheme="minorHAnsi"/>
          <w:color w:val="000000"/>
        </w:rPr>
        <w:t>(</w:t>
      </w:r>
      <w:r w:rsidRPr="008E4589">
        <w:rPr>
          <w:rFonts w:cstheme="minorHAnsi"/>
          <w:color w:val="000000"/>
        </w:rPr>
        <w:t xml:space="preserve">Narodne novine, br. </w:t>
      </w:r>
      <w:r>
        <w:rPr>
          <w:rFonts w:cstheme="minorHAnsi"/>
        </w:rPr>
        <w:t xml:space="preserve"> 120/16, 114/22</w:t>
      </w:r>
      <w:r w:rsidRPr="008E4589">
        <w:rPr>
          <w:rFonts w:eastAsia="Times New Roman" w:cstheme="minorHAnsi"/>
          <w:color w:val="000000"/>
        </w:rPr>
        <w:t xml:space="preserve">) </w:t>
      </w:r>
      <w:r w:rsidRPr="00BB35A8">
        <w:rPr>
          <w:rFonts w:eastAsia="Times New Roman" w:cstheme="minorHAnsi"/>
          <w:color w:val="000000"/>
        </w:rPr>
        <w:t xml:space="preserve">HALMED je provodio postupke </w:t>
      </w:r>
      <w:r>
        <w:rPr>
          <w:rFonts w:eastAsia="Times New Roman" w:cstheme="minorHAnsi"/>
          <w:color w:val="000000"/>
        </w:rPr>
        <w:t>jednostavne</w:t>
      </w:r>
      <w:r w:rsidRPr="00BB35A8">
        <w:rPr>
          <w:rFonts w:eastAsia="Times New Roman" w:cstheme="minorHAnsi"/>
          <w:color w:val="000000"/>
        </w:rPr>
        <w:t xml:space="preserve"> i javne nabave. </w:t>
      </w:r>
    </w:p>
    <w:p w14:paraId="45692783" w14:textId="77777777" w:rsidR="00F8005A" w:rsidRDefault="00F8005A" w:rsidP="00F8005A">
      <w:pPr>
        <w:spacing w:after="240" w:line="276" w:lineRule="auto"/>
        <w:jc w:val="both"/>
        <w:rPr>
          <w:rFonts w:eastAsia="Times New Roman" w:cstheme="minorHAnsi"/>
        </w:rPr>
      </w:pPr>
      <w:r>
        <w:rPr>
          <w:rFonts w:eastAsia="Times New Roman" w:cstheme="minorHAnsi"/>
          <w:color w:val="000000"/>
        </w:rPr>
        <w:t>Plan nabave na dan 31. prosinca</w:t>
      </w:r>
      <w:r w:rsidRPr="00BB35A8">
        <w:rPr>
          <w:rFonts w:eastAsia="Times New Roman" w:cstheme="minorHAnsi"/>
          <w:color w:val="000000"/>
        </w:rPr>
        <w:t xml:space="preserve"> 20</w:t>
      </w:r>
      <w:r>
        <w:rPr>
          <w:rFonts w:eastAsia="Times New Roman" w:cstheme="minorHAnsi"/>
          <w:color w:val="000000"/>
        </w:rPr>
        <w:t>23</w:t>
      </w:r>
      <w:r w:rsidRPr="00BB35A8">
        <w:rPr>
          <w:rFonts w:eastAsia="Times New Roman" w:cstheme="minorHAnsi"/>
          <w:color w:val="000000"/>
        </w:rPr>
        <w:t>. godine</w:t>
      </w:r>
      <w:r w:rsidRPr="00BB35A8" w:rsidDel="00F90465">
        <w:rPr>
          <w:rFonts w:eastAsia="Times New Roman" w:cstheme="minorHAnsi"/>
          <w:color w:val="000000"/>
        </w:rPr>
        <w:t xml:space="preserve"> </w:t>
      </w:r>
      <w:r w:rsidRPr="00BB35A8">
        <w:rPr>
          <w:rFonts w:eastAsia="Times New Roman" w:cstheme="minorHAnsi"/>
          <w:color w:val="000000"/>
        </w:rPr>
        <w:t xml:space="preserve">izvršen je u iznosu od </w:t>
      </w:r>
      <w:r>
        <w:rPr>
          <w:rFonts w:eastAsia="Times New Roman" w:cstheme="minorHAnsi"/>
          <w:color w:val="000000"/>
        </w:rPr>
        <w:t>2.637.010 eura</w:t>
      </w:r>
      <w:r w:rsidRPr="00BB35A8">
        <w:rPr>
          <w:rFonts w:eastAsia="Times New Roman" w:cstheme="minorHAnsi"/>
          <w:color w:val="000000"/>
        </w:rPr>
        <w:t xml:space="preserve"> što je </w:t>
      </w:r>
      <w:r>
        <w:rPr>
          <w:rFonts w:eastAsia="Times New Roman" w:cstheme="minorHAnsi"/>
          <w:color w:val="000000"/>
        </w:rPr>
        <w:t>64%</w:t>
      </w:r>
      <w:r w:rsidRPr="00BB35A8">
        <w:rPr>
          <w:rFonts w:eastAsia="Times New Roman" w:cstheme="minorHAnsi"/>
          <w:color w:val="000000"/>
        </w:rPr>
        <w:t xml:space="preserve"> od ukupno planiranih </w:t>
      </w:r>
      <w:r>
        <w:rPr>
          <w:rFonts w:eastAsia="Times New Roman" w:cstheme="minorHAnsi"/>
          <w:color w:val="000000"/>
        </w:rPr>
        <w:t>4.144.384 eura.</w:t>
      </w:r>
      <w:r w:rsidRPr="00BB35A8">
        <w:rPr>
          <w:rFonts w:eastAsia="Times New Roman" w:cstheme="minorHAnsi"/>
          <w:color w:val="000000"/>
        </w:rPr>
        <w:t xml:space="preserve"> </w:t>
      </w:r>
      <w:r>
        <w:rPr>
          <w:rFonts w:eastAsia="Times New Roman" w:cstheme="minorHAnsi"/>
        </w:rPr>
        <w:t>Tijekom godine</w:t>
      </w:r>
      <w:r w:rsidRPr="00932C77">
        <w:rPr>
          <w:rFonts w:eastAsia="Times New Roman" w:cstheme="minorHAnsi"/>
        </w:rPr>
        <w:t xml:space="preserve"> HALMED je uložio </w:t>
      </w:r>
      <w:r w:rsidRPr="001335C6">
        <w:rPr>
          <w:rFonts w:eastAsia="Times New Roman" w:cstheme="minorHAnsi"/>
        </w:rPr>
        <w:t>ukupno 1.119.492</w:t>
      </w:r>
      <w:r w:rsidRPr="00932C77">
        <w:rPr>
          <w:rFonts w:eastAsia="Times New Roman" w:cstheme="minorHAnsi"/>
        </w:rPr>
        <w:t xml:space="preserve"> </w:t>
      </w:r>
      <w:r>
        <w:rPr>
          <w:rFonts w:eastAsia="Times New Roman" w:cstheme="minorHAnsi"/>
        </w:rPr>
        <w:t>eura</w:t>
      </w:r>
      <w:r w:rsidRPr="00932C77">
        <w:rPr>
          <w:rFonts w:eastAsia="Times New Roman" w:cstheme="minorHAnsi"/>
        </w:rPr>
        <w:t xml:space="preserve"> u osnovna sredstva, od čega se većina odnosi na ulaganja </w:t>
      </w:r>
      <w:r>
        <w:rPr>
          <w:rFonts w:eastAsia="Times New Roman" w:cstheme="minorHAnsi"/>
        </w:rPr>
        <w:t xml:space="preserve">u mrežnu opremu </w:t>
      </w:r>
      <w:r w:rsidRPr="00932C77">
        <w:rPr>
          <w:rFonts w:eastAsia="Times New Roman" w:cstheme="minorHAnsi"/>
        </w:rPr>
        <w:t>prema p</w:t>
      </w:r>
      <w:r>
        <w:rPr>
          <w:rFonts w:eastAsia="Times New Roman" w:cstheme="minorHAnsi"/>
        </w:rPr>
        <w:t xml:space="preserve">lanu nabave iz prethodne godine te na ulaganja u računalne aplikacije i računala.  </w:t>
      </w:r>
    </w:p>
    <w:p w14:paraId="6E1DB676" w14:textId="77777777" w:rsidR="00F8005A" w:rsidRDefault="00F8005A" w:rsidP="00F8005A">
      <w:pPr>
        <w:spacing w:after="240" w:line="276" w:lineRule="auto"/>
        <w:jc w:val="both"/>
        <w:rPr>
          <w:rFonts w:eastAsia="Times New Roman" w:cstheme="minorHAnsi"/>
          <w:color w:val="000000"/>
        </w:rPr>
      </w:pPr>
      <w:r w:rsidRPr="00BB35A8">
        <w:rPr>
          <w:rFonts w:eastAsia="Times New Roman" w:cstheme="minorHAnsi"/>
          <w:color w:val="000000"/>
        </w:rPr>
        <w:t xml:space="preserve">U Tablici </w:t>
      </w:r>
      <w:r>
        <w:rPr>
          <w:rFonts w:eastAsia="Times New Roman" w:cstheme="minorHAnsi"/>
          <w:color w:val="000000"/>
        </w:rPr>
        <w:t>41</w:t>
      </w:r>
      <w:r w:rsidRPr="00BB35A8">
        <w:rPr>
          <w:rFonts w:eastAsia="Times New Roman" w:cstheme="minorHAnsi"/>
          <w:color w:val="000000"/>
        </w:rPr>
        <w:t xml:space="preserve">. prikazana je razrada plana nabave po </w:t>
      </w:r>
      <w:r>
        <w:rPr>
          <w:rFonts w:eastAsia="Times New Roman" w:cstheme="minorHAnsi"/>
          <w:color w:val="000000"/>
        </w:rPr>
        <w:t>skupinama</w:t>
      </w:r>
      <w:r w:rsidRPr="00BB35A8">
        <w:rPr>
          <w:rFonts w:eastAsia="Times New Roman" w:cstheme="minorHAnsi"/>
          <w:color w:val="000000"/>
        </w:rPr>
        <w:t>.</w:t>
      </w:r>
    </w:p>
    <w:p w14:paraId="04EDBFF6" w14:textId="77777777" w:rsidR="00F8005A" w:rsidRDefault="00F8005A" w:rsidP="00F8005A">
      <w:pPr>
        <w:spacing w:after="240" w:line="276" w:lineRule="auto"/>
        <w:jc w:val="both"/>
        <w:rPr>
          <w:rFonts w:eastAsia="Times New Roman" w:cstheme="minorHAnsi"/>
        </w:rPr>
      </w:pPr>
      <w:r w:rsidRPr="00CD56AF">
        <w:rPr>
          <w:rFonts w:eastAsia="Times New Roman" w:cstheme="minorHAnsi"/>
          <w:b/>
        </w:rPr>
        <w:t>Objašnjenja stavki</w:t>
      </w:r>
      <w:r w:rsidRPr="00CD56AF">
        <w:rPr>
          <w:rFonts w:eastAsia="Times New Roman" w:cstheme="minorHAnsi"/>
        </w:rPr>
        <w:t>:</w:t>
      </w:r>
    </w:p>
    <w:p w14:paraId="2FE9F3D8" w14:textId="77777777" w:rsidR="00F8005A" w:rsidRDefault="00F8005A" w:rsidP="00F8005A">
      <w:pPr>
        <w:spacing w:after="240" w:line="276" w:lineRule="auto"/>
        <w:jc w:val="both"/>
        <w:rPr>
          <w:rFonts w:eastAsia="Times New Roman" w:cstheme="minorHAnsi"/>
        </w:rPr>
      </w:pPr>
      <w:r>
        <w:rPr>
          <w:rFonts w:eastAsia="Times New Roman" w:cstheme="minorHAnsi"/>
        </w:rPr>
        <w:t xml:space="preserve">- </w:t>
      </w:r>
      <w:r>
        <w:rPr>
          <w:rFonts w:eastAsia="Times New Roman" w:cstheme="minorHAnsi"/>
          <w:b/>
        </w:rPr>
        <w:t>Skupina</w:t>
      </w:r>
      <w:r w:rsidRPr="005E3AFC">
        <w:rPr>
          <w:rFonts w:eastAsia="Times New Roman" w:cstheme="minorHAnsi"/>
          <w:b/>
        </w:rPr>
        <w:t xml:space="preserve"> </w:t>
      </w:r>
      <w:r>
        <w:rPr>
          <w:rFonts w:eastAsia="Times New Roman" w:cstheme="minorHAnsi"/>
          <w:b/>
        </w:rPr>
        <w:t>003</w:t>
      </w:r>
      <w:r w:rsidRPr="005E3AFC">
        <w:rPr>
          <w:rFonts w:eastAsia="Times New Roman" w:cstheme="minorHAnsi"/>
          <w:b/>
        </w:rPr>
        <w:t xml:space="preserve"> </w:t>
      </w:r>
      <w:r>
        <w:rPr>
          <w:rFonts w:eastAsia="Times New Roman" w:cstheme="minorHAnsi"/>
          <w:b/>
        </w:rPr>
        <w:t xml:space="preserve">Laboratorijski uređaji i oprema </w:t>
      </w:r>
      <w:r>
        <w:rPr>
          <w:rFonts w:eastAsia="Times New Roman" w:cstheme="minorHAnsi"/>
        </w:rPr>
        <w:t xml:space="preserve">izvršena je 65% planiranog za godinu. Do kraja godine  nabavljena je sva oprema - </w:t>
      </w:r>
      <w:r w:rsidRPr="00B47F8A">
        <w:rPr>
          <w:rFonts w:eastAsia="Times New Roman" w:cstheme="minorHAnsi"/>
          <w:i/>
        </w:rPr>
        <w:t>Sustav za proizvodnju ultra čiste vode</w:t>
      </w:r>
      <w:r>
        <w:rPr>
          <w:rFonts w:eastAsia="Times New Roman" w:cstheme="minorHAnsi"/>
          <w:i/>
        </w:rPr>
        <w:t>,</w:t>
      </w:r>
      <w:r>
        <w:rPr>
          <w:rFonts w:eastAsia="Times New Roman" w:cstheme="minorHAnsi"/>
        </w:rPr>
        <w:t xml:space="preserve"> </w:t>
      </w:r>
      <w:r w:rsidRPr="00B47F8A">
        <w:rPr>
          <w:rFonts w:eastAsia="Times New Roman" w:cstheme="minorHAnsi"/>
          <w:i/>
        </w:rPr>
        <w:t>Aplikacija za upravljanje laboratorijskom opremom</w:t>
      </w:r>
      <w:r>
        <w:rPr>
          <w:rFonts w:eastAsia="Times New Roman" w:cstheme="minorHAnsi"/>
          <w:i/>
        </w:rPr>
        <w:t xml:space="preserve"> </w:t>
      </w:r>
      <w:r>
        <w:rPr>
          <w:rFonts w:eastAsia="Times New Roman" w:cstheme="minorHAnsi"/>
        </w:rPr>
        <w:t xml:space="preserve">te </w:t>
      </w:r>
      <w:r w:rsidRPr="00D42370">
        <w:rPr>
          <w:rFonts w:eastAsia="Times New Roman" w:cstheme="minorHAnsi"/>
          <w:i/>
        </w:rPr>
        <w:t>Hladnjak</w:t>
      </w:r>
      <w:r>
        <w:rPr>
          <w:rFonts w:eastAsia="Times New Roman" w:cstheme="minorHAnsi"/>
        </w:rPr>
        <w:t xml:space="preserve"> međutim njegova je isporuka izvršena početkom 2024. godine. </w:t>
      </w:r>
    </w:p>
    <w:p w14:paraId="3D3C7724" w14:textId="77777777" w:rsidR="00F8005A" w:rsidRPr="008C7459" w:rsidRDefault="00F8005A" w:rsidP="00F8005A">
      <w:pPr>
        <w:spacing w:after="240" w:line="276" w:lineRule="auto"/>
        <w:jc w:val="both"/>
        <w:rPr>
          <w:rFonts w:eastAsia="Times New Roman" w:cstheme="minorHAnsi"/>
        </w:rPr>
      </w:pPr>
      <w:r>
        <w:rPr>
          <w:rFonts w:eastAsia="Times New Roman" w:cstheme="minorHAnsi"/>
        </w:rPr>
        <w:t xml:space="preserve">- </w:t>
      </w:r>
      <w:r>
        <w:rPr>
          <w:rFonts w:eastAsia="Times New Roman" w:cstheme="minorHAnsi"/>
          <w:b/>
        </w:rPr>
        <w:t>Skupina</w:t>
      </w:r>
      <w:r w:rsidRPr="006E3F93">
        <w:rPr>
          <w:rFonts w:eastAsia="Times New Roman" w:cstheme="minorHAnsi"/>
          <w:b/>
        </w:rPr>
        <w:t xml:space="preserve"> </w:t>
      </w:r>
      <w:r>
        <w:rPr>
          <w:rFonts w:eastAsia="Times New Roman" w:cstheme="minorHAnsi"/>
          <w:b/>
        </w:rPr>
        <w:t>007</w:t>
      </w:r>
      <w:r w:rsidRPr="006E3F93">
        <w:rPr>
          <w:rFonts w:eastAsia="Times New Roman" w:cstheme="minorHAnsi"/>
          <w:b/>
        </w:rPr>
        <w:t xml:space="preserve"> Nabava opreme i održavanje zgrade uključujući radove </w:t>
      </w:r>
      <w:r w:rsidRPr="006E3F93">
        <w:rPr>
          <w:rFonts w:eastAsia="Times New Roman" w:cstheme="minorHAnsi"/>
        </w:rPr>
        <w:t xml:space="preserve">izvršena je </w:t>
      </w:r>
      <w:r>
        <w:rPr>
          <w:rFonts w:eastAsia="Times New Roman" w:cstheme="minorHAnsi"/>
        </w:rPr>
        <w:t>85</w:t>
      </w:r>
      <w:r w:rsidRPr="006E3F93">
        <w:rPr>
          <w:rFonts w:eastAsia="Times New Roman" w:cstheme="minorHAnsi"/>
        </w:rPr>
        <w:t>% u odnosu na planirano za godinu.</w:t>
      </w:r>
      <w:r>
        <w:rPr>
          <w:rFonts w:eastAsia="Times New Roman" w:cstheme="minorHAnsi"/>
        </w:rPr>
        <w:t xml:space="preserve"> </w:t>
      </w:r>
      <w:r w:rsidRPr="006B4FAD">
        <w:rPr>
          <w:rFonts w:eastAsia="Times New Roman" w:cstheme="minorHAnsi"/>
        </w:rPr>
        <w:t>Za</w:t>
      </w:r>
      <w:r>
        <w:rPr>
          <w:rFonts w:eastAsia="Times New Roman" w:cstheme="minorHAnsi"/>
        </w:rPr>
        <w:t xml:space="preserve"> najveću stavku</w:t>
      </w:r>
      <w:r w:rsidRPr="006B4FAD">
        <w:rPr>
          <w:rFonts w:eastAsia="Times New Roman" w:cstheme="minorHAnsi"/>
        </w:rPr>
        <w:t xml:space="preserve"> </w:t>
      </w:r>
      <w:r w:rsidRPr="006B4FAD">
        <w:rPr>
          <w:rFonts w:eastAsia="Times New Roman" w:cstheme="minorHAnsi"/>
          <w:i/>
        </w:rPr>
        <w:t>Usluge stražarskih i čuvarskih službi</w:t>
      </w:r>
      <w:r>
        <w:rPr>
          <w:rFonts w:eastAsia="Times New Roman" w:cstheme="minorHAnsi"/>
        </w:rPr>
        <w:t xml:space="preserve"> proveden je postupak javne nabave i sklopljen je Okvirni sporazum na dvije godine čija je realizacija po drugom godišnjem ugovoru započela 1. travnja 2023. godine te se od 1. travnja evidentira izvršenje po ovoj stavci. Ostale stavke su se izvršavale prema potrebi.</w:t>
      </w:r>
      <w:r w:rsidRPr="008C7459">
        <w:rPr>
          <w:rFonts w:eastAsia="Times New Roman" w:cstheme="minorHAnsi"/>
        </w:rPr>
        <w:t xml:space="preserve">     </w:t>
      </w:r>
    </w:p>
    <w:p w14:paraId="53B37977" w14:textId="77777777" w:rsidR="00F8005A" w:rsidRDefault="00F8005A" w:rsidP="00F8005A">
      <w:pPr>
        <w:spacing w:after="240" w:line="276" w:lineRule="auto"/>
        <w:jc w:val="both"/>
        <w:rPr>
          <w:rFonts w:eastAsia="Times New Roman" w:cstheme="minorHAnsi"/>
        </w:rPr>
      </w:pPr>
      <w:r w:rsidRPr="002A2FE2">
        <w:rPr>
          <w:rFonts w:eastAsia="Times New Roman" w:cstheme="minorHAnsi"/>
        </w:rPr>
        <w:t xml:space="preserve">- </w:t>
      </w:r>
      <w:r>
        <w:rPr>
          <w:rFonts w:eastAsia="Times New Roman" w:cstheme="minorHAnsi"/>
          <w:b/>
        </w:rPr>
        <w:t>Skupina</w:t>
      </w:r>
      <w:r w:rsidRPr="002A2FE2">
        <w:rPr>
          <w:rFonts w:eastAsia="Times New Roman" w:cstheme="minorHAnsi"/>
          <w:b/>
        </w:rPr>
        <w:t xml:space="preserve"> </w:t>
      </w:r>
      <w:r>
        <w:rPr>
          <w:rFonts w:eastAsia="Times New Roman" w:cstheme="minorHAnsi"/>
          <w:b/>
        </w:rPr>
        <w:t>00</w:t>
      </w:r>
      <w:r w:rsidRPr="002A2FE2">
        <w:rPr>
          <w:rFonts w:eastAsia="Times New Roman" w:cstheme="minorHAnsi"/>
          <w:b/>
        </w:rPr>
        <w:t>9 Uredska oprema, uređaji, materijal i potrepštine</w:t>
      </w:r>
      <w:r>
        <w:rPr>
          <w:rFonts w:eastAsia="Times New Roman" w:cstheme="minorHAnsi"/>
          <w:b/>
        </w:rPr>
        <w:t xml:space="preserve"> </w:t>
      </w:r>
      <w:r>
        <w:rPr>
          <w:rFonts w:eastAsia="Times New Roman" w:cstheme="minorHAnsi"/>
        </w:rPr>
        <w:t xml:space="preserve">izvršena je 63% u odnosu na planirano za godinu. Najveća stavka u ovoj skupini su </w:t>
      </w:r>
      <w:r w:rsidRPr="008179BE">
        <w:rPr>
          <w:rFonts w:eastAsia="Times New Roman" w:cstheme="minorHAnsi"/>
          <w:i/>
        </w:rPr>
        <w:t>Toneri</w:t>
      </w:r>
      <w:r>
        <w:rPr>
          <w:rFonts w:eastAsia="Times New Roman" w:cstheme="minorHAnsi"/>
          <w:i/>
        </w:rPr>
        <w:t xml:space="preserve"> </w:t>
      </w:r>
      <w:r>
        <w:rPr>
          <w:rFonts w:eastAsia="Times New Roman" w:cstheme="minorHAnsi"/>
        </w:rPr>
        <w:t xml:space="preserve">za čiju nabavu je proveden postupak jednostavne nabave i sklopljen ugovor s početkom u travnju ove godine. Za stavku </w:t>
      </w:r>
      <w:r w:rsidRPr="00B31F09">
        <w:rPr>
          <w:rFonts w:eastAsia="Times New Roman" w:cstheme="minorHAnsi"/>
          <w:i/>
        </w:rPr>
        <w:t>Uredski potrošni materijal</w:t>
      </w:r>
      <w:r>
        <w:rPr>
          <w:rFonts w:eastAsia="Times New Roman" w:cstheme="minorHAnsi"/>
        </w:rPr>
        <w:t xml:space="preserve"> također je proveden postupak jednostavne nabave i sklopljen ugovor s primjenom od travnja. Dinamika izvršenja ostalih stavki bila je u skladu s potrebama.</w:t>
      </w:r>
    </w:p>
    <w:p w14:paraId="2747BED2" w14:textId="77777777" w:rsidR="00F8005A" w:rsidRPr="00293457" w:rsidRDefault="00F8005A" w:rsidP="00F8005A">
      <w:pPr>
        <w:spacing w:after="240" w:line="276" w:lineRule="auto"/>
        <w:jc w:val="both"/>
        <w:rPr>
          <w:rFonts w:eastAsia="Times New Roman" w:cstheme="minorHAnsi"/>
        </w:rPr>
      </w:pPr>
      <w:r w:rsidRPr="00293457">
        <w:rPr>
          <w:rFonts w:eastAsia="Times New Roman" w:cstheme="minorHAnsi"/>
          <w:b/>
        </w:rPr>
        <w:t xml:space="preserve">- </w:t>
      </w:r>
      <w:r>
        <w:rPr>
          <w:rFonts w:eastAsia="Times New Roman" w:cstheme="minorHAnsi"/>
          <w:b/>
        </w:rPr>
        <w:t>Skupina</w:t>
      </w:r>
      <w:r w:rsidRPr="00293457">
        <w:rPr>
          <w:rFonts w:eastAsia="Times New Roman" w:cstheme="minorHAnsi"/>
          <w:b/>
        </w:rPr>
        <w:t xml:space="preserve"> </w:t>
      </w:r>
      <w:r>
        <w:rPr>
          <w:rFonts w:eastAsia="Times New Roman" w:cstheme="minorHAnsi"/>
          <w:b/>
        </w:rPr>
        <w:t>0</w:t>
      </w:r>
      <w:r w:rsidRPr="00293457">
        <w:rPr>
          <w:rFonts w:eastAsia="Times New Roman" w:cstheme="minorHAnsi"/>
          <w:b/>
        </w:rPr>
        <w:t>16 Usluge prijevoza, transporta, dostave, otpreme, pošte  i usluge  putničkih agencija</w:t>
      </w:r>
      <w:r>
        <w:rPr>
          <w:rFonts w:eastAsia="Times New Roman" w:cstheme="minorHAnsi"/>
          <w:b/>
        </w:rPr>
        <w:t xml:space="preserve"> </w:t>
      </w:r>
      <w:r>
        <w:rPr>
          <w:rFonts w:eastAsia="Times New Roman" w:cstheme="minorHAnsi"/>
        </w:rPr>
        <w:t>izvršena je 84% u odnosu na plan za godinu. Najveći udio u ovoj grupi imaju u</w:t>
      </w:r>
      <w:r w:rsidRPr="008560F0">
        <w:rPr>
          <w:rFonts w:eastAsia="Times New Roman" w:cstheme="minorHAnsi"/>
        </w:rPr>
        <w:t xml:space="preserve">sluge organizacije </w:t>
      </w:r>
      <w:r>
        <w:rPr>
          <w:rFonts w:eastAsia="Times New Roman" w:cstheme="minorHAnsi"/>
        </w:rPr>
        <w:t>jednog</w:t>
      </w:r>
      <w:r w:rsidRPr="008560F0">
        <w:rPr>
          <w:rFonts w:eastAsia="Times New Roman" w:cstheme="minorHAnsi"/>
        </w:rPr>
        <w:t xml:space="preserve"> sastanka i konferencije povodom 20 godina HALMED-a koji su</w:t>
      </w:r>
      <w:r>
        <w:rPr>
          <w:rFonts w:eastAsia="Times New Roman" w:cstheme="minorHAnsi"/>
        </w:rPr>
        <w:t xml:space="preserve"> izvršeni u manjem iznosu od planiranog, a sukladno provedenim postupcima jednostavne i javne nabave.</w:t>
      </w:r>
    </w:p>
    <w:p w14:paraId="06704A0C" w14:textId="183ABA12" w:rsidR="00F8005A" w:rsidRDefault="00F8005A" w:rsidP="00F8005A">
      <w:pPr>
        <w:spacing w:after="240" w:line="276" w:lineRule="auto"/>
        <w:jc w:val="both"/>
        <w:rPr>
          <w:rFonts w:cstheme="minorHAnsi"/>
        </w:rPr>
      </w:pPr>
      <w:r w:rsidRPr="009D3B8C">
        <w:rPr>
          <w:rFonts w:cstheme="minorHAnsi"/>
          <w:b/>
        </w:rPr>
        <w:t xml:space="preserve">- </w:t>
      </w:r>
      <w:r>
        <w:rPr>
          <w:rFonts w:cstheme="minorHAnsi"/>
          <w:b/>
        </w:rPr>
        <w:t>Skupina</w:t>
      </w:r>
      <w:r w:rsidRPr="009D3B8C">
        <w:rPr>
          <w:rFonts w:cstheme="minorHAnsi"/>
          <w:b/>
        </w:rPr>
        <w:t xml:space="preserve"> 017 Gospodarske javne službe </w:t>
      </w:r>
      <w:r w:rsidRPr="002D5184">
        <w:rPr>
          <w:rFonts w:cstheme="minorHAnsi"/>
        </w:rPr>
        <w:t xml:space="preserve">izvršena je </w:t>
      </w:r>
      <w:r>
        <w:rPr>
          <w:rFonts w:cstheme="minorHAnsi"/>
        </w:rPr>
        <w:t>36</w:t>
      </w:r>
      <w:r w:rsidRPr="002D5184">
        <w:rPr>
          <w:rFonts w:cstheme="minorHAnsi"/>
        </w:rPr>
        <w:t>%</w:t>
      </w:r>
      <w:r>
        <w:rPr>
          <w:rFonts w:cstheme="minorHAnsi"/>
          <w:b/>
        </w:rPr>
        <w:t xml:space="preserve"> </w:t>
      </w:r>
      <w:r w:rsidRPr="002D5184">
        <w:rPr>
          <w:rFonts w:cstheme="minorHAnsi"/>
        </w:rPr>
        <w:t>planiranog za godinu</w:t>
      </w:r>
      <w:r>
        <w:rPr>
          <w:rFonts w:cstheme="minorHAnsi"/>
        </w:rPr>
        <w:t xml:space="preserve">. Za stavku </w:t>
      </w:r>
      <w:r w:rsidRPr="002A1682">
        <w:rPr>
          <w:rFonts w:cstheme="minorHAnsi"/>
          <w:i/>
        </w:rPr>
        <w:t>Plin</w:t>
      </w:r>
      <w:r>
        <w:rPr>
          <w:rFonts w:cstheme="minorHAnsi"/>
        </w:rPr>
        <w:t xml:space="preserve"> proveden je postupak javne nabave kojim su postignute cijene znatno niže od planiranih, a izvršenje po ugovoru je </w:t>
      </w:r>
      <w:r w:rsidR="008A5CB4">
        <w:rPr>
          <w:rFonts w:cstheme="minorHAnsi"/>
        </w:rPr>
        <w:t>za</w:t>
      </w:r>
      <w:r>
        <w:rPr>
          <w:rFonts w:cstheme="minorHAnsi"/>
        </w:rPr>
        <w:t xml:space="preserve">počelo 1. veljače.  Što se tiče </w:t>
      </w:r>
      <w:r w:rsidRPr="002A1682">
        <w:rPr>
          <w:rFonts w:cstheme="minorHAnsi"/>
          <w:i/>
        </w:rPr>
        <w:t>Električne energije</w:t>
      </w:r>
      <w:r>
        <w:rPr>
          <w:rFonts w:cstheme="minorHAnsi"/>
        </w:rPr>
        <w:t xml:space="preserve"> također je proveden postupak javne nabave te je sklopljen novi ugovor s početkom 01. lipnja obzirom da je ugovor iz prethodne godine bio na snazi do 31. svibnja 2023. godine. Za električnu energiju cijelu se godinu naplaćuje cijena niža od ugovorene sukladno </w:t>
      </w:r>
      <w:r w:rsidRPr="006C29B7">
        <w:rPr>
          <w:rFonts w:cstheme="minorHAnsi"/>
          <w:i/>
        </w:rPr>
        <w:t>Uredb</w:t>
      </w:r>
      <w:r>
        <w:rPr>
          <w:rFonts w:cstheme="minorHAnsi"/>
          <w:i/>
        </w:rPr>
        <w:t>i</w:t>
      </w:r>
      <w:r w:rsidRPr="006C29B7">
        <w:rPr>
          <w:rFonts w:cstheme="minorHAnsi"/>
          <w:i/>
        </w:rPr>
        <w:t xml:space="preserve"> o otklanjanju poremećaja na domaćem trži</w:t>
      </w:r>
      <w:r>
        <w:rPr>
          <w:rFonts w:cstheme="minorHAnsi"/>
          <w:i/>
        </w:rPr>
        <w:t xml:space="preserve">štu energije </w:t>
      </w:r>
      <w:r>
        <w:rPr>
          <w:rFonts w:cstheme="minorHAnsi"/>
        </w:rPr>
        <w:t>kojom je Vlada RH ograničila cijenu.</w:t>
      </w:r>
    </w:p>
    <w:p w14:paraId="1CD553FA" w14:textId="77777777" w:rsidR="00F8005A" w:rsidRPr="00E71523" w:rsidRDefault="00F8005A" w:rsidP="00F8005A">
      <w:pPr>
        <w:spacing w:after="240" w:line="276" w:lineRule="auto"/>
        <w:jc w:val="both"/>
        <w:rPr>
          <w:rFonts w:cstheme="minorHAnsi"/>
        </w:rPr>
      </w:pPr>
      <w:r w:rsidRPr="004858A3">
        <w:rPr>
          <w:rFonts w:cstheme="minorHAnsi"/>
          <w:b/>
        </w:rPr>
        <w:t xml:space="preserve">- Skupina 018 Usluge osiguranja </w:t>
      </w:r>
      <w:r w:rsidRPr="004858A3">
        <w:rPr>
          <w:rFonts w:cstheme="minorHAnsi"/>
        </w:rPr>
        <w:t>izvršena je 83% u odnosu na plan za godinu. Najveći udio u ovoj skupini</w:t>
      </w:r>
      <w:r>
        <w:rPr>
          <w:rFonts w:cstheme="minorHAnsi"/>
        </w:rPr>
        <w:t xml:space="preserve"> imaju </w:t>
      </w:r>
      <w:r w:rsidRPr="009E53B3">
        <w:rPr>
          <w:rFonts w:cstheme="minorHAnsi"/>
          <w:i/>
        </w:rPr>
        <w:t>Usluge dopunskog</w:t>
      </w:r>
      <w:r>
        <w:rPr>
          <w:rFonts w:cstheme="minorHAnsi"/>
          <w:i/>
        </w:rPr>
        <w:t xml:space="preserve"> i</w:t>
      </w:r>
      <w:r w:rsidRPr="009E53B3">
        <w:rPr>
          <w:rFonts w:cstheme="minorHAnsi"/>
          <w:i/>
        </w:rPr>
        <w:t xml:space="preserve"> dodatnog zdravstvenog osiguranja</w:t>
      </w:r>
      <w:r>
        <w:rPr>
          <w:rFonts w:cstheme="minorHAnsi"/>
        </w:rPr>
        <w:t xml:space="preserve"> za koje su provedeni postupci jednostavne i javne nabave, a izvršenju po ovim stavkama su započela sredinom veljače te početkom travnja.</w:t>
      </w:r>
    </w:p>
    <w:p w14:paraId="3F035857" w14:textId="77777777" w:rsidR="00F8005A" w:rsidRDefault="00F8005A" w:rsidP="00F8005A">
      <w:pPr>
        <w:spacing w:after="240" w:line="276" w:lineRule="auto"/>
        <w:jc w:val="both"/>
        <w:rPr>
          <w:rFonts w:cstheme="minorHAnsi"/>
        </w:rPr>
      </w:pPr>
      <w:r>
        <w:rPr>
          <w:rFonts w:cstheme="minorHAnsi"/>
        </w:rPr>
        <w:lastRenderedPageBreak/>
        <w:t xml:space="preserve">- </w:t>
      </w:r>
      <w:r>
        <w:rPr>
          <w:rFonts w:cstheme="minorHAnsi"/>
          <w:b/>
        </w:rPr>
        <w:t>Skupina</w:t>
      </w:r>
      <w:r w:rsidRPr="00D03E5D">
        <w:rPr>
          <w:rFonts w:cstheme="minorHAnsi"/>
          <w:b/>
        </w:rPr>
        <w:t xml:space="preserve"> 019 Intelektualne usluge i projekti</w:t>
      </w:r>
      <w:r>
        <w:rPr>
          <w:rFonts w:cstheme="minorHAnsi"/>
        </w:rPr>
        <w:t xml:space="preserve"> izvršena je 19% u odnosu na plan za godinu.  Najveća stavka u ovoj skupini je </w:t>
      </w:r>
      <w:r w:rsidRPr="00AB15AC">
        <w:rPr>
          <w:rFonts w:cstheme="minorHAnsi"/>
          <w:i/>
        </w:rPr>
        <w:t>Izrada feasibility studije</w:t>
      </w:r>
      <w:r w:rsidRPr="00AB15AC">
        <w:rPr>
          <w:rFonts w:cstheme="minorHAnsi"/>
        </w:rPr>
        <w:t xml:space="preserve">  </w:t>
      </w:r>
      <w:r>
        <w:rPr>
          <w:rFonts w:cstheme="minorHAnsi"/>
        </w:rPr>
        <w:t>a koja je započeta krajem godine tako da će usluga biti konačno izvršena početkom 2024. godine.</w:t>
      </w:r>
      <w:r w:rsidRPr="00AB15AC">
        <w:rPr>
          <w:rFonts w:cstheme="minorHAnsi"/>
        </w:rPr>
        <w:t xml:space="preserve">      </w:t>
      </w:r>
    </w:p>
    <w:p w14:paraId="7E60D61F" w14:textId="77777777" w:rsidR="00F8005A" w:rsidRPr="00745A74" w:rsidRDefault="00F8005A" w:rsidP="00F8005A">
      <w:pPr>
        <w:spacing w:after="240" w:line="276" w:lineRule="auto"/>
        <w:jc w:val="both"/>
        <w:rPr>
          <w:rFonts w:cstheme="minorHAnsi"/>
        </w:rPr>
      </w:pPr>
      <w:r>
        <w:rPr>
          <w:rFonts w:cstheme="minorHAnsi"/>
        </w:rPr>
        <w:t xml:space="preserve">- </w:t>
      </w:r>
      <w:r w:rsidRPr="00745A74">
        <w:rPr>
          <w:rFonts w:cstheme="minorHAnsi"/>
          <w:b/>
        </w:rPr>
        <w:t>Skupina 021 Usluge zdravstva, zaštite na radu, zaštite okoliša i zbrinjavanja otpada</w:t>
      </w:r>
      <w:r w:rsidRPr="00AB15AC">
        <w:rPr>
          <w:rFonts w:cstheme="minorHAnsi"/>
        </w:rPr>
        <w:t xml:space="preserve"> </w:t>
      </w:r>
      <w:r>
        <w:rPr>
          <w:rFonts w:cstheme="minorHAnsi"/>
        </w:rPr>
        <w:t xml:space="preserve">izvršena je 102% planiranog. Unutar skupine više od planiranog je izvršena stavka </w:t>
      </w:r>
      <w:r w:rsidRPr="00745A74">
        <w:rPr>
          <w:rFonts w:cstheme="minorHAnsi"/>
          <w:i/>
        </w:rPr>
        <w:t>Zbrinjavanje proizvodnog otpada (opasnog i neopasnog)</w:t>
      </w:r>
      <w:r>
        <w:rPr>
          <w:rFonts w:cstheme="minorHAnsi"/>
          <w:i/>
        </w:rPr>
        <w:t xml:space="preserve">. </w:t>
      </w:r>
    </w:p>
    <w:p w14:paraId="64035F44" w14:textId="77777777" w:rsidR="00F8005A" w:rsidRDefault="00F8005A" w:rsidP="00F8005A">
      <w:pPr>
        <w:spacing w:after="240" w:line="276" w:lineRule="auto"/>
        <w:jc w:val="both"/>
        <w:rPr>
          <w:rFonts w:eastAsia="Times New Roman" w:cstheme="minorHAnsi"/>
        </w:rPr>
      </w:pPr>
      <w:r>
        <w:rPr>
          <w:rFonts w:eastAsia="Times New Roman" w:cstheme="minorHAnsi"/>
          <w:b/>
        </w:rPr>
        <w:t xml:space="preserve">- Skupina 022 Ostale usluge </w:t>
      </w:r>
      <w:r>
        <w:rPr>
          <w:rFonts w:eastAsia="Times New Roman" w:cstheme="minorHAnsi"/>
        </w:rPr>
        <w:t xml:space="preserve">izvršena je 56% u odnosu na plan za godinu. Najveća stavka u ovoj skupini je </w:t>
      </w:r>
      <w:r w:rsidRPr="00FE4AE4">
        <w:rPr>
          <w:rFonts w:eastAsia="Times New Roman" w:cstheme="minorHAnsi"/>
          <w:i/>
        </w:rPr>
        <w:t>Usluga arhiviranja i skladištenja dokumentacije te pohrane mikrofilmova</w:t>
      </w:r>
      <w:r>
        <w:rPr>
          <w:rFonts w:eastAsia="Times New Roman" w:cstheme="minorHAnsi"/>
        </w:rPr>
        <w:t xml:space="preserve"> za što je proveden postupak javne nabave, a do 30. travnja se usluga nabavljala po ugovoru iz prethodne godine. </w:t>
      </w:r>
      <w:r w:rsidRPr="00930C9A">
        <w:rPr>
          <w:rFonts w:eastAsia="Times New Roman" w:cstheme="minorHAnsi"/>
        </w:rPr>
        <w:t xml:space="preserve">Stavka </w:t>
      </w:r>
      <w:r w:rsidRPr="00930C9A">
        <w:rPr>
          <w:rFonts w:eastAsia="Times New Roman" w:cstheme="minorHAnsi"/>
          <w:i/>
        </w:rPr>
        <w:t>Izlučivanje dokumentacije</w:t>
      </w:r>
      <w:r w:rsidRPr="00930C9A">
        <w:rPr>
          <w:rFonts w:eastAsia="Times New Roman" w:cstheme="minorHAnsi"/>
        </w:rPr>
        <w:t xml:space="preserve"> </w:t>
      </w:r>
      <w:r>
        <w:rPr>
          <w:rFonts w:eastAsia="Times New Roman" w:cstheme="minorHAnsi"/>
        </w:rPr>
        <w:t>se nije mogla</w:t>
      </w:r>
      <w:r w:rsidRPr="00930C9A">
        <w:rPr>
          <w:rFonts w:eastAsia="Times New Roman" w:cstheme="minorHAnsi"/>
        </w:rPr>
        <w:t xml:space="preserve"> izvršavati </w:t>
      </w:r>
      <w:r>
        <w:rPr>
          <w:rFonts w:eastAsia="Times New Roman" w:cstheme="minorHAnsi"/>
        </w:rPr>
        <w:t>prije</w:t>
      </w:r>
      <w:r w:rsidRPr="00930C9A">
        <w:t xml:space="preserve"> završetka postupka certificiranja sustava za skeniranje i migraciju dokumentacije koje je u tijeku. </w:t>
      </w:r>
      <w:r w:rsidRPr="00930C9A">
        <w:rPr>
          <w:rFonts w:eastAsia="Times New Roman" w:cstheme="minorHAnsi"/>
        </w:rPr>
        <w:t>Ostale stavke su se izvršavale sukladno potrebama i okolnostima.</w:t>
      </w:r>
      <w:r>
        <w:rPr>
          <w:rFonts w:eastAsia="Times New Roman" w:cstheme="minorHAnsi"/>
        </w:rPr>
        <w:t xml:space="preserve"> </w:t>
      </w:r>
    </w:p>
    <w:p w14:paraId="706AA538" w14:textId="77777777" w:rsidR="00F8005A" w:rsidRPr="00EE00A7" w:rsidRDefault="00F8005A" w:rsidP="00F8005A">
      <w:pPr>
        <w:spacing w:after="240" w:line="276" w:lineRule="auto"/>
        <w:jc w:val="both"/>
        <w:rPr>
          <w:rFonts w:eastAsia="Times New Roman" w:cstheme="minorHAnsi"/>
          <w:b/>
        </w:rPr>
      </w:pPr>
      <w:r>
        <w:rPr>
          <w:rFonts w:eastAsia="Times New Roman" w:cstheme="minorHAnsi"/>
        </w:rPr>
        <w:t xml:space="preserve">- </w:t>
      </w:r>
      <w:r>
        <w:rPr>
          <w:rFonts w:eastAsia="Times New Roman" w:cstheme="minorHAnsi"/>
          <w:b/>
        </w:rPr>
        <w:t>Skupina</w:t>
      </w:r>
      <w:r w:rsidRPr="00EE00A7">
        <w:rPr>
          <w:rFonts w:eastAsia="Times New Roman" w:cstheme="minorHAnsi"/>
          <w:b/>
        </w:rPr>
        <w:t xml:space="preserve"> 024 Računalna oprema</w:t>
      </w:r>
      <w:r>
        <w:rPr>
          <w:rFonts w:eastAsia="Times New Roman" w:cstheme="minorHAnsi"/>
        </w:rPr>
        <w:t xml:space="preserve"> izvršena je 23% planiranog za godinu. Najveće stavke unutar skupine su stavke </w:t>
      </w:r>
      <w:r w:rsidRPr="00674DC4">
        <w:rPr>
          <w:rFonts w:eastAsia="Times New Roman" w:cstheme="minorHAnsi"/>
          <w:i/>
        </w:rPr>
        <w:t>Nadogradnja sustava za Backup</w:t>
      </w:r>
      <w:r>
        <w:rPr>
          <w:rFonts w:eastAsia="Times New Roman" w:cstheme="minorHAnsi"/>
          <w:i/>
        </w:rPr>
        <w:t xml:space="preserve"> </w:t>
      </w:r>
      <w:r>
        <w:rPr>
          <w:rFonts w:eastAsia="Times New Roman" w:cstheme="minorHAnsi"/>
        </w:rPr>
        <w:t xml:space="preserve">i </w:t>
      </w:r>
      <w:r w:rsidRPr="00E3264C">
        <w:rPr>
          <w:rFonts w:eastAsia="Times New Roman" w:cstheme="minorHAnsi"/>
          <w:i/>
        </w:rPr>
        <w:t>Poslužitelji i diskovni sustavi</w:t>
      </w:r>
      <w:r>
        <w:rPr>
          <w:rFonts w:eastAsia="Times New Roman" w:cstheme="minorHAnsi"/>
          <w:i/>
        </w:rPr>
        <w:t xml:space="preserve"> </w:t>
      </w:r>
      <w:r w:rsidRPr="0084588D">
        <w:rPr>
          <w:rFonts w:eastAsia="Times New Roman" w:cstheme="minorHAnsi"/>
        </w:rPr>
        <w:t>(300.000 eur)</w:t>
      </w:r>
      <w:r>
        <w:rPr>
          <w:rFonts w:eastAsia="Times New Roman" w:cstheme="minorHAnsi"/>
          <w:i/>
        </w:rPr>
        <w:t xml:space="preserve"> </w:t>
      </w:r>
      <w:r>
        <w:rPr>
          <w:rFonts w:eastAsia="Times New Roman" w:cstheme="minorHAnsi"/>
        </w:rPr>
        <w:t>za koje su postupci javne nabave završeni tek početkom 2024. godine te nakon toga slijedi isporuka.</w:t>
      </w:r>
    </w:p>
    <w:p w14:paraId="4651364D" w14:textId="4168A1A6" w:rsidR="00F8005A" w:rsidRPr="00225094" w:rsidRDefault="00F8005A" w:rsidP="00F8005A">
      <w:pPr>
        <w:spacing w:after="240" w:line="276" w:lineRule="auto"/>
        <w:jc w:val="both"/>
        <w:rPr>
          <w:rFonts w:eastAsia="Times New Roman" w:cstheme="minorHAnsi"/>
          <w:b/>
          <w:i/>
        </w:rPr>
      </w:pPr>
      <w:r w:rsidRPr="00102B5D">
        <w:rPr>
          <w:rFonts w:eastAsia="Times New Roman" w:cstheme="minorHAnsi"/>
          <w:b/>
        </w:rPr>
        <w:t xml:space="preserve">- </w:t>
      </w:r>
      <w:r>
        <w:rPr>
          <w:rFonts w:eastAsia="Times New Roman" w:cstheme="minorHAnsi"/>
          <w:b/>
        </w:rPr>
        <w:t>Skupina</w:t>
      </w:r>
      <w:r w:rsidRPr="00F9275F">
        <w:rPr>
          <w:rFonts w:eastAsia="Times New Roman" w:cstheme="minorHAnsi"/>
          <w:b/>
        </w:rPr>
        <w:t xml:space="preserve"> 025 Računalne aplikacije</w:t>
      </w:r>
      <w:r w:rsidRPr="00102B5D">
        <w:rPr>
          <w:rFonts w:eastAsia="Times New Roman" w:cstheme="minorHAnsi"/>
          <w:b/>
        </w:rPr>
        <w:t xml:space="preserve"> </w:t>
      </w:r>
      <w:r w:rsidRPr="00102B5D">
        <w:rPr>
          <w:rFonts w:eastAsia="Times New Roman" w:cstheme="minorHAnsi"/>
        </w:rPr>
        <w:t xml:space="preserve">izvršena je </w:t>
      </w:r>
      <w:r>
        <w:rPr>
          <w:rFonts w:eastAsia="Times New Roman" w:cstheme="minorHAnsi"/>
        </w:rPr>
        <w:t>60</w:t>
      </w:r>
      <w:r w:rsidRPr="00102B5D">
        <w:rPr>
          <w:rFonts w:eastAsia="Times New Roman" w:cstheme="minorHAnsi"/>
        </w:rPr>
        <w:t>% planiranog za godinu.</w:t>
      </w:r>
      <w:r>
        <w:rPr>
          <w:rFonts w:eastAsia="Times New Roman" w:cstheme="minorHAnsi"/>
        </w:rPr>
        <w:t xml:space="preserve"> Najveće</w:t>
      </w:r>
      <w:r w:rsidRPr="00102B5D">
        <w:rPr>
          <w:rFonts w:eastAsia="Times New Roman" w:cstheme="minorHAnsi"/>
        </w:rPr>
        <w:t xml:space="preserve"> stavk</w:t>
      </w:r>
      <w:r>
        <w:rPr>
          <w:rFonts w:eastAsia="Times New Roman" w:cstheme="minorHAnsi"/>
        </w:rPr>
        <w:t xml:space="preserve">e u ovoj skupini su nadogradnje i održavanja programa i sustava Agencije zbog potrebe za uvođenjem novih funkcionalnosti kako bi se poboljšali poslovni procesi. Radi se o većim nadogradnjama za koje se provode postupci javne nabave. Natječaji se provode tijekom cijele godine, čak i u zadnjem tromjesečju, pa su tako neke isporuke započele kasnije tijekom godine. Postupak javne nabave za </w:t>
      </w:r>
      <w:r w:rsidRPr="000E1329">
        <w:rPr>
          <w:rFonts w:eastAsia="Times New Roman" w:cstheme="minorHAnsi"/>
          <w:i/>
        </w:rPr>
        <w:t xml:space="preserve">Licence za korištenje softvera - Microsoft  </w:t>
      </w:r>
      <w:r>
        <w:rPr>
          <w:rFonts w:eastAsia="Times New Roman" w:cstheme="minorHAnsi"/>
        </w:rPr>
        <w:t xml:space="preserve">proveo je </w:t>
      </w:r>
      <w:r w:rsidRPr="005176D0">
        <w:rPr>
          <w:rFonts w:eastAsia="Times New Roman" w:cstheme="minorHAnsi"/>
        </w:rPr>
        <w:t>Središnji državni ured za središnju javnu naba</w:t>
      </w:r>
      <w:r>
        <w:rPr>
          <w:rFonts w:eastAsia="Times New Roman" w:cstheme="minorHAnsi"/>
        </w:rPr>
        <w:t>vu,</w:t>
      </w:r>
      <w:r w:rsidRPr="000E1329">
        <w:rPr>
          <w:rFonts w:eastAsia="Times New Roman" w:cstheme="minorHAnsi"/>
          <w:i/>
        </w:rPr>
        <w:t xml:space="preserve"> </w:t>
      </w:r>
      <w:r w:rsidRPr="00C16E3D">
        <w:rPr>
          <w:rFonts w:eastAsia="Times New Roman" w:cstheme="minorHAnsi"/>
        </w:rPr>
        <w:t>sklopljen je okvirni sporazum na tri godine</w:t>
      </w:r>
      <w:r>
        <w:rPr>
          <w:rFonts w:eastAsia="Times New Roman" w:cstheme="minorHAnsi"/>
        </w:rPr>
        <w:t xml:space="preserve">, </w:t>
      </w:r>
      <w:r w:rsidRPr="009A10DF">
        <w:rPr>
          <w:rFonts w:eastAsia="Times New Roman" w:cstheme="minorHAnsi"/>
        </w:rPr>
        <w:t xml:space="preserve">a </w:t>
      </w:r>
      <w:r>
        <w:rPr>
          <w:rFonts w:eastAsia="Times New Roman" w:cstheme="minorHAnsi"/>
        </w:rPr>
        <w:t>vrijednost drugog jednogodišnjog ugovora, koji je na snazi od lipnja, je manja od procijenjene vrijednosti.</w:t>
      </w:r>
      <w:r w:rsidRPr="000E1329">
        <w:rPr>
          <w:rFonts w:eastAsia="Times New Roman" w:cstheme="minorHAnsi"/>
          <w:i/>
        </w:rPr>
        <w:t xml:space="preserve"> </w:t>
      </w:r>
      <w:r>
        <w:rPr>
          <w:rFonts w:eastAsia="Times New Roman" w:cstheme="minorHAnsi"/>
        </w:rPr>
        <w:t xml:space="preserve">Tijekom godine nisu izvršene nabave po stavkama </w:t>
      </w:r>
      <w:r w:rsidRPr="00225094">
        <w:rPr>
          <w:rFonts w:eastAsia="Times New Roman" w:cstheme="minorHAnsi"/>
          <w:i/>
        </w:rPr>
        <w:t xml:space="preserve">Izrada Intranet portala </w:t>
      </w:r>
      <w:r w:rsidRPr="00225094">
        <w:rPr>
          <w:rFonts w:eastAsia="Times New Roman" w:cstheme="minorHAnsi"/>
        </w:rPr>
        <w:t>i</w:t>
      </w:r>
      <w:r w:rsidRPr="00225094">
        <w:rPr>
          <w:rFonts w:eastAsia="Times New Roman" w:cstheme="minorHAnsi"/>
          <w:i/>
        </w:rPr>
        <w:t xml:space="preserve"> Privi</w:t>
      </w:r>
      <w:r>
        <w:rPr>
          <w:rFonts w:eastAsia="Times New Roman" w:cstheme="minorHAnsi"/>
          <w:i/>
        </w:rPr>
        <w:t xml:space="preserve">leged Access Management (PAM) </w:t>
      </w:r>
      <w:r>
        <w:rPr>
          <w:rFonts w:eastAsia="Times New Roman" w:cstheme="minorHAnsi"/>
        </w:rPr>
        <w:t>te se one ponovno planiraju u 2024. godini.</w:t>
      </w:r>
      <w:r w:rsidRPr="00225094">
        <w:rPr>
          <w:rFonts w:eastAsia="Times New Roman" w:cstheme="minorHAnsi"/>
          <w:i/>
        </w:rPr>
        <w:t xml:space="preserve">      </w:t>
      </w:r>
      <w:r w:rsidRPr="00225094">
        <w:rPr>
          <w:rFonts w:eastAsia="Times New Roman" w:cstheme="minorHAnsi"/>
          <w:b/>
          <w:i/>
        </w:rPr>
        <w:t xml:space="preserve">                   </w:t>
      </w:r>
    </w:p>
    <w:p w14:paraId="349D039C" w14:textId="77777777" w:rsidR="00F8005A" w:rsidRPr="00076F43" w:rsidRDefault="00F8005A" w:rsidP="00F8005A">
      <w:pPr>
        <w:spacing w:after="240" w:line="276" w:lineRule="auto"/>
        <w:jc w:val="both"/>
        <w:rPr>
          <w:rFonts w:eastAsia="Times New Roman" w:cstheme="minorHAnsi"/>
        </w:rPr>
      </w:pPr>
      <w:r w:rsidRPr="00003DFB">
        <w:rPr>
          <w:rFonts w:eastAsia="Times New Roman" w:cstheme="minorHAnsi"/>
          <w:b/>
        </w:rPr>
        <w:t xml:space="preserve">- </w:t>
      </w:r>
      <w:r>
        <w:rPr>
          <w:rFonts w:eastAsia="Times New Roman" w:cstheme="minorHAnsi"/>
          <w:b/>
        </w:rPr>
        <w:t>Skupina</w:t>
      </w:r>
      <w:r w:rsidRPr="00003DFB">
        <w:rPr>
          <w:rFonts w:eastAsia="Times New Roman" w:cstheme="minorHAnsi"/>
          <w:b/>
        </w:rPr>
        <w:t xml:space="preserve"> </w:t>
      </w:r>
      <w:r>
        <w:rPr>
          <w:rFonts w:eastAsia="Times New Roman" w:cstheme="minorHAnsi"/>
          <w:b/>
        </w:rPr>
        <w:t>0</w:t>
      </w:r>
      <w:r w:rsidRPr="00003DFB">
        <w:rPr>
          <w:rFonts w:eastAsia="Times New Roman" w:cstheme="minorHAnsi"/>
          <w:b/>
        </w:rPr>
        <w:t xml:space="preserve">26 Održavanje aplikacija </w:t>
      </w:r>
      <w:r w:rsidRPr="00003DFB">
        <w:rPr>
          <w:rFonts w:eastAsia="Times New Roman" w:cstheme="minorHAnsi"/>
        </w:rPr>
        <w:t xml:space="preserve">izvršena je </w:t>
      </w:r>
      <w:r>
        <w:rPr>
          <w:rFonts w:eastAsia="Times New Roman" w:cstheme="minorHAnsi"/>
        </w:rPr>
        <w:t>81</w:t>
      </w:r>
      <w:r w:rsidRPr="00003DFB">
        <w:rPr>
          <w:rFonts w:eastAsia="Times New Roman" w:cstheme="minorHAnsi"/>
        </w:rPr>
        <w:t>% planira</w:t>
      </w:r>
      <w:r>
        <w:rPr>
          <w:rFonts w:eastAsia="Times New Roman" w:cstheme="minorHAnsi"/>
        </w:rPr>
        <w:t>nog za godinu. Održavanja se odvijaju prema planu, neka dospijevaju mjesečno, a neka jednokratno raspoređeno kroz godinu. Također, dio nabava je  pokrenut kasnije tijekom godine odnosno prije isteka postojećih ugovora sklopljenih prethodne godine pa je tada krenulo i izvršenje po stavkama.</w:t>
      </w:r>
    </w:p>
    <w:p w14:paraId="06A05722" w14:textId="77777777" w:rsidR="00F8005A" w:rsidRPr="003D596B" w:rsidRDefault="00F8005A" w:rsidP="00F8005A">
      <w:pPr>
        <w:spacing w:line="276" w:lineRule="auto"/>
        <w:jc w:val="both"/>
      </w:pPr>
      <w:r w:rsidRPr="008712A0">
        <w:rPr>
          <w:rFonts w:eastAsia="Times New Roman" w:cstheme="minorHAnsi"/>
          <w:b/>
        </w:rPr>
        <w:t xml:space="preserve">- </w:t>
      </w:r>
      <w:r>
        <w:rPr>
          <w:rFonts w:eastAsia="Times New Roman" w:cstheme="minorHAnsi"/>
          <w:b/>
        </w:rPr>
        <w:t>Skupina</w:t>
      </w:r>
      <w:r w:rsidRPr="008712A0">
        <w:rPr>
          <w:rFonts w:eastAsia="Times New Roman" w:cstheme="minorHAnsi"/>
          <w:b/>
        </w:rPr>
        <w:t xml:space="preserve"> 027 Redoviti troškovi vezani uz informatiku </w:t>
      </w:r>
      <w:r>
        <w:rPr>
          <w:rFonts w:eastAsia="Times New Roman" w:cstheme="minorHAnsi"/>
        </w:rPr>
        <w:t xml:space="preserve">izvršena je 66% planiranog za cijelu godinu. </w:t>
      </w:r>
      <w:r>
        <w:t xml:space="preserve">Po provedenom postupku jednostavne nabave za </w:t>
      </w:r>
      <w:r w:rsidRPr="003D596B">
        <w:rPr>
          <w:i/>
        </w:rPr>
        <w:t>Mobilnu telefoniju</w:t>
      </w:r>
      <w:r>
        <w:t xml:space="preserve">, sklopljen je ugovor čije je izvršenje započelo u drugom tromjesečju odnosno 01. travnja. Kasnije je počelo i izvršenje na stavci </w:t>
      </w:r>
      <w:r w:rsidRPr="006C34F0">
        <w:rPr>
          <w:i/>
        </w:rPr>
        <w:t>Korištenje usluge MDM</w:t>
      </w:r>
      <w:r>
        <w:t xml:space="preserve"> obzirom da je ugovor sklopljen u zadnjem tromjesečju odnosno u listopadu.</w:t>
      </w:r>
    </w:p>
    <w:p w14:paraId="503B7690" w14:textId="77777777" w:rsidR="00F8005A" w:rsidRPr="008712A0" w:rsidRDefault="00F8005A" w:rsidP="00F8005A">
      <w:pPr>
        <w:spacing w:line="276" w:lineRule="auto"/>
        <w:jc w:val="both"/>
        <w:rPr>
          <w:rFonts w:eastAsia="Times New Roman" w:cstheme="minorHAnsi"/>
        </w:rPr>
      </w:pPr>
      <w:r w:rsidRPr="009A27D4">
        <w:rPr>
          <w:rFonts w:eastAsia="Times New Roman" w:cstheme="minorHAnsi"/>
        </w:rPr>
        <w:t xml:space="preserve">                          </w:t>
      </w:r>
    </w:p>
    <w:p w14:paraId="14404988" w14:textId="77777777" w:rsidR="00F8005A" w:rsidRDefault="00F8005A" w:rsidP="00F8005A">
      <w:pPr>
        <w:spacing w:after="240"/>
        <w:jc w:val="both"/>
        <w:rPr>
          <w:rFonts w:eastAsia="Times New Roman" w:cstheme="minorHAnsi"/>
        </w:rPr>
      </w:pPr>
      <w:r>
        <w:rPr>
          <w:rFonts w:eastAsia="Times New Roman" w:cstheme="minorHAnsi"/>
        </w:rPr>
        <w:t xml:space="preserve">- </w:t>
      </w:r>
      <w:r>
        <w:rPr>
          <w:rFonts w:eastAsia="Times New Roman" w:cstheme="minorHAnsi"/>
          <w:b/>
        </w:rPr>
        <w:t>Skupina</w:t>
      </w:r>
      <w:r w:rsidRPr="00834C64">
        <w:rPr>
          <w:rFonts w:eastAsia="Times New Roman" w:cstheme="minorHAnsi"/>
          <w:b/>
        </w:rPr>
        <w:t xml:space="preserve"> 02</w:t>
      </w:r>
      <w:r>
        <w:rPr>
          <w:rFonts w:eastAsia="Times New Roman" w:cstheme="minorHAnsi"/>
          <w:b/>
        </w:rPr>
        <w:t>8</w:t>
      </w:r>
      <w:r w:rsidRPr="00834C64">
        <w:rPr>
          <w:rFonts w:eastAsia="Times New Roman" w:cstheme="minorHAnsi"/>
          <w:b/>
        </w:rPr>
        <w:t xml:space="preserve"> </w:t>
      </w:r>
      <w:r>
        <w:rPr>
          <w:rFonts w:eastAsia="Times New Roman" w:cstheme="minorHAnsi"/>
          <w:b/>
        </w:rPr>
        <w:t>Usluge vezane uz informatički sustav</w:t>
      </w:r>
      <w:r w:rsidRPr="00834C64">
        <w:rPr>
          <w:rFonts w:eastAsia="Times New Roman" w:cstheme="minorHAnsi"/>
          <w:b/>
        </w:rPr>
        <w:t xml:space="preserve"> </w:t>
      </w:r>
      <w:r>
        <w:rPr>
          <w:rFonts w:eastAsia="Times New Roman" w:cstheme="minorHAnsi"/>
        </w:rPr>
        <w:t xml:space="preserve">izvršena je 56% planiranog za godinu i u skladu je s potrebama i okolnostima. Stavke su izvršavane sukladno potrebama Agencije i dospjeću određenih ugovora o održavanju te nije bilo većih kvarova i potrebe za popravcima. Najveća stavka u skupini </w:t>
      </w:r>
      <w:r w:rsidRPr="0077129F">
        <w:rPr>
          <w:rFonts w:eastAsia="Times New Roman" w:cstheme="minorHAnsi"/>
          <w:i/>
        </w:rPr>
        <w:t>Ispitivanje sigurnosti informatičkog sustava</w:t>
      </w:r>
      <w:r>
        <w:rPr>
          <w:rFonts w:eastAsia="Times New Roman" w:cstheme="minorHAnsi"/>
          <w:i/>
        </w:rPr>
        <w:t xml:space="preserve"> </w:t>
      </w:r>
      <w:r w:rsidRPr="00527AF9">
        <w:rPr>
          <w:rFonts w:eastAsia="Times New Roman" w:cstheme="minorHAnsi"/>
        </w:rPr>
        <w:t>tek</w:t>
      </w:r>
      <w:r>
        <w:rPr>
          <w:rFonts w:eastAsia="Times New Roman" w:cstheme="minorHAnsi"/>
        </w:rPr>
        <w:t xml:space="preserve"> će se</w:t>
      </w:r>
      <w:r w:rsidRPr="00527AF9">
        <w:rPr>
          <w:rFonts w:eastAsia="Times New Roman" w:cstheme="minorHAnsi"/>
        </w:rPr>
        <w:t xml:space="preserve"> </w:t>
      </w:r>
      <w:r>
        <w:rPr>
          <w:rFonts w:eastAsia="Times New Roman" w:cstheme="minorHAnsi"/>
        </w:rPr>
        <w:t>izvršavati prema sklopljenom ugovoru u travnju 2023. godine s rokom izvršenja do travnja 2024. godine.</w:t>
      </w:r>
    </w:p>
    <w:p w14:paraId="0151AA5F" w14:textId="77777777" w:rsidR="00F8005A" w:rsidRPr="0077129F" w:rsidRDefault="00F8005A" w:rsidP="00F8005A">
      <w:pPr>
        <w:spacing w:after="240"/>
        <w:jc w:val="both"/>
        <w:rPr>
          <w:rFonts w:eastAsia="Times New Roman" w:cstheme="minorHAnsi"/>
        </w:rPr>
      </w:pPr>
    </w:p>
    <w:p w14:paraId="4D6CFA6A" w14:textId="77777777" w:rsidR="00A459B5" w:rsidRDefault="00A459B5" w:rsidP="00F8005A">
      <w:pPr>
        <w:spacing w:after="120"/>
        <w:rPr>
          <w:rFonts w:eastAsia="Times New Roman" w:cs="Times New Roman"/>
          <w:b/>
        </w:rPr>
      </w:pPr>
    </w:p>
    <w:p w14:paraId="178BB800" w14:textId="50905DD8" w:rsidR="00F8005A" w:rsidRDefault="00F8005A" w:rsidP="00F8005A">
      <w:pPr>
        <w:spacing w:after="120"/>
        <w:rPr>
          <w:rFonts w:eastAsia="Times New Roman" w:cs="Times New Roman"/>
          <w:b/>
          <w:lang w:eastAsia="hr-HR"/>
        </w:rPr>
      </w:pPr>
      <w:r>
        <w:rPr>
          <w:rFonts w:eastAsia="Times New Roman" w:cs="Times New Roman"/>
          <w:b/>
        </w:rPr>
        <w:lastRenderedPageBreak/>
        <w:t xml:space="preserve">Tablica 41. Izvršenje plana nabave po skupinama </w:t>
      </w:r>
      <w:r w:rsidR="00A459B5">
        <w:rPr>
          <w:rFonts w:eastAsia="Times New Roman" w:cs="Times New Roman"/>
          <w:b/>
        </w:rPr>
        <w:t xml:space="preserve">u </w:t>
      </w:r>
      <w:r>
        <w:rPr>
          <w:rFonts w:eastAsia="Times New Roman" w:cs="Times New Roman"/>
          <w:b/>
          <w:lang w:eastAsia="hr-HR"/>
        </w:rPr>
        <w:t>2023</w:t>
      </w:r>
      <w:r w:rsidRPr="00D77148">
        <w:rPr>
          <w:rFonts w:eastAsia="Times New Roman" w:cs="Times New Roman"/>
          <w:b/>
          <w:lang w:eastAsia="hr-HR"/>
        </w:rPr>
        <w:t xml:space="preserve">. </w:t>
      </w:r>
      <w:r>
        <w:rPr>
          <w:rFonts w:eastAsia="Times New Roman" w:cs="Times New Roman"/>
          <w:b/>
          <w:lang w:eastAsia="hr-HR"/>
        </w:rPr>
        <w:t>godin</w:t>
      </w:r>
      <w:r w:rsidR="00A459B5">
        <w:rPr>
          <w:rFonts w:eastAsia="Times New Roman" w:cs="Times New Roman"/>
          <w:b/>
          <w:lang w:eastAsia="hr-HR"/>
        </w:rPr>
        <w:t>i</w:t>
      </w:r>
    </w:p>
    <w:tbl>
      <w:tblPr>
        <w:tblW w:w="8935" w:type="dxa"/>
        <w:tblLook w:val="04A0" w:firstRow="1" w:lastRow="0" w:firstColumn="1" w:lastColumn="0" w:noHBand="0" w:noVBand="1"/>
      </w:tblPr>
      <w:tblGrid>
        <w:gridCol w:w="641"/>
        <w:gridCol w:w="3754"/>
        <w:gridCol w:w="1627"/>
        <w:gridCol w:w="1601"/>
        <w:gridCol w:w="1312"/>
      </w:tblGrid>
      <w:tr w:rsidR="00F8005A" w:rsidRPr="0058310C" w14:paraId="1C122081" w14:textId="77777777" w:rsidTr="00F8005A">
        <w:trPr>
          <w:trHeight w:val="611"/>
          <w:tblHeader/>
        </w:trPr>
        <w:tc>
          <w:tcPr>
            <w:tcW w:w="4395" w:type="dxa"/>
            <w:gridSpan w:val="2"/>
            <w:tcBorders>
              <w:top w:val="single" w:sz="4" w:space="0" w:color="auto"/>
              <w:left w:val="single" w:sz="4" w:space="0" w:color="auto"/>
              <w:bottom w:val="single" w:sz="4" w:space="0" w:color="auto"/>
              <w:right w:val="single" w:sz="4" w:space="0" w:color="auto"/>
            </w:tcBorders>
            <w:shd w:val="clear" w:color="000000" w:fill="A3E7FF"/>
            <w:vAlign w:val="center"/>
            <w:hideMark/>
          </w:tcPr>
          <w:p w14:paraId="5EC52891" w14:textId="77777777" w:rsidR="00F8005A" w:rsidRPr="0058310C" w:rsidRDefault="00F8005A" w:rsidP="00F45709">
            <w:pPr>
              <w:jc w:val="center"/>
              <w:rPr>
                <w:rFonts w:eastAsia="Times New Roman" w:cstheme="minorHAnsi"/>
                <w:b/>
                <w:bCs/>
                <w:color w:val="000000"/>
                <w:sz w:val="18"/>
                <w:szCs w:val="18"/>
                <w:lang w:eastAsia="hr-HR"/>
              </w:rPr>
            </w:pPr>
            <w:r w:rsidRPr="0058310C">
              <w:rPr>
                <w:rFonts w:eastAsia="Times New Roman" w:cstheme="minorHAnsi"/>
                <w:b/>
                <w:bCs/>
                <w:color w:val="000000"/>
                <w:sz w:val="18"/>
                <w:szCs w:val="18"/>
                <w:lang w:eastAsia="hr-HR"/>
              </w:rPr>
              <w:t>Skupine predmet nabave</w:t>
            </w:r>
          </w:p>
        </w:tc>
        <w:tc>
          <w:tcPr>
            <w:tcW w:w="1627" w:type="dxa"/>
            <w:tcBorders>
              <w:top w:val="single" w:sz="4" w:space="0" w:color="auto"/>
              <w:left w:val="nil"/>
              <w:bottom w:val="single" w:sz="4" w:space="0" w:color="auto"/>
              <w:right w:val="single" w:sz="4" w:space="0" w:color="auto"/>
            </w:tcBorders>
            <w:shd w:val="clear" w:color="000000" w:fill="A3E7FF"/>
            <w:vAlign w:val="center"/>
            <w:hideMark/>
          </w:tcPr>
          <w:p w14:paraId="4CB22AAD" w14:textId="77777777" w:rsidR="00F8005A" w:rsidRPr="0058310C" w:rsidRDefault="00F8005A" w:rsidP="00F45709">
            <w:pPr>
              <w:jc w:val="center"/>
              <w:rPr>
                <w:rFonts w:eastAsia="Times New Roman" w:cstheme="minorHAnsi"/>
                <w:b/>
                <w:bCs/>
                <w:color w:val="000000"/>
                <w:sz w:val="18"/>
                <w:szCs w:val="18"/>
                <w:lang w:eastAsia="hr-HR"/>
              </w:rPr>
            </w:pPr>
            <w:r w:rsidRPr="0058310C">
              <w:rPr>
                <w:rFonts w:eastAsia="Times New Roman" w:cstheme="minorHAnsi"/>
                <w:b/>
                <w:bCs/>
                <w:color w:val="000000"/>
                <w:sz w:val="18"/>
                <w:szCs w:val="18"/>
                <w:lang w:eastAsia="hr-HR"/>
              </w:rPr>
              <w:t>Procijenjena vrijednost  nabave V3</w:t>
            </w:r>
          </w:p>
        </w:tc>
        <w:tc>
          <w:tcPr>
            <w:tcW w:w="1601" w:type="dxa"/>
            <w:tcBorders>
              <w:top w:val="single" w:sz="4" w:space="0" w:color="auto"/>
              <w:left w:val="nil"/>
              <w:bottom w:val="single" w:sz="4" w:space="0" w:color="auto"/>
              <w:right w:val="single" w:sz="4" w:space="0" w:color="auto"/>
            </w:tcBorders>
            <w:shd w:val="clear" w:color="000000" w:fill="A3E7FF"/>
            <w:vAlign w:val="center"/>
            <w:hideMark/>
          </w:tcPr>
          <w:p w14:paraId="6A1C0D2E" w14:textId="77777777" w:rsidR="00F8005A" w:rsidRPr="0058310C" w:rsidRDefault="00F8005A" w:rsidP="00F45709">
            <w:pPr>
              <w:jc w:val="center"/>
              <w:rPr>
                <w:rFonts w:eastAsia="Times New Roman" w:cstheme="minorHAnsi"/>
                <w:b/>
                <w:bCs/>
                <w:sz w:val="18"/>
                <w:szCs w:val="18"/>
                <w:lang w:eastAsia="hr-HR"/>
              </w:rPr>
            </w:pPr>
            <w:r w:rsidRPr="0058310C">
              <w:rPr>
                <w:rFonts w:eastAsia="Times New Roman" w:cstheme="minorHAnsi"/>
                <w:b/>
                <w:bCs/>
                <w:sz w:val="18"/>
                <w:szCs w:val="18"/>
                <w:lang w:eastAsia="hr-HR"/>
              </w:rPr>
              <w:t>Izvršenje od 01.01.-31.12.2023.</w:t>
            </w:r>
          </w:p>
        </w:tc>
        <w:tc>
          <w:tcPr>
            <w:tcW w:w="1312" w:type="dxa"/>
            <w:tcBorders>
              <w:top w:val="single" w:sz="4" w:space="0" w:color="auto"/>
              <w:left w:val="nil"/>
              <w:bottom w:val="single" w:sz="4" w:space="0" w:color="auto"/>
              <w:right w:val="single" w:sz="4" w:space="0" w:color="auto"/>
            </w:tcBorders>
            <w:shd w:val="clear" w:color="000000" w:fill="A3E7FF"/>
            <w:vAlign w:val="center"/>
            <w:hideMark/>
          </w:tcPr>
          <w:p w14:paraId="513291D9" w14:textId="77777777" w:rsidR="00F8005A" w:rsidRPr="0058310C" w:rsidRDefault="00F8005A" w:rsidP="00F45709">
            <w:pPr>
              <w:jc w:val="center"/>
              <w:rPr>
                <w:rFonts w:eastAsia="Times New Roman" w:cstheme="minorHAnsi"/>
                <w:b/>
                <w:bCs/>
                <w:sz w:val="18"/>
                <w:szCs w:val="18"/>
                <w:lang w:eastAsia="hr-HR"/>
              </w:rPr>
            </w:pPr>
            <w:r w:rsidRPr="0058310C">
              <w:rPr>
                <w:rFonts w:eastAsia="Times New Roman" w:cstheme="minorHAnsi"/>
                <w:b/>
                <w:bCs/>
                <w:sz w:val="18"/>
                <w:szCs w:val="18"/>
                <w:lang w:eastAsia="hr-HR"/>
              </w:rPr>
              <w:t>% izvršenja</w:t>
            </w:r>
          </w:p>
        </w:tc>
      </w:tr>
      <w:tr w:rsidR="00F8005A" w:rsidRPr="0058310C" w14:paraId="5F42E742" w14:textId="77777777" w:rsidTr="00F8005A">
        <w:trPr>
          <w:trHeight w:val="236"/>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E75B333" w14:textId="77777777" w:rsidR="00F8005A" w:rsidRPr="0058310C" w:rsidRDefault="00F8005A" w:rsidP="00F45709">
            <w:pPr>
              <w:rPr>
                <w:rFonts w:eastAsia="Times New Roman" w:cstheme="minorHAnsi"/>
                <w:sz w:val="18"/>
                <w:szCs w:val="18"/>
                <w:lang w:eastAsia="hr-HR"/>
              </w:rPr>
            </w:pPr>
            <w:r w:rsidRPr="0058310C">
              <w:rPr>
                <w:rFonts w:eastAsia="Times New Roman" w:cstheme="minorHAnsi"/>
                <w:sz w:val="18"/>
                <w:szCs w:val="18"/>
                <w:lang w:eastAsia="hr-HR"/>
              </w:rPr>
              <w:t>001.</w:t>
            </w:r>
          </w:p>
        </w:tc>
        <w:tc>
          <w:tcPr>
            <w:tcW w:w="3754" w:type="dxa"/>
            <w:tcBorders>
              <w:top w:val="nil"/>
              <w:left w:val="nil"/>
              <w:bottom w:val="single" w:sz="4" w:space="0" w:color="auto"/>
              <w:right w:val="single" w:sz="4" w:space="0" w:color="auto"/>
            </w:tcBorders>
            <w:shd w:val="clear" w:color="auto" w:fill="auto"/>
            <w:noWrap/>
            <w:vAlign w:val="center"/>
            <w:hideMark/>
          </w:tcPr>
          <w:p w14:paraId="0468B087" w14:textId="77777777" w:rsidR="00F8005A" w:rsidRPr="0058310C" w:rsidRDefault="00F8005A" w:rsidP="00F45709">
            <w:pPr>
              <w:rPr>
                <w:rFonts w:eastAsia="Times New Roman" w:cstheme="minorHAnsi"/>
                <w:sz w:val="18"/>
                <w:szCs w:val="18"/>
                <w:lang w:eastAsia="hr-HR"/>
              </w:rPr>
            </w:pPr>
            <w:r w:rsidRPr="0058310C">
              <w:rPr>
                <w:rFonts w:eastAsia="Times New Roman" w:cstheme="minorHAnsi"/>
                <w:sz w:val="18"/>
                <w:szCs w:val="18"/>
                <w:lang w:eastAsia="hr-HR"/>
              </w:rPr>
              <w:t>Osnovni materijal za laboratorije</w:t>
            </w:r>
          </w:p>
        </w:tc>
        <w:tc>
          <w:tcPr>
            <w:tcW w:w="1627" w:type="dxa"/>
            <w:tcBorders>
              <w:top w:val="nil"/>
              <w:left w:val="nil"/>
              <w:bottom w:val="single" w:sz="4" w:space="0" w:color="auto"/>
              <w:right w:val="single" w:sz="4" w:space="0" w:color="auto"/>
            </w:tcBorders>
            <w:shd w:val="clear" w:color="auto" w:fill="auto"/>
            <w:noWrap/>
            <w:vAlign w:val="center"/>
            <w:hideMark/>
          </w:tcPr>
          <w:p w14:paraId="3F48EE67" w14:textId="77777777" w:rsidR="00F8005A" w:rsidRPr="0058310C" w:rsidRDefault="00F8005A" w:rsidP="00F45709">
            <w:pPr>
              <w:jc w:val="right"/>
              <w:rPr>
                <w:rFonts w:eastAsia="Times New Roman" w:cstheme="minorHAnsi"/>
                <w:sz w:val="18"/>
                <w:szCs w:val="18"/>
                <w:lang w:eastAsia="hr-HR"/>
              </w:rPr>
            </w:pPr>
            <w:r w:rsidRPr="0058310C">
              <w:rPr>
                <w:rFonts w:eastAsia="Times New Roman" w:cstheme="minorHAnsi"/>
                <w:sz w:val="18"/>
                <w:szCs w:val="18"/>
                <w:lang w:eastAsia="hr-HR"/>
              </w:rPr>
              <w:t xml:space="preserve">103.312   </w:t>
            </w:r>
          </w:p>
        </w:tc>
        <w:tc>
          <w:tcPr>
            <w:tcW w:w="1601" w:type="dxa"/>
            <w:tcBorders>
              <w:top w:val="nil"/>
              <w:left w:val="nil"/>
              <w:bottom w:val="single" w:sz="4" w:space="0" w:color="auto"/>
              <w:right w:val="single" w:sz="4" w:space="0" w:color="auto"/>
            </w:tcBorders>
            <w:shd w:val="clear" w:color="auto" w:fill="auto"/>
            <w:noWrap/>
            <w:vAlign w:val="center"/>
            <w:hideMark/>
          </w:tcPr>
          <w:p w14:paraId="6BEECA92" w14:textId="77777777" w:rsidR="00F8005A" w:rsidRPr="0058310C" w:rsidRDefault="00F8005A" w:rsidP="00F45709">
            <w:pPr>
              <w:jc w:val="right"/>
              <w:rPr>
                <w:rFonts w:eastAsia="Times New Roman" w:cstheme="minorHAnsi"/>
                <w:sz w:val="18"/>
                <w:szCs w:val="18"/>
                <w:lang w:eastAsia="hr-HR"/>
              </w:rPr>
            </w:pPr>
            <w:r w:rsidRPr="0058310C">
              <w:rPr>
                <w:rFonts w:eastAsia="Times New Roman" w:cstheme="minorHAnsi"/>
                <w:sz w:val="18"/>
                <w:szCs w:val="18"/>
                <w:lang w:eastAsia="hr-HR"/>
              </w:rPr>
              <w:t xml:space="preserve">98.888   </w:t>
            </w:r>
          </w:p>
        </w:tc>
        <w:tc>
          <w:tcPr>
            <w:tcW w:w="1312" w:type="dxa"/>
            <w:tcBorders>
              <w:top w:val="nil"/>
              <w:left w:val="nil"/>
              <w:bottom w:val="single" w:sz="4" w:space="0" w:color="auto"/>
              <w:right w:val="single" w:sz="4" w:space="0" w:color="auto"/>
            </w:tcBorders>
            <w:shd w:val="clear" w:color="auto" w:fill="auto"/>
            <w:noWrap/>
            <w:vAlign w:val="center"/>
            <w:hideMark/>
          </w:tcPr>
          <w:p w14:paraId="42DE251F" w14:textId="77777777" w:rsidR="00F8005A" w:rsidRPr="0058310C" w:rsidRDefault="00F8005A" w:rsidP="00F45709">
            <w:pPr>
              <w:jc w:val="right"/>
              <w:rPr>
                <w:rFonts w:eastAsia="Times New Roman" w:cstheme="minorHAnsi"/>
                <w:sz w:val="18"/>
                <w:szCs w:val="18"/>
                <w:lang w:eastAsia="hr-HR"/>
              </w:rPr>
            </w:pPr>
            <w:r w:rsidRPr="0058310C">
              <w:rPr>
                <w:rFonts w:eastAsia="Times New Roman" w:cstheme="minorHAnsi"/>
                <w:sz w:val="18"/>
                <w:szCs w:val="18"/>
                <w:lang w:eastAsia="hr-HR"/>
              </w:rPr>
              <w:t>96%</w:t>
            </w:r>
          </w:p>
        </w:tc>
      </w:tr>
      <w:tr w:rsidR="00F8005A" w:rsidRPr="0058310C" w14:paraId="16630890" w14:textId="77777777" w:rsidTr="00F8005A">
        <w:trPr>
          <w:trHeight w:val="236"/>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24AEB661" w14:textId="77777777" w:rsidR="00F8005A" w:rsidRPr="0058310C" w:rsidRDefault="00F8005A" w:rsidP="00F45709">
            <w:pPr>
              <w:rPr>
                <w:rFonts w:eastAsia="Times New Roman" w:cstheme="minorHAnsi"/>
                <w:sz w:val="18"/>
                <w:szCs w:val="18"/>
                <w:lang w:eastAsia="hr-HR"/>
              </w:rPr>
            </w:pPr>
            <w:r w:rsidRPr="0058310C">
              <w:rPr>
                <w:rFonts w:eastAsia="Times New Roman" w:cstheme="minorHAnsi"/>
                <w:sz w:val="18"/>
                <w:szCs w:val="18"/>
                <w:lang w:eastAsia="hr-HR"/>
              </w:rPr>
              <w:t>002.</w:t>
            </w:r>
          </w:p>
        </w:tc>
        <w:tc>
          <w:tcPr>
            <w:tcW w:w="3754" w:type="dxa"/>
            <w:tcBorders>
              <w:top w:val="nil"/>
              <w:left w:val="nil"/>
              <w:bottom w:val="single" w:sz="4" w:space="0" w:color="auto"/>
              <w:right w:val="single" w:sz="4" w:space="0" w:color="auto"/>
            </w:tcBorders>
            <w:shd w:val="clear" w:color="auto" w:fill="auto"/>
            <w:vAlign w:val="center"/>
            <w:hideMark/>
          </w:tcPr>
          <w:p w14:paraId="5D977430" w14:textId="77777777" w:rsidR="00F8005A" w:rsidRPr="0058310C" w:rsidRDefault="00F8005A" w:rsidP="00F45709">
            <w:pPr>
              <w:rPr>
                <w:rFonts w:eastAsia="Times New Roman" w:cstheme="minorHAnsi"/>
                <w:sz w:val="18"/>
                <w:szCs w:val="18"/>
                <w:lang w:eastAsia="hr-HR"/>
              </w:rPr>
            </w:pPr>
            <w:r w:rsidRPr="0058310C">
              <w:rPr>
                <w:rFonts w:eastAsia="Times New Roman" w:cstheme="minorHAnsi"/>
                <w:sz w:val="18"/>
                <w:szCs w:val="18"/>
                <w:lang w:eastAsia="hr-HR"/>
              </w:rPr>
              <w:t>Pomoćni potrošni materijal za laboratorije</w:t>
            </w:r>
          </w:p>
        </w:tc>
        <w:tc>
          <w:tcPr>
            <w:tcW w:w="1627" w:type="dxa"/>
            <w:tcBorders>
              <w:top w:val="nil"/>
              <w:left w:val="nil"/>
              <w:bottom w:val="single" w:sz="4" w:space="0" w:color="auto"/>
              <w:right w:val="single" w:sz="4" w:space="0" w:color="auto"/>
            </w:tcBorders>
            <w:shd w:val="clear" w:color="auto" w:fill="auto"/>
            <w:noWrap/>
            <w:vAlign w:val="center"/>
            <w:hideMark/>
          </w:tcPr>
          <w:p w14:paraId="1651442F" w14:textId="77777777" w:rsidR="00F8005A" w:rsidRPr="0058310C" w:rsidRDefault="00F8005A" w:rsidP="00F45709">
            <w:pPr>
              <w:jc w:val="right"/>
              <w:rPr>
                <w:rFonts w:eastAsia="Times New Roman" w:cstheme="minorHAnsi"/>
                <w:sz w:val="18"/>
                <w:szCs w:val="18"/>
                <w:lang w:eastAsia="hr-HR"/>
              </w:rPr>
            </w:pPr>
            <w:r w:rsidRPr="0058310C">
              <w:rPr>
                <w:rFonts w:eastAsia="Times New Roman" w:cstheme="minorHAnsi"/>
                <w:sz w:val="18"/>
                <w:szCs w:val="18"/>
                <w:lang w:eastAsia="hr-HR"/>
              </w:rPr>
              <w:t xml:space="preserve">57.818   </w:t>
            </w:r>
          </w:p>
        </w:tc>
        <w:tc>
          <w:tcPr>
            <w:tcW w:w="1601" w:type="dxa"/>
            <w:tcBorders>
              <w:top w:val="nil"/>
              <w:left w:val="nil"/>
              <w:bottom w:val="single" w:sz="4" w:space="0" w:color="auto"/>
              <w:right w:val="single" w:sz="4" w:space="0" w:color="auto"/>
            </w:tcBorders>
            <w:shd w:val="clear" w:color="auto" w:fill="auto"/>
            <w:noWrap/>
            <w:vAlign w:val="center"/>
            <w:hideMark/>
          </w:tcPr>
          <w:p w14:paraId="46B18462" w14:textId="77777777" w:rsidR="00F8005A" w:rsidRPr="0058310C" w:rsidRDefault="00F8005A" w:rsidP="00F45709">
            <w:pPr>
              <w:jc w:val="right"/>
              <w:rPr>
                <w:rFonts w:eastAsia="Times New Roman" w:cstheme="minorHAnsi"/>
                <w:sz w:val="18"/>
                <w:szCs w:val="18"/>
                <w:lang w:eastAsia="hr-HR"/>
              </w:rPr>
            </w:pPr>
            <w:r w:rsidRPr="0058310C">
              <w:rPr>
                <w:rFonts w:eastAsia="Times New Roman" w:cstheme="minorHAnsi"/>
                <w:sz w:val="18"/>
                <w:szCs w:val="18"/>
                <w:lang w:eastAsia="hr-HR"/>
              </w:rPr>
              <w:t xml:space="preserve">52.970   </w:t>
            </w:r>
          </w:p>
        </w:tc>
        <w:tc>
          <w:tcPr>
            <w:tcW w:w="1312" w:type="dxa"/>
            <w:tcBorders>
              <w:top w:val="nil"/>
              <w:left w:val="nil"/>
              <w:bottom w:val="single" w:sz="4" w:space="0" w:color="auto"/>
              <w:right w:val="single" w:sz="4" w:space="0" w:color="auto"/>
            </w:tcBorders>
            <w:shd w:val="clear" w:color="auto" w:fill="auto"/>
            <w:noWrap/>
            <w:vAlign w:val="center"/>
            <w:hideMark/>
          </w:tcPr>
          <w:p w14:paraId="23307E1E" w14:textId="77777777" w:rsidR="00F8005A" w:rsidRPr="0058310C" w:rsidRDefault="00F8005A" w:rsidP="00F45709">
            <w:pPr>
              <w:jc w:val="right"/>
              <w:rPr>
                <w:rFonts w:eastAsia="Times New Roman" w:cstheme="minorHAnsi"/>
                <w:sz w:val="18"/>
                <w:szCs w:val="18"/>
                <w:lang w:eastAsia="hr-HR"/>
              </w:rPr>
            </w:pPr>
            <w:r w:rsidRPr="0058310C">
              <w:rPr>
                <w:rFonts w:eastAsia="Times New Roman" w:cstheme="minorHAnsi"/>
                <w:sz w:val="18"/>
                <w:szCs w:val="18"/>
                <w:lang w:eastAsia="hr-HR"/>
              </w:rPr>
              <w:t>92%</w:t>
            </w:r>
          </w:p>
        </w:tc>
      </w:tr>
      <w:tr w:rsidR="00F8005A" w:rsidRPr="0058310C" w14:paraId="2BF9BB30" w14:textId="77777777" w:rsidTr="00F8005A">
        <w:trPr>
          <w:trHeight w:val="236"/>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704C309C" w14:textId="77777777" w:rsidR="00F8005A" w:rsidRPr="0058310C" w:rsidRDefault="00F8005A" w:rsidP="00F45709">
            <w:pPr>
              <w:rPr>
                <w:rFonts w:eastAsia="Times New Roman" w:cstheme="minorHAnsi"/>
                <w:sz w:val="18"/>
                <w:szCs w:val="18"/>
                <w:lang w:eastAsia="hr-HR"/>
              </w:rPr>
            </w:pPr>
            <w:r w:rsidRPr="0058310C">
              <w:rPr>
                <w:rFonts w:eastAsia="Times New Roman" w:cstheme="minorHAnsi"/>
                <w:sz w:val="18"/>
                <w:szCs w:val="18"/>
                <w:lang w:eastAsia="hr-HR"/>
              </w:rPr>
              <w:t>003.</w:t>
            </w:r>
          </w:p>
        </w:tc>
        <w:tc>
          <w:tcPr>
            <w:tcW w:w="3754" w:type="dxa"/>
            <w:tcBorders>
              <w:top w:val="nil"/>
              <w:left w:val="nil"/>
              <w:bottom w:val="single" w:sz="4" w:space="0" w:color="auto"/>
              <w:right w:val="single" w:sz="4" w:space="0" w:color="auto"/>
            </w:tcBorders>
            <w:shd w:val="clear" w:color="auto" w:fill="auto"/>
            <w:vAlign w:val="center"/>
            <w:hideMark/>
          </w:tcPr>
          <w:p w14:paraId="35F1C8A2" w14:textId="77777777" w:rsidR="00F8005A" w:rsidRPr="0058310C" w:rsidRDefault="00F8005A" w:rsidP="00F45709">
            <w:pPr>
              <w:rPr>
                <w:rFonts w:eastAsia="Times New Roman" w:cstheme="minorHAnsi"/>
                <w:sz w:val="18"/>
                <w:szCs w:val="18"/>
                <w:lang w:eastAsia="hr-HR"/>
              </w:rPr>
            </w:pPr>
            <w:r w:rsidRPr="0058310C">
              <w:rPr>
                <w:rFonts w:eastAsia="Times New Roman" w:cstheme="minorHAnsi"/>
                <w:sz w:val="18"/>
                <w:szCs w:val="18"/>
                <w:lang w:eastAsia="hr-HR"/>
              </w:rPr>
              <w:t>Laboratorijski uređaji i oprema</w:t>
            </w:r>
          </w:p>
        </w:tc>
        <w:tc>
          <w:tcPr>
            <w:tcW w:w="1627" w:type="dxa"/>
            <w:tcBorders>
              <w:top w:val="nil"/>
              <w:left w:val="nil"/>
              <w:bottom w:val="single" w:sz="4" w:space="0" w:color="auto"/>
              <w:right w:val="single" w:sz="4" w:space="0" w:color="auto"/>
            </w:tcBorders>
            <w:shd w:val="clear" w:color="auto" w:fill="auto"/>
            <w:noWrap/>
            <w:vAlign w:val="center"/>
            <w:hideMark/>
          </w:tcPr>
          <w:p w14:paraId="17AAC15A" w14:textId="77777777" w:rsidR="00F8005A" w:rsidRPr="0058310C" w:rsidRDefault="00F8005A" w:rsidP="00F45709">
            <w:pPr>
              <w:jc w:val="right"/>
              <w:rPr>
                <w:rFonts w:eastAsia="Times New Roman" w:cstheme="minorHAnsi"/>
                <w:sz w:val="18"/>
                <w:szCs w:val="18"/>
                <w:lang w:eastAsia="hr-HR"/>
              </w:rPr>
            </w:pPr>
            <w:r w:rsidRPr="0058310C">
              <w:rPr>
                <w:rFonts w:eastAsia="Times New Roman" w:cstheme="minorHAnsi"/>
                <w:sz w:val="18"/>
                <w:szCs w:val="18"/>
                <w:lang w:eastAsia="hr-HR"/>
              </w:rPr>
              <w:t xml:space="preserve">28.020   </w:t>
            </w:r>
          </w:p>
        </w:tc>
        <w:tc>
          <w:tcPr>
            <w:tcW w:w="1601" w:type="dxa"/>
            <w:tcBorders>
              <w:top w:val="nil"/>
              <w:left w:val="nil"/>
              <w:bottom w:val="single" w:sz="4" w:space="0" w:color="auto"/>
              <w:right w:val="single" w:sz="4" w:space="0" w:color="auto"/>
            </w:tcBorders>
            <w:shd w:val="clear" w:color="auto" w:fill="auto"/>
            <w:noWrap/>
            <w:vAlign w:val="center"/>
            <w:hideMark/>
          </w:tcPr>
          <w:p w14:paraId="0CC84CA6" w14:textId="77777777" w:rsidR="00F8005A" w:rsidRPr="0058310C" w:rsidRDefault="00F8005A" w:rsidP="00F45709">
            <w:pPr>
              <w:jc w:val="right"/>
              <w:rPr>
                <w:rFonts w:eastAsia="Times New Roman" w:cstheme="minorHAnsi"/>
                <w:sz w:val="18"/>
                <w:szCs w:val="18"/>
                <w:lang w:eastAsia="hr-HR"/>
              </w:rPr>
            </w:pPr>
            <w:r w:rsidRPr="0058310C">
              <w:rPr>
                <w:rFonts w:eastAsia="Times New Roman" w:cstheme="minorHAnsi"/>
                <w:sz w:val="18"/>
                <w:szCs w:val="18"/>
                <w:lang w:eastAsia="hr-HR"/>
              </w:rPr>
              <w:t xml:space="preserve">18.329   </w:t>
            </w:r>
          </w:p>
        </w:tc>
        <w:tc>
          <w:tcPr>
            <w:tcW w:w="1312" w:type="dxa"/>
            <w:tcBorders>
              <w:top w:val="nil"/>
              <w:left w:val="nil"/>
              <w:bottom w:val="single" w:sz="4" w:space="0" w:color="auto"/>
              <w:right w:val="single" w:sz="4" w:space="0" w:color="auto"/>
            </w:tcBorders>
            <w:shd w:val="clear" w:color="auto" w:fill="auto"/>
            <w:noWrap/>
            <w:vAlign w:val="center"/>
            <w:hideMark/>
          </w:tcPr>
          <w:p w14:paraId="7B31438F" w14:textId="77777777" w:rsidR="00F8005A" w:rsidRPr="0058310C" w:rsidRDefault="00F8005A" w:rsidP="00F45709">
            <w:pPr>
              <w:jc w:val="right"/>
              <w:rPr>
                <w:rFonts w:eastAsia="Times New Roman" w:cstheme="minorHAnsi"/>
                <w:sz w:val="18"/>
                <w:szCs w:val="18"/>
                <w:lang w:eastAsia="hr-HR"/>
              </w:rPr>
            </w:pPr>
            <w:r w:rsidRPr="0058310C">
              <w:rPr>
                <w:rFonts w:eastAsia="Times New Roman" w:cstheme="minorHAnsi"/>
                <w:sz w:val="18"/>
                <w:szCs w:val="18"/>
                <w:lang w:eastAsia="hr-HR"/>
              </w:rPr>
              <w:t>65%</w:t>
            </w:r>
          </w:p>
        </w:tc>
      </w:tr>
      <w:tr w:rsidR="00F8005A" w:rsidRPr="0058310C" w14:paraId="07AEAA67" w14:textId="77777777" w:rsidTr="00F8005A">
        <w:trPr>
          <w:trHeight w:val="363"/>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268EEC31" w14:textId="77777777" w:rsidR="00F8005A" w:rsidRPr="0058310C" w:rsidRDefault="00F8005A" w:rsidP="00F45709">
            <w:pPr>
              <w:rPr>
                <w:rFonts w:eastAsia="Times New Roman" w:cstheme="minorHAnsi"/>
                <w:sz w:val="18"/>
                <w:szCs w:val="18"/>
                <w:lang w:eastAsia="hr-HR"/>
              </w:rPr>
            </w:pPr>
            <w:r w:rsidRPr="0058310C">
              <w:rPr>
                <w:rFonts w:eastAsia="Times New Roman" w:cstheme="minorHAnsi"/>
                <w:sz w:val="18"/>
                <w:szCs w:val="18"/>
                <w:lang w:eastAsia="hr-HR"/>
              </w:rPr>
              <w:t>004.</w:t>
            </w:r>
          </w:p>
        </w:tc>
        <w:tc>
          <w:tcPr>
            <w:tcW w:w="3754" w:type="dxa"/>
            <w:tcBorders>
              <w:top w:val="nil"/>
              <w:left w:val="nil"/>
              <w:bottom w:val="single" w:sz="4" w:space="0" w:color="auto"/>
              <w:right w:val="single" w:sz="4" w:space="0" w:color="auto"/>
            </w:tcBorders>
            <w:shd w:val="clear" w:color="auto" w:fill="auto"/>
            <w:vAlign w:val="center"/>
            <w:hideMark/>
          </w:tcPr>
          <w:p w14:paraId="5407DFC7" w14:textId="77777777" w:rsidR="00F8005A" w:rsidRPr="0058310C" w:rsidRDefault="00F8005A" w:rsidP="00F45709">
            <w:pPr>
              <w:rPr>
                <w:rFonts w:eastAsia="Times New Roman" w:cstheme="minorHAnsi"/>
                <w:sz w:val="18"/>
                <w:szCs w:val="18"/>
                <w:lang w:eastAsia="hr-HR"/>
              </w:rPr>
            </w:pPr>
            <w:r w:rsidRPr="0058310C">
              <w:rPr>
                <w:rFonts w:eastAsia="Times New Roman" w:cstheme="minorHAnsi"/>
                <w:sz w:val="18"/>
                <w:szCs w:val="18"/>
                <w:lang w:eastAsia="hr-HR"/>
              </w:rPr>
              <w:t>Usluge umjeravanja, popravka i održavanja laboratorijske opreme</w:t>
            </w:r>
          </w:p>
        </w:tc>
        <w:tc>
          <w:tcPr>
            <w:tcW w:w="1627" w:type="dxa"/>
            <w:tcBorders>
              <w:top w:val="nil"/>
              <w:left w:val="nil"/>
              <w:bottom w:val="single" w:sz="4" w:space="0" w:color="auto"/>
              <w:right w:val="single" w:sz="4" w:space="0" w:color="auto"/>
            </w:tcBorders>
            <w:shd w:val="clear" w:color="auto" w:fill="auto"/>
            <w:noWrap/>
            <w:vAlign w:val="center"/>
            <w:hideMark/>
          </w:tcPr>
          <w:p w14:paraId="4D20B62D" w14:textId="77777777" w:rsidR="00F8005A" w:rsidRPr="0058310C" w:rsidRDefault="00F8005A" w:rsidP="00F45709">
            <w:pPr>
              <w:jc w:val="right"/>
              <w:rPr>
                <w:rFonts w:eastAsia="Times New Roman" w:cstheme="minorHAnsi"/>
                <w:sz w:val="18"/>
                <w:szCs w:val="18"/>
                <w:lang w:eastAsia="hr-HR"/>
              </w:rPr>
            </w:pPr>
            <w:r w:rsidRPr="0058310C">
              <w:rPr>
                <w:rFonts w:eastAsia="Times New Roman" w:cstheme="minorHAnsi"/>
                <w:sz w:val="18"/>
                <w:szCs w:val="18"/>
                <w:lang w:eastAsia="hr-HR"/>
              </w:rPr>
              <w:t xml:space="preserve">224.023   </w:t>
            </w:r>
          </w:p>
        </w:tc>
        <w:tc>
          <w:tcPr>
            <w:tcW w:w="1601" w:type="dxa"/>
            <w:tcBorders>
              <w:top w:val="nil"/>
              <w:left w:val="nil"/>
              <w:bottom w:val="single" w:sz="4" w:space="0" w:color="auto"/>
              <w:right w:val="single" w:sz="4" w:space="0" w:color="auto"/>
            </w:tcBorders>
            <w:shd w:val="clear" w:color="auto" w:fill="auto"/>
            <w:noWrap/>
            <w:vAlign w:val="center"/>
            <w:hideMark/>
          </w:tcPr>
          <w:p w14:paraId="7AF9B0DD" w14:textId="77777777" w:rsidR="00F8005A" w:rsidRPr="0058310C" w:rsidRDefault="00F8005A" w:rsidP="00F45709">
            <w:pPr>
              <w:jc w:val="right"/>
              <w:rPr>
                <w:rFonts w:eastAsia="Times New Roman" w:cstheme="minorHAnsi"/>
                <w:sz w:val="18"/>
                <w:szCs w:val="18"/>
                <w:lang w:eastAsia="hr-HR"/>
              </w:rPr>
            </w:pPr>
            <w:r w:rsidRPr="0058310C">
              <w:rPr>
                <w:rFonts w:eastAsia="Times New Roman" w:cstheme="minorHAnsi"/>
                <w:sz w:val="18"/>
                <w:szCs w:val="18"/>
                <w:lang w:eastAsia="hr-HR"/>
              </w:rPr>
              <w:t xml:space="preserve">211.661   </w:t>
            </w:r>
          </w:p>
        </w:tc>
        <w:tc>
          <w:tcPr>
            <w:tcW w:w="1312" w:type="dxa"/>
            <w:tcBorders>
              <w:top w:val="nil"/>
              <w:left w:val="nil"/>
              <w:bottom w:val="single" w:sz="4" w:space="0" w:color="auto"/>
              <w:right w:val="single" w:sz="4" w:space="0" w:color="auto"/>
            </w:tcBorders>
            <w:shd w:val="clear" w:color="auto" w:fill="auto"/>
            <w:noWrap/>
            <w:vAlign w:val="center"/>
            <w:hideMark/>
          </w:tcPr>
          <w:p w14:paraId="58030A4A" w14:textId="77777777" w:rsidR="00F8005A" w:rsidRPr="0058310C" w:rsidRDefault="00F8005A" w:rsidP="00F45709">
            <w:pPr>
              <w:jc w:val="right"/>
              <w:rPr>
                <w:rFonts w:eastAsia="Times New Roman" w:cstheme="minorHAnsi"/>
                <w:sz w:val="18"/>
                <w:szCs w:val="18"/>
                <w:lang w:eastAsia="hr-HR"/>
              </w:rPr>
            </w:pPr>
            <w:r w:rsidRPr="0058310C">
              <w:rPr>
                <w:rFonts w:eastAsia="Times New Roman" w:cstheme="minorHAnsi"/>
                <w:sz w:val="18"/>
                <w:szCs w:val="18"/>
                <w:lang w:eastAsia="hr-HR"/>
              </w:rPr>
              <w:t>94%</w:t>
            </w:r>
          </w:p>
        </w:tc>
      </w:tr>
      <w:tr w:rsidR="00F8005A" w:rsidRPr="0058310C" w14:paraId="56CFDD1F" w14:textId="77777777" w:rsidTr="00F8005A">
        <w:trPr>
          <w:trHeight w:val="236"/>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52CBEC03" w14:textId="77777777" w:rsidR="00F8005A" w:rsidRPr="0058310C" w:rsidRDefault="00F8005A" w:rsidP="00F45709">
            <w:pPr>
              <w:rPr>
                <w:rFonts w:eastAsia="Times New Roman" w:cstheme="minorHAnsi"/>
                <w:sz w:val="18"/>
                <w:szCs w:val="18"/>
                <w:lang w:eastAsia="hr-HR"/>
              </w:rPr>
            </w:pPr>
            <w:r w:rsidRPr="0058310C">
              <w:rPr>
                <w:rFonts w:eastAsia="Times New Roman" w:cstheme="minorHAnsi"/>
                <w:sz w:val="18"/>
                <w:szCs w:val="18"/>
                <w:lang w:eastAsia="hr-HR"/>
              </w:rPr>
              <w:t>005.</w:t>
            </w:r>
          </w:p>
        </w:tc>
        <w:tc>
          <w:tcPr>
            <w:tcW w:w="3754" w:type="dxa"/>
            <w:tcBorders>
              <w:top w:val="nil"/>
              <w:left w:val="nil"/>
              <w:bottom w:val="single" w:sz="4" w:space="0" w:color="auto"/>
              <w:right w:val="single" w:sz="4" w:space="0" w:color="auto"/>
            </w:tcBorders>
            <w:shd w:val="clear" w:color="auto" w:fill="auto"/>
            <w:vAlign w:val="center"/>
            <w:hideMark/>
          </w:tcPr>
          <w:p w14:paraId="742A0A93" w14:textId="77777777" w:rsidR="00F8005A" w:rsidRPr="0058310C" w:rsidRDefault="00F8005A" w:rsidP="00F45709">
            <w:pPr>
              <w:rPr>
                <w:rFonts w:eastAsia="Times New Roman" w:cstheme="minorHAnsi"/>
                <w:sz w:val="18"/>
                <w:szCs w:val="18"/>
                <w:lang w:eastAsia="hr-HR"/>
              </w:rPr>
            </w:pPr>
            <w:r w:rsidRPr="0058310C">
              <w:rPr>
                <w:rFonts w:eastAsia="Times New Roman" w:cstheme="minorHAnsi"/>
                <w:sz w:val="18"/>
                <w:szCs w:val="18"/>
                <w:lang w:eastAsia="hr-HR"/>
              </w:rPr>
              <w:t>Laboratorijske analize</w:t>
            </w:r>
          </w:p>
        </w:tc>
        <w:tc>
          <w:tcPr>
            <w:tcW w:w="1627" w:type="dxa"/>
            <w:tcBorders>
              <w:top w:val="nil"/>
              <w:left w:val="nil"/>
              <w:bottom w:val="single" w:sz="4" w:space="0" w:color="auto"/>
              <w:right w:val="single" w:sz="4" w:space="0" w:color="auto"/>
            </w:tcBorders>
            <w:shd w:val="clear" w:color="auto" w:fill="auto"/>
            <w:noWrap/>
            <w:vAlign w:val="center"/>
            <w:hideMark/>
          </w:tcPr>
          <w:p w14:paraId="0BE4A14B" w14:textId="77777777" w:rsidR="00F8005A" w:rsidRPr="0058310C" w:rsidRDefault="00F8005A" w:rsidP="00F45709">
            <w:pPr>
              <w:jc w:val="right"/>
              <w:rPr>
                <w:rFonts w:eastAsia="Times New Roman" w:cstheme="minorHAnsi"/>
                <w:sz w:val="18"/>
                <w:szCs w:val="18"/>
                <w:lang w:eastAsia="hr-HR"/>
              </w:rPr>
            </w:pPr>
            <w:r w:rsidRPr="0058310C">
              <w:rPr>
                <w:rFonts w:eastAsia="Times New Roman" w:cstheme="minorHAnsi"/>
                <w:sz w:val="18"/>
                <w:szCs w:val="18"/>
                <w:lang w:eastAsia="hr-HR"/>
              </w:rPr>
              <w:t xml:space="preserve">1.570   </w:t>
            </w:r>
          </w:p>
        </w:tc>
        <w:tc>
          <w:tcPr>
            <w:tcW w:w="1601" w:type="dxa"/>
            <w:tcBorders>
              <w:top w:val="nil"/>
              <w:left w:val="nil"/>
              <w:bottom w:val="single" w:sz="4" w:space="0" w:color="auto"/>
              <w:right w:val="single" w:sz="4" w:space="0" w:color="auto"/>
            </w:tcBorders>
            <w:shd w:val="clear" w:color="auto" w:fill="auto"/>
            <w:noWrap/>
            <w:vAlign w:val="center"/>
            <w:hideMark/>
          </w:tcPr>
          <w:p w14:paraId="5D0C5F56" w14:textId="77777777" w:rsidR="00F8005A" w:rsidRPr="0058310C" w:rsidRDefault="00F8005A" w:rsidP="00F45709">
            <w:pPr>
              <w:jc w:val="right"/>
              <w:rPr>
                <w:rFonts w:eastAsia="Times New Roman" w:cstheme="minorHAnsi"/>
                <w:sz w:val="18"/>
                <w:szCs w:val="18"/>
                <w:lang w:eastAsia="hr-HR"/>
              </w:rPr>
            </w:pPr>
            <w:r w:rsidRPr="0058310C">
              <w:rPr>
                <w:rFonts w:eastAsia="Times New Roman" w:cstheme="minorHAnsi"/>
                <w:sz w:val="18"/>
                <w:szCs w:val="18"/>
                <w:lang w:eastAsia="hr-HR"/>
              </w:rPr>
              <w:t xml:space="preserve">1.098   </w:t>
            </w:r>
          </w:p>
        </w:tc>
        <w:tc>
          <w:tcPr>
            <w:tcW w:w="1312" w:type="dxa"/>
            <w:tcBorders>
              <w:top w:val="nil"/>
              <w:left w:val="nil"/>
              <w:bottom w:val="single" w:sz="4" w:space="0" w:color="auto"/>
              <w:right w:val="single" w:sz="4" w:space="0" w:color="auto"/>
            </w:tcBorders>
            <w:shd w:val="clear" w:color="auto" w:fill="auto"/>
            <w:noWrap/>
            <w:vAlign w:val="center"/>
            <w:hideMark/>
          </w:tcPr>
          <w:p w14:paraId="3EB23CB6" w14:textId="77777777" w:rsidR="00F8005A" w:rsidRPr="0058310C" w:rsidRDefault="00F8005A" w:rsidP="00F45709">
            <w:pPr>
              <w:jc w:val="right"/>
              <w:rPr>
                <w:rFonts w:eastAsia="Times New Roman" w:cstheme="minorHAnsi"/>
                <w:sz w:val="18"/>
                <w:szCs w:val="18"/>
                <w:lang w:eastAsia="hr-HR"/>
              </w:rPr>
            </w:pPr>
            <w:r w:rsidRPr="0058310C">
              <w:rPr>
                <w:rFonts w:eastAsia="Times New Roman" w:cstheme="minorHAnsi"/>
                <w:sz w:val="18"/>
                <w:szCs w:val="18"/>
                <w:lang w:eastAsia="hr-HR"/>
              </w:rPr>
              <w:t>70%</w:t>
            </w:r>
          </w:p>
        </w:tc>
      </w:tr>
      <w:tr w:rsidR="00F8005A" w:rsidRPr="0058310C" w14:paraId="3960D4DE" w14:textId="77777777" w:rsidTr="00F8005A">
        <w:trPr>
          <w:trHeight w:val="236"/>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7F62C147" w14:textId="77777777" w:rsidR="00F8005A" w:rsidRPr="0058310C" w:rsidRDefault="00F8005A" w:rsidP="00F45709">
            <w:pPr>
              <w:rPr>
                <w:rFonts w:eastAsia="Times New Roman" w:cstheme="minorHAnsi"/>
                <w:sz w:val="18"/>
                <w:szCs w:val="18"/>
                <w:lang w:eastAsia="hr-HR"/>
              </w:rPr>
            </w:pPr>
            <w:r w:rsidRPr="0058310C">
              <w:rPr>
                <w:rFonts w:eastAsia="Times New Roman" w:cstheme="minorHAnsi"/>
                <w:sz w:val="18"/>
                <w:szCs w:val="18"/>
                <w:lang w:eastAsia="hr-HR"/>
              </w:rPr>
              <w:t>006.</w:t>
            </w:r>
          </w:p>
        </w:tc>
        <w:tc>
          <w:tcPr>
            <w:tcW w:w="3754" w:type="dxa"/>
            <w:tcBorders>
              <w:top w:val="nil"/>
              <w:left w:val="nil"/>
              <w:bottom w:val="single" w:sz="4" w:space="0" w:color="auto"/>
              <w:right w:val="single" w:sz="4" w:space="0" w:color="auto"/>
            </w:tcBorders>
            <w:shd w:val="clear" w:color="auto" w:fill="auto"/>
            <w:vAlign w:val="center"/>
            <w:hideMark/>
          </w:tcPr>
          <w:p w14:paraId="0A9DCAE4" w14:textId="77777777" w:rsidR="00F8005A" w:rsidRPr="0058310C" w:rsidRDefault="00F8005A" w:rsidP="00F45709">
            <w:pPr>
              <w:rPr>
                <w:rFonts w:eastAsia="Times New Roman" w:cstheme="minorHAnsi"/>
                <w:sz w:val="18"/>
                <w:szCs w:val="18"/>
                <w:lang w:eastAsia="hr-HR"/>
              </w:rPr>
            </w:pPr>
            <w:r w:rsidRPr="0058310C">
              <w:rPr>
                <w:rFonts w:eastAsia="Times New Roman" w:cstheme="minorHAnsi"/>
                <w:sz w:val="18"/>
                <w:szCs w:val="18"/>
                <w:lang w:eastAsia="hr-HR"/>
              </w:rPr>
              <w:t>Zaštitna odjeća i obuća</w:t>
            </w:r>
          </w:p>
        </w:tc>
        <w:tc>
          <w:tcPr>
            <w:tcW w:w="1627" w:type="dxa"/>
            <w:tcBorders>
              <w:top w:val="nil"/>
              <w:left w:val="nil"/>
              <w:bottom w:val="single" w:sz="4" w:space="0" w:color="auto"/>
              <w:right w:val="single" w:sz="4" w:space="0" w:color="auto"/>
            </w:tcBorders>
            <w:shd w:val="clear" w:color="auto" w:fill="auto"/>
            <w:noWrap/>
            <w:vAlign w:val="center"/>
            <w:hideMark/>
          </w:tcPr>
          <w:p w14:paraId="627D3750" w14:textId="77777777" w:rsidR="00F8005A" w:rsidRPr="0058310C" w:rsidRDefault="00F8005A" w:rsidP="00F45709">
            <w:pPr>
              <w:jc w:val="right"/>
              <w:rPr>
                <w:rFonts w:eastAsia="Times New Roman" w:cstheme="minorHAnsi"/>
                <w:sz w:val="18"/>
                <w:szCs w:val="18"/>
                <w:lang w:eastAsia="hr-HR"/>
              </w:rPr>
            </w:pPr>
            <w:r w:rsidRPr="0058310C">
              <w:rPr>
                <w:rFonts w:eastAsia="Times New Roman" w:cstheme="minorHAnsi"/>
                <w:sz w:val="18"/>
                <w:szCs w:val="18"/>
                <w:lang w:eastAsia="hr-HR"/>
              </w:rPr>
              <w:t xml:space="preserve">9.300   </w:t>
            </w:r>
          </w:p>
        </w:tc>
        <w:tc>
          <w:tcPr>
            <w:tcW w:w="1601" w:type="dxa"/>
            <w:tcBorders>
              <w:top w:val="nil"/>
              <w:left w:val="nil"/>
              <w:bottom w:val="single" w:sz="4" w:space="0" w:color="auto"/>
              <w:right w:val="single" w:sz="4" w:space="0" w:color="auto"/>
            </w:tcBorders>
            <w:shd w:val="clear" w:color="auto" w:fill="auto"/>
            <w:noWrap/>
            <w:vAlign w:val="center"/>
            <w:hideMark/>
          </w:tcPr>
          <w:p w14:paraId="78BFD186" w14:textId="77777777" w:rsidR="00F8005A" w:rsidRPr="0058310C" w:rsidRDefault="00F8005A" w:rsidP="00F45709">
            <w:pPr>
              <w:jc w:val="right"/>
              <w:rPr>
                <w:rFonts w:eastAsia="Times New Roman" w:cstheme="minorHAnsi"/>
                <w:sz w:val="18"/>
                <w:szCs w:val="18"/>
                <w:lang w:eastAsia="hr-HR"/>
              </w:rPr>
            </w:pPr>
            <w:r w:rsidRPr="0058310C">
              <w:rPr>
                <w:rFonts w:eastAsia="Times New Roman" w:cstheme="minorHAnsi"/>
                <w:sz w:val="18"/>
                <w:szCs w:val="18"/>
                <w:lang w:eastAsia="hr-HR"/>
              </w:rPr>
              <w:t xml:space="preserve">8.571   </w:t>
            </w:r>
          </w:p>
        </w:tc>
        <w:tc>
          <w:tcPr>
            <w:tcW w:w="1312" w:type="dxa"/>
            <w:tcBorders>
              <w:top w:val="nil"/>
              <w:left w:val="nil"/>
              <w:bottom w:val="single" w:sz="4" w:space="0" w:color="auto"/>
              <w:right w:val="single" w:sz="4" w:space="0" w:color="auto"/>
            </w:tcBorders>
            <w:shd w:val="clear" w:color="auto" w:fill="auto"/>
            <w:noWrap/>
            <w:vAlign w:val="center"/>
            <w:hideMark/>
          </w:tcPr>
          <w:p w14:paraId="71D5FD3C" w14:textId="77777777" w:rsidR="00F8005A" w:rsidRPr="0058310C" w:rsidRDefault="00F8005A" w:rsidP="00F45709">
            <w:pPr>
              <w:jc w:val="right"/>
              <w:rPr>
                <w:rFonts w:eastAsia="Times New Roman" w:cstheme="minorHAnsi"/>
                <w:sz w:val="18"/>
                <w:szCs w:val="18"/>
                <w:lang w:eastAsia="hr-HR"/>
              </w:rPr>
            </w:pPr>
            <w:r w:rsidRPr="0058310C">
              <w:rPr>
                <w:rFonts w:eastAsia="Times New Roman" w:cstheme="minorHAnsi"/>
                <w:sz w:val="18"/>
                <w:szCs w:val="18"/>
                <w:lang w:eastAsia="hr-HR"/>
              </w:rPr>
              <w:t>92%</w:t>
            </w:r>
          </w:p>
        </w:tc>
      </w:tr>
      <w:tr w:rsidR="00F8005A" w:rsidRPr="0058310C" w14:paraId="73C234C5" w14:textId="77777777" w:rsidTr="00F8005A">
        <w:trPr>
          <w:trHeight w:val="320"/>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52D31C0B" w14:textId="77777777" w:rsidR="00F8005A" w:rsidRPr="0058310C" w:rsidRDefault="00F8005A" w:rsidP="00F45709">
            <w:pPr>
              <w:rPr>
                <w:rFonts w:eastAsia="Times New Roman" w:cstheme="minorHAnsi"/>
                <w:sz w:val="18"/>
                <w:szCs w:val="18"/>
                <w:lang w:eastAsia="hr-HR"/>
              </w:rPr>
            </w:pPr>
            <w:r w:rsidRPr="0058310C">
              <w:rPr>
                <w:rFonts w:eastAsia="Times New Roman" w:cstheme="minorHAnsi"/>
                <w:sz w:val="18"/>
                <w:szCs w:val="18"/>
                <w:lang w:eastAsia="hr-HR"/>
              </w:rPr>
              <w:t>007.</w:t>
            </w:r>
          </w:p>
        </w:tc>
        <w:tc>
          <w:tcPr>
            <w:tcW w:w="3754" w:type="dxa"/>
            <w:tcBorders>
              <w:top w:val="nil"/>
              <w:left w:val="nil"/>
              <w:bottom w:val="single" w:sz="4" w:space="0" w:color="auto"/>
              <w:right w:val="single" w:sz="4" w:space="0" w:color="auto"/>
            </w:tcBorders>
            <w:shd w:val="clear" w:color="auto" w:fill="auto"/>
            <w:vAlign w:val="center"/>
            <w:hideMark/>
          </w:tcPr>
          <w:p w14:paraId="07E7B235" w14:textId="77777777" w:rsidR="00F8005A" w:rsidRPr="0058310C" w:rsidRDefault="00F8005A" w:rsidP="00F45709">
            <w:pPr>
              <w:rPr>
                <w:rFonts w:eastAsia="Times New Roman" w:cstheme="minorHAnsi"/>
                <w:sz w:val="18"/>
                <w:szCs w:val="18"/>
                <w:lang w:eastAsia="hr-HR"/>
              </w:rPr>
            </w:pPr>
            <w:r w:rsidRPr="0058310C">
              <w:rPr>
                <w:rFonts w:eastAsia="Times New Roman" w:cstheme="minorHAnsi"/>
                <w:sz w:val="18"/>
                <w:szCs w:val="18"/>
                <w:lang w:eastAsia="hr-HR"/>
              </w:rPr>
              <w:t>Nabava opreme i održavanje zgrade uključujući radove</w:t>
            </w:r>
          </w:p>
        </w:tc>
        <w:tc>
          <w:tcPr>
            <w:tcW w:w="1627" w:type="dxa"/>
            <w:tcBorders>
              <w:top w:val="nil"/>
              <w:left w:val="nil"/>
              <w:bottom w:val="single" w:sz="4" w:space="0" w:color="auto"/>
              <w:right w:val="single" w:sz="4" w:space="0" w:color="auto"/>
            </w:tcBorders>
            <w:shd w:val="clear" w:color="auto" w:fill="auto"/>
            <w:noWrap/>
            <w:vAlign w:val="center"/>
            <w:hideMark/>
          </w:tcPr>
          <w:p w14:paraId="5EAC576B" w14:textId="77777777" w:rsidR="00F8005A" w:rsidRPr="0058310C" w:rsidRDefault="00F8005A" w:rsidP="00F45709">
            <w:pPr>
              <w:jc w:val="right"/>
              <w:rPr>
                <w:rFonts w:eastAsia="Times New Roman" w:cstheme="minorHAnsi"/>
                <w:sz w:val="18"/>
                <w:szCs w:val="18"/>
                <w:lang w:eastAsia="hr-HR"/>
              </w:rPr>
            </w:pPr>
            <w:r w:rsidRPr="0058310C">
              <w:rPr>
                <w:rFonts w:eastAsia="Times New Roman" w:cstheme="minorHAnsi"/>
                <w:sz w:val="18"/>
                <w:szCs w:val="18"/>
                <w:lang w:eastAsia="hr-HR"/>
              </w:rPr>
              <w:t xml:space="preserve">215.444   </w:t>
            </w:r>
          </w:p>
        </w:tc>
        <w:tc>
          <w:tcPr>
            <w:tcW w:w="1601" w:type="dxa"/>
            <w:tcBorders>
              <w:top w:val="nil"/>
              <w:left w:val="nil"/>
              <w:bottom w:val="single" w:sz="4" w:space="0" w:color="auto"/>
              <w:right w:val="single" w:sz="4" w:space="0" w:color="auto"/>
            </w:tcBorders>
            <w:shd w:val="clear" w:color="auto" w:fill="auto"/>
            <w:noWrap/>
            <w:vAlign w:val="center"/>
            <w:hideMark/>
          </w:tcPr>
          <w:p w14:paraId="14A29E9B" w14:textId="77777777" w:rsidR="00F8005A" w:rsidRPr="0058310C" w:rsidRDefault="00F8005A" w:rsidP="00F45709">
            <w:pPr>
              <w:jc w:val="right"/>
              <w:rPr>
                <w:rFonts w:eastAsia="Times New Roman" w:cstheme="minorHAnsi"/>
                <w:sz w:val="18"/>
                <w:szCs w:val="18"/>
                <w:lang w:eastAsia="hr-HR"/>
              </w:rPr>
            </w:pPr>
            <w:r w:rsidRPr="0058310C">
              <w:rPr>
                <w:rFonts w:eastAsia="Times New Roman" w:cstheme="minorHAnsi"/>
                <w:sz w:val="18"/>
                <w:szCs w:val="18"/>
                <w:lang w:eastAsia="hr-HR"/>
              </w:rPr>
              <w:t xml:space="preserve">182.129   </w:t>
            </w:r>
          </w:p>
        </w:tc>
        <w:tc>
          <w:tcPr>
            <w:tcW w:w="1312" w:type="dxa"/>
            <w:tcBorders>
              <w:top w:val="nil"/>
              <w:left w:val="nil"/>
              <w:bottom w:val="single" w:sz="4" w:space="0" w:color="auto"/>
              <w:right w:val="single" w:sz="4" w:space="0" w:color="auto"/>
            </w:tcBorders>
            <w:shd w:val="clear" w:color="auto" w:fill="auto"/>
            <w:noWrap/>
            <w:vAlign w:val="center"/>
            <w:hideMark/>
          </w:tcPr>
          <w:p w14:paraId="3DAB6804" w14:textId="77777777" w:rsidR="00F8005A" w:rsidRPr="0058310C" w:rsidRDefault="00F8005A" w:rsidP="00F45709">
            <w:pPr>
              <w:jc w:val="right"/>
              <w:rPr>
                <w:rFonts w:eastAsia="Times New Roman" w:cstheme="minorHAnsi"/>
                <w:sz w:val="18"/>
                <w:szCs w:val="18"/>
                <w:lang w:eastAsia="hr-HR"/>
              </w:rPr>
            </w:pPr>
            <w:r w:rsidRPr="0058310C">
              <w:rPr>
                <w:rFonts w:eastAsia="Times New Roman" w:cstheme="minorHAnsi"/>
                <w:sz w:val="18"/>
                <w:szCs w:val="18"/>
                <w:lang w:eastAsia="hr-HR"/>
              </w:rPr>
              <w:t>85%</w:t>
            </w:r>
          </w:p>
        </w:tc>
      </w:tr>
      <w:tr w:rsidR="00F8005A" w:rsidRPr="0058310C" w14:paraId="11CE9CB5" w14:textId="77777777" w:rsidTr="00F8005A">
        <w:trPr>
          <w:trHeight w:val="334"/>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7C6F692A" w14:textId="77777777" w:rsidR="00F8005A" w:rsidRPr="0058310C" w:rsidRDefault="00F8005A" w:rsidP="00F45709">
            <w:pPr>
              <w:rPr>
                <w:rFonts w:eastAsia="Times New Roman" w:cstheme="minorHAnsi"/>
                <w:sz w:val="18"/>
                <w:szCs w:val="18"/>
                <w:lang w:eastAsia="hr-HR"/>
              </w:rPr>
            </w:pPr>
            <w:r w:rsidRPr="0058310C">
              <w:rPr>
                <w:rFonts w:eastAsia="Times New Roman" w:cstheme="minorHAnsi"/>
                <w:sz w:val="18"/>
                <w:szCs w:val="18"/>
                <w:lang w:eastAsia="hr-HR"/>
              </w:rPr>
              <w:t>008.</w:t>
            </w:r>
          </w:p>
        </w:tc>
        <w:tc>
          <w:tcPr>
            <w:tcW w:w="3754" w:type="dxa"/>
            <w:tcBorders>
              <w:top w:val="nil"/>
              <w:left w:val="nil"/>
              <w:bottom w:val="single" w:sz="4" w:space="0" w:color="auto"/>
              <w:right w:val="single" w:sz="4" w:space="0" w:color="auto"/>
            </w:tcBorders>
            <w:shd w:val="clear" w:color="auto" w:fill="auto"/>
            <w:vAlign w:val="center"/>
            <w:hideMark/>
          </w:tcPr>
          <w:p w14:paraId="59227D59" w14:textId="77777777" w:rsidR="00F8005A" w:rsidRPr="0058310C" w:rsidRDefault="00F8005A" w:rsidP="00F45709">
            <w:pPr>
              <w:rPr>
                <w:rFonts w:eastAsia="Times New Roman" w:cstheme="minorHAnsi"/>
                <w:sz w:val="18"/>
                <w:szCs w:val="18"/>
                <w:lang w:eastAsia="hr-HR"/>
              </w:rPr>
            </w:pPr>
            <w:r w:rsidRPr="0058310C">
              <w:rPr>
                <w:rFonts w:eastAsia="Times New Roman" w:cstheme="minorHAnsi"/>
                <w:sz w:val="18"/>
                <w:szCs w:val="18"/>
                <w:lang w:eastAsia="hr-HR"/>
              </w:rPr>
              <w:t>Materijal za čišćenje i higijenske potrepštine i oprema za čišćenje i  otpad</w:t>
            </w:r>
          </w:p>
        </w:tc>
        <w:tc>
          <w:tcPr>
            <w:tcW w:w="1627" w:type="dxa"/>
            <w:tcBorders>
              <w:top w:val="nil"/>
              <w:left w:val="nil"/>
              <w:bottom w:val="single" w:sz="4" w:space="0" w:color="auto"/>
              <w:right w:val="single" w:sz="4" w:space="0" w:color="auto"/>
            </w:tcBorders>
            <w:shd w:val="clear" w:color="auto" w:fill="auto"/>
            <w:noWrap/>
            <w:vAlign w:val="center"/>
            <w:hideMark/>
          </w:tcPr>
          <w:p w14:paraId="1B2F9A5F" w14:textId="77777777" w:rsidR="00F8005A" w:rsidRPr="0058310C" w:rsidRDefault="00F8005A" w:rsidP="00F45709">
            <w:pPr>
              <w:jc w:val="right"/>
              <w:rPr>
                <w:rFonts w:eastAsia="Times New Roman" w:cstheme="minorHAnsi"/>
                <w:sz w:val="18"/>
                <w:szCs w:val="18"/>
                <w:lang w:eastAsia="hr-HR"/>
              </w:rPr>
            </w:pPr>
            <w:r w:rsidRPr="0058310C">
              <w:rPr>
                <w:rFonts w:eastAsia="Times New Roman" w:cstheme="minorHAnsi"/>
                <w:sz w:val="18"/>
                <w:szCs w:val="18"/>
                <w:lang w:eastAsia="hr-HR"/>
              </w:rPr>
              <w:t xml:space="preserve">20.500   </w:t>
            </w:r>
          </w:p>
        </w:tc>
        <w:tc>
          <w:tcPr>
            <w:tcW w:w="1601" w:type="dxa"/>
            <w:tcBorders>
              <w:top w:val="nil"/>
              <w:left w:val="nil"/>
              <w:bottom w:val="single" w:sz="4" w:space="0" w:color="auto"/>
              <w:right w:val="single" w:sz="4" w:space="0" w:color="auto"/>
            </w:tcBorders>
            <w:shd w:val="clear" w:color="auto" w:fill="auto"/>
            <w:noWrap/>
            <w:vAlign w:val="center"/>
            <w:hideMark/>
          </w:tcPr>
          <w:p w14:paraId="0C41FC97" w14:textId="77777777" w:rsidR="00F8005A" w:rsidRPr="0058310C" w:rsidRDefault="00F8005A" w:rsidP="00F45709">
            <w:pPr>
              <w:jc w:val="right"/>
              <w:rPr>
                <w:rFonts w:eastAsia="Times New Roman" w:cstheme="minorHAnsi"/>
                <w:sz w:val="18"/>
                <w:szCs w:val="18"/>
                <w:lang w:eastAsia="hr-HR"/>
              </w:rPr>
            </w:pPr>
            <w:r w:rsidRPr="0058310C">
              <w:rPr>
                <w:rFonts w:eastAsia="Times New Roman" w:cstheme="minorHAnsi"/>
                <w:sz w:val="18"/>
                <w:szCs w:val="18"/>
                <w:lang w:eastAsia="hr-HR"/>
              </w:rPr>
              <w:t xml:space="preserve">16.971   </w:t>
            </w:r>
          </w:p>
        </w:tc>
        <w:tc>
          <w:tcPr>
            <w:tcW w:w="1312" w:type="dxa"/>
            <w:tcBorders>
              <w:top w:val="nil"/>
              <w:left w:val="nil"/>
              <w:bottom w:val="single" w:sz="4" w:space="0" w:color="auto"/>
              <w:right w:val="single" w:sz="4" w:space="0" w:color="auto"/>
            </w:tcBorders>
            <w:shd w:val="clear" w:color="auto" w:fill="auto"/>
            <w:noWrap/>
            <w:vAlign w:val="center"/>
            <w:hideMark/>
          </w:tcPr>
          <w:p w14:paraId="5A83EAAC" w14:textId="77777777" w:rsidR="00F8005A" w:rsidRPr="0058310C" w:rsidRDefault="00F8005A" w:rsidP="00F45709">
            <w:pPr>
              <w:jc w:val="right"/>
              <w:rPr>
                <w:rFonts w:eastAsia="Times New Roman" w:cstheme="minorHAnsi"/>
                <w:sz w:val="18"/>
                <w:szCs w:val="18"/>
                <w:lang w:eastAsia="hr-HR"/>
              </w:rPr>
            </w:pPr>
            <w:r w:rsidRPr="0058310C">
              <w:rPr>
                <w:rFonts w:eastAsia="Times New Roman" w:cstheme="minorHAnsi"/>
                <w:sz w:val="18"/>
                <w:szCs w:val="18"/>
                <w:lang w:eastAsia="hr-HR"/>
              </w:rPr>
              <w:t>83%</w:t>
            </w:r>
          </w:p>
        </w:tc>
      </w:tr>
      <w:tr w:rsidR="00F8005A" w:rsidRPr="0058310C" w14:paraId="36EF06C5" w14:textId="77777777" w:rsidTr="00F8005A">
        <w:trPr>
          <w:trHeight w:val="349"/>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3E5E8586" w14:textId="77777777" w:rsidR="00F8005A" w:rsidRPr="0058310C" w:rsidRDefault="00F8005A" w:rsidP="00F45709">
            <w:pPr>
              <w:rPr>
                <w:rFonts w:eastAsia="Times New Roman" w:cstheme="minorHAnsi"/>
                <w:sz w:val="18"/>
                <w:szCs w:val="18"/>
                <w:lang w:eastAsia="hr-HR"/>
              </w:rPr>
            </w:pPr>
            <w:r w:rsidRPr="0058310C">
              <w:rPr>
                <w:rFonts w:eastAsia="Times New Roman" w:cstheme="minorHAnsi"/>
                <w:sz w:val="18"/>
                <w:szCs w:val="18"/>
                <w:lang w:eastAsia="hr-HR"/>
              </w:rPr>
              <w:t>009.</w:t>
            </w:r>
          </w:p>
        </w:tc>
        <w:tc>
          <w:tcPr>
            <w:tcW w:w="3754" w:type="dxa"/>
            <w:tcBorders>
              <w:top w:val="nil"/>
              <w:left w:val="nil"/>
              <w:bottom w:val="single" w:sz="4" w:space="0" w:color="auto"/>
              <w:right w:val="single" w:sz="4" w:space="0" w:color="auto"/>
            </w:tcBorders>
            <w:shd w:val="clear" w:color="auto" w:fill="auto"/>
            <w:vAlign w:val="center"/>
            <w:hideMark/>
          </w:tcPr>
          <w:p w14:paraId="4B35413E" w14:textId="77777777" w:rsidR="00F8005A" w:rsidRPr="0058310C" w:rsidRDefault="00F8005A" w:rsidP="00F45709">
            <w:pPr>
              <w:rPr>
                <w:rFonts w:eastAsia="Times New Roman" w:cstheme="minorHAnsi"/>
                <w:sz w:val="18"/>
                <w:szCs w:val="18"/>
                <w:lang w:eastAsia="hr-HR"/>
              </w:rPr>
            </w:pPr>
            <w:r w:rsidRPr="0058310C">
              <w:rPr>
                <w:rFonts w:eastAsia="Times New Roman" w:cstheme="minorHAnsi"/>
                <w:sz w:val="18"/>
                <w:szCs w:val="18"/>
                <w:lang w:eastAsia="hr-HR"/>
              </w:rPr>
              <w:t>Uredska oprema, uređaji, materijal i potrepštine</w:t>
            </w:r>
          </w:p>
        </w:tc>
        <w:tc>
          <w:tcPr>
            <w:tcW w:w="1627" w:type="dxa"/>
            <w:tcBorders>
              <w:top w:val="nil"/>
              <w:left w:val="nil"/>
              <w:bottom w:val="single" w:sz="4" w:space="0" w:color="auto"/>
              <w:right w:val="single" w:sz="4" w:space="0" w:color="auto"/>
            </w:tcBorders>
            <w:shd w:val="clear" w:color="auto" w:fill="auto"/>
            <w:noWrap/>
            <w:vAlign w:val="center"/>
            <w:hideMark/>
          </w:tcPr>
          <w:p w14:paraId="5514C003" w14:textId="77777777" w:rsidR="00F8005A" w:rsidRPr="0058310C" w:rsidRDefault="00F8005A" w:rsidP="00F45709">
            <w:pPr>
              <w:jc w:val="right"/>
              <w:rPr>
                <w:rFonts w:eastAsia="Times New Roman" w:cstheme="minorHAnsi"/>
                <w:sz w:val="18"/>
                <w:szCs w:val="18"/>
                <w:lang w:eastAsia="hr-HR"/>
              </w:rPr>
            </w:pPr>
            <w:r w:rsidRPr="0058310C">
              <w:rPr>
                <w:rFonts w:eastAsia="Times New Roman" w:cstheme="minorHAnsi"/>
                <w:sz w:val="18"/>
                <w:szCs w:val="18"/>
                <w:lang w:eastAsia="hr-HR"/>
              </w:rPr>
              <w:t xml:space="preserve">42.812   </w:t>
            </w:r>
          </w:p>
        </w:tc>
        <w:tc>
          <w:tcPr>
            <w:tcW w:w="1601" w:type="dxa"/>
            <w:tcBorders>
              <w:top w:val="nil"/>
              <w:left w:val="nil"/>
              <w:bottom w:val="single" w:sz="4" w:space="0" w:color="auto"/>
              <w:right w:val="single" w:sz="4" w:space="0" w:color="auto"/>
            </w:tcBorders>
            <w:shd w:val="clear" w:color="auto" w:fill="auto"/>
            <w:noWrap/>
            <w:vAlign w:val="center"/>
            <w:hideMark/>
          </w:tcPr>
          <w:p w14:paraId="181720CA" w14:textId="77777777" w:rsidR="00F8005A" w:rsidRPr="0058310C" w:rsidRDefault="00F8005A" w:rsidP="00F45709">
            <w:pPr>
              <w:jc w:val="right"/>
              <w:rPr>
                <w:rFonts w:eastAsia="Times New Roman" w:cstheme="minorHAnsi"/>
                <w:sz w:val="18"/>
                <w:szCs w:val="18"/>
                <w:lang w:eastAsia="hr-HR"/>
              </w:rPr>
            </w:pPr>
            <w:r w:rsidRPr="0058310C">
              <w:rPr>
                <w:rFonts w:eastAsia="Times New Roman" w:cstheme="minorHAnsi"/>
                <w:sz w:val="18"/>
                <w:szCs w:val="18"/>
                <w:lang w:eastAsia="hr-HR"/>
              </w:rPr>
              <w:t xml:space="preserve">27.085   </w:t>
            </w:r>
          </w:p>
        </w:tc>
        <w:tc>
          <w:tcPr>
            <w:tcW w:w="1312" w:type="dxa"/>
            <w:tcBorders>
              <w:top w:val="nil"/>
              <w:left w:val="nil"/>
              <w:bottom w:val="single" w:sz="4" w:space="0" w:color="auto"/>
              <w:right w:val="single" w:sz="4" w:space="0" w:color="auto"/>
            </w:tcBorders>
            <w:shd w:val="clear" w:color="auto" w:fill="auto"/>
            <w:noWrap/>
            <w:vAlign w:val="center"/>
            <w:hideMark/>
          </w:tcPr>
          <w:p w14:paraId="4A5195DC" w14:textId="77777777" w:rsidR="00F8005A" w:rsidRPr="0058310C" w:rsidRDefault="00F8005A" w:rsidP="00F45709">
            <w:pPr>
              <w:jc w:val="right"/>
              <w:rPr>
                <w:rFonts w:eastAsia="Times New Roman" w:cstheme="minorHAnsi"/>
                <w:sz w:val="18"/>
                <w:szCs w:val="18"/>
                <w:lang w:eastAsia="hr-HR"/>
              </w:rPr>
            </w:pPr>
            <w:r w:rsidRPr="0058310C">
              <w:rPr>
                <w:rFonts w:eastAsia="Times New Roman" w:cstheme="minorHAnsi"/>
                <w:sz w:val="18"/>
                <w:szCs w:val="18"/>
                <w:lang w:eastAsia="hr-HR"/>
              </w:rPr>
              <w:t>63%</w:t>
            </w:r>
          </w:p>
        </w:tc>
      </w:tr>
      <w:tr w:rsidR="00F8005A" w:rsidRPr="0058310C" w14:paraId="105A9688" w14:textId="77777777" w:rsidTr="00F8005A">
        <w:trPr>
          <w:trHeight w:val="236"/>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0AE371FC" w14:textId="77777777" w:rsidR="00F8005A" w:rsidRPr="0058310C" w:rsidRDefault="00F8005A" w:rsidP="00F45709">
            <w:pPr>
              <w:rPr>
                <w:rFonts w:eastAsia="Times New Roman" w:cstheme="minorHAnsi"/>
                <w:sz w:val="18"/>
                <w:szCs w:val="18"/>
                <w:lang w:eastAsia="hr-HR"/>
              </w:rPr>
            </w:pPr>
            <w:r w:rsidRPr="0058310C">
              <w:rPr>
                <w:rFonts w:eastAsia="Times New Roman" w:cstheme="minorHAnsi"/>
                <w:sz w:val="18"/>
                <w:szCs w:val="18"/>
                <w:lang w:eastAsia="hr-HR"/>
              </w:rPr>
              <w:t>010.</w:t>
            </w:r>
          </w:p>
        </w:tc>
        <w:tc>
          <w:tcPr>
            <w:tcW w:w="3754" w:type="dxa"/>
            <w:tcBorders>
              <w:top w:val="nil"/>
              <w:left w:val="nil"/>
              <w:bottom w:val="single" w:sz="4" w:space="0" w:color="auto"/>
              <w:right w:val="single" w:sz="4" w:space="0" w:color="auto"/>
            </w:tcBorders>
            <w:shd w:val="clear" w:color="auto" w:fill="auto"/>
            <w:vAlign w:val="center"/>
            <w:hideMark/>
          </w:tcPr>
          <w:p w14:paraId="52988FC9" w14:textId="77777777" w:rsidR="00F8005A" w:rsidRPr="0058310C" w:rsidRDefault="00F8005A" w:rsidP="00F45709">
            <w:pPr>
              <w:rPr>
                <w:rFonts w:eastAsia="Times New Roman" w:cstheme="minorHAnsi"/>
                <w:sz w:val="18"/>
                <w:szCs w:val="18"/>
                <w:lang w:eastAsia="hr-HR"/>
              </w:rPr>
            </w:pPr>
            <w:r w:rsidRPr="0058310C">
              <w:rPr>
                <w:rFonts w:eastAsia="Times New Roman" w:cstheme="minorHAnsi"/>
                <w:sz w:val="18"/>
                <w:szCs w:val="18"/>
                <w:lang w:eastAsia="hr-HR"/>
              </w:rPr>
              <w:t>Tiskarske, izdavačke i srodne usluge</w:t>
            </w:r>
          </w:p>
        </w:tc>
        <w:tc>
          <w:tcPr>
            <w:tcW w:w="1627" w:type="dxa"/>
            <w:tcBorders>
              <w:top w:val="nil"/>
              <w:left w:val="nil"/>
              <w:bottom w:val="single" w:sz="4" w:space="0" w:color="auto"/>
              <w:right w:val="single" w:sz="4" w:space="0" w:color="auto"/>
            </w:tcBorders>
            <w:shd w:val="clear" w:color="auto" w:fill="auto"/>
            <w:noWrap/>
            <w:vAlign w:val="center"/>
            <w:hideMark/>
          </w:tcPr>
          <w:p w14:paraId="41D0F78C" w14:textId="77777777" w:rsidR="00F8005A" w:rsidRPr="0058310C" w:rsidRDefault="00F8005A" w:rsidP="00F45709">
            <w:pPr>
              <w:jc w:val="right"/>
              <w:rPr>
                <w:rFonts w:eastAsia="Times New Roman" w:cstheme="minorHAnsi"/>
                <w:sz w:val="18"/>
                <w:szCs w:val="18"/>
                <w:lang w:eastAsia="hr-HR"/>
              </w:rPr>
            </w:pPr>
            <w:r w:rsidRPr="0058310C">
              <w:rPr>
                <w:rFonts w:eastAsia="Times New Roman" w:cstheme="minorHAnsi"/>
                <w:sz w:val="18"/>
                <w:szCs w:val="18"/>
                <w:lang w:eastAsia="hr-HR"/>
              </w:rPr>
              <w:t xml:space="preserve">6.065   </w:t>
            </w:r>
          </w:p>
        </w:tc>
        <w:tc>
          <w:tcPr>
            <w:tcW w:w="1601" w:type="dxa"/>
            <w:tcBorders>
              <w:top w:val="nil"/>
              <w:left w:val="nil"/>
              <w:bottom w:val="single" w:sz="4" w:space="0" w:color="auto"/>
              <w:right w:val="single" w:sz="4" w:space="0" w:color="auto"/>
            </w:tcBorders>
            <w:shd w:val="clear" w:color="auto" w:fill="auto"/>
            <w:noWrap/>
            <w:vAlign w:val="center"/>
            <w:hideMark/>
          </w:tcPr>
          <w:p w14:paraId="08B5946C" w14:textId="77777777" w:rsidR="00F8005A" w:rsidRPr="0058310C" w:rsidRDefault="00F8005A" w:rsidP="00F45709">
            <w:pPr>
              <w:jc w:val="right"/>
              <w:rPr>
                <w:rFonts w:eastAsia="Times New Roman" w:cstheme="minorHAnsi"/>
                <w:sz w:val="18"/>
                <w:szCs w:val="18"/>
                <w:lang w:eastAsia="hr-HR"/>
              </w:rPr>
            </w:pPr>
            <w:r w:rsidRPr="0058310C">
              <w:rPr>
                <w:rFonts w:eastAsia="Times New Roman" w:cstheme="minorHAnsi"/>
                <w:sz w:val="18"/>
                <w:szCs w:val="18"/>
                <w:lang w:eastAsia="hr-HR"/>
              </w:rPr>
              <w:t xml:space="preserve">4.414   </w:t>
            </w:r>
          </w:p>
        </w:tc>
        <w:tc>
          <w:tcPr>
            <w:tcW w:w="1312" w:type="dxa"/>
            <w:tcBorders>
              <w:top w:val="nil"/>
              <w:left w:val="nil"/>
              <w:bottom w:val="single" w:sz="4" w:space="0" w:color="auto"/>
              <w:right w:val="single" w:sz="4" w:space="0" w:color="auto"/>
            </w:tcBorders>
            <w:shd w:val="clear" w:color="auto" w:fill="auto"/>
            <w:noWrap/>
            <w:vAlign w:val="center"/>
            <w:hideMark/>
          </w:tcPr>
          <w:p w14:paraId="390BAF8D" w14:textId="77777777" w:rsidR="00F8005A" w:rsidRPr="0058310C" w:rsidRDefault="00F8005A" w:rsidP="00F45709">
            <w:pPr>
              <w:jc w:val="right"/>
              <w:rPr>
                <w:rFonts w:eastAsia="Times New Roman" w:cstheme="minorHAnsi"/>
                <w:sz w:val="18"/>
                <w:szCs w:val="18"/>
                <w:lang w:eastAsia="hr-HR"/>
              </w:rPr>
            </w:pPr>
            <w:r w:rsidRPr="0058310C">
              <w:rPr>
                <w:rFonts w:eastAsia="Times New Roman" w:cstheme="minorHAnsi"/>
                <w:sz w:val="18"/>
                <w:szCs w:val="18"/>
                <w:lang w:eastAsia="hr-HR"/>
              </w:rPr>
              <w:t>73%</w:t>
            </w:r>
          </w:p>
        </w:tc>
      </w:tr>
      <w:tr w:rsidR="00F8005A" w:rsidRPr="0058310C" w14:paraId="449BD1F7" w14:textId="77777777" w:rsidTr="00F8005A">
        <w:trPr>
          <w:trHeight w:val="236"/>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7E4D9EDE" w14:textId="77777777" w:rsidR="00F8005A" w:rsidRPr="0058310C" w:rsidRDefault="00F8005A" w:rsidP="00F45709">
            <w:pPr>
              <w:rPr>
                <w:rFonts w:eastAsia="Times New Roman" w:cstheme="minorHAnsi"/>
                <w:sz w:val="18"/>
                <w:szCs w:val="18"/>
                <w:lang w:eastAsia="hr-HR"/>
              </w:rPr>
            </w:pPr>
            <w:r w:rsidRPr="0058310C">
              <w:rPr>
                <w:rFonts w:eastAsia="Times New Roman" w:cstheme="minorHAnsi"/>
                <w:sz w:val="18"/>
                <w:szCs w:val="18"/>
                <w:lang w:eastAsia="hr-HR"/>
              </w:rPr>
              <w:t>011.</w:t>
            </w:r>
          </w:p>
        </w:tc>
        <w:tc>
          <w:tcPr>
            <w:tcW w:w="3754" w:type="dxa"/>
            <w:tcBorders>
              <w:top w:val="nil"/>
              <w:left w:val="nil"/>
              <w:bottom w:val="single" w:sz="4" w:space="0" w:color="auto"/>
              <w:right w:val="single" w:sz="4" w:space="0" w:color="auto"/>
            </w:tcBorders>
            <w:shd w:val="clear" w:color="auto" w:fill="auto"/>
            <w:vAlign w:val="center"/>
            <w:hideMark/>
          </w:tcPr>
          <w:p w14:paraId="02D4A516" w14:textId="77777777" w:rsidR="00F8005A" w:rsidRPr="0058310C" w:rsidRDefault="00F8005A" w:rsidP="00F45709">
            <w:pPr>
              <w:rPr>
                <w:rFonts w:eastAsia="Times New Roman" w:cstheme="minorHAnsi"/>
                <w:sz w:val="18"/>
                <w:szCs w:val="18"/>
                <w:lang w:eastAsia="hr-HR"/>
              </w:rPr>
            </w:pPr>
            <w:r w:rsidRPr="0058310C">
              <w:rPr>
                <w:rFonts w:eastAsia="Times New Roman" w:cstheme="minorHAnsi"/>
                <w:sz w:val="18"/>
                <w:szCs w:val="18"/>
                <w:lang w:eastAsia="hr-HR"/>
              </w:rPr>
              <w:t>Prehrambeni proizvodi</w:t>
            </w:r>
          </w:p>
        </w:tc>
        <w:tc>
          <w:tcPr>
            <w:tcW w:w="1627" w:type="dxa"/>
            <w:tcBorders>
              <w:top w:val="nil"/>
              <w:left w:val="nil"/>
              <w:bottom w:val="single" w:sz="4" w:space="0" w:color="auto"/>
              <w:right w:val="single" w:sz="4" w:space="0" w:color="auto"/>
            </w:tcBorders>
            <w:shd w:val="clear" w:color="auto" w:fill="auto"/>
            <w:noWrap/>
            <w:vAlign w:val="center"/>
            <w:hideMark/>
          </w:tcPr>
          <w:p w14:paraId="32CDE8FA" w14:textId="77777777" w:rsidR="00F8005A" w:rsidRPr="0058310C" w:rsidRDefault="00F8005A" w:rsidP="00F45709">
            <w:pPr>
              <w:jc w:val="right"/>
              <w:rPr>
                <w:rFonts w:eastAsia="Times New Roman" w:cstheme="minorHAnsi"/>
                <w:sz w:val="18"/>
                <w:szCs w:val="18"/>
                <w:lang w:eastAsia="hr-HR"/>
              </w:rPr>
            </w:pPr>
            <w:r w:rsidRPr="0058310C">
              <w:rPr>
                <w:rFonts w:eastAsia="Times New Roman" w:cstheme="minorHAnsi"/>
                <w:sz w:val="18"/>
                <w:szCs w:val="18"/>
                <w:lang w:eastAsia="hr-HR"/>
              </w:rPr>
              <w:t xml:space="preserve">10.300   </w:t>
            </w:r>
          </w:p>
        </w:tc>
        <w:tc>
          <w:tcPr>
            <w:tcW w:w="1601" w:type="dxa"/>
            <w:tcBorders>
              <w:top w:val="nil"/>
              <w:left w:val="nil"/>
              <w:bottom w:val="single" w:sz="4" w:space="0" w:color="auto"/>
              <w:right w:val="single" w:sz="4" w:space="0" w:color="auto"/>
            </w:tcBorders>
            <w:shd w:val="clear" w:color="auto" w:fill="auto"/>
            <w:noWrap/>
            <w:vAlign w:val="center"/>
            <w:hideMark/>
          </w:tcPr>
          <w:p w14:paraId="206F8A34" w14:textId="77777777" w:rsidR="00F8005A" w:rsidRPr="0058310C" w:rsidRDefault="00F8005A" w:rsidP="00F45709">
            <w:pPr>
              <w:jc w:val="right"/>
              <w:rPr>
                <w:rFonts w:eastAsia="Times New Roman" w:cstheme="minorHAnsi"/>
                <w:sz w:val="18"/>
                <w:szCs w:val="18"/>
                <w:lang w:eastAsia="hr-HR"/>
              </w:rPr>
            </w:pPr>
            <w:r w:rsidRPr="0058310C">
              <w:rPr>
                <w:rFonts w:eastAsia="Times New Roman" w:cstheme="minorHAnsi"/>
                <w:sz w:val="18"/>
                <w:szCs w:val="18"/>
                <w:lang w:eastAsia="hr-HR"/>
              </w:rPr>
              <w:t xml:space="preserve">8.532   </w:t>
            </w:r>
          </w:p>
        </w:tc>
        <w:tc>
          <w:tcPr>
            <w:tcW w:w="1312" w:type="dxa"/>
            <w:tcBorders>
              <w:top w:val="nil"/>
              <w:left w:val="nil"/>
              <w:bottom w:val="single" w:sz="4" w:space="0" w:color="auto"/>
              <w:right w:val="single" w:sz="4" w:space="0" w:color="auto"/>
            </w:tcBorders>
            <w:shd w:val="clear" w:color="auto" w:fill="auto"/>
            <w:noWrap/>
            <w:vAlign w:val="center"/>
            <w:hideMark/>
          </w:tcPr>
          <w:p w14:paraId="7215AD07" w14:textId="77777777" w:rsidR="00F8005A" w:rsidRPr="0058310C" w:rsidRDefault="00F8005A" w:rsidP="00F45709">
            <w:pPr>
              <w:jc w:val="right"/>
              <w:rPr>
                <w:rFonts w:eastAsia="Times New Roman" w:cstheme="minorHAnsi"/>
                <w:sz w:val="18"/>
                <w:szCs w:val="18"/>
                <w:lang w:eastAsia="hr-HR"/>
              </w:rPr>
            </w:pPr>
            <w:r w:rsidRPr="0058310C">
              <w:rPr>
                <w:rFonts w:eastAsia="Times New Roman" w:cstheme="minorHAnsi"/>
                <w:sz w:val="18"/>
                <w:szCs w:val="18"/>
                <w:lang w:eastAsia="hr-HR"/>
              </w:rPr>
              <w:t>83%</w:t>
            </w:r>
          </w:p>
        </w:tc>
      </w:tr>
      <w:tr w:rsidR="00F8005A" w:rsidRPr="0058310C" w14:paraId="74F2C206" w14:textId="77777777" w:rsidTr="00F8005A">
        <w:trPr>
          <w:trHeight w:val="236"/>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28D2C447" w14:textId="77777777" w:rsidR="00F8005A" w:rsidRPr="0058310C" w:rsidRDefault="00F8005A" w:rsidP="00F45709">
            <w:pPr>
              <w:rPr>
                <w:rFonts w:eastAsia="Times New Roman" w:cstheme="minorHAnsi"/>
                <w:sz w:val="18"/>
                <w:szCs w:val="18"/>
                <w:lang w:eastAsia="hr-HR"/>
              </w:rPr>
            </w:pPr>
            <w:r w:rsidRPr="0058310C">
              <w:rPr>
                <w:rFonts w:eastAsia="Times New Roman" w:cstheme="minorHAnsi"/>
                <w:sz w:val="18"/>
                <w:szCs w:val="18"/>
                <w:lang w:eastAsia="hr-HR"/>
              </w:rPr>
              <w:t>012.</w:t>
            </w:r>
          </w:p>
        </w:tc>
        <w:tc>
          <w:tcPr>
            <w:tcW w:w="3754" w:type="dxa"/>
            <w:tcBorders>
              <w:top w:val="nil"/>
              <w:left w:val="nil"/>
              <w:bottom w:val="single" w:sz="4" w:space="0" w:color="auto"/>
              <w:right w:val="single" w:sz="4" w:space="0" w:color="auto"/>
            </w:tcBorders>
            <w:shd w:val="clear" w:color="auto" w:fill="auto"/>
            <w:vAlign w:val="center"/>
            <w:hideMark/>
          </w:tcPr>
          <w:p w14:paraId="38C09F93" w14:textId="77777777" w:rsidR="00F8005A" w:rsidRPr="0058310C" w:rsidRDefault="00F8005A" w:rsidP="00F45709">
            <w:pPr>
              <w:rPr>
                <w:rFonts w:eastAsia="Times New Roman" w:cstheme="minorHAnsi"/>
                <w:sz w:val="18"/>
                <w:szCs w:val="18"/>
                <w:lang w:eastAsia="hr-HR"/>
              </w:rPr>
            </w:pPr>
            <w:r w:rsidRPr="0058310C">
              <w:rPr>
                <w:rFonts w:eastAsia="Times New Roman" w:cstheme="minorHAnsi"/>
                <w:sz w:val="18"/>
                <w:szCs w:val="18"/>
                <w:lang w:eastAsia="hr-HR"/>
              </w:rPr>
              <w:t>Troškovi vezani uz konferencije</w:t>
            </w:r>
          </w:p>
        </w:tc>
        <w:tc>
          <w:tcPr>
            <w:tcW w:w="1627" w:type="dxa"/>
            <w:tcBorders>
              <w:top w:val="nil"/>
              <w:left w:val="nil"/>
              <w:bottom w:val="single" w:sz="4" w:space="0" w:color="auto"/>
              <w:right w:val="single" w:sz="4" w:space="0" w:color="auto"/>
            </w:tcBorders>
            <w:shd w:val="clear" w:color="auto" w:fill="auto"/>
            <w:noWrap/>
            <w:vAlign w:val="center"/>
            <w:hideMark/>
          </w:tcPr>
          <w:p w14:paraId="50B6A4B1" w14:textId="77777777" w:rsidR="00F8005A" w:rsidRPr="0058310C" w:rsidRDefault="00F8005A" w:rsidP="00F45709">
            <w:pPr>
              <w:jc w:val="right"/>
              <w:rPr>
                <w:rFonts w:eastAsia="Times New Roman" w:cstheme="minorHAnsi"/>
                <w:sz w:val="18"/>
                <w:szCs w:val="18"/>
                <w:lang w:eastAsia="hr-HR"/>
              </w:rPr>
            </w:pPr>
            <w:r w:rsidRPr="0058310C">
              <w:rPr>
                <w:rFonts w:eastAsia="Times New Roman" w:cstheme="minorHAnsi"/>
                <w:sz w:val="18"/>
                <w:szCs w:val="18"/>
                <w:lang w:eastAsia="hr-HR"/>
              </w:rPr>
              <w:t xml:space="preserve">31.500   </w:t>
            </w:r>
          </w:p>
        </w:tc>
        <w:tc>
          <w:tcPr>
            <w:tcW w:w="1601" w:type="dxa"/>
            <w:tcBorders>
              <w:top w:val="nil"/>
              <w:left w:val="nil"/>
              <w:bottom w:val="single" w:sz="4" w:space="0" w:color="auto"/>
              <w:right w:val="single" w:sz="4" w:space="0" w:color="auto"/>
            </w:tcBorders>
            <w:shd w:val="clear" w:color="auto" w:fill="auto"/>
            <w:noWrap/>
            <w:vAlign w:val="center"/>
            <w:hideMark/>
          </w:tcPr>
          <w:p w14:paraId="09D8EF6C" w14:textId="77777777" w:rsidR="00F8005A" w:rsidRPr="0058310C" w:rsidRDefault="00F8005A" w:rsidP="00F45709">
            <w:pPr>
              <w:jc w:val="right"/>
              <w:rPr>
                <w:rFonts w:eastAsia="Times New Roman" w:cstheme="minorHAnsi"/>
                <w:sz w:val="18"/>
                <w:szCs w:val="18"/>
                <w:lang w:eastAsia="hr-HR"/>
              </w:rPr>
            </w:pPr>
            <w:r w:rsidRPr="0058310C">
              <w:rPr>
                <w:rFonts w:eastAsia="Times New Roman" w:cstheme="minorHAnsi"/>
                <w:sz w:val="18"/>
                <w:szCs w:val="18"/>
                <w:lang w:eastAsia="hr-HR"/>
              </w:rPr>
              <w:t xml:space="preserve">27.195   </w:t>
            </w:r>
          </w:p>
        </w:tc>
        <w:tc>
          <w:tcPr>
            <w:tcW w:w="1312" w:type="dxa"/>
            <w:tcBorders>
              <w:top w:val="nil"/>
              <w:left w:val="nil"/>
              <w:bottom w:val="single" w:sz="4" w:space="0" w:color="auto"/>
              <w:right w:val="single" w:sz="4" w:space="0" w:color="auto"/>
            </w:tcBorders>
            <w:shd w:val="clear" w:color="auto" w:fill="auto"/>
            <w:noWrap/>
            <w:vAlign w:val="center"/>
            <w:hideMark/>
          </w:tcPr>
          <w:p w14:paraId="6265C2E5" w14:textId="77777777" w:rsidR="00F8005A" w:rsidRPr="0058310C" w:rsidRDefault="00F8005A" w:rsidP="00F45709">
            <w:pPr>
              <w:jc w:val="right"/>
              <w:rPr>
                <w:rFonts w:eastAsia="Times New Roman" w:cstheme="minorHAnsi"/>
                <w:sz w:val="18"/>
                <w:szCs w:val="18"/>
                <w:lang w:eastAsia="hr-HR"/>
              </w:rPr>
            </w:pPr>
            <w:r w:rsidRPr="0058310C">
              <w:rPr>
                <w:rFonts w:eastAsia="Times New Roman" w:cstheme="minorHAnsi"/>
                <w:sz w:val="18"/>
                <w:szCs w:val="18"/>
                <w:lang w:eastAsia="hr-HR"/>
              </w:rPr>
              <w:t>86%</w:t>
            </w:r>
          </w:p>
        </w:tc>
      </w:tr>
      <w:tr w:rsidR="00F8005A" w:rsidRPr="0058310C" w14:paraId="71C2F92B" w14:textId="77777777" w:rsidTr="00F8005A">
        <w:trPr>
          <w:trHeight w:val="236"/>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200A6388" w14:textId="77777777" w:rsidR="00F8005A" w:rsidRPr="0058310C" w:rsidRDefault="00F8005A" w:rsidP="00F45709">
            <w:pPr>
              <w:rPr>
                <w:rFonts w:eastAsia="Times New Roman" w:cstheme="minorHAnsi"/>
                <w:sz w:val="18"/>
                <w:szCs w:val="18"/>
                <w:lang w:eastAsia="hr-HR"/>
              </w:rPr>
            </w:pPr>
            <w:r w:rsidRPr="0058310C">
              <w:rPr>
                <w:rFonts w:eastAsia="Times New Roman" w:cstheme="minorHAnsi"/>
                <w:sz w:val="18"/>
                <w:szCs w:val="18"/>
                <w:lang w:eastAsia="hr-HR"/>
              </w:rPr>
              <w:t>013.</w:t>
            </w:r>
          </w:p>
        </w:tc>
        <w:tc>
          <w:tcPr>
            <w:tcW w:w="3754" w:type="dxa"/>
            <w:tcBorders>
              <w:top w:val="nil"/>
              <w:left w:val="nil"/>
              <w:bottom w:val="single" w:sz="4" w:space="0" w:color="auto"/>
              <w:right w:val="single" w:sz="4" w:space="0" w:color="auto"/>
            </w:tcBorders>
            <w:shd w:val="clear" w:color="auto" w:fill="auto"/>
            <w:vAlign w:val="center"/>
            <w:hideMark/>
          </w:tcPr>
          <w:p w14:paraId="49991BEB" w14:textId="77777777" w:rsidR="00F8005A" w:rsidRPr="0058310C" w:rsidRDefault="00F8005A" w:rsidP="00F45709">
            <w:pPr>
              <w:rPr>
                <w:rFonts w:eastAsia="Times New Roman" w:cstheme="minorHAnsi"/>
                <w:sz w:val="18"/>
                <w:szCs w:val="18"/>
                <w:lang w:eastAsia="hr-HR"/>
              </w:rPr>
            </w:pPr>
            <w:r w:rsidRPr="0058310C">
              <w:rPr>
                <w:rFonts w:eastAsia="Times New Roman" w:cstheme="minorHAnsi"/>
                <w:sz w:val="18"/>
                <w:szCs w:val="18"/>
                <w:lang w:eastAsia="hr-HR"/>
              </w:rPr>
              <w:t>Stručna literatura</w:t>
            </w:r>
          </w:p>
        </w:tc>
        <w:tc>
          <w:tcPr>
            <w:tcW w:w="1627" w:type="dxa"/>
            <w:tcBorders>
              <w:top w:val="nil"/>
              <w:left w:val="nil"/>
              <w:bottom w:val="single" w:sz="4" w:space="0" w:color="auto"/>
              <w:right w:val="single" w:sz="4" w:space="0" w:color="auto"/>
            </w:tcBorders>
            <w:shd w:val="clear" w:color="auto" w:fill="auto"/>
            <w:noWrap/>
            <w:vAlign w:val="center"/>
            <w:hideMark/>
          </w:tcPr>
          <w:p w14:paraId="11D0D31A" w14:textId="77777777" w:rsidR="00F8005A" w:rsidRPr="0058310C" w:rsidRDefault="00F8005A" w:rsidP="00F45709">
            <w:pPr>
              <w:jc w:val="right"/>
              <w:rPr>
                <w:rFonts w:eastAsia="Times New Roman" w:cstheme="minorHAnsi"/>
                <w:sz w:val="18"/>
                <w:szCs w:val="18"/>
                <w:lang w:eastAsia="hr-HR"/>
              </w:rPr>
            </w:pPr>
            <w:r w:rsidRPr="0058310C">
              <w:rPr>
                <w:rFonts w:eastAsia="Times New Roman" w:cstheme="minorHAnsi"/>
                <w:sz w:val="18"/>
                <w:szCs w:val="18"/>
                <w:lang w:eastAsia="hr-HR"/>
              </w:rPr>
              <w:t xml:space="preserve">15.700   </w:t>
            </w:r>
          </w:p>
        </w:tc>
        <w:tc>
          <w:tcPr>
            <w:tcW w:w="1601" w:type="dxa"/>
            <w:tcBorders>
              <w:top w:val="nil"/>
              <w:left w:val="nil"/>
              <w:bottom w:val="single" w:sz="4" w:space="0" w:color="auto"/>
              <w:right w:val="single" w:sz="4" w:space="0" w:color="auto"/>
            </w:tcBorders>
            <w:shd w:val="clear" w:color="auto" w:fill="auto"/>
            <w:noWrap/>
            <w:vAlign w:val="center"/>
            <w:hideMark/>
          </w:tcPr>
          <w:p w14:paraId="133F3FED" w14:textId="77777777" w:rsidR="00F8005A" w:rsidRPr="0058310C" w:rsidRDefault="00F8005A" w:rsidP="00F45709">
            <w:pPr>
              <w:jc w:val="right"/>
              <w:rPr>
                <w:rFonts w:eastAsia="Times New Roman" w:cstheme="minorHAnsi"/>
                <w:sz w:val="18"/>
                <w:szCs w:val="18"/>
                <w:lang w:eastAsia="hr-HR"/>
              </w:rPr>
            </w:pPr>
            <w:r w:rsidRPr="0058310C">
              <w:rPr>
                <w:rFonts w:eastAsia="Times New Roman" w:cstheme="minorHAnsi"/>
                <w:sz w:val="18"/>
                <w:szCs w:val="18"/>
                <w:lang w:eastAsia="hr-HR"/>
              </w:rPr>
              <w:t xml:space="preserve">9.885   </w:t>
            </w:r>
          </w:p>
        </w:tc>
        <w:tc>
          <w:tcPr>
            <w:tcW w:w="1312" w:type="dxa"/>
            <w:tcBorders>
              <w:top w:val="nil"/>
              <w:left w:val="nil"/>
              <w:bottom w:val="single" w:sz="4" w:space="0" w:color="auto"/>
              <w:right w:val="single" w:sz="4" w:space="0" w:color="auto"/>
            </w:tcBorders>
            <w:shd w:val="clear" w:color="auto" w:fill="auto"/>
            <w:noWrap/>
            <w:vAlign w:val="center"/>
            <w:hideMark/>
          </w:tcPr>
          <w:p w14:paraId="7C841267" w14:textId="77777777" w:rsidR="00F8005A" w:rsidRPr="0058310C" w:rsidRDefault="00F8005A" w:rsidP="00F45709">
            <w:pPr>
              <w:jc w:val="right"/>
              <w:rPr>
                <w:rFonts w:eastAsia="Times New Roman" w:cstheme="minorHAnsi"/>
                <w:sz w:val="18"/>
                <w:szCs w:val="18"/>
                <w:lang w:eastAsia="hr-HR"/>
              </w:rPr>
            </w:pPr>
            <w:r w:rsidRPr="0058310C">
              <w:rPr>
                <w:rFonts w:eastAsia="Times New Roman" w:cstheme="minorHAnsi"/>
                <w:sz w:val="18"/>
                <w:szCs w:val="18"/>
                <w:lang w:eastAsia="hr-HR"/>
              </w:rPr>
              <w:t>63%</w:t>
            </w:r>
          </w:p>
        </w:tc>
      </w:tr>
      <w:tr w:rsidR="00F8005A" w:rsidRPr="0058310C" w14:paraId="02D711FF" w14:textId="77777777" w:rsidTr="00F8005A">
        <w:trPr>
          <w:trHeight w:val="236"/>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5FDDDB48" w14:textId="77777777" w:rsidR="00F8005A" w:rsidRPr="0058310C" w:rsidRDefault="00F8005A" w:rsidP="00F45709">
            <w:pPr>
              <w:rPr>
                <w:rFonts w:eastAsia="Times New Roman" w:cstheme="minorHAnsi"/>
                <w:sz w:val="18"/>
                <w:szCs w:val="18"/>
                <w:lang w:eastAsia="hr-HR"/>
              </w:rPr>
            </w:pPr>
            <w:r w:rsidRPr="0058310C">
              <w:rPr>
                <w:rFonts w:eastAsia="Times New Roman" w:cstheme="minorHAnsi"/>
                <w:sz w:val="18"/>
                <w:szCs w:val="18"/>
                <w:lang w:eastAsia="hr-HR"/>
              </w:rPr>
              <w:t>014.</w:t>
            </w:r>
          </w:p>
        </w:tc>
        <w:tc>
          <w:tcPr>
            <w:tcW w:w="3754" w:type="dxa"/>
            <w:tcBorders>
              <w:top w:val="nil"/>
              <w:left w:val="nil"/>
              <w:bottom w:val="single" w:sz="4" w:space="0" w:color="auto"/>
              <w:right w:val="single" w:sz="4" w:space="0" w:color="auto"/>
            </w:tcBorders>
            <w:shd w:val="clear" w:color="auto" w:fill="auto"/>
            <w:vAlign w:val="center"/>
            <w:hideMark/>
          </w:tcPr>
          <w:p w14:paraId="5D325250" w14:textId="77777777" w:rsidR="00F8005A" w:rsidRPr="0058310C" w:rsidRDefault="00F8005A" w:rsidP="00F45709">
            <w:pPr>
              <w:rPr>
                <w:rFonts w:eastAsia="Times New Roman" w:cstheme="minorHAnsi"/>
                <w:sz w:val="18"/>
                <w:szCs w:val="18"/>
                <w:lang w:eastAsia="hr-HR"/>
              </w:rPr>
            </w:pPr>
            <w:r w:rsidRPr="0058310C">
              <w:rPr>
                <w:rFonts w:eastAsia="Times New Roman" w:cstheme="minorHAnsi"/>
                <w:sz w:val="18"/>
                <w:szCs w:val="18"/>
                <w:lang w:eastAsia="hr-HR"/>
              </w:rPr>
              <w:t>Naftni proizvodi i goriva</w:t>
            </w:r>
          </w:p>
        </w:tc>
        <w:tc>
          <w:tcPr>
            <w:tcW w:w="1627" w:type="dxa"/>
            <w:tcBorders>
              <w:top w:val="nil"/>
              <w:left w:val="nil"/>
              <w:bottom w:val="single" w:sz="4" w:space="0" w:color="auto"/>
              <w:right w:val="single" w:sz="4" w:space="0" w:color="auto"/>
            </w:tcBorders>
            <w:shd w:val="clear" w:color="auto" w:fill="auto"/>
            <w:noWrap/>
            <w:vAlign w:val="center"/>
            <w:hideMark/>
          </w:tcPr>
          <w:p w14:paraId="6E8CBC3F" w14:textId="77777777" w:rsidR="00F8005A" w:rsidRPr="0058310C" w:rsidRDefault="00F8005A" w:rsidP="00F45709">
            <w:pPr>
              <w:jc w:val="right"/>
              <w:rPr>
                <w:rFonts w:eastAsia="Times New Roman" w:cstheme="minorHAnsi"/>
                <w:sz w:val="18"/>
                <w:szCs w:val="18"/>
                <w:lang w:eastAsia="hr-HR"/>
              </w:rPr>
            </w:pPr>
            <w:r w:rsidRPr="0058310C">
              <w:rPr>
                <w:rFonts w:eastAsia="Times New Roman" w:cstheme="minorHAnsi"/>
                <w:sz w:val="18"/>
                <w:szCs w:val="18"/>
                <w:lang w:eastAsia="hr-HR"/>
              </w:rPr>
              <w:t xml:space="preserve">7.500   </w:t>
            </w:r>
          </w:p>
        </w:tc>
        <w:tc>
          <w:tcPr>
            <w:tcW w:w="1601" w:type="dxa"/>
            <w:tcBorders>
              <w:top w:val="nil"/>
              <w:left w:val="nil"/>
              <w:bottom w:val="single" w:sz="4" w:space="0" w:color="auto"/>
              <w:right w:val="single" w:sz="4" w:space="0" w:color="auto"/>
            </w:tcBorders>
            <w:shd w:val="clear" w:color="auto" w:fill="auto"/>
            <w:noWrap/>
            <w:vAlign w:val="center"/>
            <w:hideMark/>
          </w:tcPr>
          <w:p w14:paraId="281EC063" w14:textId="77777777" w:rsidR="00F8005A" w:rsidRPr="0058310C" w:rsidRDefault="00F8005A" w:rsidP="00F45709">
            <w:pPr>
              <w:jc w:val="right"/>
              <w:rPr>
                <w:rFonts w:eastAsia="Times New Roman" w:cstheme="minorHAnsi"/>
                <w:sz w:val="18"/>
                <w:szCs w:val="18"/>
                <w:lang w:eastAsia="hr-HR"/>
              </w:rPr>
            </w:pPr>
            <w:r w:rsidRPr="0058310C">
              <w:rPr>
                <w:rFonts w:eastAsia="Times New Roman" w:cstheme="minorHAnsi"/>
                <w:sz w:val="18"/>
                <w:szCs w:val="18"/>
                <w:lang w:eastAsia="hr-HR"/>
              </w:rPr>
              <w:t xml:space="preserve">5.694   </w:t>
            </w:r>
          </w:p>
        </w:tc>
        <w:tc>
          <w:tcPr>
            <w:tcW w:w="1312" w:type="dxa"/>
            <w:tcBorders>
              <w:top w:val="nil"/>
              <w:left w:val="nil"/>
              <w:bottom w:val="single" w:sz="4" w:space="0" w:color="auto"/>
              <w:right w:val="single" w:sz="4" w:space="0" w:color="auto"/>
            </w:tcBorders>
            <w:shd w:val="clear" w:color="auto" w:fill="auto"/>
            <w:noWrap/>
            <w:vAlign w:val="center"/>
            <w:hideMark/>
          </w:tcPr>
          <w:p w14:paraId="3EC7676A" w14:textId="77777777" w:rsidR="00F8005A" w:rsidRPr="0058310C" w:rsidRDefault="00F8005A" w:rsidP="00F45709">
            <w:pPr>
              <w:jc w:val="right"/>
              <w:rPr>
                <w:rFonts w:eastAsia="Times New Roman" w:cstheme="minorHAnsi"/>
                <w:sz w:val="18"/>
                <w:szCs w:val="18"/>
                <w:lang w:eastAsia="hr-HR"/>
              </w:rPr>
            </w:pPr>
            <w:r w:rsidRPr="0058310C">
              <w:rPr>
                <w:rFonts w:eastAsia="Times New Roman" w:cstheme="minorHAnsi"/>
                <w:sz w:val="18"/>
                <w:szCs w:val="18"/>
                <w:lang w:eastAsia="hr-HR"/>
              </w:rPr>
              <w:t>76%</w:t>
            </w:r>
          </w:p>
        </w:tc>
      </w:tr>
      <w:tr w:rsidR="00F8005A" w:rsidRPr="0058310C" w14:paraId="0E75722B" w14:textId="77777777" w:rsidTr="00F8005A">
        <w:trPr>
          <w:trHeight w:val="236"/>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0FDA17DD" w14:textId="77777777" w:rsidR="00F8005A" w:rsidRPr="0058310C" w:rsidRDefault="00F8005A" w:rsidP="00F45709">
            <w:pPr>
              <w:rPr>
                <w:rFonts w:eastAsia="Times New Roman" w:cstheme="minorHAnsi"/>
                <w:sz w:val="18"/>
                <w:szCs w:val="18"/>
                <w:lang w:eastAsia="hr-HR"/>
              </w:rPr>
            </w:pPr>
            <w:r w:rsidRPr="0058310C">
              <w:rPr>
                <w:rFonts w:eastAsia="Times New Roman" w:cstheme="minorHAnsi"/>
                <w:sz w:val="18"/>
                <w:szCs w:val="18"/>
                <w:lang w:eastAsia="hr-HR"/>
              </w:rPr>
              <w:t>015.</w:t>
            </w:r>
          </w:p>
        </w:tc>
        <w:tc>
          <w:tcPr>
            <w:tcW w:w="3754" w:type="dxa"/>
            <w:tcBorders>
              <w:top w:val="nil"/>
              <w:left w:val="nil"/>
              <w:bottom w:val="single" w:sz="4" w:space="0" w:color="auto"/>
              <w:right w:val="single" w:sz="4" w:space="0" w:color="auto"/>
            </w:tcBorders>
            <w:shd w:val="clear" w:color="auto" w:fill="auto"/>
            <w:vAlign w:val="center"/>
            <w:hideMark/>
          </w:tcPr>
          <w:p w14:paraId="3CD243EB" w14:textId="77777777" w:rsidR="00F8005A" w:rsidRPr="0058310C" w:rsidRDefault="00F8005A" w:rsidP="00F45709">
            <w:pPr>
              <w:rPr>
                <w:rFonts w:eastAsia="Times New Roman" w:cstheme="minorHAnsi"/>
                <w:sz w:val="18"/>
                <w:szCs w:val="18"/>
                <w:lang w:eastAsia="hr-HR"/>
              </w:rPr>
            </w:pPr>
            <w:r w:rsidRPr="0058310C">
              <w:rPr>
                <w:rFonts w:eastAsia="Times New Roman" w:cstheme="minorHAnsi"/>
                <w:sz w:val="18"/>
                <w:szCs w:val="18"/>
                <w:lang w:eastAsia="hr-HR"/>
              </w:rPr>
              <w:t>Ugostiteljske usluge</w:t>
            </w:r>
          </w:p>
        </w:tc>
        <w:tc>
          <w:tcPr>
            <w:tcW w:w="1627" w:type="dxa"/>
            <w:tcBorders>
              <w:top w:val="nil"/>
              <w:left w:val="nil"/>
              <w:bottom w:val="single" w:sz="4" w:space="0" w:color="auto"/>
              <w:right w:val="single" w:sz="4" w:space="0" w:color="auto"/>
            </w:tcBorders>
            <w:shd w:val="clear" w:color="auto" w:fill="auto"/>
            <w:noWrap/>
            <w:vAlign w:val="center"/>
            <w:hideMark/>
          </w:tcPr>
          <w:p w14:paraId="6984558D" w14:textId="77777777" w:rsidR="00F8005A" w:rsidRPr="0058310C" w:rsidRDefault="00F8005A" w:rsidP="00F45709">
            <w:pPr>
              <w:jc w:val="right"/>
              <w:rPr>
                <w:rFonts w:eastAsia="Times New Roman" w:cstheme="minorHAnsi"/>
                <w:sz w:val="18"/>
                <w:szCs w:val="18"/>
                <w:lang w:eastAsia="hr-HR"/>
              </w:rPr>
            </w:pPr>
            <w:r w:rsidRPr="0058310C">
              <w:rPr>
                <w:rFonts w:eastAsia="Times New Roman" w:cstheme="minorHAnsi"/>
                <w:sz w:val="18"/>
                <w:szCs w:val="18"/>
                <w:lang w:eastAsia="hr-HR"/>
              </w:rPr>
              <w:t xml:space="preserve">27.200   </w:t>
            </w:r>
          </w:p>
        </w:tc>
        <w:tc>
          <w:tcPr>
            <w:tcW w:w="1601" w:type="dxa"/>
            <w:tcBorders>
              <w:top w:val="nil"/>
              <w:left w:val="nil"/>
              <w:bottom w:val="single" w:sz="4" w:space="0" w:color="auto"/>
              <w:right w:val="single" w:sz="4" w:space="0" w:color="auto"/>
            </w:tcBorders>
            <w:shd w:val="clear" w:color="auto" w:fill="auto"/>
            <w:noWrap/>
            <w:vAlign w:val="center"/>
            <w:hideMark/>
          </w:tcPr>
          <w:p w14:paraId="14D2F17E" w14:textId="77777777" w:rsidR="00F8005A" w:rsidRPr="0058310C" w:rsidRDefault="00F8005A" w:rsidP="00F45709">
            <w:pPr>
              <w:jc w:val="right"/>
              <w:rPr>
                <w:rFonts w:eastAsia="Times New Roman" w:cstheme="minorHAnsi"/>
                <w:sz w:val="18"/>
                <w:szCs w:val="18"/>
                <w:lang w:eastAsia="hr-HR"/>
              </w:rPr>
            </w:pPr>
            <w:r w:rsidRPr="0058310C">
              <w:rPr>
                <w:rFonts w:eastAsia="Times New Roman" w:cstheme="minorHAnsi"/>
                <w:sz w:val="18"/>
                <w:szCs w:val="18"/>
                <w:lang w:eastAsia="hr-HR"/>
              </w:rPr>
              <w:t xml:space="preserve">25.261   </w:t>
            </w:r>
          </w:p>
        </w:tc>
        <w:tc>
          <w:tcPr>
            <w:tcW w:w="1312" w:type="dxa"/>
            <w:tcBorders>
              <w:top w:val="nil"/>
              <w:left w:val="nil"/>
              <w:bottom w:val="single" w:sz="4" w:space="0" w:color="auto"/>
              <w:right w:val="single" w:sz="4" w:space="0" w:color="auto"/>
            </w:tcBorders>
            <w:shd w:val="clear" w:color="auto" w:fill="auto"/>
            <w:noWrap/>
            <w:vAlign w:val="center"/>
            <w:hideMark/>
          </w:tcPr>
          <w:p w14:paraId="7B873E7E" w14:textId="77777777" w:rsidR="00F8005A" w:rsidRPr="0058310C" w:rsidRDefault="00F8005A" w:rsidP="00F45709">
            <w:pPr>
              <w:jc w:val="right"/>
              <w:rPr>
                <w:rFonts w:eastAsia="Times New Roman" w:cstheme="minorHAnsi"/>
                <w:sz w:val="18"/>
                <w:szCs w:val="18"/>
                <w:lang w:eastAsia="hr-HR"/>
              </w:rPr>
            </w:pPr>
            <w:r w:rsidRPr="0058310C">
              <w:rPr>
                <w:rFonts w:eastAsia="Times New Roman" w:cstheme="minorHAnsi"/>
                <w:sz w:val="18"/>
                <w:szCs w:val="18"/>
                <w:lang w:eastAsia="hr-HR"/>
              </w:rPr>
              <w:t>93%</w:t>
            </w:r>
          </w:p>
        </w:tc>
      </w:tr>
      <w:tr w:rsidR="00F8005A" w:rsidRPr="0058310C" w14:paraId="6213A792" w14:textId="77777777" w:rsidTr="00F8005A">
        <w:trPr>
          <w:trHeight w:val="363"/>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4AA9A1FA" w14:textId="77777777" w:rsidR="00F8005A" w:rsidRPr="0058310C" w:rsidRDefault="00F8005A" w:rsidP="00F45709">
            <w:pPr>
              <w:rPr>
                <w:rFonts w:eastAsia="Times New Roman" w:cstheme="minorHAnsi"/>
                <w:sz w:val="18"/>
                <w:szCs w:val="18"/>
                <w:lang w:eastAsia="hr-HR"/>
              </w:rPr>
            </w:pPr>
            <w:r w:rsidRPr="0058310C">
              <w:rPr>
                <w:rFonts w:eastAsia="Times New Roman" w:cstheme="minorHAnsi"/>
                <w:sz w:val="18"/>
                <w:szCs w:val="18"/>
                <w:lang w:eastAsia="hr-HR"/>
              </w:rPr>
              <w:t>016.</w:t>
            </w:r>
          </w:p>
        </w:tc>
        <w:tc>
          <w:tcPr>
            <w:tcW w:w="3754" w:type="dxa"/>
            <w:tcBorders>
              <w:top w:val="nil"/>
              <w:left w:val="nil"/>
              <w:bottom w:val="single" w:sz="4" w:space="0" w:color="auto"/>
              <w:right w:val="single" w:sz="4" w:space="0" w:color="auto"/>
            </w:tcBorders>
            <w:shd w:val="clear" w:color="auto" w:fill="auto"/>
            <w:vAlign w:val="center"/>
            <w:hideMark/>
          </w:tcPr>
          <w:p w14:paraId="68B7E329" w14:textId="77777777" w:rsidR="00F8005A" w:rsidRPr="0058310C" w:rsidRDefault="00F8005A" w:rsidP="00F45709">
            <w:pPr>
              <w:rPr>
                <w:rFonts w:eastAsia="Times New Roman" w:cstheme="minorHAnsi"/>
                <w:sz w:val="18"/>
                <w:szCs w:val="18"/>
                <w:lang w:eastAsia="hr-HR"/>
              </w:rPr>
            </w:pPr>
            <w:r w:rsidRPr="0058310C">
              <w:rPr>
                <w:rFonts w:eastAsia="Times New Roman" w:cstheme="minorHAnsi"/>
                <w:sz w:val="18"/>
                <w:szCs w:val="18"/>
                <w:lang w:eastAsia="hr-HR"/>
              </w:rPr>
              <w:t>Usluge prijevoza, transporta, dostave, otpreme, pošte  i usluge  putničkih agencija</w:t>
            </w:r>
          </w:p>
        </w:tc>
        <w:tc>
          <w:tcPr>
            <w:tcW w:w="1627" w:type="dxa"/>
            <w:tcBorders>
              <w:top w:val="nil"/>
              <w:left w:val="nil"/>
              <w:bottom w:val="single" w:sz="4" w:space="0" w:color="auto"/>
              <w:right w:val="single" w:sz="4" w:space="0" w:color="auto"/>
            </w:tcBorders>
            <w:shd w:val="clear" w:color="auto" w:fill="auto"/>
            <w:noWrap/>
            <w:vAlign w:val="center"/>
            <w:hideMark/>
          </w:tcPr>
          <w:p w14:paraId="719298F2" w14:textId="77777777" w:rsidR="00F8005A" w:rsidRPr="0058310C" w:rsidRDefault="00F8005A" w:rsidP="00F45709">
            <w:pPr>
              <w:jc w:val="right"/>
              <w:rPr>
                <w:rFonts w:eastAsia="Times New Roman" w:cstheme="minorHAnsi"/>
                <w:sz w:val="18"/>
                <w:szCs w:val="18"/>
                <w:lang w:eastAsia="hr-HR"/>
              </w:rPr>
            </w:pPr>
            <w:r w:rsidRPr="0058310C">
              <w:rPr>
                <w:rFonts w:eastAsia="Times New Roman" w:cstheme="minorHAnsi"/>
                <w:sz w:val="18"/>
                <w:szCs w:val="18"/>
                <w:lang w:eastAsia="hr-HR"/>
              </w:rPr>
              <w:t xml:space="preserve">103.165   </w:t>
            </w:r>
          </w:p>
        </w:tc>
        <w:tc>
          <w:tcPr>
            <w:tcW w:w="1601" w:type="dxa"/>
            <w:tcBorders>
              <w:top w:val="nil"/>
              <w:left w:val="nil"/>
              <w:bottom w:val="single" w:sz="4" w:space="0" w:color="auto"/>
              <w:right w:val="single" w:sz="4" w:space="0" w:color="auto"/>
            </w:tcBorders>
            <w:shd w:val="clear" w:color="auto" w:fill="auto"/>
            <w:noWrap/>
            <w:vAlign w:val="center"/>
            <w:hideMark/>
          </w:tcPr>
          <w:p w14:paraId="20028230" w14:textId="77777777" w:rsidR="00F8005A" w:rsidRPr="0058310C" w:rsidRDefault="00F8005A" w:rsidP="00F45709">
            <w:pPr>
              <w:jc w:val="right"/>
              <w:rPr>
                <w:rFonts w:eastAsia="Times New Roman" w:cstheme="minorHAnsi"/>
                <w:sz w:val="18"/>
                <w:szCs w:val="18"/>
                <w:lang w:eastAsia="hr-HR"/>
              </w:rPr>
            </w:pPr>
            <w:r w:rsidRPr="0058310C">
              <w:rPr>
                <w:rFonts w:eastAsia="Times New Roman" w:cstheme="minorHAnsi"/>
                <w:sz w:val="18"/>
                <w:szCs w:val="18"/>
                <w:lang w:eastAsia="hr-HR"/>
              </w:rPr>
              <w:t xml:space="preserve">86.952   </w:t>
            </w:r>
          </w:p>
        </w:tc>
        <w:tc>
          <w:tcPr>
            <w:tcW w:w="1312" w:type="dxa"/>
            <w:tcBorders>
              <w:top w:val="nil"/>
              <w:left w:val="nil"/>
              <w:bottom w:val="single" w:sz="4" w:space="0" w:color="auto"/>
              <w:right w:val="single" w:sz="4" w:space="0" w:color="auto"/>
            </w:tcBorders>
            <w:shd w:val="clear" w:color="auto" w:fill="auto"/>
            <w:noWrap/>
            <w:vAlign w:val="center"/>
            <w:hideMark/>
          </w:tcPr>
          <w:p w14:paraId="1B493219" w14:textId="77777777" w:rsidR="00F8005A" w:rsidRPr="0058310C" w:rsidRDefault="00F8005A" w:rsidP="00F45709">
            <w:pPr>
              <w:jc w:val="right"/>
              <w:rPr>
                <w:rFonts w:eastAsia="Times New Roman" w:cstheme="minorHAnsi"/>
                <w:sz w:val="18"/>
                <w:szCs w:val="18"/>
                <w:lang w:eastAsia="hr-HR"/>
              </w:rPr>
            </w:pPr>
            <w:r w:rsidRPr="0058310C">
              <w:rPr>
                <w:rFonts w:eastAsia="Times New Roman" w:cstheme="minorHAnsi"/>
                <w:sz w:val="18"/>
                <w:szCs w:val="18"/>
                <w:lang w:eastAsia="hr-HR"/>
              </w:rPr>
              <w:t>84%</w:t>
            </w:r>
          </w:p>
        </w:tc>
      </w:tr>
      <w:tr w:rsidR="00F8005A" w:rsidRPr="0058310C" w14:paraId="2626D8EB" w14:textId="77777777" w:rsidTr="00F8005A">
        <w:trPr>
          <w:trHeight w:val="236"/>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2710789D" w14:textId="77777777" w:rsidR="00F8005A" w:rsidRPr="0058310C" w:rsidRDefault="00F8005A" w:rsidP="00F45709">
            <w:pPr>
              <w:rPr>
                <w:rFonts w:eastAsia="Times New Roman" w:cstheme="minorHAnsi"/>
                <w:sz w:val="18"/>
                <w:szCs w:val="18"/>
                <w:lang w:eastAsia="hr-HR"/>
              </w:rPr>
            </w:pPr>
            <w:r w:rsidRPr="0058310C">
              <w:rPr>
                <w:rFonts w:eastAsia="Times New Roman" w:cstheme="minorHAnsi"/>
                <w:sz w:val="18"/>
                <w:szCs w:val="18"/>
                <w:lang w:eastAsia="hr-HR"/>
              </w:rPr>
              <w:t>017.</w:t>
            </w:r>
          </w:p>
        </w:tc>
        <w:tc>
          <w:tcPr>
            <w:tcW w:w="3754" w:type="dxa"/>
            <w:tcBorders>
              <w:top w:val="nil"/>
              <w:left w:val="nil"/>
              <w:bottom w:val="single" w:sz="4" w:space="0" w:color="auto"/>
              <w:right w:val="single" w:sz="4" w:space="0" w:color="auto"/>
            </w:tcBorders>
            <w:shd w:val="clear" w:color="auto" w:fill="auto"/>
            <w:vAlign w:val="center"/>
            <w:hideMark/>
          </w:tcPr>
          <w:p w14:paraId="3DEFDA14" w14:textId="77777777" w:rsidR="00F8005A" w:rsidRPr="0058310C" w:rsidRDefault="00F8005A" w:rsidP="00F45709">
            <w:pPr>
              <w:rPr>
                <w:rFonts w:eastAsia="Times New Roman" w:cstheme="minorHAnsi"/>
                <w:sz w:val="18"/>
                <w:szCs w:val="18"/>
                <w:lang w:eastAsia="hr-HR"/>
              </w:rPr>
            </w:pPr>
            <w:r w:rsidRPr="0058310C">
              <w:rPr>
                <w:rFonts w:eastAsia="Times New Roman" w:cstheme="minorHAnsi"/>
                <w:sz w:val="18"/>
                <w:szCs w:val="18"/>
                <w:lang w:eastAsia="hr-HR"/>
              </w:rPr>
              <w:t>Gospodarske javne službe</w:t>
            </w:r>
          </w:p>
        </w:tc>
        <w:tc>
          <w:tcPr>
            <w:tcW w:w="1627" w:type="dxa"/>
            <w:tcBorders>
              <w:top w:val="nil"/>
              <w:left w:val="nil"/>
              <w:bottom w:val="single" w:sz="4" w:space="0" w:color="auto"/>
              <w:right w:val="single" w:sz="4" w:space="0" w:color="auto"/>
            </w:tcBorders>
            <w:shd w:val="clear" w:color="auto" w:fill="auto"/>
            <w:noWrap/>
            <w:vAlign w:val="center"/>
            <w:hideMark/>
          </w:tcPr>
          <w:p w14:paraId="358E1033" w14:textId="77777777" w:rsidR="00F8005A" w:rsidRPr="0058310C" w:rsidRDefault="00F8005A" w:rsidP="00F45709">
            <w:pPr>
              <w:jc w:val="right"/>
              <w:rPr>
                <w:rFonts w:eastAsia="Times New Roman" w:cstheme="minorHAnsi"/>
                <w:sz w:val="18"/>
                <w:szCs w:val="18"/>
                <w:lang w:eastAsia="hr-HR"/>
              </w:rPr>
            </w:pPr>
            <w:r w:rsidRPr="0058310C">
              <w:rPr>
                <w:rFonts w:eastAsia="Times New Roman" w:cstheme="minorHAnsi"/>
                <w:sz w:val="18"/>
                <w:szCs w:val="18"/>
                <w:lang w:eastAsia="hr-HR"/>
              </w:rPr>
              <w:t xml:space="preserve">216.000   </w:t>
            </w:r>
          </w:p>
        </w:tc>
        <w:tc>
          <w:tcPr>
            <w:tcW w:w="1601" w:type="dxa"/>
            <w:tcBorders>
              <w:top w:val="nil"/>
              <w:left w:val="nil"/>
              <w:bottom w:val="single" w:sz="4" w:space="0" w:color="auto"/>
              <w:right w:val="single" w:sz="4" w:space="0" w:color="auto"/>
            </w:tcBorders>
            <w:shd w:val="clear" w:color="auto" w:fill="auto"/>
            <w:noWrap/>
            <w:vAlign w:val="center"/>
            <w:hideMark/>
          </w:tcPr>
          <w:p w14:paraId="261053B0" w14:textId="77777777" w:rsidR="00F8005A" w:rsidRPr="0058310C" w:rsidRDefault="00F8005A" w:rsidP="00F45709">
            <w:pPr>
              <w:jc w:val="right"/>
              <w:rPr>
                <w:rFonts w:eastAsia="Times New Roman" w:cstheme="minorHAnsi"/>
                <w:sz w:val="18"/>
                <w:szCs w:val="18"/>
                <w:lang w:eastAsia="hr-HR"/>
              </w:rPr>
            </w:pPr>
            <w:r w:rsidRPr="0058310C">
              <w:rPr>
                <w:rFonts w:eastAsia="Times New Roman" w:cstheme="minorHAnsi"/>
                <w:sz w:val="18"/>
                <w:szCs w:val="18"/>
                <w:lang w:eastAsia="hr-HR"/>
              </w:rPr>
              <w:t xml:space="preserve">77.633   </w:t>
            </w:r>
          </w:p>
        </w:tc>
        <w:tc>
          <w:tcPr>
            <w:tcW w:w="1312" w:type="dxa"/>
            <w:tcBorders>
              <w:top w:val="nil"/>
              <w:left w:val="nil"/>
              <w:bottom w:val="single" w:sz="4" w:space="0" w:color="auto"/>
              <w:right w:val="single" w:sz="4" w:space="0" w:color="auto"/>
            </w:tcBorders>
            <w:shd w:val="clear" w:color="auto" w:fill="auto"/>
            <w:noWrap/>
            <w:vAlign w:val="center"/>
            <w:hideMark/>
          </w:tcPr>
          <w:p w14:paraId="5B6754A3" w14:textId="77777777" w:rsidR="00F8005A" w:rsidRPr="0058310C" w:rsidRDefault="00F8005A" w:rsidP="00F45709">
            <w:pPr>
              <w:jc w:val="right"/>
              <w:rPr>
                <w:rFonts w:eastAsia="Times New Roman" w:cstheme="minorHAnsi"/>
                <w:sz w:val="18"/>
                <w:szCs w:val="18"/>
                <w:lang w:eastAsia="hr-HR"/>
              </w:rPr>
            </w:pPr>
            <w:r w:rsidRPr="0058310C">
              <w:rPr>
                <w:rFonts w:eastAsia="Times New Roman" w:cstheme="minorHAnsi"/>
                <w:sz w:val="18"/>
                <w:szCs w:val="18"/>
                <w:lang w:eastAsia="hr-HR"/>
              </w:rPr>
              <w:t>36%</w:t>
            </w:r>
          </w:p>
        </w:tc>
      </w:tr>
      <w:tr w:rsidR="00F8005A" w:rsidRPr="0058310C" w14:paraId="02DD1931" w14:textId="77777777" w:rsidTr="00F8005A">
        <w:trPr>
          <w:trHeight w:val="236"/>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3B5C71D5" w14:textId="77777777" w:rsidR="00F8005A" w:rsidRPr="0058310C" w:rsidRDefault="00F8005A" w:rsidP="00F45709">
            <w:pPr>
              <w:rPr>
                <w:rFonts w:eastAsia="Times New Roman" w:cstheme="minorHAnsi"/>
                <w:sz w:val="18"/>
                <w:szCs w:val="18"/>
                <w:lang w:eastAsia="hr-HR"/>
              </w:rPr>
            </w:pPr>
            <w:r w:rsidRPr="0058310C">
              <w:rPr>
                <w:rFonts w:eastAsia="Times New Roman" w:cstheme="minorHAnsi"/>
                <w:sz w:val="18"/>
                <w:szCs w:val="18"/>
                <w:lang w:eastAsia="hr-HR"/>
              </w:rPr>
              <w:t>018.</w:t>
            </w:r>
          </w:p>
        </w:tc>
        <w:tc>
          <w:tcPr>
            <w:tcW w:w="3754" w:type="dxa"/>
            <w:tcBorders>
              <w:top w:val="nil"/>
              <w:left w:val="nil"/>
              <w:bottom w:val="single" w:sz="4" w:space="0" w:color="auto"/>
              <w:right w:val="single" w:sz="4" w:space="0" w:color="auto"/>
            </w:tcBorders>
            <w:shd w:val="clear" w:color="auto" w:fill="auto"/>
            <w:vAlign w:val="center"/>
            <w:hideMark/>
          </w:tcPr>
          <w:p w14:paraId="6487D6A3" w14:textId="77777777" w:rsidR="00F8005A" w:rsidRPr="0058310C" w:rsidRDefault="00F8005A" w:rsidP="00F45709">
            <w:pPr>
              <w:rPr>
                <w:rFonts w:eastAsia="Times New Roman" w:cstheme="minorHAnsi"/>
                <w:sz w:val="18"/>
                <w:szCs w:val="18"/>
                <w:lang w:eastAsia="hr-HR"/>
              </w:rPr>
            </w:pPr>
            <w:r w:rsidRPr="0058310C">
              <w:rPr>
                <w:rFonts w:eastAsia="Times New Roman" w:cstheme="minorHAnsi"/>
                <w:sz w:val="18"/>
                <w:szCs w:val="18"/>
                <w:lang w:eastAsia="hr-HR"/>
              </w:rPr>
              <w:t>Usluge osiguranja</w:t>
            </w:r>
          </w:p>
        </w:tc>
        <w:tc>
          <w:tcPr>
            <w:tcW w:w="1627" w:type="dxa"/>
            <w:tcBorders>
              <w:top w:val="nil"/>
              <w:left w:val="nil"/>
              <w:bottom w:val="single" w:sz="4" w:space="0" w:color="auto"/>
              <w:right w:val="single" w:sz="4" w:space="0" w:color="auto"/>
            </w:tcBorders>
            <w:shd w:val="clear" w:color="auto" w:fill="auto"/>
            <w:noWrap/>
            <w:vAlign w:val="center"/>
            <w:hideMark/>
          </w:tcPr>
          <w:p w14:paraId="4A421863" w14:textId="77777777" w:rsidR="00F8005A" w:rsidRPr="0058310C" w:rsidRDefault="00F8005A" w:rsidP="00F45709">
            <w:pPr>
              <w:jc w:val="right"/>
              <w:rPr>
                <w:rFonts w:eastAsia="Times New Roman" w:cstheme="minorHAnsi"/>
                <w:sz w:val="18"/>
                <w:szCs w:val="18"/>
                <w:lang w:eastAsia="hr-HR"/>
              </w:rPr>
            </w:pPr>
            <w:r w:rsidRPr="0058310C">
              <w:rPr>
                <w:rFonts w:eastAsia="Times New Roman" w:cstheme="minorHAnsi"/>
                <w:sz w:val="18"/>
                <w:szCs w:val="18"/>
                <w:lang w:eastAsia="hr-HR"/>
              </w:rPr>
              <w:t xml:space="preserve">106.165   </w:t>
            </w:r>
          </w:p>
        </w:tc>
        <w:tc>
          <w:tcPr>
            <w:tcW w:w="1601" w:type="dxa"/>
            <w:tcBorders>
              <w:top w:val="nil"/>
              <w:left w:val="nil"/>
              <w:bottom w:val="single" w:sz="4" w:space="0" w:color="auto"/>
              <w:right w:val="single" w:sz="4" w:space="0" w:color="auto"/>
            </w:tcBorders>
            <w:shd w:val="clear" w:color="auto" w:fill="auto"/>
            <w:noWrap/>
            <w:vAlign w:val="center"/>
            <w:hideMark/>
          </w:tcPr>
          <w:p w14:paraId="64AE5A64" w14:textId="77777777" w:rsidR="00F8005A" w:rsidRPr="0058310C" w:rsidRDefault="00F8005A" w:rsidP="00F45709">
            <w:pPr>
              <w:jc w:val="right"/>
              <w:rPr>
                <w:rFonts w:eastAsia="Times New Roman" w:cstheme="minorHAnsi"/>
                <w:sz w:val="18"/>
                <w:szCs w:val="18"/>
                <w:lang w:eastAsia="hr-HR"/>
              </w:rPr>
            </w:pPr>
            <w:r w:rsidRPr="0058310C">
              <w:rPr>
                <w:rFonts w:eastAsia="Times New Roman" w:cstheme="minorHAnsi"/>
                <w:sz w:val="18"/>
                <w:szCs w:val="18"/>
                <w:lang w:eastAsia="hr-HR"/>
              </w:rPr>
              <w:t xml:space="preserve">87.664   </w:t>
            </w:r>
          </w:p>
        </w:tc>
        <w:tc>
          <w:tcPr>
            <w:tcW w:w="1312" w:type="dxa"/>
            <w:tcBorders>
              <w:top w:val="nil"/>
              <w:left w:val="nil"/>
              <w:bottom w:val="single" w:sz="4" w:space="0" w:color="auto"/>
              <w:right w:val="single" w:sz="4" w:space="0" w:color="auto"/>
            </w:tcBorders>
            <w:shd w:val="clear" w:color="auto" w:fill="auto"/>
            <w:noWrap/>
            <w:vAlign w:val="center"/>
            <w:hideMark/>
          </w:tcPr>
          <w:p w14:paraId="0FCE92A9" w14:textId="77777777" w:rsidR="00F8005A" w:rsidRPr="0058310C" w:rsidRDefault="00F8005A" w:rsidP="00F45709">
            <w:pPr>
              <w:jc w:val="right"/>
              <w:rPr>
                <w:rFonts w:eastAsia="Times New Roman" w:cstheme="minorHAnsi"/>
                <w:sz w:val="18"/>
                <w:szCs w:val="18"/>
                <w:lang w:eastAsia="hr-HR"/>
              </w:rPr>
            </w:pPr>
            <w:r w:rsidRPr="0058310C">
              <w:rPr>
                <w:rFonts w:eastAsia="Times New Roman" w:cstheme="minorHAnsi"/>
                <w:sz w:val="18"/>
                <w:szCs w:val="18"/>
                <w:lang w:eastAsia="hr-HR"/>
              </w:rPr>
              <w:t>83%</w:t>
            </w:r>
          </w:p>
        </w:tc>
      </w:tr>
      <w:tr w:rsidR="00F8005A" w:rsidRPr="0058310C" w14:paraId="5EC9AD9E" w14:textId="77777777" w:rsidTr="00F8005A">
        <w:trPr>
          <w:trHeight w:val="236"/>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771C1E53" w14:textId="77777777" w:rsidR="00F8005A" w:rsidRPr="0058310C" w:rsidRDefault="00F8005A" w:rsidP="00F45709">
            <w:pPr>
              <w:rPr>
                <w:rFonts w:eastAsia="Times New Roman" w:cstheme="minorHAnsi"/>
                <w:sz w:val="18"/>
                <w:szCs w:val="18"/>
                <w:lang w:eastAsia="hr-HR"/>
              </w:rPr>
            </w:pPr>
            <w:r w:rsidRPr="0058310C">
              <w:rPr>
                <w:rFonts w:eastAsia="Times New Roman" w:cstheme="minorHAnsi"/>
                <w:sz w:val="18"/>
                <w:szCs w:val="18"/>
                <w:lang w:eastAsia="hr-HR"/>
              </w:rPr>
              <w:t>019.</w:t>
            </w:r>
          </w:p>
        </w:tc>
        <w:tc>
          <w:tcPr>
            <w:tcW w:w="3754" w:type="dxa"/>
            <w:tcBorders>
              <w:top w:val="nil"/>
              <w:left w:val="nil"/>
              <w:bottom w:val="single" w:sz="4" w:space="0" w:color="auto"/>
              <w:right w:val="single" w:sz="4" w:space="0" w:color="auto"/>
            </w:tcBorders>
            <w:shd w:val="clear" w:color="auto" w:fill="auto"/>
            <w:vAlign w:val="center"/>
            <w:hideMark/>
          </w:tcPr>
          <w:p w14:paraId="0CC458D5" w14:textId="77777777" w:rsidR="00F8005A" w:rsidRPr="0058310C" w:rsidRDefault="00F8005A" w:rsidP="00F45709">
            <w:pPr>
              <w:rPr>
                <w:rFonts w:eastAsia="Times New Roman" w:cstheme="minorHAnsi"/>
                <w:sz w:val="18"/>
                <w:szCs w:val="18"/>
                <w:lang w:eastAsia="hr-HR"/>
              </w:rPr>
            </w:pPr>
            <w:r w:rsidRPr="0058310C">
              <w:rPr>
                <w:rFonts w:eastAsia="Times New Roman" w:cstheme="minorHAnsi"/>
                <w:sz w:val="18"/>
                <w:szCs w:val="18"/>
                <w:lang w:eastAsia="hr-HR"/>
              </w:rPr>
              <w:t>Intelektualne usluge i projekti</w:t>
            </w:r>
          </w:p>
        </w:tc>
        <w:tc>
          <w:tcPr>
            <w:tcW w:w="1627" w:type="dxa"/>
            <w:tcBorders>
              <w:top w:val="nil"/>
              <w:left w:val="nil"/>
              <w:bottom w:val="single" w:sz="4" w:space="0" w:color="auto"/>
              <w:right w:val="single" w:sz="4" w:space="0" w:color="auto"/>
            </w:tcBorders>
            <w:shd w:val="clear" w:color="auto" w:fill="auto"/>
            <w:noWrap/>
            <w:vAlign w:val="center"/>
            <w:hideMark/>
          </w:tcPr>
          <w:p w14:paraId="6390A58A" w14:textId="77777777" w:rsidR="00F8005A" w:rsidRPr="0058310C" w:rsidRDefault="00F8005A" w:rsidP="00F45709">
            <w:pPr>
              <w:jc w:val="right"/>
              <w:rPr>
                <w:rFonts w:eastAsia="Times New Roman" w:cstheme="minorHAnsi"/>
                <w:sz w:val="18"/>
                <w:szCs w:val="18"/>
                <w:lang w:eastAsia="hr-HR"/>
              </w:rPr>
            </w:pPr>
            <w:r w:rsidRPr="0058310C">
              <w:rPr>
                <w:rFonts w:eastAsia="Times New Roman" w:cstheme="minorHAnsi"/>
                <w:sz w:val="18"/>
                <w:szCs w:val="18"/>
                <w:lang w:eastAsia="hr-HR"/>
              </w:rPr>
              <w:t xml:space="preserve">31.750   </w:t>
            </w:r>
          </w:p>
        </w:tc>
        <w:tc>
          <w:tcPr>
            <w:tcW w:w="1601" w:type="dxa"/>
            <w:tcBorders>
              <w:top w:val="nil"/>
              <w:left w:val="nil"/>
              <w:bottom w:val="single" w:sz="4" w:space="0" w:color="auto"/>
              <w:right w:val="single" w:sz="4" w:space="0" w:color="auto"/>
            </w:tcBorders>
            <w:shd w:val="clear" w:color="auto" w:fill="auto"/>
            <w:noWrap/>
            <w:vAlign w:val="center"/>
            <w:hideMark/>
          </w:tcPr>
          <w:p w14:paraId="3F2B87E2" w14:textId="77777777" w:rsidR="00F8005A" w:rsidRPr="0058310C" w:rsidRDefault="00F8005A" w:rsidP="00F45709">
            <w:pPr>
              <w:jc w:val="right"/>
              <w:rPr>
                <w:rFonts w:eastAsia="Times New Roman" w:cstheme="minorHAnsi"/>
                <w:sz w:val="18"/>
                <w:szCs w:val="18"/>
                <w:lang w:eastAsia="hr-HR"/>
              </w:rPr>
            </w:pPr>
            <w:r w:rsidRPr="0058310C">
              <w:rPr>
                <w:rFonts w:eastAsia="Times New Roman" w:cstheme="minorHAnsi"/>
                <w:sz w:val="18"/>
                <w:szCs w:val="18"/>
                <w:lang w:eastAsia="hr-HR"/>
              </w:rPr>
              <w:t xml:space="preserve">6.051   </w:t>
            </w:r>
          </w:p>
        </w:tc>
        <w:tc>
          <w:tcPr>
            <w:tcW w:w="1312" w:type="dxa"/>
            <w:tcBorders>
              <w:top w:val="nil"/>
              <w:left w:val="nil"/>
              <w:bottom w:val="single" w:sz="4" w:space="0" w:color="auto"/>
              <w:right w:val="single" w:sz="4" w:space="0" w:color="auto"/>
            </w:tcBorders>
            <w:shd w:val="clear" w:color="auto" w:fill="auto"/>
            <w:noWrap/>
            <w:vAlign w:val="center"/>
            <w:hideMark/>
          </w:tcPr>
          <w:p w14:paraId="0408C066" w14:textId="77777777" w:rsidR="00F8005A" w:rsidRPr="0058310C" w:rsidRDefault="00F8005A" w:rsidP="00F45709">
            <w:pPr>
              <w:jc w:val="right"/>
              <w:rPr>
                <w:rFonts w:eastAsia="Times New Roman" w:cstheme="minorHAnsi"/>
                <w:sz w:val="18"/>
                <w:szCs w:val="18"/>
                <w:lang w:eastAsia="hr-HR"/>
              </w:rPr>
            </w:pPr>
            <w:r w:rsidRPr="0058310C">
              <w:rPr>
                <w:rFonts w:eastAsia="Times New Roman" w:cstheme="minorHAnsi"/>
                <w:sz w:val="18"/>
                <w:szCs w:val="18"/>
                <w:lang w:eastAsia="hr-HR"/>
              </w:rPr>
              <w:t>19%</w:t>
            </w:r>
          </w:p>
        </w:tc>
      </w:tr>
      <w:tr w:rsidR="00F8005A" w:rsidRPr="0058310C" w14:paraId="02D9F2F1" w14:textId="77777777" w:rsidTr="00F8005A">
        <w:trPr>
          <w:trHeight w:val="236"/>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7A1678D0" w14:textId="77777777" w:rsidR="00F8005A" w:rsidRPr="0058310C" w:rsidRDefault="00F8005A" w:rsidP="00F45709">
            <w:pPr>
              <w:rPr>
                <w:rFonts w:eastAsia="Times New Roman" w:cstheme="minorHAnsi"/>
                <w:sz w:val="18"/>
                <w:szCs w:val="18"/>
                <w:lang w:eastAsia="hr-HR"/>
              </w:rPr>
            </w:pPr>
            <w:r w:rsidRPr="0058310C">
              <w:rPr>
                <w:rFonts w:eastAsia="Times New Roman" w:cstheme="minorHAnsi"/>
                <w:sz w:val="18"/>
                <w:szCs w:val="18"/>
                <w:lang w:eastAsia="hr-HR"/>
              </w:rPr>
              <w:t>020.</w:t>
            </w:r>
          </w:p>
        </w:tc>
        <w:tc>
          <w:tcPr>
            <w:tcW w:w="3754" w:type="dxa"/>
            <w:tcBorders>
              <w:top w:val="nil"/>
              <w:left w:val="nil"/>
              <w:bottom w:val="single" w:sz="4" w:space="0" w:color="auto"/>
              <w:right w:val="single" w:sz="4" w:space="0" w:color="auto"/>
            </w:tcBorders>
            <w:shd w:val="clear" w:color="auto" w:fill="auto"/>
            <w:vAlign w:val="center"/>
            <w:hideMark/>
          </w:tcPr>
          <w:p w14:paraId="4B25AB6A" w14:textId="77777777" w:rsidR="00F8005A" w:rsidRPr="0058310C" w:rsidRDefault="00F8005A" w:rsidP="00F45709">
            <w:pPr>
              <w:rPr>
                <w:rFonts w:eastAsia="Times New Roman" w:cstheme="minorHAnsi"/>
                <w:sz w:val="18"/>
                <w:szCs w:val="18"/>
                <w:lang w:eastAsia="hr-HR"/>
              </w:rPr>
            </w:pPr>
            <w:r w:rsidRPr="0058310C">
              <w:rPr>
                <w:rFonts w:eastAsia="Times New Roman" w:cstheme="minorHAnsi"/>
                <w:sz w:val="18"/>
                <w:szCs w:val="18"/>
                <w:lang w:eastAsia="hr-HR"/>
              </w:rPr>
              <w:t>Usluge obrazovanja</w:t>
            </w:r>
          </w:p>
        </w:tc>
        <w:tc>
          <w:tcPr>
            <w:tcW w:w="1627" w:type="dxa"/>
            <w:tcBorders>
              <w:top w:val="nil"/>
              <w:left w:val="nil"/>
              <w:bottom w:val="single" w:sz="4" w:space="0" w:color="auto"/>
              <w:right w:val="single" w:sz="4" w:space="0" w:color="auto"/>
            </w:tcBorders>
            <w:shd w:val="clear" w:color="auto" w:fill="auto"/>
            <w:noWrap/>
            <w:vAlign w:val="center"/>
            <w:hideMark/>
          </w:tcPr>
          <w:p w14:paraId="7F2DD20D" w14:textId="77777777" w:rsidR="00F8005A" w:rsidRPr="0058310C" w:rsidRDefault="00F8005A" w:rsidP="00F45709">
            <w:pPr>
              <w:jc w:val="right"/>
              <w:rPr>
                <w:rFonts w:eastAsia="Times New Roman" w:cstheme="minorHAnsi"/>
                <w:sz w:val="18"/>
                <w:szCs w:val="18"/>
                <w:lang w:eastAsia="hr-HR"/>
              </w:rPr>
            </w:pPr>
            <w:r w:rsidRPr="0058310C">
              <w:rPr>
                <w:rFonts w:eastAsia="Times New Roman" w:cstheme="minorHAnsi"/>
                <w:sz w:val="18"/>
                <w:szCs w:val="18"/>
                <w:lang w:eastAsia="hr-HR"/>
              </w:rPr>
              <w:t xml:space="preserve">13.400   </w:t>
            </w:r>
          </w:p>
        </w:tc>
        <w:tc>
          <w:tcPr>
            <w:tcW w:w="1601" w:type="dxa"/>
            <w:tcBorders>
              <w:top w:val="nil"/>
              <w:left w:val="nil"/>
              <w:bottom w:val="single" w:sz="4" w:space="0" w:color="auto"/>
              <w:right w:val="single" w:sz="4" w:space="0" w:color="auto"/>
            </w:tcBorders>
            <w:shd w:val="clear" w:color="auto" w:fill="auto"/>
            <w:noWrap/>
            <w:vAlign w:val="center"/>
            <w:hideMark/>
          </w:tcPr>
          <w:p w14:paraId="1BE0470B" w14:textId="77777777" w:rsidR="00F8005A" w:rsidRPr="0058310C" w:rsidRDefault="00F8005A" w:rsidP="00F45709">
            <w:pPr>
              <w:jc w:val="right"/>
              <w:rPr>
                <w:rFonts w:eastAsia="Times New Roman" w:cstheme="minorHAnsi"/>
                <w:sz w:val="18"/>
                <w:szCs w:val="18"/>
                <w:lang w:eastAsia="hr-HR"/>
              </w:rPr>
            </w:pPr>
            <w:r w:rsidRPr="0058310C">
              <w:rPr>
                <w:rFonts w:eastAsia="Times New Roman" w:cstheme="minorHAnsi"/>
                <w:sz w:val="18"/>
                <w:szCs w:val="18"/>
                <w:lang w:eastAsia="hr-HR"/>
              </w:rPr>
              <w:t xml:space="preserve">7.434   </w:t>
            </w:r>
          </w:p>
        </w:tc>
        <w:tc>
          <w:tcPr>
            <w:tcW w:w="1312" w:type="dxa"/>
            <w:tcBorders>
              <w:top w:val="nil"/>
              <w:left w:val="nil"/>
              <w:bottom w:val="single" w:sz="4" w:space="0" w:color="auto"/>
              <w:right w:val="single" w:sz="4" w:space="0" w:color="auto"/>
            </w:tcBorders>
            <w:shd w:val="clear" w:color="auto" w:fill="auto"/>
            <w:noWrap/>
            <w:vAlign w:val="center"/>
            <w:hideMark/>
          </w:tcPr>
          <w:p w14:paraId="06123077" w14:textId="77777777" w:rsidR="00F8005A" w:rsidRPr="0058310C" w:rsidRDefault="00F8005A" w:rsidP="00F45709">
            <w:pPr>
              <w:jc w:val="right"/>
              <w:rPr>
                <w:rFonts w:eastAsia="Times New Roman" w:cstheme="minorHAnsi"/>
                <w:sz w:val="18"/>
                <w:szCs w:val="18"/>
                <w:lang w:eastAsia="hr-HR"/>
              </w:rPr>
            </w:pPr>
            <w:r w:rsidRPr="0058310C">
              <w:rPr>
                <w:rFonts w:eastAsia="Times New Roman" w:cstheme="minorHAnsi"/>
                <w:sz w:val="18"/>
                <w:szCs w:val="18"/>
                <w:lang w:eastAsia="hr-HR"/>
              </w:rPr>
              <w:t>55%</w:t>
            </w:r>
          </w:p>
        </w:tc>
      </w:tr>
      <w:tr w:rsidR="00F8005A" w:rsidRPr="0058310C" w14:paraId="60117E5F" w14:textId="77777777" w:rsidTr="00F8005A">
        <w:trPr>
          <w:trHeight w:val="363"/>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7E49B361" w14:textId="77777777" w:rsidR="00F8005A" w:rsidRPr="0058310C" w:rsidRDefault="00F8005A" w:rsidP="00F45709">
            <w:pPr>
              <w:rPr>
                <w:rFonts w:eastAsia="Times New Roman" w:cstheme="minorHAnsi"/>
                <w:sz w:val="18"/>
                <w:szCs w:val="18"/>
                <w:lang w:eastAsia="hr-HR"/>
              </w:rPr>
            </w:pPr>
            <w:r w:rsidRPr="0058310C">
              <w:rPr>
                <w:rFonts w:eastAsia="Times New Roman" w:cstheme="minorHAnsi"/>
                <w:sz w:val="18"/>
                <w:szCs w:val="18"/>
                <w:lang w:eastAsia="hr-HR"/>
              </w:rPr>
              <w:t>021.</w:t>
            </w:r>
          </w:p>
        </w:tc>
        <w:tc>
          <w:tcPr>
            <w:tcW w:w="3754" w:type="dxa"/>
            <w:tcBorders>
              <w:top w:val="nil"/>
              <w:left w:val="nil"/>
              <w:bottom w:val="single" w:sz="4" w:space="0" w:color="auto"/>
              <w:right w:val="single" w:sz="4" w:space="0" w:color="auto"/>
            </w:tcBorders>
            <w:shd w:val="clear" w:color="auto" w:fill="auto"/>
            <w:vAlign w:val="center"/>
            <w:hideMark/>
          </w:tcPr>
          <w:p w14:paraId="6C739A68" w14:textId="77777777" w:rsidR="00F8005A" w:rsidRPr="0058310C" w:rsidRDefault="00F8005A" w:rsidP="00F45709">
            <w:pPr>
              <w:rPr>
                <w:rFonts w:eastAsia="Times New Roman" w:cstheme="minorHAnsi"/>
                <w:sz w:val="18"/>
                <w:szCs w:val="18"/>
                <w:lang w:eastAsia="hr-HR"/>
              </w:rPr>
            </w:pPr>
            <w:r w:rsidRPr="0058310C">
              <w:rPr>
                <w:rFonts w:eastAsia="Times New Roman" w:cstheme="minorHAnsi"/>
                <w:sz w:val="18"/>
                <w:szCs w:val="18"/>
                <w:lang w:eastAsia="hr-HR"/>
              </w:rPr>
              <w:t>Usluge zdravstva, zaštite na radu, zaštite okoliša i zbrinjavanja otpada</w:t>
            </w:r>
          </w:p>
        </w:tc>
        <w:tc>
          <w:tcPr>
            <w:tcW w:w="1627" w:type="dxa"/>
            <w:tcBorders>
              <w:top w:val="nil"/>
              <w:left w:val="nil"/>
              <w:bottom w:val="single" w:sz="4" w:space="0" w:color="auto"/>
              <w:right w:val="single" w:sz="4" w:space="0" w:color="auto"/>
            </w:tcBorders>
            <w:shd w:val="clear" w:color="auto" w:fill="auto"/>
            <w:noWrap/>
            <w:vAlign w:val="center"/>
            <w:hideMark/>
          </w:tcPr>
          <w:p w14:paraId="29F7769A" w14:textId="77777777" w:rsidR="00F8005A" w:rsidRPr="0058310C" w:rsidRDefault="00F8005A" w:rsidP="00F45709">
            <w:pPr>
              <w:jc w:val="right"/>
              <w:rPr>
                <w:rFonts w:eastAsia="Times New Roman" w:cstheme="minorHAnsi"/>
                <w:sz w:val="18"/>
                <w:szCs w:val="18"/>
                <w:lang w:eastAsia="hr-HR"/>
              </w:rPr>
            </w:pPr>
            <w:r w:rsidRPr="0058310C">
              <w:rPr>
                <w:rFonts w:eastAsia="Times New Roman" w:cstheme="minorHAnsi"/>
                <w:sz w:val="18"/>
                <w:szCs w:val="18"/>
                <w:lang w:eastAsia="hr-HR"/>
              </w:rPr>
              <w:t xml:space="preserve">24.300   </w:t>
            </w:r>
          </w:p>
        </w:tc>
        <w:tc>
          <w:tcPr>
            <w:tcW w:w="1601" w:type="dxa"/>
            <w:tcBorders>
              <w:top w:val="nil"/>
              <w:left w:val="nil"/>
              <w:bottom w:val="single" w:sz="4" w:space="0" w:color="auto"/>
              <w:right w:val="single" w:sz="4" w:space="0" w:color="auto"/>
            </w:tcBorders>
            <w:shd w:val="clear" w:color="auto" w:fill="auto"/>
            <w:noWrap/>
            <w:vAlign w:val="center"/>
            <w:hideMark/>
          </w:tcPr>
          <w:p w14:paraId="158DBE4D" w14:textId="77777777" w:rsidR="00F8005A" w:rsidRPr="0058310C" w:rsidRDefault="00F8005A" w:rsidP="00F45709">
            <w:pPr>
              <w:jc w:val="right"/>
              <w:rPr>
                <w:rFonts w:eastAsia="Times New Roman" w:cstheme="minorHAnsi"/>
                <w:sz w:val="18"/>
                <w:szCs w:val="18"/>
                <w:lang w:eastAsia="hr-HR"/>
              </w:rPr>
            </w:pPr>
            <w:r w:rsidRPr="0058310C">
              <w:rPr>
                <w:rFonts w:eastAsia="Times New Roman" w:cstheme="minorHAnsi"/>
                <w:sz w:val="18"/>
                <w:szCs w:val="18"/>
                <w:lang w:eastAsia="hr-HR"/>
              </w:rPr>
              <w:t xml:space="preserve">24.754   </w:t>
            </w:r>
          </w:p>
        </w:tc>
        <w:tc>
          <w:tcPr>
            <w:tcW w:w="1312" w:type="dxa"/>
            <w:tcBorders>
              <w:top w:val="nil"/>
              <w:left w:val="nil"/>
              <w:bottom w:val="single" w:sz="4" w:space="0" w:color="auto"/>
              <w:right w:val="single" w:sz="4" w:space="0" w:color="auto"/>
            </w:tcBorders>
            <w:shd w:val="clear" w:color="auto" w:fill="auto"/>
            <w:noWrap/>
            <w:vAlign w:val="center"/>
            <w:hideMark/>
          </w:tcPr>
          <w:p w14:paraId="79CA46F8" w14:textId="77777777" w:rsidR="00F8005A" w:rsidRPr="0058310C" w:rsidRDefault="00F8005A" w:rsidP="00F45709">
            <w:pPr>
              <w:jc w:val="right"/>
              <w:rPr>
                <w:rFonts w:eastAsia="Times New Roman" w:cstheme="minorHAnsi"/>
                <w:sz w:val="18"/>
                <w:szCs w:val="18"/>
                <w:lang w:eastAsia="hr-HR"/>
              </w:rPr>
            </w:pPr>
            <w:r w:rsidRPr="0058310C">
              <w:rPr>
                <w:rFonts w:eastAsia="Times New Roman" w:cstheme="minorHAnsi"/>
                <w:sz w:val="18"/>
                <w:szCs w:val="18"/>
                <w:lang w:eastAsia="hr-HR"/>
              </w:rPr>
              <w:t>102%</w:t>
            </w:r>
          </w:p>
        </w:tc>
      </w:tr>
      <w:tr w:rsidR="00F8005A" w:rsidRPr="0058310C" w14:paraId="771F3521" w14:textId="77777777" w:rsidTr="00F8005A">
        <w:trPr>
          <w:trHeight w:val="236"/>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1A29DA1B" w14:textId="77777777" w:rsidR="00F8005A" w:rsidRPr="0058310C" w:rsidRDefault="00F8005A" w:rsidP="00F45709">
            <w:pPr>
              <w:rPr>
                <w:rFonts w:eastAsia="Times New Roman" w:cstheme="minorHAnsi"/>
                <w:sz w:val="18"/>
                <w:szCs w:val="18"/>
                <w:lang w:eastAsia="hr-HR"/>
              </w:rPr>
            </w:pPr>
            <w:r w:rsidRPr="0058310C">
              <w:rPr>
                <w:rFonts w:eastAsia="Times New Roman" w:cstheme="minorHAnsi"/>
                <w:sz w:val="18"/>
                <w:szCs w:val="18"/>
                <w:lang w:eastAsia="hr-HR"/>
              </w:rPr>
              <w:t>022.</w:t>
            </w:r>
          </w:p>
        </w:tc>
        <w:tc>
          <w:tcPr>
            <w:tcW w:w="3754" w:type="dxa"/>
            <w:tcBorders>
              <w:top w:val="nil"/>
              <w:left w:val="nil"/>
              <w:bottom w:val="single" w:sz="4" w:space="0" w:color="auto"/>
              <w:right w:val="single" w:sz="4" w:space="0" w:color="auto"/>
            </w:tcBorders>
            <w:shd w:val="clear" w:color="auto" w:fill="auto"/>
            <w:vAlign w:val="center"/>
            <w:hideMark/>
          </w:tcPr>
          <w:p w14:paraId="52A0FE3F" w14:textId="77777777" w:rsidR="00F8005A" w:rsidRPr="0058310C" w:rsidRDefault="00F8005A" w:rsidP="00F45709">
            <w:pPr>
              <w:rPr>
                <w:rFonts w:eastAsia="Times New Roman" w:cstheme="minorHAnsi"/>
                <w:sz w:val="18"/>
                <w:szCs w:val="18"/>
                <w:lang w:eastAsia="hr-HR"/>
              </w:rPr>
            </w:pPr>
            <w:r w:rsidRPr="0058310C">
              <w:rPr>
                <w:rFonts w:eastAsia="Times New Roman" w:cstheme="minorHAnsi"/>
                <w:sz w:val="18"/>
                <w:szCs w:val="18"/>
                <w:lang w:eastAsia="hr-HR"/>
              </w:rPr>
              <w:t>Ostale usluge</w:t>
            </w:r>
          </w:p>
        </w:tc>
        <w:tc>
          <w:tcPr>
            <w:tcW w:w="1627" w:type="dxa"/>
            <w:tcBorders>
              <w:top w:val="nil"/>
              <w:left w:val="nil"/>
              <w:bottom w:val="single" w:sz="4" w:space="0" w:color="auto"/>
              <w:right w:val="single" w:sz="4" w:space="0" w:color="auto"/>
            </w:tcBorders>
            <w:shd w:val="clear" w:color="auto" w:fill="auto"/>
            <w:noWrap/>
            <w:vAlign w:val="center"/>
            <w:hideMark/>
          </w:tcPr>
          <w:p w14:paraId="054698D2" w14:textId="77777777" w:rsidR="00F8005A" w:rsidRPr="0058310C" w:rsidRDefault="00F8005A" w:rsidP="00F45709">
            <w:pPr>
              <w:jc w:val="right"/>
              <w:rPr>
                <w:rFonts w:eastAsia="Times New Roman" w:cstheme="minorHAnsi"/>
                <w:sz w:val="18"/>
                <w:szCs w:val="18"/>
                <w:lang w:eastAsia="hr-HR"/>
              </w:rPr>
            </w:pPr>
            <w:r w:rsidRPr="0058310C">
              <w:rPr>
                <w:rFonts w:eastAsia="Times New Roman" w:cstheme="minorHAnsi"/>
                <w:sz w:val="18"/>
                <w:szCs w:val="18"/>
                <w:lang w:eastAsia="hr-HR"/>
              </w:rPr>
              <w:t xml:space="preserve">121.190   </w:t>
            </w:r>
          </w:p>
        </w:tc>
        <w:tc>
          <w:tcPr>
            <w:tcW w:w="1601" w:type="dxa"/>
            <w:tcBorders>
              <w:top w:val="nil"/>
              <w:left w:val="nil"/>
              <w:bottom w:val="single" w:sz="4" w:space="0" w:color="auto"/>
              <w:right w:val="single" w:sz="4" w:space="0" w:color="auto"/>
            </w:tcBorders>
            <w:shd w:val="clear" w:color="auto" w:fill="auto"/>
            <w:noWrap/>
            <w:vAlign w:val="center"/>
            <w:hideMark/>
          </w:tcPr>
          <w:p w14:paraId="00617347" w14:textId="77777777" w:rsidR="00F8005A" w:rsidRPr="0058310C" w:rsidRDefault="00F8005A" w:rsidP="00F45709">
            <w:pPr>
              <w:jc w:val="right"/>
              <w:rPr>
                <w:rFonts w:eastAsia="Times New Roman" w:cstheme="minorHAnsi"/>
                <w:sz w:val="18"/>
                <w:szCs w:val="18"/>
                <w:lang w:eastAsia="hr-HR"/>
              </w:rPr>
            </w:pPr>
            <w:r w:rsidRPr="0058310C">
              <w:rPr>
                <w:rFonts w:eastAsia="Times New Roman" w:cstheme="minorHAnsi"/>
                <w:sz w:val="18"/>
                <w:szCs w:val="18"/>
                <w:lang w:eastAsia="hr-HR"/>
              </w:rPr>
              <w:t xml:space="preserve">67.537   </w:t>
            </w:r>
          </w:p>
        </w:tc>
        <w:tc>
          <w:tcPr>
            <w:tcW w:w="1312" w:type="dxa"/>
            <w:tcBorders>
              <w:top w:val="nil"/>
              <w:left w:val="nil"/>
              <w:bottom w:val="single" w:sz="4" w:space="0" w:color="auto"/>
              <w:right w:val="single" w:sz="4" w:space="0" w:color="auto"/>
            </w:tcBorders>
            <w:shd w:val="clear" w:color="auto" w:fill="auto"/>
            <w:noWrap/>
            <w:vAlign w:val="center"/>
            <w:hideMark/>
          </w:tcPr>
          <w:p w14:paraId="35902D1B" w14:textId="77777777" w:rsidR="00F8005A" w:rsidRPr="0058310C" w:rsidRDefault="00F8005A" w:rsidP="00F45709">
            <w:pPr>
              <w:jc w:val="right"/>
              <w:rPr>
                <w:rFonts w:eastAsia="Times New Roman" w:cstheme="minorHAnsi"/>
                <w:sz w:val="18"/>
                <w:szCs w:val="18"/>
                <w:lang w:eastAsia="hr-HR"/>
              </w:rPr>
            </w:pPr>
            <w:r w:rsidRPr="0058310C">
              <w:rPr>
                <w:rFonts w:eastAsia="Times New Roman" w:cstheme="minorHAnsi"/>
                <w:sz w:val="18"/>
                <w:szCs w:val="18"/>
                <w:lang w:eastAsia="hr-HR"/>
              </w:rPr>
              <w:t>56%</w:t>
            </w:r>
          </w:p>
        </w:tc>
      </w:tr>
      <w:tr w:rsidR="00F8005A" w:rsidRPr="0058310C" w14:paraId="077DB4AF" w14:textId="77777777" w:rsidTr="00F8005A">
        <w:trPr>
          <w:trHeight w:val="236"/>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034636CB" w14:textId="77777777" w:rsidR="00F8005A" w:rsidRPr="0058310C" w:rsidRDefault="00F8005A" w:rsidP="00F45709">
            <w:pPr>
              <w:rPr>
                <w:rFonts w:eastAsia="Times New Roman" w:cstheme="minorHAnsi"/>
                <w:sz w:val="18"/>
                <w:szCs w:val="18"/>
                <w:lang w:eastAsia="hr-HR"/>
              </w:rPr>
            </w:pPr>
            <w:r w:rsidRPr="0058310C">
              <w:rPr>
                <w:rFonts w:eastAsia="Times New Roman" w:cstheme="minorHAnsi"/>
                <w:sz w:val="18"/>
                <w:szCs w:val="18"/>
                <w:lang w:eastAsia="hr-HR"/>
              </w:rPr>
              <w:t>023.</w:t>
            </w:r>
          </w:p>
        </w:tc>
        <w:tc>
          <w:tcPr>
            <w:tcW w:w="3754" w:type="dxa"/>
            <w:tcBorders>
              <w:top w:val="nil"/>
              <w:left w:val="nil"/>
              <w:bottom w:val="single" w:sz="4" w:space="0" w:color="auto"/>
              <w:right w:val="single" w:sz="4" w:space="0" w:color="auto"/>
            </w:tcBorders>
            <w:shd w:val="clear" w:color="auto" w:fill="auto"/>
            <w:vAlign w:val="center"/>
            <w:hideMark/>
          </w:tcPr>
          <w:p w14:paraId="37B0AA57" w14:textId="77777777" w:rsidR="00F8005A" w:rsidRPr="0058310C" w:rsidRDefault="00F8005A" w:rsidP="00F45709">
            <w:pPr>
              <w:rPr>
                <w:rFonts w:eastAsia="Times New Roman" w:cstheme="minorHAnsi"/>
                <w:sz w:val="18"/>
                <w:szCs w:val="18"/>
                <w:lang w:eastAsia="hr-HR"/>
              </w:rPr>
            </w:pPr>
            <w:r w:rsidRPr="0058310C">
              <w:rPr>
                <w:rFonts w:eastAsia="Times New Roman" w:cstheme="minorHAnsi"/>
                <w:sz w:val="18"/>
                <w:szCs w:val="18"/>
                <w:lang w:eastAsia="hr-HR"/>
              </w:rPr>
              <w:t>Ostale nabave</w:t>
            </w:r>
          </w:p>
        </w:tc>
        <w:tc>
          <w:tcPr>
            <w:tcW w:w="1627" w:type="dxa"/>
            <w:tcBorders>
              <w:top w:val="nil"/>
              <w:left w:val="nil"/>
              <w:bottom w:val="single" w:sz="4" w:space="0" w:color="auto"/>
              <w:right w:val="single" w:sz="4" w:space="0" w:color="auto"/>
            </w:tcBorders>
            <w:shd w:val="clear" w:color="auto" w:fill="auto"/>
            <w:noWrap/>
            <w:vAlign w:val="center"/>
            <w:hideMark/>
          </w:tcPr>
          <w:p w14:paraId="0F83A5FA" w14:textId="77777777" w:rsidR="00F8005A" w:rsidRPr="0058310C" w:rsidRDefault="00F8005A" w:rsidP="00F45709">
            <w:pPr>
              <w:jc w:val="right"/>
              <w:rPr>
                <w:rFonts w:eastAsia="Times New Roman" w:cstheme="minorHAnsi"/>
                <w:sz w:val="18"/>
                <w:szCs w:val="18"/>
                <w:lang w:eastAsia="hr-HR"/>
              </w:rPr>
            </w:pPr>
            <w:r w:rsidRPr="0058310C">
              <w:rPr>
                <w:rFonts w:eastAsia="Times New Roman" w:cstheme="minorHAnsi"/>
                <w:sz w:val="18"/>
                <w:szCs w:val="18"/>
                <w:lang w:eastAsia="hr-HR"/>
              </w:rPr>
              <w:t xml:space="preserve">2.750   </w:t>
            </w:r>
          </w:p>
        </w:tc>
        <w:tc>
          <w:tcPr>
            <w:tcW w:w="1601" w:type="dxa"/>
            <w:tcBorders>
              <w:top w:val="nil"/>
              <w:left w:val="nil"/>
              <w:bottom w:val="single" w:sz="4" w:space="0" w:color="auto"/>
              <w:right w:val="single" w:sz="4" w:space="0" w:color="auto"/>
            </w:tcBorders>
            <w:shd w:val="clear" w:color="auto" w:fill="auto"/>
            <w:noWrap/>
            <w:vAlign w:val="center"/>
            <w:hideMark/>
          </w:tcPr>
          <w:p w14:paraId="48830E2F" w14:textId="77777777" w:rsidR="00F8005A" w:rsidRPr="0058310C" w:rsidRDefault="00F8005A" w:rsidP="00F45709">
            <w:pPr>
              <w:jc w:val="right"/>
              <w:rPr>
                <w:rFonts w:eastAsia="Times New Roman" w:cstheme="minorHAnsi"/>
                <w:sz w:val="18"/>
                <w:szCs w:val="18"/>
                <w:lang w:eastAsia="hr-HR"/>
              </w:rPr>
            </w:pPr>
            <w:r w:rsidRPr="0058310C">
              <w:rPr>
                <w:rFonts w:eastAsia="Times New Roman" w:cstheme="minorHAnsi"/>
                <w:sz w:val="18"/>
                <w:szCs w:val="18"/>
                <w:lang w:eastAsia="hr-HR"/>
              </w:rPr>
              <w:t xml:space="preserve">1.913   </w:t>
            </w:r>
          </w:p>
        </w:tc>
        <w:tc>
          <w:tcPr>
            <w:tcW w:w="1312" w:type="dxa"/>
            <w:tcBorders>
              <w:top w:val="nil"/>
              <w:left w:val="nil"/>
              <w:bottom w:val="single" w:sz="4" w:space="0" w:color="auto"/>
              <w:right w:val="single" w:sz="4" w:space="0" w:color="auto"/>
            </w:tcBorders>
            <w:shd w:val="clear" w:color="auto" w:fill="auto"/>
            <w:noWrap/>
            <w:vAlign w:val="center"/>
            <w:hideMark/>
          </w:tcPr>
          <w:p w14:paraId="66C3FAE9" w14:textId="77777777" w:rsidR="00F8005A" w:rsidRPr="0058310C" w:rsidRDefault="00F8005A" w:rsidP="00F45709">
            <w:pPr>
              <w:jc w:val="right"/>
              <w:rPr>
                <w:rFonts w:eastAsia="Times New Roman" w:cstheme="minorHAnsi"/>
                <w:sz w:val="18"/>
                <w:szCs w:val="18"/>
                <w:lang w:eastAsia="hr-HR"/>
              </w:rPr>
            </w:pPr>
            <w:r w:rsidRPr="0058310C">
              <w:rPr>
                <w:rFonts w:eastAsia="Times New Roman" w:cstheme="minorHAnsi"/>
                <w:sz w:val="18"/>
                <w:szCs w:val="18"/>
                <w:lang w:eastAsia="hr-HR"/>
              </w:rPr>
              <w:t>70%</w:t>
            </w:r>
          </w:p>
        </w:tc>
      </w:tr>
      <w:tr w:rsidR="00F8005A" w:rsidRPr="0058310C" w14:paraId="3171F89A" w14:textId="77777777" w:rsidTr="00F8005A">
        <w:trPr>
          <w:trHeight w:val="236"/>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7C895099" w14:textId="77777777" w:rsidR="00F8005A" w:rsidRPr="0058310C" w:rsidRDefault="00F8005A" w:rsidP="00F45709">
            <w:pPr>
              <w:rPr>
                <w:rFonts w:eastAsia="Times New Roman" w:cstheme="minorHAnsi"/>
                <w:sz w:val="18"/>
                <w:szCs w:val="18"/>
                <w:lang w:eastAsia="hr-HR"/>
              </w:rPr>
            </w:pPr>
            <w:r w:rsidRPr="0058310C">
              <w:rPr>
                <w:rFonts w:eastAsia="Times New Roman" w:cstheme="minorHAnsi"/>
                <w:sz w:val="18"/>
                <w:szCs w:val="18"/>
                <w:lang w:eastAsia="hr-HR"/>
              </w:rPr>
              <w:t>024.</w:t>
            </w:r>
          </w:p>
        </w:tc>
        <w:tc>
          <w:tcPr>
            <w:tcW w:w="3754" w:type="dxa"/>
            <w:tcBorders>
              <w:top w:val="nil"/>
              <w:left w:val="nil"/>
              <w:bottom w:val="single" w:sz="4" w:space="0" w:color="auto"/>
              <w:right w:val="single" w:sz="4" w:space="0" w:color="auto"/>
            </w:tcBorders>
            <w:shd w:val="clear" w:color="auto" w:fill="auto"/>
            <w:vAlign w:val="center"/>
            <w:hideMark/>
          </w:tcPr>
          <w:p w14:paraId="3AE5F22C" w14:textId="77777777" w:rsidR="00F8005A" w:rsidRPr="0058310C" w:rsidRDefault="00F8005A" w:rsidP="00F45709">
            <w:pPr>
              <w:rPr>
                <w:rFonts w:eastAsia="Times New Roman" w:cstheme="minorHAnsi"/>
                <w:sz w:val="18"/>
                <w:szCs w:val="18"/>
                <w:lang w:eastAsia="hr-HR"/>
              </w:rPr>
            </w:pPr>
            <w:r w:rsidRPr="0058310C">
              <w:rPr>
                <w:rFonts w:eastAsia="Times New Roman" w:cstheme="minorHAnsi"/>
                <w:sz w:val="18"/>
                <w:szCs w:val="18"/>
                <w:lang w:eastAsia="hr-HR"/>
              </w:rPr>
              <w:t>Računalna oprema</w:t>
            </w:r>
          </w:p>
        </w:tc>
        <w:tc>
          <w:tcPr>
            <w:tcW w:w="1627" w:type="dxa"/>
            <w:tcBorders>
              <w:top w:val="nil"/>
              <w:left w:val="nil"/>
              <w:bottom w:val="single" w:sz="4" w:space="0" w:color="auto"/>
              <w:right w:val="single" w:sz="4" w:space="0" w:color="auto"/>
            </w:tcBorders>
            <w:shd w:val="clear" w:color="auto" w:fill="auto"/>
            <w:noWrap/>
            <w:vAlign w:val="center"/>
            <w:hideMark/>
          </w:tcPr>
          <w:p w14:paraId="22884DBD" w14:textId="77777777" w:rsidR="00F8005A" w:rsidRPr="0058310C" w:rsidRDefault="00F8005A" w:rsidP="00F45709">
            <w:pPr>
              <w:jc w:val="right"/>
              <w:rPr>
                <w:rFonts w:eastAsia="Times New Roman" w:cstheme="minorHAnsi"/>
                <w:sz w:val="18"/>
                <w:szCs w:val="18"/>
                <w:lang w:eastAsia="hr-HR"/>
              </w:rPr>
            </w:pPr>
            <w:r w:rsidRPr="0058310C">
              <w:rPr>
                <w:rFonts w:eastAsia="Times New Roman" w:cstheme="minorHAnsi"/>
                <w:sz w:val="18"/>
                <w:szCs w:val="18"/>
                <w:lang w:eastAsia="hr-HR"/>
              </w:rPr>
              <w:t xml:space="preserve">437.325   </w:t>
            </w:r>
          </w:p>
        </w:tc>
        <w:tc>
          <w:tcPr>
            <w:tcW w:w="1601" w:type="dxa"/>
            <w:tcBorders>
              <w:top w:val="nil"/>
              <w:left w:val="nil"/>
              <w:bottom w:val="single" w:sz="4" w:space="0" w:color="auto"/>
              <w:right w:val="single" w:sz="4" w:space="0" w:color="auto"/>
            </w:tcBorders>
            <w:shd w:val="clear" w:color="auto" w:fill="auto"/>
            <w:noWrap/>
            <w:vAlign w:val="center"/>
            <w:hideMark/>
          </w:tcPr>
          <w:p w14:paraId="621B17A3" w14:textId="77777777" w:rsidR="00F8005A" w:rsidRPr="0058310C" w:rsidRDefault="00F8005A" w:rsidP="00F45709">
            <w:pPr>
              <w:jc w:val="right"/>
              <w:rPr>
                <w:rFonts w:eastAsia="Times New Roman" w:cstheme="minorHAnsi"/>
                <w:sz w:val="18"/>
                <w:szCs w:val="18"/>
                <w:lang w:eastAsia="hr-HR"/>
              </w:rPr>
            </w:pPr>
            <w:r w:rsidRPr="0058310C">
              <w:rPr>
                <w:rFonts w:eastAsia="Times New Roman" w:cstheme="minorHAnsi"/>
                <w:sz w:val="18"/>
                <w:szCs w:val="18"/>
                <w:lang w:eastAsia="hr-HR"/>
              </w:rPr>
              <w:t xml:space="preserve">102.417   </w:t>
            </w:r>
          </w:p>
        </w:tc>
        <w:tc>
          <w:tcPr>
            <w:tcW w:w="1312" w:type="dxa"/>
            <w:tcBorders>
              <w:top w:val="nil"/>
              <w:left w:val="nil"/>
              <w:bottom w:val="single" w:sz="4" w:space="0" w:color="auto"/>
              <w:right w:val="single" w:sz="4" w:space="0" w:color="auto"/>
            </w:tcBorders>
            <w:shd w:val="clear" w:color="auto" w:fill="auto"/>
            <w:noWrap/>
            <w:vAlign w:val="center"/>
            <w:hideMark/>
          </w:tcPr>
          <w:p w14:paraId="4466A919" w14:textId="77777777" w:rsidR="00F8005A" w:rsidRPr="0058310C" w:rsidRDefault="00F8005A" w:rsidP="00F45709">
            <w:pPr>
              <w:jc w:val="right"/>
              <w:rPr>
                <w:rFonts w:eastAsia="Times New Roman" w:cstheme="minorHAnsi"/>
                <w:sz w:val="18"/>
                <w:szCs w:val="18"/>
                <w:lang w:eastAsia="hr-HR"/>
              </w:rPr>
            </w:pPr>
            <w:r w:rsidRPr="0058310C">
              <w:rPr>
                <w:rFonts w:eastAsia="Times New Roman" w:cstheme="minorHAnsi"/>
                <w:sz w:val="18"/>
                <w:szCs w:val="18"/>
                <w:lang w:eastAsia="hr-HR"/>
              </w:rPr>
              <w:t>23%</w:t>
            </w:r>
          </w:p>
        </w:tc>
      </w:tr>
      <w:tr w:rsidR="00F8005A" w:rsidRPr="0058310C" w14:paraId="7DB7E9BA" w14:textId="77777777" w:rsidTr="00F8005A">
        <w:trPr>
          <w:trHeight w:val="236"/>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7C5B0196" w14:textId="77777777" w:rsidR="00F8005A" w:rsidRPr="0058310C" w:rsidRDefault="00F8005A" w:rsidP="00F45709">
            <w:pPr>
              <w:rPr>
                <w:rFonts w:eastAsia="Times New Roman" w:cstheme="minorHAnsi"/>
                <w:sz w:val="18"/>
                <w:szCs w:val="18"/>
                <w:lang w:eastAsia="hr-HR"/>
              </w:rPr>
            </w:pPr>
            <w:r w:rsidRPr="0058310C">
              <w:rPr>
                <w:rFonts w:eastAsia="Times New Roman" w:cstheme="minorHAnsi"/>
                <w:sz w:val="18"/>
                <w:szCs w:val="18"/>
                <w:lang w:eastAsia="hr-HR"/>
              </w:rPr>
              <w:t>025.</w:t>
            </w:r>
          </w:p>
        </w:tc>
        <w:tc>
          <w:tcPr>
            <w:tcW w:w="3754" w:type="dxa"/>
            <w:tcBorders>
              <w:top w:val="nil"/>
              <w:left w:val="nil"/>
              <w:bottom w:val="single" w:sz="4" w:space="0" w:color="auto"/>
              <w:right w:val="single" w:sz="4" w:space="0" w:color="auto"/>
            </w:tcBorders>
            <w:shd w:val="clear" w:color="auto" w:fill="auto"/>
            <w:vAlign w:val="center"/>
            <w:hideMark/>
          </w:tcPr>
          <w:p w14:paraId="4A58C8EF" w14:textId="77777777" w:rsidR="00F8005A" w:rsidRPr="0058310C" w:rsidRDefault="00F8005A" w:rsidP="00F45709">
            <w:pPr>
              <w:rPr>
                <w:rFonts w:eastAsia="Times New Roman" w:cstheme="minorHAnsi"/>
                <w:sz w:val="18"/>
                <w:szCs w:val="18"/>
                <w:lang w:eastAsia="hr-HR"/>
              </w:rPr>
            </w:pPr>
            <w:r w:rsidRPr="0058310C">
              <w:rPr>
                <w:rFonts w:eastAsia="Times New Roman" w:cstheme="minorHAnsi"/>
                <w:sz w:val="18"/>
                <w:szCs w:val="18"/>
                <w:lang w:eastAsia="hr-HR"/>
              </w:rPr>
              <w:t>Računalne aplikacije</w:t>
            </w:r>
          </w:p>
        </w:tc>
        <w:tc>
          <w:tcPr>
            <w:tcW w:w="1627" w:type="dxa"/>
            <w:tcBorders>
              <w:top w:val="nil"/>
              <w:left w:val="nil"/>
              <w:bottom w:val="single" w:sz="4" w:space="0" w:color="auto"/>
              <w:right w:val="single" w:sz="4" w:space="0" w:color="auto"/>
            </w:tcBorders>
            <w:shd w:val="clear" w:color="auto" w:fill="auto"/>
            <w:noWrap/>
            <w:vAlign w:val="center"/>
            <w:hideMark/>
          </w:tcPr>
          <w:p w14:paraId="4B2152F6" w14:textId="77777777" w:rsidR="00F8005A" w:rsidRPr="0058310C" w:rsidRDefault="00F8005A" w:rsidP="00F45709">
            <w:pPr>
              <w:jc w:val="right"/>
              <w:rPr>
                <w:rFonts w:eastAsia="Times New Roman" w:cstheme="minorHAnsi"/>
                <w:sz w:val="18"/>
                <w:szCs w:val="18"/>
                <w:lang w:eastAsia="hr-HR"/>
              </w:rPr>
            </w:pPr>
            <w:r w:rsidRPr="0058310C">
              <w:rPr>
                <w:rFonts w:eastAsia="Times New Roman" w:cstheme="minorHAnsi"/>
                <w:sz w:val="18"/>
                <w:szCs w:val="18"/>
                <w:lang w:eastAsia="hr-HR"/>
              </w:rPr>
              <w:t xml:space="preserve">1.625.530   </w:t>
            </w:r>
          </w:p>
        </w:tc>
        <w:tc>
          <w:tcPr>
            <w:tcW w:w="1601" w:type="dxa"/>
            <w:tcBorders>
              <w:top w:val="nil"/>
              <w:left w:val="nil"/>
              <w:bottom w:val="single" w:sz="4" w:space="0" w:color="auto"/>
              <w:right w:val="single" w:sz="4" w:space="0" w:color="auto"/>
            </w:tcBorders>
            <w:shd w:val="clear" w:color="auto" w:fill="auto"/>
            <w:noWrap/>
            <w:vAlign w:val="center"/>
            <w:hideMark/>
          </w:tcPr>
          <w:p w14:paraId="587894E9" w14:textId="77777777" w:rsidR="00F8005A" w:rsidRPr="0058310C" w:rsidRDefault="00F8005A" w:rsidP="00F45709">
            <w:pPr>
              <w:jc w:val="right"/>
              <w:rPr>
                <w:rFonts w:eastAsia="Times New Roman" w:cstheme="minorHAnsi"/>
                <w:sz w:val="18"/>
                <w:szCs w:val="18"/>
                <w:lang w:eastAsia="hr-HR"/>
              </w:rPr>
            </w:pPr>
            <w:r w:rsidRPr="0058310C">
              <w:rPr>
                <w:rFonts w:eastAsia="Times New Roman" w:cstheme="minorHAnsi"/>
                <w:sz w:val="18"/>
                <w:szCs w:val="18"/>
                <w:lang w:eastAsia="hr-HR"/>
              </w:rPr>
              <w:t xml:space="preserve">974.286   </w:t>
            </w:r>
          </w:p>
        </w:tc>
        <w:tc>
          <w:tcPr>
            <w:tcW w:w="1312" w:type="dxa"/>
            <w:tcBorders>
              <w:top w:val="nil"/>
              <w:left w:val="nil"/>
              <w:bottom w:val="single" w:sz="4" w:space="0" w:color="auto"/>
              <w:right w:val="single" w:sz="4" w:space="0" w:color="auto"/>
            </w:tcBorders>
            <w:shd w:val="clear" w:color="auto" w:fill="auto"/>
            <w:noWrap/>
            <w:vAlign w:val="center"/>
            <w:hideMark/>
          </w:tcPr>
          <w:p w14:paraId="24F59DEA" w14:textId="77777777" w:rsidR="00F8005A" w:rsidRPr="0058310C" w:rsidRDefault="00F8005A" w:rsidP="00F45709">
            <w:pPr>
              <w:jc w:val="right"/>
              <w:rPr>
                <w:rFonts w:eastAsia="Times New Roman" w:cstheme="minorHAnsi"/>
                <w:sz w:val="18"/>
                <w:szCs w:val="18"/>
                <w:lang w:eastAsia="hr-HR"/>
              </w:rPr>
            </w:pPr>
            <w:r w:rsidRPr="0058310C">
              <w:rPr>
                <w:rFonts w:eastAsia="Times New Roman" w:cstheme="minorHAnsi"/>
                <w:sz w:val="18"/>
                <w:szCs w:val="18"/>
                <w:lang w:eastAsia="hr-HR"/>
              </w:rPr>
              <w:t>60%</w:t>
            </w:r>
          </w:p>
        </w:tc>
      </w:tr>
      <w:tr w:rsidR="00F8005A" w:rsidRPr="0058310C" w14:paraId="23598AE7" w14:textId="77777777" w:rsidTr="00F8005A">
        <w:trPr>
          <w:trHeight w:val="236"/>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138E8EF7" w14:textId="77777777" w:rsidR="00F8005A" w:rsidRPr="0058310C" w:rsidRDefault="00F8005A" w:rsidP="00F45709">
            <w:pPr>
              <w:rPr>
                <w:rFonts w:eastAsia="Times New Roman" w:cstheme="minorHAnsi"/>
                <w:sz w:val="18"/>
                <w:szCs w:val="18"/>
                <w:lang w:eastAsia="hr-HR"/>
              </w:rPr>
            </w:pPr>
            <w:r w:rsidRPr="0058310C">
              <w:rPr>
                <w:rFonts w:eastAsia="Times New Roman" w:cstheme="minorHAnsi"/>
                <w:sz w:val="18"/>
                <w:szCs w:val="18"/>
                <w:lang w:eastAsia="hr-HR"/>
              </w:rPr>
              <w:t>026.</w:t>
            </w:r>
          </w:p>
        </w:tc>
        <w:tc>
          <w:tcPr>
            <w:tcW w:w="3754" w:type="dxa"/>
            <w:tcBorders>
              <w:top w:val="nil"/>
              <w:left w:val="nil"/>
              <w:bottom w:val="single" w:sz="4" w:space="0" w:color="auto"/>
              <w:right w:val="single" w:sz="4" w:space="0" w:color="auto"/>
            </w:tcBorders>
            <w:shd w:val="clear" w:color="auto" w:fill="auto"/>
            <w:vAlign w:val="center"/>
            <w:hideMark/>
          </w:tcPr>
          <w:p w14:paraId="5F0F6016" w14:textId="77777777" w:rsidR="00F8005A" w:rsidRPr="0058310C" w:rsidRDefault="00F8005A" w:rsidP="00F45709">
            <w:pPr>
              <w:rPr>
                <w:rFonts w:eastAsia="Times New Roman" w:cstheme="minorHAnsi"/>
                <w:sz w:val="18"/>
                <w:szCs w:val="18"/>
                <w:lang w:eastAsia="hr-HR"/>
              </w:rPr>
            </w:pPr>
            <w:r w:rsidRPr="0058310C">
              <w:rPr>
                <w:rFonts w:eastAsia="Times New Roman" w:cstheme="minorHAnsi"/>
                <w:sz w:val="18"/>
                <w:szCs w:val="18"/>
                <w:lang w:eastAsia="hr-HR"/>
              </w:rPr>
              <w:t>Održavanje aplikacija</w:t>
            </w:r>
          </w:p>
        </w:tc>
        <w:tc>
          <w:tcPr>
            <w:tcW w:w="1627" w:type="dxa"/>
            <w:tcBorders>
              <w:top w:val="nil"/>
              <w:left w:val="nil"/>
              <w:bottom w:val="single" w:sz="4" w:space="0" w:color="auto"/>
              <w:right w:val="single" w:sz="4" w:space="0" w:color="auto"/>
            </w:tcBorders>
            <w:shd w:val="clear" w:color="auto" w:fill="auto"/>
            <w:noWrap/>
            <w:vAlign w:val="center"/>
            <w:hideMark/>
          </w:tcPr>
          <w:p w14:paraId="6BE61B55" w14:textId="77777777" w:rsidR="00F8005A" w:rsidRPr="0058310C" w:rsidRDefault="00F8005A" w:rsidP="00F45709">
            <w:pPr>
              <w:jc w:val="right"/>
              <w:rPr>
                <w:rFonts w:eastAsia="Times New Roman" w:cstheme="minorHAnsi"/>
                <w:sz w:val="18"/>
                <w:szCs w:val="18"/>
                <w:lang w:eastAsia="hr-HR"/>
              </w:rPr>
            </w:pPr>
            <w:r w:rsidRPr="0058310C">
              <w:rPr>
                <w:rFonts w:eastAsia="Times New Roman" w:cstheme="minorHAnsi"/>
                <w:sz w:val="18"/>
                <w:szCs w:val="18"/>
                <w:lang w:eastAsia="hr-HR"/>
              </w:rPr>
              <w:t xml:space="preserve">487.725   </w:t>
            </w:r>
          </w:p>
        </w:tc>
        <w:tc>
          <w:tcPr>
            <w:tcW w:w="1601" w:type="dxa"/>
            <w:tcBorders>
              <w:top w:val="nil"/>
              <w:left w:val="nil"/>
              <w:bottom w:val="single" w:sz="4" w:space="0" w:color="auto"/>
              <w:right w:val="single" w:sz="4" w:space="0" w:color="auto"/>
            </w:tcBorders>
            <w:shd w:val="clear" w:color="auto" w:fill="auto"/>
            <w:noWrap/>
            <w:vAlign w:val="center"/>
            <w:hideMark/>
          </w:tcPr>
          <w:p w14:paraId="75B388EE" w14:textId="77777777" w:rsidR="00F8005A" w:rsidRPr="0058310C" w:rsidRDefault="00F8005A" w:rsidP="00F45709">
            <w:pPr>
              <w:jc w:val="right"/>
              <w:rPr>
                <w:rFonts w:eastAsia="Times New Roman" w:cstheme="minorHAnsi"/>
                <w:sz w:val="18"/>
                <w:szCs w:val="18"/>
                <w:lang w:eastAsia="hr-HR"/>
              </w:rPr>
            </w:pPr>
            <w:r w:rsidRPr="0058310C">
              <w:rPr>
                <w:rFonts w:eastAsia="Times New Roman" w:cstheme="minorHAnsi"/>
                <w:sz w:val="18"/>
                <w:szCs w:val="18"/>
                <w:lang w:eastAsia="hr-HR"/>
              </w:rPr>
              <w:t xml:space="preserve">396.244   </w:t>
            </w:r>
          </w:p>
        </w:tc>
        <w:tc>
          <w:tcPr>
            <w:tcW w:w="1312" w:type="dxa"/>
            <w:tcBorders>
              <w:top w:val="nil"/>
              <w:left w:val="nil"/>
              <w:bottom w:val="single" w:sz="4" w:space="0" w:color="auto"/>
              <w:right w:val="single" w:sz="4" w:space="0" w:color="auto"/>
            </w:tcBorders>
            <w:shd w:val="clear" w:color="auto" w:fill="auto"/>
            <w:noWrap/>
            <w:vAlign w:val="center"/>
            <w:hideMark/>
          </w:tcPr>
          <w:p w14:paraId="039918D0" w14:textId="77777777" w:rsidR="00F8005A" w:rsidRPr="0058310C" w:rsidRDefault="00F8005A" w:rsidP="00F45709">
            <w:pPr>
              <w:jc w:val="right"/>
              <w:rPr>
                <w:rFonts w:eastAsia="Times New Roman" w:cstheme="minorHAnsi"/>
                <w:sz w:val="18"/>
                <w:szCs w:val="18"/>
                <w:lang w:eastAsia="hr-HR"/>
              </w:rPr>
            </w:pPr>
            <w:r w:rsidRPr="0058310C">
              <w:rPr>
                <w:rFonts w:eastAsia="Times New Roman" w:cstheme="minorHAnsi"/>
                <w:sz w:val="18"/>
                <w:szCs w:val="18"/>
                <w:lang w:eastAsia="hr-HR"/>
              </w:rPr>
              <w:t>81%</w:t>
            </w:r>
          </w:p>
        </w:tc>
      </w:tr>
      <w:tr w:rsidR="00F8005A" w:rsidRPr="0058310C" w14:paraId="775B4F32" w14:textId="77777777" w:rsidTr="00F8005A">
        <w:trPr>
          <w:trHeight w:val="236"/>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3D328142" w14:textId="77777777" w:rsidR="00F8005A" w:rsidRPr="0058310C" w:rsidRDefault="00F8005A" w:rsidP="00F45709">
            <w:pPr>
              <w:rPr>
                <w:rFonts w:eastAsia="Times New Roman" w:cstheme="minorHAnsi"/>
                <w:sz w:val="18"/>
                <w:szCs w:val="18"/>
                <w:lang w:eastAsia="hr-HR"/>
              </w:rPr>
            </w:pPr>
            <w:r w:rsidRPr="0058310C">
              <w:rPr>
                <w:rFonts w:eastAsia="Times New Roman" w:cstheme="minorHAnsi"/>
                <w:sz w:val="18"/>
                <w:szCs w:val="18"/>
                <w:lang w:eastAsia="hr-HR"/>
              </w:rPr>
              <w:t>027.</w:t>
            </w:r>
          </w:p>
        </w:tc>
        <w:tc>
          <w:tcPr>
            <w:tcW w:w="3754" w:type="dxa"/>
            <w:tcBorders>
              <w:top w:val="nil"/>
              <w:left w:val="nil"/>
              <w:bottom w:val="single" w:sz="4" w:space="0" w:color="auto"/>
              <w:right w:val="single" w:sz="4" w:space="0" w:color="auto"/>
            </w:tcBorders>
            <w:shd w:val="clear" w:color="auto" w:fill="auto"/>
            <w:vAlign w:val="center"/>
            <w:hideMark/>
          </w:tcPr>
          <w:p w14:paraId="55958370" w14:textId="77777777" w:rsidR="00F8005A" w:rsidRPr="0058310C" w:rsidRDefault="00F8005A" w:rsidP="00F45709">
            <w:pPr>
              <w:rPr>
                <w:rFonts w:eastAsia="Times New Roman" w:cstheme="minorHAnsi"/>
                <w:sz w:val="18"/>
                <w:szCs w:val="18"/>
                <w:lang w:eastAsia="hr-HR"/>
              </w:rPr>
            </w:pPr>
            <w:r w:rsidRPr="0058310C">
              <w:rPr>
                <w:rFonts w:eastAsia="Times New Roman" w:cstheme="minorHAnsi"/>
                <w:sz w:val="18"/>
                <w:szCs w:val="18"/>
                <w:lang w:eastAsia="hr-HR"/>
              </w:rPr>
              <w:t>Redoviti troškovi vezani uz informatiku</w:t>
            </w:r>
          </w:p>
        </w:tc>
        <w:tc>
          <w:tcPr>
            <w:tcW w:w="1627" w:type="dxa"/>
            <w:tcBorders>
              <w:top w:val="nil"/>
              <w:left w:val="nil"/>
              <w:bottom w:val="single" w:sz="4" w:space="0" w:color="auto"/>
              <w:right w:val="single" w:sz="4" w:space="0" w:color="auto"/>
            </w:tcBorders>
            <w:shd w:val="clear" w:color="auto" w:fill="auto"/>
            <w:noWrap/>
            <w:vAlign w:val="center"/>
            <w:hideMark/>
          </w:tcPr>
          <w:p w14:paraId="63E03DF2" w14:textId="77777777" w:rsidR="00F8005A" w:rsidRPr="0058310C" w:rsidRDefault="00F8005A" w:rsidP="00F45709">
            <w:pPr>
              <w:jc w:val="right"/>
              <w:rPr>
                <w:rFonts w:eastAsia="Times New Roman" w:cstheme="minorHAnsi"/>
                <w:sz w:val="18"/>
                <w:szCs w:val="18"/>
                <w:lang w:eastAsia="hr-HR"/>
              </w:rPr>
            </w:pPr>
            <w:r w:rsidRPr="0058310C">
              <w:rPr>
                <w:rFonts w:eastAsia="Times New Roman" w:cstheme="minorHAnsi"/>
                <w:sz w:val="18"/>
                <w:szCs w:val="18"/>
                <w:lang w:eastAsia="hr-HR"/>
              </w:rPr>
              <w:t xml:space="preserve">76.600   </w:t>
            </w:r>
          </w:p>
        </w:tc>
        <w:tc>
          <w:tcPr>
            <w:tcW w:w="1601" w:type="dxa"/>
            <w:tcBorders>
              <w:top w:val="nil"/>
              <w:left w:val="nil"/>
              <w:bottom w:val="single" w:sz="4" w:space="0" w:color="auto"/>
              <w:right w:val="single" w:sz="4" w:space="0" w:color="auto"/>
            </w:tcBorders>
            <w:shd w:val="clear" w:color="auto" w:fill="auto"/>
            <w:noWrap/>
            <w:vAlign w:val="center"/>
            <w:hideMark/>
          </w:tcPr>
          <w:p w14:paraId="2CB55A16" w14:textId="77777777" w:rsidR="00F8005A" w:rsidRPr="0058310C" w:rsidRDefault="00F8005A" w:rsidP="00F45709">
            <w:pPr>
              <w:jc w:val="right"/>
              <w:rPr>
                <w:rFonts w:eastAsia="Times New Roman" w:cstheme="minorHAnsi"/>
                <w:sz w:val="18"/>
                <w:szCs w:val="18"/>
                <w:lang w:eastAsia="hr-HR"/>
              </w:rPr>
            </w:pPr>
            <w:r w:rsidRPr="0058310C">
              <w:rPr>
                <w:rFonts w:eastAsia="Times New Roman" w:cstheme="minorHAnsi"/>
                <w:sz w:val="18"/>
                <w:szCs w:val="18"/>
                <w:lang w:eastAsia="hr-HR"/>
              </w:rPr>
              <w:t xml:space="preserve">50.423   </w:t>
            </w:r>
          </w:p>
        </w:tc>
        <w:tc>
          <w:tcPr>
            <w:tcW w:w="1312" w:type="dxa"/>
            <w:tcBorders>
              <w:top w:val="nil"/>
              <w:left w:val="nil"/>
              <w:bottom w:val="single" w:sz="4" w:space="0" w:color="auto"/>
              <w:right w:val="single" w:sz="4" w:space="0" w:color="auto"/>
            </w:tcBorders>
            <w:shd w:val="clear" w:color="auto" w:fill="auto"/>
            <w:noWrap/>
            <w:vAlign w:val="center"/>
            <w:hideMark/>
          </w:tcPr>
          <w:p w14:paraId="444DCA6B" w14:textId="77777777" w:rsidR="00F8005A" w:rsidRPr="0058310C" w:rsidRDefault="00F8005A" w:rsidP="00F45709">
            <w:pPr>
              <w:jc w:val="right"/>
              <w:rPr>
                <w:rFonts w:eastAsia="Times New Roman" w:cstheme="minorHAnsi"/>
                <w:sz w:val="18"/>
                <w:szCs w:val="18"/>
                <w:lang w:eastAsia="hr-HR"/>
              </w:rPr>
            </w:pPr>
            <w:r w:rsidRPr="0058310C">
              <w:rPr>
                <w:rFonts w:eastAsia="Times New Roman" w:cstheme="minorHAnsi"/>
                <w:sz w:val="18"/>
                <w:szCs w:val="18"/>
                <w:lang w:eastAsia="hr-HR"/>
              </w:rPr>
              <w:t>66%</w:t>
            </w:r>
          </w:p>
        </w:tc>
      </w:tr>
      <w:tr w:rsidR="00F8005A" w:rsidRPr="0058310C" w14:paraId="12BC4241" w14:textId="77777777" w:rsidTr="00F8005A">
        <w:trPr>
          <w:trHeight w:val="236"/>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04FA39B0" w14:textId="77777777" w:rsidR="00F8005A" w:rsidRPr="0058310C" w:rsidRDefault="00F8005A" w:rsidP="00F45709">
            <w:pPr>
              <w:rPr>
                <w:rFonts w:eastAsia="Times New Roman" w:cstheme="minorHAnsi"/>
                <w:sz w:val="18"/>
                <w:szCs w:val="18"/>
                <w:lang w:eastAsia="hr-HR"/>
              </w:rPr>
            </w:pPr>
            <w:r w:rsidRPr="0058310C">
              <w:rPr>
                <w:rFonts w:eastAsia="Times New Roman" w:cstheme="minorHAnsi"/>
                <w:sz w:val="18"/>
                <w:szCs w:val="18"/>
                <w:lang w:eastAsia="hr-HR"/>
              </w:rPr>
              <w:t>028.</w:t>
            </w:r>
          </w:p>
        </w:tc>
        <w:tc>
          <w:tcPr>
            <w:tcW w:w="3754" w:type="dxa"/>
            <w:tcBorders>
              <w:top w:val="nil"/>
              <w:left w:val="nil"/>
              <w:bottom w:val="single" w:sz="4" w:space="0" w:color="auto"/>
              <w:right w:val="single" w:sz="4" w:space="0" w:color="auto"/>
            </w:tcBorders>
            <w:shd w:val="clear" w:color="auto" w:fill="auto"/>
            <w:vAlign w:val="center"/>
            <w:hideMark/>
          </w:tcPr>
          <w:p w14:paraId="0E83C69E" w14:textId="77777777" w:rsidR="00F8005A" w:rsidRPr="0058310C" w:rsidRDefault="00F8005A" w:rsidP="00F45709">
            <w:pPr>
              <w:rPr>
                <w:rFonts w:eastAsia="Times New Roman" w:cstheme="minorHAnsi"/>
                <w:sz w:val="18"/>
                <w:szCs w:val="18"/>
                <w:lang w:eastAsia="hr-HR"/>
              </w:rPr>
            </w:pPr>
            <w:r w:rsidRPr="0058310C">
              <w:rPr>
                <w:rFonts w:eastAsia="Times New Roman" w:cstheme="minorHAnsi"/>
                <w:sz w:val="18"/>
                <w:szCs w:val="18"/>
                <w:lang w:eastAsia="hr-HR"/>
              </w:rPr>
              <w:t>Usluge vezane uz informatički sustav</w:t>
            </w:r>
          </w:p>
        </w:tc>
        <w:tc>
          <w:tcPr>
            <w:tcW w:w="1627" w:type="dxa"/>
            <w:tcBorders>
              <w:top w:val="nil"/>
              <w:left w:val="nil"/>
              <w:bottom w:val="single" w:sz="4" w:space="0" w:color="auto"/>
              <w:right w:val="single" w:sz="4" w:space="0" w:color="auto"/>
            </w:tcBorders>
            <w:shd w:val="clear" w:color="auto" w:fill="auto"/>
            <w:noWrap/>
            <w:vAlign w:val="center"/>
            <w:hideMark/>
          </w:tcPr>
          <w:p w14:paraId="70675F48" w14:textId="77777777" w:rsidR="00F8005A" w:rsidRPr="0058310C" w:rsidRDefault="00F8005A" w:rsidP="00F45709">
            <w:pPr>
              <w:jc w:val="right"/>
              <w:rPr>
                <w:rFonts w:eastAsia="Times New Roman" w:cstheme="minorHAnsi"/>
                <w:sz w:val="18"/>
                <w:szCs w:val="18"/>
                <w:lang w:eastAsia="hr-HR"/>
              </w:rPr>
            </w:pPr>
            <w:r w:rsidRPr="0058310C">
              <w:rPr>
                <w:rFonts w:eastAsia="Times New Roman" w:cstheme="minorHAnsi"/>
                <w:sz w:val="18"/>
                <w:szCs w:val="18"/>
                <w:lang w:eastAsia="hr-HR"/>
              </w:rPr>
              <w:t xml:space="preserve">97.420   </w:t>
            </w:r>
          </w:p>
        </w:tc>
        <w:tc>
          <w:tcPr>
            <w:tcW w:w="1601" w:type="dxa"/>
            <w:tcBorders>
              <w:top w:val="nil"/>
              <w:left w:val="nil"/>
              <w:bottom w:val="single" w:sz="4" w:space="0" w:color="auto"/>
              <w:right w:val="single" w:sz="4" w:space="0" w:color="auto"/>
            </w:tcBorders>
            <w:shd w:val="clear" w:color="auto" w:fill="auto"/>
            <w:noWrap/>
            <w:vAlign w:val="center"/>
            <w:hideMark/>
          </w:tcPr>
          <w:p w14:paraId="48BF3CB9" w14:textId="77777777" w:rsidR="00F8005A" w:rsidRPr="0058310C" w:rsidRDefault="00F8005A" w:rsidP="00F45709">
            <w:pPr>
              <w:jc w:val="right"/>
              <w:rPr>
                <w:rFonts w:eastAsia="Times New Roman" w:cstheme="minorHAnsi"/>
                <w:sz w:val="18"/>
                <w:szCs w:val="18"/>
                <w:lang w:eastAsia="hr-HR"/>
              </w:rPr>
            </w:pPr>
            <w:r w:rsidRPr="0058310C">
              <w:rPr>
                <w:rFonts w:eastAsia="Times New Roman" w:cstheme="minorHAnsi"/>
                <w:sz w:val="18"/>
                <w:szCs w:val="18"/>
                <w:lang w:eastAsia="hr-HR"/>
              </w:rPr>
              <w:t xml:space="preserve">55.021   </w:t>
            </w:r>
          </w:p>
        </w:tc>
        <w:tc>
          <w:tcPr>
            <w:tcW w:w="1312" w:type="dxa"/>
            <w:tcBorders>
              <w:top w:val="nil"/>
              <w:left w:val="nil"/>
              <w:bottom w:val="single" w:sz="4" w:space="0" w:color="auto"/>
              <w:right w:val="single" w:sz="4" w:space="0" w:color="auto"/>
            </w:tcBorders>
            <w:shd w:val="clear" w:color="auto" w:fill="auto"/>
            <w:noWrap/>
            <w:vAlign w:val="center"/>
            <w:hideMark/>
          </w:tcPr>
          <w:p w14:paraId="6B8970E0" w14:textId="77777777" w:rsidR="00F8005A" w:rsidRPr="0058310C" w:rsidRDefault="00F8005A" w:rsidP="00F45709">
            <w:pPr>
              <w:jc w:val="right"/>
              <w:rPr>
                <w:rFonts w:eastAsia="Times New Roman" w:cstheme="minorHAnsi"/>
                <w:sz w:val="18"/>
                <w:szCs w:val="18"/>
                <w:lang w:eastAsia="hr-HR"/>
              </w:rPr>
            </w:pPr>
            <w:r w:rsidRPr="0058310C">
              <w:rPr>
                <w:rFonts w:eastAsia="Times New Roman" w:cstheme="minorHAnsi"/>
                <w:sz w:val="18"/>
                <w:szCs w:val="18"/>
                <w:lang w:eastAsia="hr-HR"/>
              </w:rPr>
              <w:t>56%</w:t>
            </w:r>
          </w:p>
        </w:tc>
      </w:tr>
      <w:tr w:rsidR="00F8005A" w:rsidRPr="0058310C" w14:paraId="27FDB52E" w14:textId="77777777" w:rsidTr="00F45709">
        <w:trPr>
          <w:trHeight w:val="236"/>
        </w:trPr>
        <w:tc>
          <w:tcPr>
            <w:tcW w:w="4395"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B467B46" w14:textId="77777777" w:rsidR="00F8005A" w:rsidRPr="0058310C" w:rsidRDefault="00F8005A" w:rsidP="00F45709">
            <w:pPr>
              <w:rPr>
                <w:rFonts w:eastAsia="Times New Roman" w:cstheme="minorHAnsi"/>
                <w:b/>
                <w:bCs/>
                <w:sz w:val="18"/>
                <w:szCs w:val="18"/>
                <w:lang w:eastAsia="hr-HR"/>
              </w:rPr>
            </w:pPr>
            <w:r w:rsidRPr="0058310C">
              <w:rPr>
                <w:rFonts w:eastAsia="Times New Roman" w:cstheme="minorHAnsi"/>
                <w:b/>
                <w:bCs/>
                <w:sz w:val="18"/>
                <w:szCs w:val="18"/>
                <w:lang w:eastAsia="hr-HR"/>
              </w:rPr>
              <w:t>UKUPNO:</w:t>
            </w:r>
          </w:p>
        </w:tc>
        <w:tc>
          <w:tcPr>
            <w:tcW w:w="1627" w:type="dxa"/>
            <w:tcBorders>
              <w:top w:val="nil"/>
              <w:left w:val="nil"/>
              <w:bottom w:val="single" w:sz="4" w:space="0" w:color="auto"/>
              <w:right w:val="single" w:sz="4" w:space="0" w:color="auto"/>
            </w:tcBorders>
            <w:shd w:val="clear" w:color="000000" w:fill="BFBFBF"/>
            <w:noWrap/>
            <w:vAlign w:val="center"/>
            <w:hideMark/>
          </w:tcPr>
          <w:p w14:paraId="39F40718" w14:textId="77777777" w:rsidR="00F8005A" w:rsidRPr="0058310C" w:rsidRDefault="00F8005A" w:rsidP="00F45709">
            <w:pPr>
              <w:jc w:val="right"/>
              <w:rPr>
                <w:rFonts w:eastAsia="Times New Roman" w:cstheme="minorHAnsi"/>
                <w:b/>
                <w:bCs/>
                <w:sz w:val="18"/>
                <w:szCs w:val="18"/>
                <w:lang w:eastAsia="hr-HR"/>
              </w:rPr>
            </w:pPr>
            <w:r w:rsidRPr="0058310C">
              <w:rPr>
                <w:rFonts w:eastAsia="Times New Roman" w:cstheme="minorHAnsi"/>
                <w:b/>
                <w:bCs/>
                <w:sz w:val="18"/>
                <w:szCs w:val="18"/>
                <w:lang w:eastAsia="hr-HR"/>
              </w:rPr>
              <w:t xml:space="preserve">4.144.384   </w:t>
            </w:r>
          </w:p>
        </w:tc>
        <w:tc>
          <w:tcPr>
            <w:tcW w:w="1601" w:type="dxa"/>
            <w:tcBorders>
              <w:top w:val="nil"/>
              <w:left w:val="nil"/>
              <w:bottom w:val="single" w:sz="4" w:space="0" w:color="auto"/>
              <w:right w:val="single" w:sz="4" w:space="0" w:color="auto"/>
            </w:tcBorders>
            <w:shd w:val="clear" w:color="000000" w:fill="BFBFBF"/>
            <w:noWrap/>
            <w:vAlign w:val="center"/>
            <w:hideMark/>
          </w:tcPr>
          <w:p w14:paraId="61C0F550" w14:textId="77777777" w:rsidR="00F8005A" w:rsidRPr="0058310C" w:rsidRDefault="00F8005A" w:rsidP="00F45709">
            <w:pPr>
              <w:jc w:val="right"/>
              <w:rPr>
                <w:rFonts w:eastAsia="Times New Roman" w:cstheme="minorHAnsi"/>
                <w:b/>
                <w:bCs/>
                <w:sz w:val="18"/>
                <w:szCs w:val="18"/>
                <w:lang w:eastAsia="hr-HR"/>
              </w:rPr>
            </w:pPr>
            <w:r w:rsidRPr="0058310C">
              <w:rPr>
                <w:rFonts w:eastAsia="Times New Roman" w:cstheme="minorHAnsi"/>
                <w:b/>
                <w:bCs/>
                <w:sz w:val="18"/>
                <w:szCs w:val="18"/>
                <w:lang w:eastAsia="hr-HR"/>
              </w:rPr>
              <w:t xml:space="preserve">2.637.010   </w:t>
            </w:r>
          </w:p>
        </w:tc>
        <w:tc>
          <w:tcPr>
            <w:tcW w:w="1312" w:type="dxa"/>
            <w:tcBorders>
              <w:top w:val="nil"/>
              <w:left w:val="nil"/>
              <w:bottom w:val="single" w:sz="4" w:space="0" w:color="auto"/>
              <w:right w:val="single" w:sz="4" w:space="0" w:color="auto"/>
            </w:tcBorders>
            <w:shd w:val="clear" w:color="000000" w:fill="BFBFBF"/>
            <w:noWrap/>
            <w:vAlign w:val="center"/>
            <w:hideMark/>
          </w:tcPr>
          <w:p w14:paraId="428FF6D9" w14:textId="77777777" w:rsidR="00F8005A" w:rsidRPr="0058310C" w:rsidRDefault="00F8005A" w:rsidP="00F45709">
            <w:pPr>
              <w:jc w:val="right"/>
              <w:rPr>
                <w:rFonts w:eastAsia="Times New Roman" w:cstheme="minorHAnsi"/>
                <w:b/>
                <w:bCs/>
                <w:sz w:val="18"/>
                <w:szCs w:val="18"/>
                <w:lang w:eastAsia="hr-HR"/>
              </w:rPr>
            </w:pPr>
            <w:r w:rsidRPr="0058310C">
              <w:rPr>
                <w:rFonts w:eastAsia="Times New Roman" w:cstheme="minorHAnsi"/>
                <w:b/>
                <w:bCs/>
                <w:sz w:val="18"/>
                <w:szCs w:val="18"/>
                <w:lang w:eastAsia="hr-HR"/>
              </w:rPr>
              <w:t>64%</w:t>
            </w:r>
          </w:p>
        </w:tc>
      </w:tr>
    </w:tbl>
    <w:p w14:paraId="206678C5" w14:textId="77777777" w:rsidR="00F8005A" w:rsidRDefault="00F8005A" w:rsidP="00F8005A">
      <w:pPr>
        <w:spacing w:after="120"/>
        <w:jc w:val="both"/>
      </w:pPr>
      <w:r>
        <w:rPr>
          <w:rFonts w:cstheme="minorHAnsi"/>
          <w:sz w:val="16"/>
          <w:szCs w:val="16"/>
        </w:rPr>
        <w:t xml:space="preserve">*Skupina </w:t>
      </w:r>
      <w:r w:rsidRPr="00B2762A">
        <w:rPr>
          <w:rFonts w:cstheme="minorHAnsi"/>
          <w:i/>
          <w:sz w:val="16"/>
          <w:szCs w:val="16"/>
        </w:rPr>
        <w:t>Ostale usluge</w:t>
      </w:r>
      <w:r>
        <w:rPr>
          <w:rFonts w:cstheme="minorHAnsi"/>
          <w:sz w:val="16"/>
          <w:szCs w:val="16"/>
        </w:rPr>
        <w:t xml:space="preserve"> uključuje sljedeće: prikupljanje informacija iz medijskog prostora, usluge a</w:t>
      </w:r>
      <w:r w:rsidRPr="000D343F">
        <w:rPr>
          <w:rFonts w:cstheme="minorHAnsi"/>
          <w:sz w:val="16"/>
          <w:szCs w:val="16"/>
        </w:rPr>
        <w:t xml:space="preserve">rhiviranja i skladištenja dokumentacije te pohrane mikrofilmova, </w:t>
      </w:r>
      <w:r>
        <w:rPr>
          <w:rFonts w:cstheme="minorHAnsi"/>
          <w:sz w:val="16"/>
          <w:szCs w:val="16"/>
        </w:rPr>
        <w:t xml:space="preserve">usluga kontrole i čišćenja mikrofilmova, </w:t>
      </w:r>
      <w:r w:rsidRPr="000D343F">
        <w:rPr>
          <w:rFonts w:cstheme="minorHAnsi"/>
          <w:sz w:val="16"/>
          <w:szCs w:val="16"/>
        </w:rPr>
        <w:t>usluge članskih udruga, oglasi za radna mjesta, usluge prevođenja i lektoriranja, usluge zakupa medijskog prostora, bankovne usluge, naknada Agenciji za privremeno zapošljavanje, izlučivanje dokumentacije, naknada Student servisu, usluge promidžbe, usluge digitalne televizije</w:t>
      </w:r>
      <w:r>
        <w:rPr>
          <w:rFonts w:cstheme="minorHAnsi"/>
          <w:sz w:val="16"/>
          <w:szCs w:val="16"/>
        </w:rPr>
        <w:t xml:space="preserve">, </w:t>
      </w:r>
      <w:r w:rsidRPr="000D343F">
        <w:rPr>
          <w:rFonts w:cstheme="minorHAnsi"/>
          <w:sz w:val="16"/>
          <w:szCs w:val="16"/>
        </w:rPr>
        <w:t>procjena kompetencija zaposl</w:t>
      </w:r>
      <w:r>
        <w:rPr>
          <w:rFonts w:cstheme="minorHAnsi"/>
          <w:sz w:val="16"/>
          <w:szCs w:val="16"/>
        </w:rPr>
        <w:t>enika, usluge selidbe, certificiranje sustava za pretvorbu i usluge posluživanja.</w:t>
      </w:r>
      <w:bookmarkStart w:id="358" w:name="_Toc512327778"/>
      <w:bookmarkStart w:id="359" w:name="_Toc530140626"/>
      <w:r>
        <w:t xml:space="preserve"> </w:t>
      </w:r>
      <w:bookmarkEnd w:id="358"/>
      <w:bookmarkEnd w:id="359"/>
    </w:p>
    <w:p w14:paraId="1633F011" w14:textId="77777777" w:rsidR="00F8005A" w:rsidRDefault="00F8005A" w:rsidP="00F8005A">
      <w:pPr>
        <w:jc w:val="both"/>
        <w:rPr>
          <w:rFonts w:ascii="Calibri" w:hAnsi="Calibri" w:cs="Calibri"/>
        </w:rPr>
      </w:pPr>
      <w:r w:rsidRPr="00B24AA2">
        <w:rPr>
          <w:rFonts w:cstheme="minorHAnsi"/>
          <w:sz w:val="16"/>
          <w:szCs w:val="16"/>
        </w:rPr>
        <w:t>** Skupina</w:t>
      </w:r>
      <w:r w:rsidRPr="00B24AA2">
        <w:rPr>
          <w:rFonts w:cstheme="minorHAnsi"/>
          <w:i/>
          <w:iCs/>
          <w:sz w:val="16"/>
          <w:szCs w:val="16"/>
        </w:rPr>
        <w:t xml:space="preserve"> Ostale nabave </w:t>
      </w:r>
      <w:r w:rsidRPr="00B24AA2">
        <w:rPr>
          <w:rFonts w:cstheme="minorHAnsi"/>
          <w:sz w:val="16"/>
          <w:szCs w:val="16"/>
        </w:rPr>
        <w:t>uključuje sljedeće: oprema za označavanje Agencije, norme, protokolarni troškovi.</w:t>
      </w:r>
    </w:p>
    <w:p w14:paraId="3691C36B" w14:textId="32AE2083" w:rsidR="00F8005A" w:rsidRDefault="00F8005A"/>
    <w:p w14:paraId="5D21FD62" w14:textId="3AC82F77" w:rsidR="00F8005A" w:rsidRDefault="00F8005A"/>
    <w:p w14:paraId="2CD1B688" w14:textId="7BB054BD" w:rsidR="00F8005A" w:rsidRDefault="00F8005A"/>
    <w:p w14:paraId="36AFBF09" w14:textId="4C1DFE24" w:rsidR="00F8005A" w:rsidRDefault="00F8005A"/>
    <w:p w14:paraId="35AB7B7A" w14:textId="541D2171" w:rsidR="00F8005A" w:rsidRDefault="00F8005A"/>
    <w:p w14:paraId="7C98D014" w14:textId="2EBE557D" w:rsidR="00F8005A" w:rsidRDefault="00F8005A"/>
    <w:p w14:paraId="56E2561B" w14:textId="5AFC8A67" w:rsidR="00F8005A" w:rsidRDefault="00F8005A"/>
    <w:p w14:paraId="25566EA1" w14:textId="6556D794" w:rsidR="00B5168D" w:rsidRDefault="00B5168D"/>
    <w:p w14:paraId="4F993FFA" w14:textId="0B9D026A" w:rsidR="00B5168D" w:rsidRDefault="00B5168D"/>
    <w:p w14:paraId="21725D19" w14:textId="757FEA1A" w:rsidR="00B5168D" w:rsidRDefault="00B5168D"/>
    <w:p w14:paraId="4744EE77" w14:textId="77A855E4" w:rsidR="00B5168D" w:rsidRDefault="00B5168D"/>
    <w:p w14:paraId="3BC0695C" w14:textId="77777777" w:rsidR="00EA1914" w:rsidRDefault="00EA1914" w:rsidP="00EA1914">
      <w:pPr>
        <w:pStyle w:val="Heading1"/>
        <w:rPr>
          <w:rFonts w:eastAsia="Calibri"/>
        </w:rPr>
      </w:pPr>
      <w:bookmarkStart w:id="360" w:name="_Toc165035555"/>
      <w:bookmarkStart w:id="361" w:name="_Toc530140620"/>
      <w:r>
        <w:rPr>
          <w:rFonts w:eastAsia="Calibri"/>
        </w:rPr>
        <w:lastRenderedPageBreak/>
        <w:t>5. IZVJEŠĆE O IZVRŠENJU PLANA ZAPOŠLJAVANJA</w:t>
      </w:r>
      <w:bookmarkEnd w:id="360"/>
    </w:p>
    <w:p w14:paraId="5F96BAB3" w14:textId="77777777" w:rsidR="00EA1914" w:rsidRPr="00400391" w:rsidRDefault="00EA1914" w:rsidP="00400391">
      <w:pPr>
        <w:spacing w:after="120"/>
        <w:rPr>
          <w:rFonts w:eastAsia="Times New Roman" w:cs="Times New Roman"/>
          <w:b/>
        </w:rPr>
      </w:pPr>
      <w:r w:rsidRPr="00400391">
        <w:rPr>
          <w:rFonts w:eastAsia="Times New Roman" w:cs="Times New Roman"/>
          <w:b/>
        </w:rPr>
        <w:t>Plan zapošljavanja</w:t>
      </w:r>
    </w:p>
    <w:p w14:paraId="76456244" w14:textId="4DEF00C4" w:rsidR="00EA1914" w:rsidRPr="00B609FC" w:rsidRDefault="00EA1914" w:rsidP="00EA1914">
      <w:pPr>
        <w:jc w:val="both"/>
        <w:rPr>
          <w:rFonts w:eastAsia="Times New Roman" w:cstheme="minorHAnsi"/>
        </w:rPr>
      </w:pPr>
      <w:r w:rsidRPr="00B609FC">
        <w:rPr>
          <w:rFonts w:eastAsia="Times New Roman" w:cstheme="minorHAnsi"/>
        </w:rPr>
        <w:t xml:space="preserve">Poslovnim planom za 2023. godinu koji je Upravno vijeće donijelo na svojoj 28. sjednici održanoj dana 15. studenoga 2022. godine utvrđen je Plan zapošljavanja za 2023. godinu. </w:t>
      </w:r>
    </w:p>
    <w:p w14:paraId="5ED7C835" w14:textId="3F6C920C" w:rsidR="00EA1914" w:rsidRDefault="00EA1914" w:rsidP="00EA1914">
      <w:pPr>
        <w:jc w:val="both"/>
        <w:rPr>
          <w:rFonts w:eastAsia="Times New Roman" w:cstheme="minorHAnsi"/>
        </w:rPr>
      </w:pPr>
      <w:r w:rsidRPr="00B609FC">
        <w:rPr>
          <w:rFonts w:eastAsia="Times New Roman" w:cstheme="minorHAnsi"/>
        </w:rPr>
        <w:t>Plan zapošljavanja dopunj</w:t>
      </w:r>
      <w:r w:rsidR="00297946" w:rsidRPr="00B609FC">
        <w:rPr>
          <w:rFonts w:eastAsia="Times New Roman" w:cstheme="minorHAnsi"/>
        </w:rPr>
        <w:t xml:space="preserve">en </w:t>
      </w:r>
      <w:r w:rsidRPr="00B609FC">
        <w:rPr>
          <w:rFonts w:eastAsia="Times New Roman" w:cstheme="minorHAnsi"/>
        </w:rPr>
        <w:t>je na 35. sjednici Upravnog vijeća održanoj dana 14. ožujka 2023. godine.</w:t>
      </w:r>
    </w:p>
    <w:p w14:paraId="432BBF99" w14:textId="77777777" w:rsidR="00400391" w:rsidRPr="00B609FC" w:rsidRDefault="00400391" w:rsidP="00EA1914">
      <w:pPr>
        <w:jc w:val="both"/>
        <w:rPr>
          <w:rFonts w:eastAsia="Times New Roman" w:cstheme="minorHAnsi"/>
        </w:rPr>
      </w:pPr>
    </w:p>
    <w:p w14:paraId="17287CB0" w14:textId="77777777" w:rsidR="00EA1914" w:rsidRPr="00400391" w:rsidRDefault="00EA1914" w:rsidP="00400391">
      <w:pPr>
        <w:spacing w:after="120"/>
        <w:rPr>
          <w:rFonts w:eastAsia="Times New Roman" w:cs="Times New Roman"/>
          <w:b/>
        </w:rPr>
      </w:pPr>
      <w:r w:rsidRPr="00400391">
        <w:rPr>
          <w:rFonts w:eastAsia="Times New Roman" w:cs="Times New Roman"/>
          <w:b/>
        </w:rPr>
        <w:t>Prestanak radnog odnosa</w:t>
      </w:r>
    </w:p>
    <w:p w14:paraId="074420D7" w14:textId="40CE918B" w:rsidR="00EA1914" w:rsidRPr="00B609FC" w:rsidRDefault="00EA1914" w:rsidP="00EA1914">
      <w:pPr>
        <w:jc w:val="both"/>
        <w:rPr>
          <w:rFonts w:cstheme="minorHAnsi"/>
        </w:rPr>
      </w:pPr>
      <w:r w:rsidRPr="00B609FC">
        <w:rPr>
          <w:rFonts w:eastAsia="Times New Roman" w:cstheme="minorHAnsi"/>
        </w:rPr>
        <w:t>U 2023. godini</w:t>
      </w:r>
      <w:r w:rsidRPr="00B609FC">
        <w:rPr>
          <w:rFonts w:cstheme="minorHAnsi"/>
        </w:rPr>
        <w:t xml:space="preserve"> prestao je radni odnos 12 zaposlenika HALMED-a</w:t>
      </w:r>
      <w:r w:rsidR="00297946" w:rsidRPr="00B609FC">
        <w:rPr>
          <w:rFonts w:cstheme="minorHAnsi"/>
        </w:rPr>
        <w:t xml:space="preserve"> te su upražnjena slijedeća radna mjesta sporazumnim prestankom Ugovora o radu</w:t>
      </w:r>
      <w:r w:rsidRPr="00B609FC">
        <w:rPr>
          <w:rFonts w:cstheme="minorHAnsi"/>
        </w:rPr>
        <w:t xml:space="preserve">: </w:t>
      </w:r>
    </w:p>
    <w:p w14:paraId="07C59640" w14:textId="77777777" w:rsidR="00EA1914" w:rsidRPr="00B609FC" w:rsidRDefault="00EA1914" w:rsidP="00AC375F">
      <w:pPr>
        <w:pStyle w:val="ListParagraph"/>
        <w:numPr>
          <w:ilvl w:val="0"/>
          <w:numId w:val="44"/>
        </w:numPr>
        <w:spacing w:before="0" w:after="0" w:line="240" w:lineRule="auto"/>
        <w:jc w:val="both"/>
        <w:rPr>
          <w:rFonts w:cstheme="minorHAnsi"/>
          <w:sz w:val="22"/>
          <w:szCs w:val="22"/>
        </w:rPr>
      </w:pPr>
      <w:r w:rsidRPr="00B609FC">
        <w:rPr>
          <w:rFonts w:cstheme="minorHAnsi"/>
          <w:sz w:val="22"/>
          <w:szCs w:val="22"/>
        </w:rPr>
        <w:t>farmakovigilancijski inspektor ekspert</w:t>
      </w:r>
    </w:p>
    <w:p w14:paraId="4221D95C" w14:textId="77777777" w:rsidR="00EA1914" w:rsidRPr="00B609FC" w:rsidRDefault="00EA1914" w:rsidP="00AC375F">
      <w:pPr>
        <w:pStyle w:val="ListParagraph"/>
        <w:numPr>
          <w:ilvl w:val="0"/>
          <w:numId w:val="44"/>
        </w:numPr>
        <w:spacing w:before="0" w:after="0" w:line="240" w:lineRule="auto"/>
        <w:jc w:val="both"/>
        <w:rPr>
          <w:rFonts w:cstheme="minorHAnsi"/>
          <w:sz w:val="22"/>
          <w:szCs w:val="22"/>
        </w:rPr>
      </w:pPr>
      <w:r w:rsidRPr="00B609FC">
        <w:rPr>
          <w:rFonts w:cstheme="minorHAnsi"/>
          <w:sz w:val="22"/>
          <w:szCs w:val="22"/>
        </w:rPr>
        <w:t>referent nabave VI stupnja</w:t>
      </w:r>
    </w:p>
    <w:p w14:paraId="279C7C89" w14:textId="77777777" w:rsidR="00EA1914" w:rsidRPr="00B609FC" w:rsidRDefault="00EA1914" w:rsidP="00AC375F">
      <w:pPr>
        <w:pStyle w:val="ListParagraph"/>
        <w:numPr>
          <w:ilvl w:val="0"/>
          <w:numId w:val="44"/>
        </w:numPr>
        <w:spacing w:before="0" w:after="0" w:line="240" w:lineRule="auto"/>
        <w:jc w:val="both"/>
        <w:rPr>
          <w:rFonts w:cstheme="minorHAnsi"/>
          <w:sz w:val="22"/>
          <w:szCs w:val="22"/>
        </w:rPr>
      </w:pPr>
      <w:r w:rsidRPr="00B609FC">
        <w:rPr>
          <w:rFonts w:cstheme="minorHAnsi"/>
          <w:sz w:val="22"/>
          <w:szCs w:val="22"/>
        </w:rPr>
        <w:t>viši stručni savjetnik za validaciju zahtjeva</w:t>
      </w:r>
    </w:p>
    <w:p w14:paraId="39624CA4" w14:textId="77777777" w:rsidR="00EA1914" w:rsidRPr="00B609FC" w:rsidRDefault="00EA1914" w:rsidP="00AC375F">
      <w:pPr>
        <w:pStyle w:val="ListParagraph"/>
        <w:numPr>
          <w:ilvl w:val="0"/>
          <w:numId w:val="44"/>
        </w:numPr>
        <w:spacing w:before="0" w:after="0" w:line="240" w:lineRule="auto"/>
        <w:jc w:val="both"/>
        <w:rPr>
          <w:rFonts w:cstheme="minorHAnsi"/>
          <w:sz w:val="22"/>
          <w:szCs w:val="22"/>
        </w:rPr>
      </w:pPr>
      <w:r w:rsidRPr="00B609FC">
        <w:rPr>
          <w:rFonts w:cstheme="minorHAnsi"/>
          <w:sz w:val="22"/>
          <w:szCs w:val="22"/>
        </w:rPr>
        <w:t>glavni koordinator za ocjenu dokumentacije o sigurnosti lijeka u kliničkom ispitivanju</w:t>
      </w:r>
    </w:p>
    <w:p w14:paraId="0B230440" w14:textId="77777777" w:rsidR="00EA1914" w:rsidRPr="00B609FC" w:rsidRDefault="00EA1914" w:rsidP="00AC375F">
      <w:pPr>
        <w:pStyle w:val="ListParagraph"/>
        <w:numPr>
          <w:ilvl w:val="0"/>
          <w:numId w:val="44"/>
        </w:numPr>
        <w:spacing w:before="0" w:after="0" w:line="240" w:lineRule="auto"/>
        <w:jc w:val="both"/>
        <w:rPr>
          <w:rFonts w:cstheme="minorHAnsi"/>
          <w:sz w:val="22"/>
          <w:szCs w:val="22"/>
        </w:rPr>
      </w:pPr>
      <w:r w:rsidRPr="00B609FC">
        <w:rPr>
          <w:rFonts w:cstheme="minorHAnsi"/>
          <w:sz w:val="22"/>
          <w:szCs w:val="22"/>
        </w:rPr>
        <w:t>stručni suradnik za biostatistiku</w:t>
      </w:r>
    </w:p>
    <w:p w14:paraId="5966C877" w14:textId="77777777" w:rsidR="00EA1914" w:rsidRPr="00B609FC" w:rsidRDefault="00EA1914" w:rsidP="00AC375F">
      <w:pPr>
        <w:pStyle w:val="ListParagraph"/>
        <w:numPr>
          <w:ilvl w:val="0"/>
          <w:numId w:val="44"/>
        </w:numPr>
        <w:spacing w:before="0" w:after="0" w:line="240" w:lineRule="auto"/>
        <w:jc w:val="both"/>
        <w:rPr>
          <w:rFonts w:cstheme="minorHAnsi"/>
          <w:sz w:val="22"/>
          <w:szCs w:val="22"/>
        </w:rPr>
      </w:pPr>
      <w:r w:rsidRPr="00B609FC">
        <w:rPr>
          <w:rFonts w:cstheme="minorHAnsi"/>
          <w:sz w:val="22"/>
          <w:szCs w:val="22"/>
        </w:rPr>
        <w:t>administrativni referent za validaciju ulaznih dokumenata III stupnja</w:t>
      </w:r>
    </w:p>
    <w:p w14:paraId="5725666E" w14:textId="77777777" w:rsidR="00EA1914" w:rsidRPr="00B609FC" w:rsidRDefault="00EA1914" w:rsidP="00AC375F">
      <w:pPr>
        <w:pStyle w:val="ListParagraph"/>
        <w:numPr>
          <w:ilvl w:val="0"/>
          <w:numId w:val="44"/>
        </w:numPr>
        <w:spacing w:before="0" w:after="0" w:line="240" w:lineRule="auto"/>
        <w:jc w:val="both"/>
        <w:rPr>
          <w:rFonts w:cstheme="minorHAnsi"/>
          <w:sz w:val="22"/>
          <w:szCs w:val="22"/>
        </w:rPr>
      </w:pPr>
      <w:r w:rsidRPr="00B609FC">
        <w:rPr>
          <w:rFonts w:cstheme="minorHAnsi"/>
          <w:sz w:val="22"/>
          <w:szCs w:val="22"/>
        </w:rPr>
        <w:t>voditelj Odsjeka za medicinske proizvode</w:t>
      </w:r>
    </w:p>
    <w:p w14:paraId="723EFF97" w14:textId="119BFDC9" w:rsidR="00EA1914" w:rsidRPr="00B609FC" w:rsidRDefault="00EA1914" w:rsidP="00AC375F">
      <w:pPr>
        <w:pStyle w:val="ListParagraph"/>
        <w:numPr>
          <w:ilvl w:val="0"/>
          <w:numId w:val="44"/>
        </w:numPr>
        <w:spacing w:before="0" w:after="0" w:line="240" w:lineRule="auto"/>
        <w:jc w:val="both"/>
        <w:rPr>
          <w:rFonts w:cstheme="minorHAnsi"/>
          <w:sz w:val="22"/>
          <w:szCs w:val="22"/>
        </w:rPr>
      </w:pPr>
      <w:r w:rsidRPr="00B609FC">
        <w:rPr>
          <w:rFonts w:cstheme="minorHAnsi"/>
          <w:sz w:val="22"/>
          <w:szCs w:val="22"/>
        </w:rPr>
        <w:t>voditelj Odsjeka za farmakovigilanciju i racionalnu farmakoterapiju</w:t>
      </w:r>
    </w:p>
    <w:p w14:paraId="75E03884" w14:textId="5544B40F" w:rsidR="00EA1914" w:rsidRPr="00B609FC" w:rsidRDefault="00EA1914" w:rsidP="00EA1914">
      <w:pPr>
        <w:jc w:val="both"/>
        <w:rPr>
          <w:rFonts w:eastAsia="Times New Roman" w:cstheme="minorHAnsi"/>
        </w:rPr>
      </w:pPr>
      <w:r w:rsidRPr="00B609FC">
        <w:rPr>
          <w:rFonts w:eastAsia="Times New Roman" w:cstheme="minorHAnsi"/>
        </w:rPr>
        <w:t>Otkaz</w:t>
      </w:r>
      <w:r w:rsidR="00297946" w:rsidRPr="00B609FC">
        <w:rPr>
          <w:rFonts w:eastAsia="Times New Roman" w:cstheme="minorHAnsi"/>
        </w:rPr>
        <w:t>om Ugovora o radu za radno mjesto:</w:t>
      </w:r>
    </w:p>
    <w:p w14:paraId="35E5191D" w14:textId="77777777" w:rsidR="00EA1914" w:rsidRPr="00B609FC" w:rsidRDefault="00EA1914" w:rsidP="00AC375F">
      <w:pPr>
        <w:pStyle w:val="ListParagraph"/>
        <w:numPr>
          <w:ilvl w:val="0"/>
          <w:numId w:val="29"/>
        </w:numPr>
        <w:tabs>
          <w:tab w:val="left" w:pos="142"/>
        </w:tabs>
        <w:spacing w:before="0" w:after="0" w:line="240" w:lineRule="auto"/>
        <w:ind w:left="709" w:hanging="284"/>
        <w:jc w:val="both"/>
        <w:rPr>
          <w:rFonts w:cstheme="minorHAnsi"/>
          <w:sz w:val="22"/>
          <w:szCs w:val="22"/>
        </w:rPr>
      </w:pPr>
      <w:r w:rsidRPr="00B609FC">
        <w:rPr>
          <w:rFonts w:cstheme="minorHAnsi"/>
          <w:sz w:val="22"/>
          <w:szCs w:val="22"/>
        </w:rPr>
        <w:t>savjetnik za regulatornu znanost</w:t>
      </w:r>
    </w:p>
    <w:p w14:paraId="1778526E" w14:textId="457C7022" w:rsidR="00EA1914" w:rsidRPr="00B609FC" w:rsidRDefault="00EA1914" w:rsidP="00EA1914">
      <w:pPr>
        <w:jc w:val="both"/>
        <w:rPr>
          <w:rFonts w:eastAsia="Times New Roman" w:cstheme="minorHAnsi"/>
        </w:rPr>
      </w:pPr>
      <w:r w:rsidRPr="00B609FC">
        <w:rPr>
          <w:rFonts w:eastAsia="Times New Roman" w:cstheme="minorHAnsi"/>
        </w:rPr>
        <w:t>Odla</w:t>
      </w:r>
      <w:r w:rsidR="00297946" w:rsidRPr="00B609FC">
        <w:rPr>
          <w:rFonts w:eastAsia="Times New Roman" w:cstheme="minorHAnsi"/>
        </w:rPr>
        <w:t xml:space="preserve">skom u </w:t>
      </w:r>
      <w:r w:rsidRPr="00B609FC">
        <w:rPr>
          <w:rFonts w:eastAsia="Times New Roman" w:cstheme="minorHAnsi"/>
        </w:rPr>
        <w:t>mirovinu</w:t>
      </w:r>
      <w:r w:rsidR="00297946" w:rsidRPr="00B609FC">
        <w:rPr>
          <w:rFonts w:eastAsia="Times New Roman" w:cstheme="minorHAnsi"/>
        </w:rPr>
        <w:t>:</w:t>
      </w:r>
    </w:p>
    <w:p w14:paraId="7DFF1335" w14:textId="77777777" w:rsidR="00EA1914" w:rsidRPr="00B609FC" w:rsidRDefault="00EA1914" w:rsidP="00AC375F">
      <w:pPr>
        <w:pStyle w:val="ListParagraph"/>
        <w:numPr>
          <w:ilvl w:val="0"/>
          <w:numId w:val="29"/>
        </w:numPr>
        <w:tabs>
          <w:tab w:val="left" w:pos="142"/>
        </w:tabs>
        <w:spacing w:before="0" w:after="0" w:line="240" w:lineRule="auto"/>
        <w:jc w:val="both"/>
        <w:rPr>
          <w:rFonts w:cstheme="minorHAnsi"/>
          <w:sz w:val="22"/>
          <w:szCs w:val="22"/>
        </w:rPr>
      </w:pPr>
      <w:r w:rsidRPr="00B609FC">
        <w:rPr>
          <w:rFonts w:cstheme="minorHAnsi"/>
          <w:sz w:val="22"/>
          <w:szCs w:val="22"/>
        </w:rPr>
        <w:t>glavni savjetnik za ocjenu dokumentacije o lijeku - 2 zaposlenika</w:t>
      </w:r>
    </w:p>
    <w:p w14:paraId="3D90E2DF" w14:textId="320F87D9" w:rsidR="00EA1914" w:rsidRDefault="00EA1914" w:rsidP="00AC375F">
      <w:pPr>
        <w:pStyle w:val="ListParagraph"/>
        <w:numPr>
          <w:ilvl w:val="0"/>
          <w:numId w:val="29"/>
        </w:numPr>
        <w:tabs>
          <w:tab w:val="left" w:pos="142"/>
        </w:tabs>
        <w:spacing w:before="0" w:after="0" w:line="240" w:lineRule="auto"/>
        <w:jc w:val="both"/>
        <w:rPr>
          <w:rFonts w:cstheme="minorHAnsi"/>
          <w:sz w:val="22"/>
          <w:szCs w:val="22"/>
        </w:rPr>
      </w:pPr>
      <w:r w:rsidRPr="00B609FC">
        <w:rPr>
          <w:rFonts w:cstheme="minorHAnsi"/>
          <w:sz w:val="22"/>
          <w:szCs w:val="22"/>
        </w:rPr>
        <w:t>viši administrativni referent za izdavanje dokumenata VII stupnja</w:t>
      </w:r>
    </w:p>
    <w:p w14:paraId="18DB5DD6" w14:textId="77777777" w:rsidR="00400391" w:rsidRPr="00B609FC" w:rsidRDefault="00400391" w:rsidP="00400391">
      <w:pPr>
        <w:pStyle w:val="ListParagraph"/>
        <w:tabs>
          <w:tab w:val="left" w:pos="142"/>
        </w:tabs>
        <w:spacing w:before="0" w:after="0" w:line="240" w:lineRule="auto"/>
        <w:jc w:val="both"/>
        <w:rPr>
          <w:rFonts w:cstheme="minorHAnsi"/>
          <w:sz w:val="22"/>
          <w:szCs w:val="22"/>
        </w:rPr>
      </w:pPr>
    </w:p>
    <w:p w14:paraId="7A5C6059" w14:textId="77777777" w:rsidR="00EA1914" w:rsidRPr="00400391" w:rsidRDefault="00EA1914" w:rsidP="00400391">
      <w:pPr>
        <w:spacing w:after="120"/>
        <w:rPr>
          <w:rFonts w:eastAsia="Times New Roman" w:cs="Times New Roman"/>
          <w:b/>
        </w:rPr>
      </w:pPr>
      <w:r w:rsidRPr="00400391">
        <w:rPr>
          <w:rFonts w:eastAsia="Times New Roman" w:cs="Times New Roman"/>
          <w:b/>
        </w:rPr>
        <w:t xml:space="preserve">Zapošljavanje </w:t>
      </w:r>
    </w:p>
    <w:p w14:paraId="44E92048" w14:textId="1887ACCD" w:rsidR="00EA1914" w:rsidRPr="00B609FC" w:rsidRDefault="00EA1914" w:rsidP="00EA1914">
      <w:pPr>
        <w:rPr>
          <w:rFonts w:cstheme="minorHAnsi"/>
        </w:rPr>
      </w:pPr>
      <w:r w:rsidRPr="00B609FC">
        <w:rPr>
          <w:rFonts w:cstheme="minorHAnsi"/>
        </w:rPr>
        <w:t>U  2023. godini zaposlen je 21 novi zaposlenik i to u sljedećim ustrojstvenim jedinicama:</w:t>
      </w:r>
    </w:p>
    <w:p w14:paraId="49451BD6" w14:textId="24EC126E" w:rsidR="00EA1914" w:rsidRPr="00B609FC" w:rsidRDefault="00EA1914" w:rsidP="00EA1914">
      <w:pPr>
        <w:rPr>
          <w:rFonts w:cstheme="minorHAnsi"/>
          <w:b/>
        </w:rPr>
      </w:pPr>
      <w:r w:rsidRPr="00B609FC">
        <w:rPr>
          <w:rFonts w:cstheme="minorHAnsi"/>
        </w:rPr>
        <w:t xml:space="preserve">       </w:t>
      </w:r>
      <w:r w:rsidRPr="00B609FC">
        <w:rPr>
          <w:rFonts w:cstheme="minorHAnsi"/>
          <w:b/>
        </w:rPr>
        <w:t>Odjel službenog laboratorija za provjeru lijekova – OMCL</w:t>
      </w:r>
      <w:r w:rsidR="002B5298" w:rsidRPr="00B609FC">
        <w:rPr>
          <w:rFonts w:cstheme="minorHAnsi"/>
          <w:b/>
        </w:rPr>
        <w:t>:</w:t>
      </w:r>
    </w:p>
    <w:p w14:paraId="7B49B75B" w14:textId="77777777" w:rsidR="00EA1914" w:rsidRPr="00B609FC" w:rsidRDefault="00EA1914" w:rsidP="00AC375F">
      <w:pPr>
        <w:pStyle w:val="ListParagraph"/>
        <w:numPr>
          <w:ilvl w:val="0"/>
          <w:numId w:val="29"/>
        </w:numPr>
        <w:spacing w:before="0" w:after="0" w:line="240" w:lineRule="auto"/>
        <w:rPr>
          <w:rFonts w:cstheme="minorHAnsi"/>
          <w:sz w:val="22"/>
          <w:szCs w:val="22"/>
        </w:rPr>
      </w:pPr>
      <w:r w:rsidRPr="00B609FC">
        <w:rPr>
          <w:rFonts w:cstheme="minorHAnsi"/>
          <w:sz w:val="22"/>
          <w:szCs w:val="22"/>
        </w:rPr>
        <w:t>viši stručni savjetnik-specijalist II u Uredu za farmakopeju</w:t>
      </w:r>
      <w:r w:rsidRPr="00B609FC">
        <w:rPr>
          <w:rFonts w:cstheme="minorHAnsi"/>
          <w:b/>
          <w:sz w:val="22"/>
          <w:szCs w:val="22"/>
        </w:rPr>
        <w:t xml:space="preserve"> </w:t>
      </w:r>
      <w:r w:rsidRPr="00B609FC">
        <w:rPr>
          <w:rFonts w:cstheme="minorHAnsi"/>
          <w:sz w:val="22"/>
          <w:szCs w:val="22"/>
        </w:rPr>
        <w:t>(1 izvršitelj temeljem natječaja iz prethodne godine)</w:t>
      </w:r>
    </w:p>
    <w:p w14:paraId="560C1D5C" w14:textId="77777777" w:rsidR="00EA1914" w:rsidRPr="00B609FC" w:rsidRDefault="00EA1914" w:rsidP="00AC375F">
      <w:pPr>
        <w:pStyle w:val="ListParagraph"/>
        <w:numPr>
          <w:ilvl w:val="0"/>
          <w:numId w:val="29"/>
        </w:numPr>
        <w:spacing w:before="0" w:after="0" w:line="240" w:lineRule="auto"/>
        <w:rPr>
          <w:rFonts w:cstheme="minorHAnsi"/>
          <w:sz w:val="22"/>
          <w:szCs w:val="22"/>
        </w:rPr>
      </w:pPr>
      <w:r w:rsidRPr="00B609FC">
        <w:rPr>
          <w:rFonts w:cstheme="minorHAnsi"/>
          <w:sz w:val="22"/>
          <w:szCs w:val="22"/>
        </w:rPr>
        <w:t>viši stručni suradnik-specijalist u OMCL-u (1 izvršitelj temeljem natječaja iz prethodne godine)</w:t>
      </w:r>
    </w:p>
    <w:p w14:paraId="0F62AFAA" w14:textId="68E67C1E" w:rsidR="00EA1914" w:rsidRPr="00B609FC" w:rsidRDefault="00EA1914" w:rsidP="00EA1914">
      <w:pPr>
        <w:ind w:firstLine="360"/>
        <w:rPr>
          <w:rFonts w:cstheme="minorHAnsi"/>
          <w:b/>
        </w:rPr>
      </w:pPr>
      <w:r w:rsidRPr="00B609FC">
        <w:rPr>
          <w:rFonts w:cstheme="minorHAnsi"/>
          <w:b/>
        </w:rPr>
        <w:t>Odjel za odobravanje lijekova</w:t>
      </w:r>
      <w:r w:rsidR="002B5298" w:rsidRPr="00B609FC">
        <w:rPr>
          <w:rFonts w:cstheme="minorHAnsi"/>
          <w:b/>
        </w:rPr>
        <w:t>:</w:t>
      </w:r>
    </w:p>
    <w:p w14:paraId="57F9D25D" w14:textId="77777777" w:rsidR="00EA1914" w:rsidRPr="00B609FC" w:rsidRDefault="00EA1914" w:rsidP="00AC375F">
      <w:pPr>
        <w:pStyle w:val="ListParagraph"/>
        <w:numPr>
          <w:ilvl w:val="0"/>
          <w:numId w:val="28"/>
        </w:numPr>
        <w:spacing w:before="0" w:after="0" w:line="240" w:lineRule="auto"/>
        <w:jc w:val="both"/>
        <w:rPr>
          <w:rFonts w:cstheme="minorHAnsi"/>
          <w:sz w:val="22"/>
          <w:szCs w:val="22"/>
        </w:rPr>
      </w:pPr>
      <w:r w:rsidRPr="00B609FC">
        <w:rPr>
          <w:rFonts w:cstheme="minorHAnsi"/>
          <w:sz w:val="22"/>
          <w:szCs w:val="22"/>
        </w:rPr>
        <w:t>stručni suradnik za ocjenu nekliničke i kliničke dokumentacije lijeka (2 izvršitelja temeljem natječaja iz prethodne godine)</w:t>
      </w:r>
    </w:p>
    <w:p w14:paraId="2608302C" w14:textId="77777777" w:rsidR="00EA1914" w:rsidRPr="00B609FC" w:rsidRDefault="00EA1914" w:rsidP="00AC375F">
      <w:pPr>
        <w:pStyle w:val="ListParagraph"/>
        <w:numPr>
          <w:ilvl w:val="0"/>
          <w:numId w:val="28"/>
        </w:numPr>
        <w:spacing w:before="0" w:after="0" w:line="240" w:lineRule="auto"/>
        <w:jc w:val="both"/>
        <w:rPr>
          <w:rFonts w:cstheme="minorHAnsi"/>
          <w:sz w:val="22"/>
          <w:szCs w:val="22"/>
        </w:rPr>
      </w:pPr>
      <w:r w:rsidRPr="00B609FC">
        <w:rPr>
          <w:rFonts w:cstheme="minorHAnsi"/>
          <w:sz w:val="22"/>
          <w:szCs w:val="22"/>
        </w:rPr>
        <w:t>stručni suradnik za znanstveni savjet (1 izvršitelj temeljem natječaja iz prethodne godine)</w:t>
      </w:r>
    </w:p>
    <w:p w14:paraId="232CE187" w14:textId="77777777" w:rsidR="00EA1914" w:rsidRPr="00B609FC" w:rsidRDefault="00EA1914" w:rsidP="00AC375F">
      <w:pPr>
        <w:pStyle w:val="ListParagraph"/>
        <w:numPr>
          <w:ilvl w:val="0"/>
          <w:numId w:val="28"/>
        </w:numPr>
        <w:spacing w:before="0" w:after="0" w:line="240" w:lineRule="auto"/>
        <w:jc w:val="both"/>
        <w:rPr>
          <w:rFonts w:cstheme="minorHAnsi"/>
          <w:sz w:val="22"/>
          <w:szCs w:val="22"/>
        </w:rPr>
      </w:pPr>
      <w:r w:rsidRPr="00B609FC">
        <w:rPr>
          <w:rFonts w:cstheme="minorHAnsi"/>
          <w:sz w:val="22"/>
          <w:szCs w:val="22"/>
        </w:rPr>
        <w:t>viši stručni suradnik-specijalist za validaciju zahtjeva (2 izvršitelja od čega 1 izvršitelj  temeljem natječaja iz prethodne godine)</w:t>
      </w:r>
    </w:p>
    <w:p w14:paraId="0BD4ADD8" w14:textId="77777777" w:rsidR="00EA1914" w:rsidRPr="00B609FC" w:rsidRDefault="00EA1914" w:rsidP="00AC375F">
      <w:pPr>
        <w:pStyle w:val="ListParagraph"/>
        <w:numPr>
          <w:ilvl w:val="0"/>
          <w:numId w:val="28"/>
        </w:numPr>
        <w:spacing w:before="0" w:after="0" w:line="240" w:lineRule="auto"/>
        <w:jc w:val="both"/>
        <w:rPr>
          <w:rFonts w:cstheme="minorHAnsi"/>
          <w:sz w:val="22"/>
          <w:szCs w:val="22"/>
        </w:rPr>
      </w:pPr>
      <w:r w:rsidRPr="00B609FC">
        <w:rPr>
          <w:rFonts w:cstheme="minorHAnsi"/>
          <w:sz w:val="22"/>
          <w:szCs w:val="22"/>
        </w:rPr>
        <w:t>glavni savjetnik za ocjenu dokumentacije o lijeku (2 izvršitelja temeljem natječaja iz prethodne godine)</w:t>
      </w:r>
    </w:p>
    <w:p w14:paraId="791DFAFA" w14:textId="77777777" w:rsidR="00EA1914" w:rsidRPr="00B609FC" w:rsidRDefault="00EA1914" w:rsidP="00AC375F">
      <w:pPr>
        <w:pStyle w:val="ListParagraph"/>
        <w:numPr>
          <w:ilvl w:val="0"/>
          <w:numId w:val="28"/>
        </w:numPr>
        <w:spacing w:before="0" w:after="0" w:line="240" w:lineRule="auto"/>
        <w:jc w:val="both"/>
        <w:rPr>
          <w:rFonts w:cstheme="minorHAnsi"/>
          <w:sz w:val="22"/>
          <w:szCs w:val="22"/>
        </w:rPr>
      </w:pPr>
      <w:r w:rsidRPr="00B609FC">
        <w:rPr>
          <w:rFonts w:cstheme="minorHAnsi"/>
          <w:sz w:val="22"/>
          <w:szCs w:val="22"/>
        </w:rPr>
        <w:t>viši stručni suradnik-specijalist za ocjenu nekliničke i kliničke dokumentacije lijeka (1 izvršitelj)</w:t>
      </w:r>
    </w:p>
    <w:p w14:paraId="0E323BEA" w14:textId="77777777" w:rsidR="00EA1914" w:rsidRPr="00B609FC" w:rsidRDefault="00EA1914" w:rsidP="00AC375F">
      <w:pPr>
        <w:pStyle w:val="ListParagraph"/>
        <w:numPr>
          <w:ilvl w:val="0"/>
          <w:numId w:val="28"/>
        </w:numPr>
        <w:spacing w:before="0" w:after="0" w:line="240" w:lineRule="auto"/>
        <w:jc w:val="both"/>
        <w:rPr>
          <w:rFonts w:cstheme="minorHAnsi"/>
          <w:sz w:val="22"/>
          <w:szCs w:val="22"/>
        </w:rPr>
      </w:pPr>
      <w:r w:rsidRPr="00B609FC">
        <w:rPr>
          <w:rFonts w:cstheme="minorHAnsi"/>
          <w:sz w:val="22"/>
          <w:szCs w:val="22"/>
        </w:rPr>
        <w:t>administrativni referent za validaciju ulaznih dokumenata II stupnja (1 izvršitelj)</w:t>
      </w:r>
    </w:p>
    <w:p w14:paraId="1E901D06" w14:textId="14A8851B" w:rsidR="00EA1914" w:rsidRPr="00B609FC" w:rsidRDefault="00EA1914" w:rsidP="00EA1914">
      <w:pPr>
        <w:ind w:left="360"/>
        <w:rPr>
          <w:rFonts w:cstheme="minorHAnsi"/>
          <w:b/>
        </w:rPr>
      </w:pPr>
      <w:r w:rsidRPr="00B609FC">
        <w:rPr>
          <w:rFonts w:cstheme="minorHAnsi"/>
          <w:b/>
        </w:rPr>
        <w:t>Odjel za sigurnu primjenu l</w:t>
      </w:r>
      <w:r w:rsidR="002B5298" w:rsidRPr="00B609FC">
        <w:rPr>
          <w:rFonts w:cstheme="minorHAnsi"/>
          <w:b/>
        </w:rPr>
        <w:t>ijekova i medicinskih proizvoda:</w:t>
      </w:r>
    </w:p>
    <w:p w14:paraId="19B63AEF" w14:textId="77777777" w:rsidR="00EA1914" w:rsidRPr="00B609FC" w:rsidRDefault="00EA1914" w:rsidP="00AC375F">
      <w:pPr>
        <w:pStyle w:val="ListParagraph"/>
        <w:numPr>
          <w:ilvl w:val="0"/>
          <w:numId w:val="28"/>
        </w:numPr>
        <w:spacing w:before="0" w:after="0" w:line="240" w:lineRule="auto"/>
        <w:rPr>
          <w:rFonts w:cstheme="minorHAnsi"/>
          <w:b/>
          <w:sz w:val="22"/>
          <w:szCs w:val="22"/>
        </w:rPr>
      </w:pPr>
      <w:r w:rsidRPr="00B609FC">
        <w:rPr>
          <w:rFonts w:cstheme="minorHAnsi"/>
          <w:sz w:val="22"/>
          <w:szCs w:val="22"/>
        </w:rPr>
        <w:t>inspektor dobre proizvođačke prakse (1 izvršitelj temeljem natječaja iz prethodne godine)</w:t>
      </w:r>
    </w:p>
    <w:p w14:paraId="7EFFAECC" w14:textId="77777777" w:rsidR="00EA1914" w:rsidRPr="00B609FC" w:rsidRDefault="00EA1914" w:rsidP="00AC375F">
      <w:pPr>
        <w:pStyle w:val="ListParagraph"/>
        <w:numPr>
          <w:ilvl w:val="0"/>
          <w:numId w:val="28"/>
        </w:numPr>
        <w:spacing w:before="0" w:after="0" w:line="240" w:lineRule="auto"/>
        <w:rPr>
          <w:rFonts w:cstheme="minorHAnsi"/>
          <w:b/>
          <w:sz w:val="22"/>
          <w:szCs w:val="22"/>
        </w:rPr>
      </w:pPr>
      <w:r w:rsidRPr="00B609FC">
        <w:rPr>
          <w:rFonts w:cstheme="minorHAnsi"/>
          <w:sz w:val="22"/>
          <w:szCs w:val="22"/>
        </w:rPr>
        <w:t>farmakovigilancijski inspektor</w:t>
      </w:r>
      <w:r w:rsidRPr="00B609FC">
        <w:rPr>
          <w:rFonts w:cstheme="minorHAnsi"/>
          <w:b/>
          <w:sz w:val="22"/>
          <w:szCs w:val="22"/>
        </w:rPr>
        <w:t xml:space="preserve"> </w:t>
      </w:r>
      <w:r w:rsidRPr="00B609FC">
        <w:rPr>
          <w:rFonts w:cstheme="minorHAnsi"/>
          <w:sz w:val="22"/>
          <w:szCs w:val="22"/>
        </w:rPr>
        <w:t>(1 izvršitelj temeljem natječaja iz prethodne godine)</w:t>
      </w:r>
    </w:p>
    <w:p w14:paraId="31E1CF5B" w14:textId="77777777" w:rsidR="00EA1914" w:rsidRPr="00B609FC" w:rsidRDefault="00EA1914" w:rsidP="00AC375F">
      <w:pPr>
        <w:pStyle w:val="ListParagraph"/>
        <w:numPr>
          <w:ilvl w:val="0"/>
          <w:numId w:val="28"/>
        </w:numPr>
        <w:spacing w:before="0" w:after="0" w:line="240" w:lineRule="auto"/>
        <w:rPr>
          <w:rFonts w:cstheme="minorHAnsi"/>
          <w:b/>
          <w:sz w:val="22"/>
          <w:szCs w:val="22"/>
        </w:rPr>
      </w:pPr>
      <w:r w:rsidRPr="00B609FC">
        <w:rPr>
          <w:rFonts w:cstheme="minorHAnsi"/>
          <w:sz w:val="22"/>
          <w:szCs w:val="22"/>
        </w:rPr>
        <w:t>stručni suradnik za dostupnost lijekova (1 izvršitelj)</w:t>
      </w:r>
    </w:p>
    <w:p w14:paraId="3EDCAAA7" w14:textId="77777777" w:rsidR="00EA1914" w:rsidRPr="00B609FC" w:rsidRDefault="00EA1914" w:rsidP="00AC375F">
      <w:pPr>
        <w:pStyle w:val="ListParagraph"/>
        <w:numPr>
          <w:ilvl w:val="0"/>
          <w:numId w:val="28"/>
        </w:numPr>
        <w:spacing w:before="0" w:after="0" w:line="240" w:lineRule="auto"/>
        <w:rPr>
          <w:rFonts w:cstheme="minorHAnsi"/>
          <w:b/>
          <w:sz w:val="22"/>
          <w:szCs w:val="22"/>
        </w:rPr>
      </w:pPr>
      <w:r w:rsidRPr="00B609FC">
        <w:rPr>
          <w:rFonts w:cstheme="minorHAnsi"/>
          <w:sz w:val="22"/>
          <w:szCs w:val="22"/>
        </w:rPr>
        <w:t>stručni suradnik za farmakovigilanciju i racionalnu farmakoterapiju (3 izvršitelja)</w:t>
      </w:r>
    </w:p>
    <w:p w14:paraId="328BA548" w14:textId="77777777" w:rsidR="00EA1914" w:rsidRPr="00B609FC" w:rsidRDefault="00EA1914" w:rsidP="00AC375F">
      <w:pPr>
        <w:pStyle w:val="ListParagraph"/>
        <w:numPr>
          <w:ilvl w:val="0"/>
          <w:numId w:val="28"/>
        </w:numPr>
        <w:spacing w:before="0" w:after="0" w:line="240" w:lineRule="auto"/>
        <w:rPr>
          <w:rFonts w:cstheme="minorHAnsi"/>
          <w:b/>
          <w:sz w:val="22"/>
          <w:szCs w:val="22"/>
        </w:rPr>
      </w:pPr>
      <w:r w:rsidRPr="00B609FC">
        <w:rPr>
          <w:rFonts w:cstheme="minorHAnsi"/>
          <w:sz w:val="22"/>
          <w:szCs w:val="22"/>
        </w:rPr>
        <w:t>stručni suradnik za medicinske proizvode (1 izvršitelj)</w:t>
      </w:r>
    </w:p>
    <w:p w14:paraId="609DF14D" w14:textId="77777777" w:rsidR="00B76A1D" w:rsidRDefault="00EA1914" w:rsidP="00EA1914">
      <w:pPr>
        <w:rPr>
          <w:rFonts w:cstheme="minorHAnsi"/>
          <w:b/>
        </w:rPr>
      </w:pPr>
      <w:r w:rsidRPr="00B609FC">
        <w:rPr>
          <w:rFonts w:cstheme="minorHAnsi"/>
          <w:b/>
        </w:rPr>
        <w:t xml:space="preserve">      </w:t>
      </w:r>
    </w:p>
    <w:p w14:paraId="6D0A8FA4" w14:textId="0E515105" w:rsidR="00EA1914" w:rsidRPr="00B609FC" w:rsidRDefault="00EA1914" w:rsidP="00D331BE">
      <w:pPr>
        <w:ind w:left="360"/>
        <w:rPr>
          <w:rFonts w:cstheme="minorHAnsi"/>
          <w:b/>
        </w:rPr>
      </w:pPr>
      <w:r w:rsidRPr="00B609FC">
        <w:rPr>
          <w:rFonts w:cstheme="minorHAnsi"/>
          <w:b/>
        </w:rPr>
        <w:t xml:space="preserve"> Odjel za pravne, ekonomske, informacijske i opće poslove</w:t>
      </w:r>
      <w:r w:rsidR="002B5298" w:rsidRPr="00B609FC">
        <w:rPr>
          <w:rFonts w:cstheme="minorHAnsi"/>
          <w:b/>
        </w:rPr>
        <w:t>:</w:t>
      </w:r>
    </w:p>
    <w:p w14:paraId="4935697C" w14:textId="77777777" w:rsidR="00EA1914" w:rsidRPr="00B609FC" w:rsidRDefault="00EA1914" w:rsidP="00AC375F">
      <w:pPr>
        <w:pStyle w:val="ListParagraph"/>
        <w:numPr>
          <w:ilvl w:val="0"/>
          <w:numId w:val="28"/>
        </w:numPr>
        <w:spacing w:before="0" w:after="0" w:line="240" w:lineRule="auto"/>
        <w:jc w:val="both"/>
        <w:rPr>
          <w:rFonts w:cstheme="minorHAnsi"/>
          <w:sz w:val="22"/>
          <w:szCs w:val="22"/>
        </w:rPr>
      </w:pPr>
      <w:r w:rsidRPr="00B609FC">
        <w:rPr>
          <w:rFonts w:cstheme="minorHAnsi"/>
          <w:sz w:val="22"/>
          <w:szCs w:val="22"/>
        </w:rPr>
        <w:lastRenderedPageBreak/>
        <w:t>informatički referent I stupnja (1 izvršitelj temeljem natječaja iz prethodne godine)</w:t>
      </w:r>
    </w:p>
    <w:p w14:paraId="211C8AE6" w14:textId="77777777" w:rsidR="00EA1914" w:rsidRPr="00B609FC" w:rsidRDefault="00EA1914" w:rsidP="00AC375F">
      <w:pPr>
        <w:pStyle w:val="ListParagraph"/>
        <w:numPr>
          <w:ilvl w:val="0"/>
          <w:numId w:val="28"/>
        </w:numPr>
        <w:spacing w:before="0" w:after="0" w:line="240" w:lineRule="auto"/>
        <w:jc w:val="both"/>
        <w:rPr>
          <w:rFonts w:cstheme="minorHAnsi"/>
          <w:sz w:val="22"/>
          <w:szCs w:val="22"/>
        </w:rPr>
      </w:pPr>
      <w:r w:rsidRPr="00B609FC">
        <w:rPr>
          <w:rFonts w:cstheme="minorHAnsi"/>
          <w:sz w:val="22"/>
          <w:szCs w:val="22"/>
        </w:rPr>
        <w:t>administrativni referent za upravljanje dokumentacijom II stupnja (1 izvršitelj)</w:t>
      </w:r>
    </w:p>
    <w:p w14:paraId="5F094CA7" w14:textId="77777777" w:rsidR="00EA1914" w:rsidRPr="00B609FC" w:rsidRDefault="00EA1914" w:rsidP="00AC375F">
      <w:pPr>
        <w:pStyle w:val="ListParagraph"/>
        <w:numPr>
          <w:ilvl w:val="0"/>
          <w:numId w:val="28"/>
        </w:numPr>
        <w:spacing w:before="0" w:after="0" w:line="240" w:lineRule="auto"/>
        <w:jc w:val="both"/>
        <w:rPr>
          <w:rFonts w:cstheme="minorHAnsi"/>
          <w:sz w:val="22"/>
          <w:szCs w:val="22"/>
        </w:rPr>
      </w:pPr>
      <w:r w:rsidRPr="00B609FC">
        <w:rPr>
          <w:rFonts w:cstheme="minorHAnsi"/>
          <w:sz w:val="22"/>
          <w:szCs w:val="22"/>
        </w:rPr>
        <w:t>referent nabave II stupnja (1 izvršitelj)</w:t>
      </w:r>
    </w:p>
    <w:p w14:paraId="562607D1" w14:textId="77777777" w:rsidR="00B76A1D" w:rsidRDefault="00B76A1D" w:rsidP="002B5298">
      <w:pPr>
        <w:ind w:left="360"/>
        <w:rPr>
          <w:rFonts w:cstheme="minorHAnsi"/>
          <w:b/>
        </w:rPr>
      </w:pPr>
    </w:p>
    <w:p w14:paraId="4B98DEB4" w14:textId="074DFE6B" w:rsidR="00EA1914" w:rsidRPr="00B609FC" w:rsidRDefault="00EA1914" w:rsidP="002B5298">
      <w:pPr>
        <w:ind w:left="360"/>
        <w:rPr>
          <w:rFonts w:cstheme="minorHAnsi"/>
          <w:b/>
        </w:rPr>
      </w:pPr>
      <w:r w:rsidRPr="00B609FC">
        <w:rPr>
          <w:rFonts w:cstheme="minorHAnsi"/>
          <w:b/>
        </w:rPr>
        <w:t>Raspisani javni natječaji za radna mjesta u 2023. godini u sljedećim ustrojstvenim jedinicama:</w:t>
      </w:r>
    </w:p>
    <w:p w14:paraId="38C64C63" w14:textId="77777777" w:rsidR="00EA1914" w:rsidRPr="00B609FC" w:rsidRDefault="00EA1914" w:rsidP="002B5298">
      <w:pPr>
        <w:ind w:left="360"/>
        <w:rPr>
          <w:rFonts w:cstheme="minorHAnsi"/>
        </w:rPr>
      </w:pPr>
      <w:r w:rsidRPr="00B609FC">
        <w:rPr>
          <w:rFonts w:cstheme="minorHAnsi"/>
        </w:rPr>
        <w:t>Odjel za odobravanje lijekova:</w:t>
      </w:r>
    </w:p>
    <w:p w14:paraId="2A6D4F2D" w14:textId="77777777" w:rsidR="00EA1914" w:rsidRPr="00B609FC" w:rsidRDefault="00EA1914" w:rsidP="00AC375F">
      <w:pPr>
        <w:pStyle w:val="ListParagraph"/>
        <w:numPr>
          <w:ilvl w:val="0"/>
          <w:numId w:val="28"/>
        </w:numPr>
        <w:spacing w:before="0" w:after="120" w:line="240" w:lineRule="auto"/>
        <w:jc w:val="both"/>
        <w:rPr>
          <w:rFonts w:cstheme="minorHAnsi"/>
          <w:sz w:val="22"/>
          <w:szCs w:val="22"/>
        </w:rPr>
      </w:pPr>
      <w:r w:rsidRPr="00B609FC">
        <w:rPr>
          <w:rFonts w:cstheme="minorHAnsi"/>
          <w:sz w:val="22"/>
          <w:szCs w:val="22"/>
        </w:rPr>
        <w:t xml:space="preserve">viši stručni suradnik-specijalist za ocjenu nekliničke i kliničke dokumentacije lijeka </w:t>
      </w:r>
    </w:p>
    <w:p w14:paraId="3E8349B0" w14:textId="77777777" w:rsidR="00EA1914" w:rsidRPr="00B609FC" w:rsidRDefault="00EA1914" w:rsidP="00AC375F">
      <w:pPr>
        <w:pStyle w:val="ListParagraph"/>
        <w:numPr>
          <w:ilvl w:val="0"/>
          <w:numId w:val="28"/>
        </w:numPr>
        <w:spacing w:before="0" w:after="120" w:line="240" w:lineRule="auto"/>
        <w:jc w:val="both"/>
        <w:rPr>
          <w:rFonts w:cstheme="minorHAnsi"/>
          <w:sz w:val="22"/>
          <w:szCs w:val="22"/>
        </w:rPr>
      </w:pPr>
      <w:r w:rsidRPr="00B609FC">
        <w:rPr>
          <w:rFonts w:cstheme="minorHAnsi"/>
          <w:sz w:val="22"/>
          <w:szCs w:val="22"/>
        </w:rPr>
        <w:t xml:space="preserve">viši stručni suradnik-specijalist za validaciju zahtjeva </w:t>
      </w:r>
    </w:p>
    <w:p w14:paraId="4DAEC4B2" w14:textId="77777777" w:rsidR="00EA1914" w:rsidRPr="00B609FC" w:rsidRDefault="00EA1914" w:rsidP="00AC375F">
      <w:pPr>
        <w:pStyle w:val="ListParagraph"/>
        <w:numPr>
          <w:ilvl w:val="0"/>
          <w:numId w:val="28"/>
        </w:numPr>
        <w:spacing w:before="0" w:after="120" w:line="240" w:lineRule="auto"/>
        <w:jc w:val="both"/>
        <w:rPr>
          <w:rFonts w:cstheme="minorHAnsi"/>
          <w:sz w:val="22"/>
          <w:szCs w:val="22"/>
        </w:rPr>
      </w:pPr>
      <w:r w:rsidRPr="00B609FC">
        <w:rPr>
          <w:rFonts w:cstheme="minorHAnsi"/>
          <w:sz w:val="22"/>
          <w:szCs w:val="22"/>
        </w:rPr>
        <w:t>administrativni referent za validaciju ulaznih dokumenata II stupnja</w:t>
      </w:r>
    </w:p>
    <w:p w14:paraId="76342D81" w14:textId="77777777" w:rsidR="00EA1914" w:rsidRPr="00B609FC" w:rsidRDefault="00EA1914" w:rsidP="00EA1914">
      <w:pPr>
        <w:ind w:left="360"/>
        <w:rPr>
          <w:rFonts w:cstheme="minorHAnsi"/>
        </w:rPr>
      </w:pPr>
      <w:r w:rsidRPr="00B609FC">
        <w:rPr>
          <w:rFonts w:cstheme="minorHAnsi"/>
        </w:rPr>
        <w:t xml:space="preserve">Odjel za sigurnu primjenu lijekova i medicinskih proizvoda </w:t>
      </w:r>
    </w:p>
    <w:p w14:paraId="4AC29650" w14:textId="77777777" w:rsidR="00EA1914" w:rsidRPr="00B609FC" w:rsidRDefault="00EA1914" w:rsidP="00AC375F">
      <w:pPr>
        <w:pStyle w:val="ListParagraph"/>
        <w:numPr>
          <w:ilvl w:val="0"/>
          <w:numId w:val="28"/>
        </w:numPr>
        <w:spacing w:before="0" w:after="120" w:line="240" w:lineRule="auto"/>
        <w:jc w:val="both"/>
        <w:rPr>
          <w:rFonts w:cstheme="minorHAnsi"/>
          <w:sz w:val="22"/>
          <w:szCs w:val="22"/>
        </w:rPr>
      </w:pPr>
      <w:r w:rsidRPr="00B609FC">
        <w:rPr>
          <w:rFonts w:cstheme="minorHAnsi"/>
          <w:sz w:val="22"/>
          <w:szCs w:val="22"/>
        </w:rPr>
        <w:t>farmakovigilancijski inspektor</w:t>
      </w:r>
      <w:r w:rsidRPr="00B609FC">
        <w:rPr>
          <w:rFonts w:cstheme="minorHAnsi"/>
          <w:b/>
          <w:sz w:val="22"/>
          <w:szCs w:val="22"/>
        </w:rPr>
        <w:t xml:space="preserve"> </w:t>
      </w:r>
      <w:r w:rsidRPr="00B609FC">
        <w:rPr>
          <w:rFonts w:cstheme="minorHAnsi"/>
          <w:sz w:val="22"/>
          <w:szCs w:val="22"/>
        </w:rPr>
        <w:t>(natječaj poništen 24. travnja 2023.)</w:t>
      </w:r>
    </w:p>
    <w:p w14:paraId="260D5CFF" w14:textId="77777777" w:rsidR="00EA1914" w:rsidRPr="00B609FC" w:rsidRDefault="00EA1914" w:rsidP="00AC375F">
      <w:pPr>
        <w:pStyle w:val="ListParagraph"/>
        <w:numPr>
          <w:ilvl w:val="0"/>
          <w:numId w:val="28"/>
        </w:numPr>
        <w:spacing w:before="0" w:after="120" w:line="240" w:lineRule="auto"/>
        <w:jc w:val="both"/>
        <w:rPr>
          <w:rFonts w:cstheme="minorHAnsi"/>
          <w:sz w:val="22"/>
          <w:szCs w:val="22"/>
        </w:rPr>
      </w:pPr>
      <w:r w:rsidRPr="00B609FC">
        <w:rPr>
          <w:rFonts w:cstheme="minorHAnsi"/>
          <w:sz w:val="22"/>
          <w:szCs w:val="22"/>
        </w:rPr>
        <w:t xml:space="preserve">stručni suradnik za dostupnost lijekova </w:t>
      </w:r>
    </w:p>
    <w:p w14:paraId="69B5659F" w14:textId="77777777" w:rsidR="00EA1914" w:rsidRPr="00B609FC" w:rsidRDefault="00EA1914" w:rsidP="00AC375F">
      <w:pPr>
        <w:pStyle w:val="ListParagraph"/>
        <w:numPr>
          <w:ilvl w:val="0"/>
          <w:numId w:val="28"/>
        </w:numPr>
        <w:spacing w:before="0" w:after="120" w:line="240" w:lineRule="auto"/>
        <w:jc w:val="both"/>
        <w:rPr>
          <w:rFonts w:cstheme="minorHAnsi"/>
          <w:sz w:val="22"/>
          <w:szCs w:val="22"/>
        </w:rPr>
      </w:pPr>
      <w:r w:rsidRPr="00B609FC">
        <w:rPr>
          <w:rFonts w:cstheme="minorHAnsi"/>
          <w:sz w:val="22"/>
          <w:szCs w:val="22"/>
        </w:rPr>
        <w:t xml:space="preserve">stručni suradnik za farmakovigilanciju i racionalnu farmakoterapiju </w:t>
      </w:r>
    </w:p>
    <w:p w14:paraId="6F086D6F" w14:textId="77777777" w:rsidR="00EA1914" w:rsidRPr="00B609FC" w:rsidRDefault="00EA1914" w:rsidP="00AC375F">
      <w:pPr>
        <w:pStyle w:val="ListParagraph"/>
        <w:numPr>
          <w:ilvl w:val="0"/>
          <w:numId w:val="28"/>
        </w:numPr>
        <w:spacing w:before="0" w:after="120" w:line="240" w:lineRule="auto"/>
        <w:jc w:val="both"/>
        <w:rPr>
          <w:rFonts w:cstheme="minorHAnsi"/>
          <w:sz w:val="22"/>
          <w:szCs w:val="22"/>
        </w:rPr>
      </w:pPr>
      <w:r w:rsidRPr="00B609FC">
        <w:rPr>
          <w:rFonts w:cstheme="minorHAnsi"/>
          <w:sz w:val="22"/>
          <w:szCs w:val="22"/>
        </w:rPr>
        <w:t>stručni suradnik za medicinske proizvode</w:t>
      </w:r>
    </w:p>
    <w:p w14:paraId="315B3203" w14:textId="77777777" w:rsidR="00EA1914" w:rsidRPr="00B609FC" w:rsidRDefault="00EA1914" w:rsidP="00AC375F">
      <w:pPr>
        <w:pStyle w:val="ListParagraph"/>
        <w:numPr>
          <w:ilvl w:val="0"/>
          <w:numId w:val="28"/>
        </w:numPr>
        <w:spacing w:before="0" w:after="120" w:line="240" w:lineRule="auto"/>
        <w:jc w:val="both"/>
        <w:rPr>
          <w:rFonts w:cstheme="minorHAnsi"/>
          <w:sz w:val="22"/>
          <w:szCs w:val="22"/>
        </w:rPr>
      </w:pPr>
      <w:r w:rsidRPr="00B609FC">
        <w:rPr>
          <w:rFonts w:cstheme="minorHAnsi"/>
          <w:sz w:val="22"/>
          <w:szCs w:val="22"/>
        </w:rPr>
        <w:t>stručni suradnik za dostupnost lijekova (natječaj u tijeku na dan 31. prosinca 2023.)</w:t>
      </w:r>
    </w:p>
    <w:p w14:paraId="129A6C24" w14:textId="77777777" w:rsidR="00EA1914" w:rsidRPr="00B609FC" w:rsidRDefault="00EA1914" w:rsidP="00AC375F">
      <w:pPr>
        <w:pStyle w:val="ListParagraph"/>
        <w:numPr>
          <w:ilvl w:val="0"/>
          <w:numId w:val="28"/>
        </w:numPr>
        <w:spacing w:before="0" w:after="120" w:line="240" w:lineRule="auto"/>
        <w:jc w:val="both"/>
        <w:rPr>
          <w:rFonts w:cstheme="minorHAnsi"/>
          <w:sz w:val="22"/>
          <w:szCs w:val="22"/>
        </w:rPr>
      </w:pPr>
      <w:r w:rsidRPr="00B609FC">
        <w:rPr>
          <w:rFonts w:cstheme="minorHAnsi"/>
          <w:sz w:val="22"/>
          <w:szCs w:val="22"/>
        </w:rPr>
        <w:t>stručni suradnik za farmakovigilanciju i racionalnu farmakoterapiju (natječaj u tijeku na dan 31. prosinca 2023.)</w:t>
      </w:r>
    </w:p>
    <w:p w14:paraId="3358610D" w14:textId="77777777" w:rsidR="00EA1914" w:rsidRPr="00B609FC" w:rsidRDefault="00EA1914" w:rsidP="002B5298">
      <w:pPr>
        <w:jc w:val="both"/>
        <w:rPr>
          <w:rFonts w:cstheme="minorHAnsi"/>
        </w:rPr>
      </w:pPr>
      <w:r w:rsidRPr="00B609FC">
        <w:rPr>
          <w:rFonts w:cstheme="minorHAnsi"/>
          <w:b/>
        </w:rPr>
        <w:t xml:space="preserve">       </w:t>
      </w:r>
      <w:r w:rsidRPr="00B609FC">
        <w:rPr>
          <w:rFonts w:cstheme="minorHAnsi"/>
        </w:rPr>
        <w:t>Odjel za pravne, ekonomske, informacijske i opće poslove</w:t>
      </w:r>
    </w:p>
    <w:p w14:paraId="609003DE" w14:textId="77777777" w:rsidR="00EA1914" w:rsidRPr="00B609FC" w:rsidRDefault="00EA1914" w:rsidP="00AC375F">
      <w:pPr>
        <w:pStyle w:val="ListParagraph"/>
        <w:numPr>
          <w:ilvl w:val="0"/>
          <w:numId w:val="28"/>
        </w:numPr>
        <w:spacing w:before="0" w:after="0" w:line="240" w:lineRule="auto"/>
        <w:jc w:val="both"/>
        <w:rPr>
          <w:rFonts w:cstheme="minorHAnsi"/>
          <w:sz w:val="22"/>
          <w:szCs w:val="22"/>
        </w:rPr>
      </w:pPr>
      <w:r w:rsidRPr="00B609FC">
        <w:rPr>
          <w:rFonts w:cstheme="minorHAnsi"/>
          <w:sz w:val="22"/>
          <w:szCs w:val="22"/>
        </w:rPr>
        <w:t>viši stručni suradnik za upravljanje dokumentacijom I stupnja</w:t>
      </w:r>
      <w:r w:rsidRPr="00B609FC">
        <w:rPr>
          <w:rFonts w:cstheme="minorHAnsi"/>
          <w:b/>
          <w:sz w:val="22"/>
          <w:szCs w:val="22"/>
        </w:rPr>
        <w:t xml:space="preserve"> </w:t>
      </w:r>
      <w:r w:rsidRPr="00B609FC">
        <w:rPr>
          <w:rFonts w:cstheme="minorHAnsi"/>
          <w:sz w:val="22"/>
          <w:szCs w:val="22"/>
        </w:rPr>
        <w:t>(natječaj poništen 30. lipnja 2023.)</w:t>
      </w:r>
    </w:p>
    <w:p w14:paraId="0FF134D1" w14:textId="77777777" w:rsidR="00EA1914" w:rsidRPr="00B609FC" w:rsidRDefault="00EA1914" w:rsidP="00AC375F">
      <w:pPr>
        <w:pStyle w:val="ListParagraph"/>
        <w:numPr>
          <w:ilvl w:val="0"/>
          <w:numId w:val="28"/>
        </w:numPr>
        <w:spacing w:before="0" w:after="0" w:line="240" w:lineRule="auto"/>
        <w:jc w:val="both"/>
        <w:rPr>
          <w:rFonts w:cstheme="minorHAnsi"/>
          <w:sz w:val="22"/>
          <w:szCs w:val="22"/>
        </w:rPr>
      </w:pPr>
      <w:r w:rsidRPr="00B609FC">
        <w:rPr>
          <w:rFonts w:cstheme="minorHAnsi"/>
          <w:sz w:val="22"/>
          <w:szCs w:val="22"/>
        </w:rPr>
        <w:t xml:space="preserve">administrativni referent za upravljanje dokumentacijom II stupnja </w:t>
      </w:r>
    </w:p>
    <w:p w14:paraId="3383EF3F" w14:textId="77777777" w:rsidR="00EA1914" w:rsidRPr="00B609FC" w:rsidRDefault="00EA1914" w:rsidP="00AC375F">
      <w:pPr>
        <w:pStyle w:val="ListParagraph"/>
        <w:numPr>
          <w:ilvl w:val="0"/>
          <w:numId w:val="28"/>
        </w:numPr>
        <w:spacing w:before="0" w:after="0" w:line="240" w:lineRule="auto"/>
        <w:jc w:val="both"/>
        <w:rPr>
          <w:rFonts w:cstheme="minorHAnsi"/>
          <w:sz w:val="22"/>
          <w:szCs w:val="22"/>
        </w:rPr>
      </w:pPr>
      <w:r w:rsidRPr="00B609FC">
        <w:rPr>
          <w:rFonts w:cstheme="minorHAnsi"/>
          <w:sz w:val="22"/>
          <w:szCs w:val="22"/>
        </w:rPr>
        <w:t>referent nabave II stupnja</w:t>
      </w:r>
    </w:p>
    <w:p w14:paraId="677E1C00" w14:textId="77777777" w:rsidR="00EA1914" w:rsidRPr="00B609FC" w:rsidRDefault="00EA1914" w:rsidP="00AC375F">
      <w:pPr>
        <w:pStyle w:val="ListParagraph"/>
        <w:numPr>
          <w:ilvl w:val="0"/>
          <w:numId w:val="28"/>
        </w:numPr>
        <w:spacing w:before="0" w:after="0" w:line="240" w:lineRule="auto"/>
        <w:jc w:val="both"/>
        <w:rPr>
          <w:rFonts w:cstheme="minorHAnsi"/>
          <w:sz w:val="22"/>
          <w:szCs w:val="22"/>
        </w:rPr>
      </w:pPr>
      <w:r w:rsidRPr="00B609FC">
        <w:rPr>
          <w:rFonts w:cstheme="minorHAnsi"/>
          <w:sz w:val="22"/>
          <w:szCs w:val="22"/>
        </w:rPr>
        <w:t>stručni suradnik za upravljanje dokumentacijom (natječaj u tijeku na dan 31. prosinca 2023.)</w:t>
      </w:r>
    </w:p>
    <w:p w14:paraId="6C051D37" w14:textId="77777777" w:rsidR="00EA1914" w:rsidRPr="00B609FC" w:rsidRDefault="00EA1914" w:rsidP="00AC375F">
      <w:pPr>
        <w:pStyle w:val="ListParagraph"/>
        <w:numPr>
          <w:ilvl w:val="0"/>
          <w:numId w:val="28"/>
        </w:numPr>
        <w:spacing w:before="0" w:after="0" w:line="240" w:lineRule="auto"/>
        <w:jc w:val="both"/>
        <w:rPr>
          <w:rFonts w:cstheme="minorHAnsi"/>
          <w:sz w:val="22"/>
          <w:szCs w:val="22"/>
        </w:rPr>
      </w:pPr>
      <w:r w:rsidRPr="00B609FC">
        <w:rPr>
          <w:rFonts w:cstheme="minorHAnsi"/>
          <w:sz w:val="22"/>
          <w:szCs w:val="22"/>
        </w:rPr>
        <w:t>stručni suradnik za programska rješenja (natječaj poništen 30. studenoga 2023.)</w:t>
      </w:r>
    </w:p>
    <w:p w14:paraId="1B3EB26E" w14:textId="77777777" w:rsidR="00EA1914" w:rsidRPr="00B609FC" w:rsidRDefault="00EA1914" w:rsidP="00EA1914">
      <w:pPr>
        <w:pStyle w:val="ListParagraph"/>
        <w:spacing w:after="120"/>
        <w:jc w:val="both"/>
        <w:rPr>
          <w:rFonts w:cstheme="minorHAnsi"/>
          <w:sz w:val="22"/>
          <w:szCs w:val="22"/>
        </w:rPr>
      </w:pPr>
    </w:p>
    <w:p w14:paraId="14BAE323" w14:textId="77777777" w:rsidR="00EA1914" w:rsidRPr="00400391" w:rsidRDefault="00EA1914" w:rsidP="00400391">
      <w:pPr>
        <w:spacing w:after="120"/>
        <w:rPr>
          <w:rFonts w:eastAsia="Times New Roman" w:cs="Times New Roman"/>
          <w:b/>
        </w:rPr>
      </w:pPr>
      <w:r w:rsidRPr="00400391">
        <w:rPr>
          <w:rFonts w:eastAsia="Times New Roman" w:cs="Times New Roman"/>
          <w:b/>
        </w:rPr>
        <w:t xml:space="preserve">Struktura zaposlenika na dan 31. prosinca 2023. godine </w:t>
      </w:r>
    </w:p>
    <w:p w14:paraId="60A86C43" w14:textId="08FFC40D" w:rsidR="00EA1914" w:rsidRPr="00B609FC" w:rsidRDefault="00BA499D" w:rsidP="00EA1914">
      <w:pPr>
        <w:jc w:val="both"/>
        <w:rPr>
          <w:rFonts w:eastAsia="Times New Roman" w:cstheme="minorHAnsi"/>
        </w:rPr>
      </w:pPr>
      <w:r w:rsidRPr="00B609FC">
        <w:rPr>
          <w:rFonts w:eastAsia="Times New Roman" w:cstheme="minorHAnsi"/>
        </w:rPr>
        <w:t>Na dan 31. prosin</w:t>
      </w:r>
      <w:r w:rsidR="00EA1914" w:rsidRPr="00B609FC">
        <w:rPr>
          <w:rFonts w:eastAsia="Times New Roman" w:cstheme="minorHAnsi"/>
        </w:rPr>
        <w:t>c</w:t>
      </w:r>
      <w:r w:rsidRPr="00B609FC">
        <w:rPr>
          <w:rFonts w:eastAsia="Times New Roman" w:cstheme="minorHAnsi"/>
        </w:rPr>
        <w:t>a</w:t>
      </w:r>
      <w:r w:rsidR="00EA1914" w:rsidRPr="00B609FC">
        <w:rPr>
          <w:rFonts w:eastAsia="Times New Roman" w:cstheme="minorHAnsi"/>
        </w:rPr>
        <w:t xml:space="preserve"> 2023. godine ukupno je zaposleno 236 zaposlenika.</w:t>
      </w:r>
    </w:p>
    <w:p w14:paraId="384E292C" w14:textId="77777777" w:rsidR="00EA1914" w:rsidRPr="00B609FC" w:rsidRDefault="00EA1914" w:rsidP="00EA1914">
      <w:pPr>
        <w:jc w:val="both"/>
        <w:rPr>
          <w:rFonts w:eastAsia="Times New Roman" w:cstheme="minorHAnsi"/>
          <w:highlight w:val="yellow"/>
        </w:rPr>
      </w:pPr>
    </w:p>
    <w:p w14:paraId="298E46DE" w14:textId="77777777" w:rsidR="00EA1914" w:rsidRPr="00B609FC" w:rsidRDefault="00EA1914" w:rsidP="00EA1914">
      <w:pPr>
        <w:jc w:val="both"/>
        <w:rPr>
          <w:rFonts w:eastAsia="Times New Roman" w:cstheme="minorHAnsi"/>
          <w:bCs/>
          <w:lang w:eastAsia="hr-HR"/>
        </w:rPr>
      </w:pPr>
      <w:r w:rsidRPr="00B609FC">
        <w:rPr>
          <w:rFonts w:eastAsia="Times New Roman" w:cstheme="minorHAnsi"/>
          <w:bCs/>
          <w:lang w:eastAsia="hr-HR"/>
        </w:rPr>
        <w:t xml:space="preserve">U Grafu 1. prikazana je struktura zaposlenika prema vrsti radnog odnosa na dan 31. prosinac 2023. godine. </w:t>
      </w:r>
    </w:p>
    <w:p w14:paraId="524169DF" w14:textId="77777777" w:rsidR="00EA1914" w:rsidRPr="00B609FC" w:rsidRDefault="00EA1914" w:rsidP="00EA1914">
      <w:pPr>
        <w:jc w:val="both"/>
        <w:rPr>
          <w:rFonts w:eastAsia="Times New Roman" w:cstheme="minorHAnsi"/>
          <w:bCs/>
          <w:lang w:eastAsia="hr-HR"/>
        </w:rPr>
      </w:pPr>
    </w:p>
    <w:p w14:paraId="328764D5" w14:textId="77777777" w:rsidR="00EA1914" w:rsidRPr="00B609FC" w:rsidRDefault="00EA1914" w:rsidP="00EA1914">
      <w:pPr>
        <w:spacing w:after="120"/>
        <w:jc w:val="both"/>
        <w:rPr>
          <w:rFonts w:eastAsia="Times New Roman" w:cstheme="minorHAnsi"/>
          <w:b/>
          <w:bCs/>
          <w:lang w:val="pl-PL"/>
        </w:rPr>
      </w:pPr>
      <w:r w:rsidRPr="00B609FC">
        <w:rPr>
          <w:rFonts w:eastAsia="Times New Roman" w:cstheme="minorHAnsi"/>
          <w:b/>
          <w:bCs/>
          <w:lang w:eastAsia="hr-HR"/>
        </w:rPr>
        <w:t>Graf 1. Broj zaposlenika i s</w:t>
      </w:r>
      <w:r w:rsidRPr="00B609FC">
        <w:rPr>
          <w:rFonts w:eastAsia="Times New Roman" w:cstheme="minorHAnsi"/>
          <w:b/>
          <w:bCs/>
          <w:lang w:val="pl-PL"/>
        </w:rPr>
        <w:t>truktura zaposlenika prema vrsti radnog odnosa</w:t>
      </w:r>
    </w:p>
    <w:p w14:paraId="0F340A89" w14:textId="77777777" w:rsidR="00EA1914" w:rsidRPr="00B609FC" w:rsidRDefault="00EA1914" w:rsidP="00EA1914">
      <w:pPr>
        <w:spacing w:after="120"/>
        <w:jc w:val="both"/>
        <w:rPr>
          <w:rFonts w:eastAsia="Times New Roman" w:cstheme="minorHAnsi"/>
          <w:b/>
          <w:bCs/>
          <w:highlight w:val="yellow"/>
          <w:lang w:val="pl-PL"/>
        </w:rPr>
      </w:pPr>
      <w:r w:rsidRPr="00B609FC">
        <w:rPr>
          <w:rFonts w:cstheme="minorHAnsi"/>
          <w:noProof/>
          <w:highlight w:val="yellow"/>
          <w:lang w:eastAsia="hr-HR"/>
        </w:rPr>
        <w:drawing>
          <wp:anchor distT="0" distB="0" distL="114300" distR="114300" simplePos="0" relativeHeight="251660288" behindDoc="0" locked="0" layoutInCell="1" allowOverlap="1" wp14:anchorId="2B1CAB22" wp14:editId="05DE06DB">
            <wp:simplePos x="0" y="0"/>
            <wp:positionH relativeFrom="margin">
              <wp:posOffset>4445</wp:posOffset>
            </wp:positionH>
            <wp:positionV relativeFrom="paragraph">
              <wp:posOffset>51435</wp:posOffset>
            </wp:positionV>
            <wp:extent cx="5324475" cy="1987550"/>
            <wp:effectExtent l="0" t="0" r="9525" b="12700"/>
            <wp:wrapSquare wrapText="bothSides"/>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margin">
              <wp14:pctWidth>0</wp14:pctWidth>
            </wp14:sizeRelH>
            <wp14:sizeRelV relativeFrom="margin">
              <wp14:pctHeight>0</wp14:pctHeight>
            </wp14:sizeRelV>
          </wp:anchor>
        </w:drawing>
      </w:r>
      <w:r w:rsidRPr="00B609FC">
        <w:rPr>
          <w:rFonts w:cstheme="minorHAnsi"/>
          <w:noProof/>
          <w:highlight w:val="yellow"/>
          <w:lang w:eastAsia="hr-HR"/>
        </w:rPr>
        <w:t xml:space="preserve"> </w:t>
      </w:r>
    </w:p>
    <w:p w14:paraId="5A84E45D" w14:textId="77777777" w:rsidR="00EA1914" w:rsidRPr="00B609FC" w:rsidRDefault="00EA1914" w:rsidP="00EA1914">
      <w:pPr>
        <w:rPr>
          <w:rFonts w:eastAsia="Times New Roman" w:cstheme="minorHAnsi"/>
          <w:b/>
          <w:highlight w:val="yellow"/>
          <w:lang w:eastAsia="hr-HR"/>
        </w:rPr>
      </w:pPr>
    </w:p>
    <w:p w14:paraId="37399F46" w14:textId="77777777" w:rsidR="00EA1914" w:rsidRPr="00B609FC" w:rsidRDefault="00EA1914" w:rsidP="00EA1914">
      <w:pPr>
        <w:spacing w:after="120"/>
        <w:jc w:val="both"/>
        <w:rPr>
          <w:rFonts w:eastAsia="Times New Roman" w:cstheme="minorHAnsi"/>
          <w:bCs/>
          <w:highlight w:val="yellow"/>
          <w:lang w:eastAsia="hr-HR"/>
        </w:rPr>
      </w:pPr>
    </w:p>
    <w:p w14:paraId="38A011F4" w14:textId="77777777" w:rsidR="00EA1914" w:rsidRPr="00B609FC" w:rsidRDefault="00EA1914" w:rsidP="00EA1914">
      <w:pPr>
        <w:spacing w:after="120"/>
        <w:jc w:val="both"/>
        <w:rPr>
          <w:rFonts w:eastAsia="Times New Roman" w:cstheme="minorHAnsi"/>
          <w:bCs/>
          <w:highlight w:val="yellow"/>
          <w:lang w:eastAsia="hr-HR"/>
        </w:rPr>
      </w:pPr>
    </w:p>
    <w:p w14:paraId="6FDD8917" w14:textId="77777777" w:rsidR="00EA1914" w:rsidRPr="00B609FC" w:rsidRDefault="00EA1914" w:rsidP="00EA1914">
      <w:pPr>
        <w:spacing w:after="120"/>
        <w:jc w:val="both"/>
        <w:rPr>
          <w:rFonts w:eastAsia="Times New Roman" w:cstheme="minorHAnsi"/>
          <w:bCs/>
          <w:highlight w:val="yellow"/>
          <w:lang w:eastAsia="hr-HR"/>
        </w:rPr>
      </w:pPr>
    </w:p>
    <w:p w14:paraId="20E13430" w14:textId="77777777" w:rsidR="00EA1914" w:rsidRPr="00B609FC" w:rsidRDefault="00EA1914" w:rsidP="00EA1914">
      <w:pPr>
        <w:spacing w:after="120"/>
        <w:jc w:val="both"/>
        <w:rPr>
          <w:rFonts w:eastAsia="Times New Roman" w:cstheme="minorHAnsi"/>
          <w:bCs/>
          <w:highlight w:val="yellow"/>
          <w:lang w:eastAsia="hr-HR"/>
        </w:rPr>
      </w:pPr>
    </w:p>
    <w:p w14:paraId="7A9BE096" w14:textId="77777777" w:rsidR="00EA1914" w:rsidRPr="00B609FC" w:rsidRDefault="00EA1914" w:rsidP="00EA1914">
      <w:pPr>
        <w:spacing w:after="120"/>
        <w:jc w:val="both"/>
        <w:rPr>
          <w:rFonts w:eastAsia="Times New Roman" w:cstheme="minorHAnsi"/>
          <w:bCs/>
          <w:highlight w:val="yellow"/>
          <w:lang w:eastAsia="hr-HR"/>
        </w:rPr>
      </w:pPr>
    </w:p>
    <w:p w14:paraId="4903E1D0" w14:textId="77777777" w:rsidR="00EA1914" w:rsidRPr="00B609FC" w:rsidRDefault="00EA1914" w:rsidP="00EA1914">
      <w:pPr>
        <w:spacing w:after="120"/>
        <w:jc w:val="both"/>
        <w:rPr>
          <w:rFonts w:eastAsia="Times New Roman" w:cstheme="minorHAnsi"/>
          <w:bCs/>
          <w:highlight w:val="yellow"/>
          <w:lang w:eastAsia="hr-HR"/>
        </w:rPr>
      </w:pPr>
    </w:p>
    <w:p w14:paraId="34FAC433" w14:textId="77777777" w:rsidR="00EA1914" w:rsidRPr="00B609FC" w:rsidRDefault="00EA1914" w:rsidP="00EA1914">
      <w:pPr>
        <w:spacing w:after="120"/>
        <w:jc w:val="both"/>
        <w:rPr>
          <w:rFonts w:eastAsia="Times New Roman" w:cstheme="minorHAnsi"/>
          <w:bCs/>
          <w:highlight w:val="yellow"/>
          <w:lang w:eastAsia="hr-HR"/>
        </w:rPr>
      </w:pPr>
    </w:p>
    <w:p w14:paraId="1345B7FD" w14:textId="77777777" w:rsidR="00EA1914" w:rsidRPr="00B609FC" w:rsidRDefault="00EA1914" w:rsidP="00EA1914">
      <w:pPr>
        <w:spacing w:after="120"/>
        <w:jc w:val="both"/>
        <w:rPr>
          <w:rFonts w:eastAsia="Times New Roman" w:cstheme="minorHAnsi"/>
          <w:bCs/>
          <w:highlight w:val="yellow"/>
          <w:lang w:eastAsia="hr-HR"/>
        </w:rPr>
      </w:pPr>
    </w:p>
    <w:p w14:paraId="74B0281E" w14:textId="4FE551D9" w:rsidR="002A6A8A" w:rsidRPr="00B609FC" w:rsidRDefault="002A6A8A">
      <w:pPr>
        <w:rPr>
          <w:rFonts w:eastAsia="Times New Roman" w:cstheme="minorHAnsi"/>
          <w:bCs/>
          <w:highlight w:val="yellow"/>
          <w:lang w:eastAsia="hr-HR"/>
        </w:rPr>
      </w:pPr>
      <w:r w:rsidRPr="00B609FC">
        <w:rPr>
          <w:rFonts w:eastAsia="Times New Roman" w:cstheme="minorHAnsi"/>
          <w:bCs/>
          <w:highlight w:val="yellow"/>
          <w:lang w:eastAsia="hr-HR"/>
        </w:rPr>
        <w:br w:type="page"/>
      </w:r>
    </w:p>
    <w:p w14:paraId="2500047B" w14:textId="72D9EDED" w:rsidR="00EA1914" w:rsidRPr="00B609FC" w:rsidRDefault="00EA1914" w:rsidP="00EA1914">
      <w:pPr>
        <w:spacing w:after="120"/>
        <w:jc w:val="both"/>
        <w:rPr>
          <w:rFonts w:eastAsia="Times New Roman" w:cstheme="minorHAnsi"/>
          <w:bCs/>
          <w:lang w:eastAsia="hr-HR"/>
        </w:rPr>
      </w:pPr>
      <w:r w:rsidRPr="00B609FC">
        <w:rPr>
          <w:rFonts w:eastAsia="Times New Roman" w:cstheme="minorHAnsi"/>
          <w:bCs/>
          <w:lang w:eastAsia="hr-HR"/>
        </w:rPr>
        <w:lastRenderedPageBreak/>
        <w:t>U Grafu 2. prikazana je struktura zaposlenika prem</w:t>
      </w:r>
      <w:r w:rsidR="00AF3738" w:rsidRPr="00B609FC">
        <w:rPr>
          <w:rFonts w:eastAsia="Times New Roman" w:cstheme="minorHAnsi"/>
          <w:bCs/>
          <w:lang w:eastAsia="hr-HR"/>
        </w:rPr>
        <w:t>a vrsti spolu na dan 31. prosin</w:t>
      </w:r>
      <w:r w:rsidRPr="00B609FC">
        <w:rPr>
          <w:rFonts w:eastAsia="Times New Roman" w:cstheme="minorHAnsi"/>
          <w:bCs/>
          <w:lang w:eastAsia="hr-HR"/>
        </w:rPr>
        <w:t>c</w:t>
      </w:r>
      <w:r w:rsidR="00AF3738" w:rsidRPr="00B609FC">
        <w:rPr>
          <w:rFonts w:eastAsia="Times New Roman" w:cstheme="minorHAnsi"/>
          <w:bCs/>
          <w:lang w:eastAsia="hr-HR"/>
        </w:rPr>
        <w:t>a</w:t>
      </w:r>
      <w:r w:rsidRPr="00B609FC">
        <w:rPr>
          <w:rFonts w:eastAsia="Times New Roman" w:cstheme="minorHAnsi"/>
          <w:bCs/>
          <w:lang w:eastAsia="hr-HR"/>
        </w:rPr>
        <w:t xml:space="preserve"> 2023. godine. </w:t>
      </w:r>
    </w:p>
    <w:p w14:paraId="0CB8A6A6" w14:textId="77777777" w:rsidR="00EA1914" w:rsidRPr="00B609FC" w:rsidRDefault="00EA1914" w:rsidP="00EA1914">
      <w:pPr>
        <w:rPr>
          <w:rFonts w:eastAsia="Times New Roman" w:cstheme="minorHAnsi"/>
          <w:b/>
          <w:lang w:eastAsia="hr-HR"/>
        </w:rPr>
      </w:pPr>
      <w:r w:rsidRPr="00B609FC">
        <w:rPr>
          <w:rFonts w:eastAsia="Times New Roman" w:cstheme="minorHAnsi"/>
          <w:b/>
          <w:lang w:eastAsia="hr-HR"/>
        </w:rPr>
        <w:t>Graf 2. Struktura zaposlenika prema spolu</w:t>
      </w:r>
    </w:p>
    <w:p w14:paraId="22DDD81E" w14:textId="6B8C9257" w:rsidR="00EA1914" w:rsidRPr="00B609FC" w:rsidRDefault="00EA1914" w:rsidP="00EA1914">
      <w:pPr>
        <w:rPr>
          <w:rFonts w:eastAsia="Times New Roman" w:cstheme="minorHAnsi"/>
          <w:b/>
          <w:highlight w:val="yellow"/>
          <w:lang w:eastAsia="hr-HR"/>
        </w:rPr>
      </w:pPr>
    </w:p>
    <w:p w14:paraId="33B8B803" w14:textId="0AD70AE5" w:rsidR="00EA1914" w:rsidRPr="00B609FC" w:rsidRDefault="00E83448" w:rsidP="00EA1914">
      <w:pPr>
        <w:rPr>
          <w:rFonts w:eastAsia="Times New Roman" w:cstheme="minorHAnsi"/>
          <w:b/>
          <w:highlight w:val="yellow"/>
          <w:lang w:eastAsia="hr-HR"/>
        </w:rPr>
      </w:pPr>
      <w:r w:rsidRPr="00B609FC">
        <w:rPr>
          <w:rFonts w:cstheme="minorHAnsi"/>
          <w:noProof/>
          <w:highlight w:val="yellow"/>
          <w:lang w:eastAsia="hr-HR"/>
        </w:rPr>
        <w:drawing>
          <wp:anchor distT="0" distB="0" distL="114300" distR="114300" simplePos="0" relativeHeight="251659264" behindDoc="0" locked="0" layoutInCell="1" allowOverlap="1" wp14:anchorId="31B9A852" wp14:editId="76C9AD42">
            <wp:simplePos x="0" y="0"/>
            <wp:positionH relativeFrom="margin">
              <wp:align>left</wp:align>
            </wp:positionH>
            <wp:positionV relativeFrom="paragraph">
              <wp:posOffset>10795</wp:posOffset>
            </wp:positionV>
            <wp:extent cx="5676265" cy="1748155"/>
            <wp:effectExtent l="0" t="0" r="635" b="4445"/>
            <wp:wrapSquare wrapText="bothSides"/>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margin">
              <wp14:pctWidth>0</wp14:pctWidth>
            </wp14:sizeRelH>
            <wp14:sizeRelV relativeFrom="margin">
              <wp14:pctHeight>0</wp14:pctHeight>
            </wp14:sizeRelV>
          </wp:anchor>
        </w:drawing>
      </w:r>
    </w:p>
    <w:p w14:paraId="50781F02" w14:textId="77777777" w:rsidR="00EA1914" w:rsidRPr="00B609FC" w:rsidRDefault="00EA1914" w:rsidP="00EA1914">
      <w:pPr>
        <w:rPr>
          <w:rFonts w:eastAsia="Times New Roman" w:cstheme="minorHAnsi"/>
          <w:b/>
          <w:highlight w:val="yellow"/>
          <w:lang w:eastAsia="hr-HR"/>
        </w:rPr>
      </w:pPr>
    </w:p>
    <w:p w14:paraId="2B4A7A5A" w14:textId="77777777" w:rsidR="00EA1914" w:rsidRPr="00B609FC" w:rsidRDefault="00EA1914" w:rsidP="00EA1914">
      <w:pPr>
        <w:rPr>
          <w:rFonts w:eastAsia="Times New Roman" w:cstheme="minorHAnsi"/>
          <w:b/>
          <w:highlight w:val="yellow"/>
          <w:lang w:eastAsia="hr-HR"/>
        </w:rPr>
      </w:pPr>
    </w:p>
    <w:p w14:paraId="63449460" w14:textId="77777777" w:rsidR="00EA1914" w:rsidRPr="00B609FC" w:rsidRDefault="00EA1914" w:rsidP="00EA1914">
      <w:pPr>
        <w:rPr>
          <w:rFonts w:eastAsia="Times New Roman" w:cstheme="minorHAnsi"/>
          <w:b/>
          <w:highlight w:val="yellow"/>
          <w:lang w:eastAsia="hr-HR"/>
        </w:rPr>
      </w:pPr>
    </w:p>
    <w:p w14:paraId="58FD243B" w14:textId="77777777" w:rsidR="00EA1914" w:rsidRPr="00B609FC" w:rsidRDefault="00EA1914" w:rsidP="00EA1914">
      <w:pPr>
        <w:rPr>
          <w:rFonts w:eastAsia="Times New Roman" w:cstheme="minorHAnsi"/>
          <w:b/>
          <w:highlight w:val="yellow"/>
          <w:lang w:eastAsia="hr-HR"/>
        </w:rPr>
      </w:pPr>
    </w:p>
    <w:p w14:paraId="0263C0DB" w14:textId="77777777" w:rsidR="00EA1914" w:rsidRPr="00B609FC" w:rsidRDefault="00EA1914" w:rsidP="00EA1914">
      <w:pPr>
        <w:rPr>
          <w:rFonts w:eastAsia="Times New Roman" w:cstheme="minorHAnsi"/>
          <w:b/>
          <w:highlight w:val="yellow"/>
          <w:lang w:eastAsia="hr-HR"/>
        </w:rPr>
      </w:pPr>
    </w:p>
    <w:p w14:paraId="47EA47BB" w14:textId="77777777" w:rsidR="00EA1914" w:rsidRPr="00B609FC" w:rsidRDefault="00EA1914" w:rsidP="00EA1914">
      <w:pPr>
        <w:rPr>
          <w:rFonts w:eastAsia="Times New Roman" w:cstheme="minorHAnsi"/>
          <w:b/>
          <w:highlight w:val="yellow"/>
          <w:lang w:eastAsia="hr-HR"/>
        </w:rPr>
      </w:pPr>
    </w:p>
    <w:p w14:paraId="01CEB74B" w14:textId="77777777" w:rsidR="00EA1914" w:rsidRPr="00B609FC" w:rsidRDefault="00EA1914" w:rsidP="00EA1914">
      <w:pPr>
        <w:rPr>
          <w:rFonts w:eastAsia="Times New Roman" w:cstheme="minorHAnsi"/>
          <w:b/>
          <w:highlight w:val="yellow"/>
          <w:lang w:eastAsia="hr-HR"/>
        </w:rPr>
      </w:pPr>
    </w:p>
    <w:p w14:paraId="725A6101" w14:textId="77777777" w:rsidR="00EA1914" w:rsidRPr="00B609FC" w:rsidRDefault="00EA1914" w:rsidP="00EA1914">
      <w:pPr>
        <w:rPr>
          <w:rFonts w:eastAsia="Times New Roman" w:cstheme="minorHAnsi"/>
          <w:b/>
          <w:highlight w:val="yellow"/>
          <w:lang w:eastAsia="hr-HR"/>
        </w:rPr>
      </w:pPr>
    </w:p>
    <w:p w14:paraId="10485C61" w14:textId="77777777" w:rsidR="00EA1914" w:rsidRPr="00B609FC" w:rsidRDefault="00EA1914" w:rsidP="00EA1914">
      <w:pPr>
        <w:rPr>
          <w:rFonts w:eastAsia="Times New Roman" w:cstheme="minorHAnsi"/>
          <w:b/>
          <w:highlight w:val="yellow"/>
          <w:lang w:eastAsia="hr-HR"/>
        </w:rPr>
      </w:pPr>
    </w:p>
    <w:p w14:paraId="430CA6C4" w14:textId="77777777" w:rsidR="00EA1914" w:rsidRPr="00B609FC" w:rsidRDefault="00EA1914" w:rsidP="00EA1914">
      <w:pPr>
        <w:rPr>
          <w:rFonts w:eastAsia="Times New Roman" w:cstheme="minorHAnsi"/>
          <w:b/>
          <w:highlight w:val="yellow"/>
          <w:lang w:eastAsia="hr-HR"/>
        </w:rPr>
      </w:pPr>
    </w:p>
    <w:p w14:paraId="25CB66C7" w14:textId="12A40B5C" w:rsidR="00EA1914" w:rsidRPr="00B609FC" w:rsidRDefault="00EA1914" w:rsidP="00EA1914">
      <w:pPr>
        <w:spacing w:after="120"/>
        <w:jc w:val="both"/>
        <w:rPr>
          <w:rFonts w:eastAsia="Times New Roman" w:cstheme="minorHAnsi"/>
          <w:bCs/>
          <w:lang w:eastAsia="hr-HR"/>
        </w:rPr>
      </w:pPr>
      <w:r w:rsidRPr="00B609FC">
        <w:rPr>
          <w:rFonts w:eastAsia="Times New Roman" w:cstheme="minorHAnsi"/>
          <w:bCs/>
          <w:lang w:eastAsia="hr-HR"/>
        </w:rPr>
        <w:t>U Grafu 3. prikazana je struktura zaposlenika prema st</w:t>
      </w:r>
      <w:r w:rsidR="002A6A8A" w:rsidRPr="00B609FC">
        <w:rPr>
          <w:rFonts w:eastAsia="Times New Roman" w:cstheme="minorHAnsi"/>
          <w:bCs/>
          <w:lang w:eastAsia="hr-HR"/>
        </w:rPr>
        <w:t>ručnoj spremi na dan 31. prosin</w:t>
      </w:r>
      <w:r w:rsidRPr="00B609FC">
        <w:rPr>
          <w:rFonts w:eastAsia="Times New Roman" w:cstheme="minorHAnsi"/>
          <w:bCs/>
          <w:lang w:eastAsia="hr-HR"/>
        </w:rPr>
        <w:t>c</w:t>
      </w:r>
      <w:r w:rsidR="002A6A8A" w:rsidRPr="00B609FC">
        <w:rPr>
          <w:rFonts w:eastAsia="Times New Roman" w:cstheme="minorHAnsi"/>
          <w:bCs/>
          <w:lang w:eastAsia="hr-HR"/>
        </w:rPr>
        <w:t>a</w:t>
      </w:r>
      <w:r w:rsidRPr="00B609FC">
        <w:rPr>
          <w:rFonts w:eastAsia="Times New Roman" w:cstheme="minorHAnsi"/>
          <w:bCs/>
          <w:lang w:eastAsia="hr-HR"/>
        </w:rPr>
        <w:t xml:space="preserve"> 2023. godine. </w:t>
      </w:r>
    </w:p>
    <w:p w14:paraId="111E4816" w14:textId="6A9288D1" w:rsidR="00EA1914" w:rsidRPr="00B609FC" w:rsidRDefault="00EA1914" w:rsidP="00DE7AB9">
      <w:pPr>
        <w:tabs>
          <w:tab w:val="left" w:pos="2705"/>
        </w:tabs>
        <w:spacing w:after="120"/>
        <w:rPr>
          <w:rFonts w:eastAsia="Times New Roman" w:cstheme="minorHAnsi"/>
          <w:b/>
          <w:bCs/>
          <w:lang w:val="pl-PL"/>
        </w:rPr>
      </w:pPr>
      <w:r w:rsidRPr="00B609FC">
        <w:rPr>
          <w:rFonts w:eastAsia="Times New Roman" w:cstheme="minorHAnsi"/>
          <w:b/>
          <w:bCs/>
          <w:lang w:eastAsia="hr-HR"/>
        </w:rPr>
        <w:t>Graf 3. S</w:t>
      </w:r>
      <w:r w:rsidRPr="00B609FC">
        <w:rPr>
          <w:rFonts w:eastAsia="Times New Roman" w:cstheme="minorHAnsi"/>
          <w:b/>
          <w:bCs/>
          <w:lang w:val="pl-PL"/>
        </w:rPr>
        <w:t>truktura zaposlenika prema stručnoj spremi</w:t>
      </w:r>
      <w:r w:rsidR="00DE7AB9" w:rsidRPr="00B609FC">
        <w:rPr>
          <w:rFonts w:eastAsia="Times New Roman" w:cstheme="minorHAnsi"/>
          <w:b/>
          <w:bCs/>
          <w:lang w:val="pl-PL"/>
        </w:rPr>
        <w:t xml:space="preserve"> </w:t>
      </w:r>
    </w:p>
    <w:p w14:paraId="51C0399A" w14:textId="77777777" w:rsidR="00EA1914" w:rsidRPr="00B609FC" w:rsidRDefault="00EA1914" w:rsidP="00EA1914">
      <w:pPr>
        <w:rPr>
          <w:rFonts w:eastAsia="Times New Roman" w:cstheme="minorHAnsi"/>
          <w:b/>
          <w:highlight w:val="yellow"/>
          <w:lang w:eastAsia="hr-HR"/>
        </w:rPr>
      </w:pPr>
      <w:r w:rsidRPr="00B609FC">
        <w:rPr>
          <w:rFonts w:cstheme="minorHAnsi"/>
          <w:noProof/>
          <w:lang w:eastAsia="hr-HR"/>
        </w:rPr>
        <w:drawing>
          <wp:inline distT="0" distB="0" distL="0" distR="0" wp14:anchorId="21319D94" wp14:editId="6A6A74C3">
            <wp:extent cx="5742432" cy="1630680"/>
            <wp:effectExtent l="0" t="0" r="10795" b="762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044631AD" w14:textId="2EE6EDCC" w:rsidR="00EA1914" w:rsidRPr="00B609FC" w:rsidRDefault="00EA1914" w:rsidP="00EA1914">
      <w:pPr>
        <w:rPr>
          <w:rFonts w:eastAsia="Times New Roman" w:cstheme="minorHAnsi"/>
          <w:b/>
          <w:highlight w:val="yellow"/>
          <w:lang w:eastAsia="hr-HR"/>
        </w:rPr>
      </w:pPr>
    </w:p>
    <w:p w14:paraId="5D21671D" w14:textId="77777777" w:rsidR="00EA1914" w:rsidRPr="00B609FC" w:rsidRDefault="00EA1914" w:rsidP="00EA1914">
      <w:pPr>
        <w:spacing w:after="120"/>
        <w:jc w:val="both"/>
        <w:rPr>
          <w:rFonts w:eastAsia="Times New Roman" w:cstheme="minorHAnsi"/>
          <w:bCs/>
          <w:lang w:eastAsia="hr-HR"/>
        </w:rPr>
      </w:pPr>
      <w:r w:rsidRPr="00B609FC">
        <w:rPr>
          <w:rFonts w:eastAsia="Times New Roman" w:cstheme="minorHAnsi"/>
          <w:bCs/>
          <w:lang w:eastAsia="hr-HR"/>
        </w:rPr>
        <w:t xml:space="preserve">U Grafu 4. prikazana je struktura zaposlenika visoke stručne spreme na dan 31. prosinca 2023. godine. </w:t>
      </w:r>
    </w:p>
    <w:p w14:paraId="657D9E32" w14:textId="77777777" w:rsidR="00EA1914" w:rsidRPr="00B609FC" w:rsidRDefault="00EA1914" w:rsidP="00EA1914">
      <w:pPr>
        <w:tabs>
          <w:tab w:val="left" w:pos="2705"/>
        </w:tabs>
        <w:spacing w:after="120"/>
        <w:rPr>
          <w:rFonts w:eastAsia="Times New Roman" w:cstheme="minorHAnsi"/>
          <w:b/>
          <w:bCs/>
          <w:lang w:val="pl-PL"/>
        </w:rPr>
      </w:pPr>
      <w:r w:rsidRPr="00B609FC">
        <w:rPr>
          <w:rFonts w:eastAsia="Times New Roman" w:cstheme="minorHAnsi"/>
          <w:b/>
          <w:bCs/>
          <w:lang w:eastAsia="hr-HR"/>
        </w:rPr>
        <w:t>Graf 4. S</w:t>
      </w:r>
      <w:r w:rsidRPr="00B609FC">
        <w:rPr>
          <w:rFonts w:eastAsia="Times New Roman" w:cstheme="minorHAnsi"/>
          <w:b/>
          <w:bCs/>
          <w:lang w:val="pl-PL"/>
        </w:rPr>
        <w:t xml:space="preserve">truktura zaposlenika visoke stručne spreme </w:t>
      </w:r>
    </w:p>
    <w:p w14:paraId="1F2ADC20" w14:textId="77777777" w:rsidR="00EA1914" w:rsidRPr="00B609FC" w:rsidRDefault="00EA1914" w:rsidP="00EA1914">
      <w:pPr>
        <w:rPr>
          <w:rFonts w:eastAsia="Times New Roman" w:cstheme="minorHAnsi"/>
          <w:b/>
          <w:highlight w:val="yellow"/>
          <w:lang w:eastAsia="hr-HR"/>
        </w:rPr>
      </w:pPr>
    </w:p>
    <w:p w14:paraId="4A4B8A0C" w14:textId="77777777" w:rsidR="00EA1914" w:rsidRPr="00B609FC" w:rsidRDefault="00EA1914" w:rsidP="00EA1914">
      <w:pPr>
        <w:rPr>
          <w:rFonts w:eastAsia="Times New Roman" w:cstheme="minorHAnsi"/>
          <w:b/>
          <w:highlight w:val="yellow"/>
          <w:lang w:eastAsia="hr-HR"/>
        </w:rPr>
      </w:pPr>
      <w:r w:rsidRPr="00B609FC">
        <w:rPr>
          <w:rFonts w:cstheme="minorHAnsi"/>
          <w:noProof/>
          <w:u w:val="single"/>
          <w:lang w:eastAsia="hr-HR"/>
        </w:rPr>
        <w:drawing>
          <wp:inline distT="0" distB="0" distL="0" distR="0" wp14:anchorId="79BFCA47" wp14:editId="396CA1A0">
            <wp:extent cx="5757062" cy="3042920"/>
            <wp:effectExtent l="0" t="0" r="15240" b="508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16630D52" w14:textId="0BBF0C9D" w:rsidR="00EA1914" w:rsidRPr="00B609FC" w:rsidRDefault="00EA1914" w:rsidP="00EA1914">
      <w:pPr>
        <w:pStyle w:val="Heading1"/>
        <w:jc w:val="both"/>
        <w:rPr>
          <w:rFonts w:eastAsia="Calibri"/>
          <w:sz w:val="22"/>
          <w:szCs w:val="22"/>
        </w:rPr>
      </w:pPr>
      <w:bookmarkStart w:id="362" w:name="_Toc530140621"/>
      <w:bookmarkStart w:id="363" w:name="_Toc165035556"/>
      <w:bookmarkEnd w:id="361"/>
      <w:r w:rsidRPr="00B609FC">
        <w:rPr>
          <w:rFonts w:eastAsia="Calibri"/>
          <w:sz w:val="22"/>
          <w:szCs w:val="22"/>
        </w:rPr>
        <w:lastRenderedPageBreak/>
        <w:t>6. IZVJEŠĆE O STRUČNOM USAVRŠAVANJU</w:t>
      </w:r>
      <w:bookmarkEnd w:id="362"/>
      <w:bookmarkEnd w:id="363"/>
    </w:p>
    <w:p w14:paraId="7102C300" w14:textId="77777777" w:rsidR="00EA1914" w:rsidRPr="00B609FC" w:rsidRDefault="00EA1914" w:rsidP="00EA1914">
      <w:pPr>
        <w:spacing w:before="240" w:after="240" w:line="276" w:lineRule="auto"/>
        <w:jc w:val="both"/>
        <w:rPr>
          <w:rFonts w:eastAsia="Times New Roman" w:cstheme="minorHAnsi"/>
          <w:bCs/>
          <w:lang w:eastAsia="hr-HR"/>
        </w:rPr>
      </w:pPr>
      <w:r w:rsidRPr="00B609FC">
        <w:rPr>
          <w:rFonts w:eastAsia="Times New Roman" w:cstheme="minorHAnsi"/>
          <w:bCs/>
          <w:lang w:eastAsia="hr-HR"/>
        </w:rPr>
        <w:t xml:space="preserve">Zaposlenici HALMED-a kontinuirano nadograđuju svoja znanja i stručne sposobnosti u cilju kvalitetnog obavljanja Zakonom propisanih poslova te konkuriranja drugim europskim agencijama.  </w:t>
      </w:r>
    </w:p>
    <w:p w14:paraId="11FFCA65" w14:textId="77777777" w:rsidR="00EA1914" w:rsidRPr="00B609FC" w:rsidRDefault="00EA1914" w:rsidP="00EA1914">
      <w:pPr>
        <w:spacing w:before="240" w:after="240" w:line="276" w:lineRule="auto"/>
        <w:jc w:val="both"/>
        <w:rPr>
          <w:rFonts w:eastAsia="Times New Roman" w:cstheme="minorHAnsi"/>
          <w:bCs/>
          <w:lang w:eastAsia="hr-HR"/>
        </w:rPr>
      </w:pPr>
      <w:r w:rsidRPr="00B609FC">
        <w:rPr>
          <w:rFonts w:eastAsia="Times New Roman" w:cstheme="minorHAnsi"/>
          <w:bCs/>
          <w:lang w:eastAsia="hr-HR"/>
        </w:rPr>
        <w:t>S tim ciljem HALMED je u 2023. godini izdvojio financijska sredstva i financirao razne oblike stručnog i znanstvenog usavršavanja zaposlenika u skladu s potrebama.</w:t>
      </w:r>
    </w:p>
    <w:p w14:paraId="1D042DAE" w14:textId="77777777" w:rsidR="00EA1914" w:rsidRPr="00B609FC" w:rsidRDefault="00EA1914" w:rsidP="00EA1914">
      <w:pPr>
        <w:spacing w:before="240" w:after="240" w:line="276" w:lineRule="auto"/>
        <w:jc w:val="both"/>
        <w:rPr>
          <w:rFonts w:cstheme="minorHAnsi"/>
          <w:color w:val="0B0F18"/>
        </w:rPr>
      </w:pPr>
      <w:r w:rsidRPr="00B609FC">
        <w:rPr>
          <w:rFonts w:eastAsia="Times New Roman" w:cstheme="minorHAnsi"/>
          <w:bCs/>
          <w:lang w:eastAsia="hr-HR"/>
        </w:rPr>
        <w:t xml:space="preserve">Stručno i znanstveno usavršavanje zaposlenika provodi se na temelju godišnjeg </w:t>
      </w:r>
      <w:r w:rsidRPr="00B609FC">
        <w:rPr>
          <w:rFonts w:eastAsia="Times New Roman" w:cstheme="minorHAnsi"/>
          <w:b/>
          <w:bCs/>
          <w:i/>
          <w:lang w:eastAsia="hr-HR"/>
        </w:rPr>
        <w:t>Plana stručnog usavršavanja</w:t>
      </w:r>
      <w:r w:rsidRPr="00B609FC">
        <w:rPr>
          <w:rFonts w:eastAsia="Times New Roman" w:cstheme="minorHAnsi"/>
          <w:bCs/>
          <w:lang w:eastAsia="hr-HR"/>
        </w:rPr>
        <w:t xml:space="preserve"> koji se sastoji od G</w:t>
      </w:r>
      <w:r w:rsidRPr="00B609FC">
        <w:rPr>
          <w:rFonts w:cstheme="minorHAnsi"/>
          <w:color w:val="12151F"/>
        </w:rPr>
        <w:t>odišnjeg plan upućivanja zaposlenika na poslijediplomske studije te specijalistička usavršavanja doktora medicine, doktora dentalne medicine, magistara farmacije, odnosno magistara medicinske biokemije koji na prijedlog ravnatelja donosi Upravno vijeće Agencije te Go</w:t>
      </w:r>
      <w:r w:rsidRPr="00B609FC">
        <w:rPr>
          <w:rFonts w:cstheme="minorHAnsi"/>
          <w:color w:val="0B0F18"/>
        </w:rPr>
        <w:t xml:space="preserve">dišnjeg plana ostalih oblika usavršavanja koji donosi ravnatelj Agencije. </w:t>
      </w:r>
    </w:p>
    <w:p w14:paraId="44592D66" w14:textId="77777777" w:rsidR="00EA1914" w:rsidRPr="00B609FC" w:rsidRDefault="00EA1914" w:rsidP="00EA1914">
      <w:pPr>
        <w:spacing w:before="240" w:after="240" w:line="276" w:lineRule="auto"/>
        <w:jc w:val="both"/>
        <w:rPr>
          <w:rFonts w:cstheme="minorHAnsi"/>
          <w:color w:val="0B0F18"/>
        </w:rPr>
      </w:pPr>
      <w:r w:rsidRPr="00A459B5">
        <w:rPr>
          <w:rFonts w:cstheme="minorHAnsi"/>
          <w:color w:val="0B0F18"/>
        </w:rPr>
        <w:t xml:space="preserve">Pojedina poslijediplomska usavršavanja provode se i financiraju temeljem </w:t>
      </w:r>
      <w:r w:rsidRPr="00A459B5">
        <w:rPr>
          <w:rFonts w:cstheme="minorHAnsi"/>
          <w:b/>
          <w:i/>
        </w:rPr>
        <w:t>Memoranduma o suradnji i razumijevanju</w:t>
      </w:r>
      <w:r w:rsidRPr="00A459B5">
        <w:rPr>
          <w:rFonts w:cstheme="minorHAnsi"/>
        </w:rPr>
        <w:t xml:space="preserve"> sklopljenog između Agencije za lijekove i medicinske proizvode i nizozemskog Odbora za ocjenu lijekova dana 1. ožujka 2018. godine.</w:t>
      </w:r>
      <w:r w:rsidRPr="00B609FC">
        <w:rPr>
          <w:rFonts w:cstheme="minorHAnsi"/>
          <w:color w:val="0B0F18"/>
        </w:rPr>
        <w:t xml:space="preserve"> </w:t>
      </w:r>
    </w:p>
    <w:p w14:paraId="2C2F7CF2" w14:textId="77777777" w:rsidR="00EA1914" w:rsidRPr="00B609FC" w:rsidRDefault="00EA1914" w:rsidP="00EA1914">
      <w:pPr>
        <w:spacing w:before="240" w:after="240" w:line="276" w:lineRule="auto"/>
        <w:jc w:val="both"/>
        <w:rPr>
          <w:rFonts w:eastAsia="Times New Roman" w:cstheme="minorHAnsi"/>
          <w:bCs/>
          <w:lang w:eastAsia="hr-HR"/>
        </w:rPr>
      </w:pPr>
      <w:r w:rsidRPr="00B609FC">
        <w:rPr>
          <w:rFonts w:eastAsia="Times New Roman" w:cstheme="minorHAnsi"/>
          <w:bCs/>
          <w:lang w:eastAsia="hr-HR"/>
        </w:rPr>
        <w:t xml:space="preserve">Odobrena usavršavanja provode se temeljem internih akata:  </w:t>
      </w:r>
    </w:p>
    <w:p w14:paraId="34D9100E" w14:textId="77777777" w:rsidR="00EA1914" w:rsidRPr="00B609FC" w:rsidRDefault="00EA1914" w:rsidP="00AC375F">
      <w:pPr>
        <w:pStyle w:val="ListParagraph"/>
        <w:numPr>
          <w:ilvl w:val="0"/>
          <w:numId w:val="31"/>
        </w:numPr>
        <w:ind w:left="0" w:firstLine="0"/>
        <w:jc w:val="both"/>
        <w:rPr>
          <w:rFonts w:eastAsia="Times New Roman" w:cstheme="minorHAnsi"/>
          <w:b/>
          <w:bCs/>
          <w:i/>
          <w:sz w:val="22"/>
          <w:szCs w:val="22"/>
          <w:lang w:eastAsia="hr-HR"/>
        </w:rPr>
      </w:pPr>
      <w:r w:rsidRPr="00B609FC">
        <w:rPr>
          <w:rFonts w:eastAsia="Times New Roman" w:cstheme="minorHAnsi"/>
          <w:b/>
          <w:bCs/>
          <w:i/>
          <w:sz w:val="22"/>
          <w:szCs w:val="22"/>
          <w:lang w:eastAsia="hr-HR"/>
        </w:rPr>
        <w:t xml:space="preserve">Pravilnika o znanstvenom i stručnom usavršavanju i </w:t>
      </w:r>
    </w:p>
    <w:p w14:paraId="0649AF26" w14:textId="77777777" w:rsidR="00EA1914" w:rsidRPr="00B609FC" w:rsidRDefault="00EA1914" w:rsidP="00AC375F">
      <w:pPr>
        <w:pStyle w:val="ListParagraph"/>
        <w:numPr>
          <w:ilvl w:val="0"/>
          <w:numId w:val="31"/>
        </w:numPr>
        <w:ind w:left="0" w:firstLine="0"/>
        <w:jc w:val="both"/>
        <w:rPr>
          <w:rFonts w:eastAsia="Times New Roman" w:cstheme="minorHAnsi"/>
          <w:bCs/>
          <w:sz w:val="22"/>
          <w:szCs w:val="22"/>
          <w:lang w:eastAsia="hr-HR"/>
        </w:rPr>
      </w:pPr>
      <w:r w:rsidRPr="00B609FC">
        <w:rPr>
          <w:rFonts w:eastAsia="Times New Roman" w:cstheme="minorHAnsi"/>
          <w:b/>
          <w:bCs/>
          <w:i/>
          <w:sz w:val="22"/>
          <w:szCs w:val="22"/>
          <w:lang w:eastAsia="hr-HR"/>
        </w:rPr>
        <w:t>Pravilnika o provođenju internog natječaja za stručna i znanstvena usavršavanja</w:t>
      </w:r>
      <w:r w:rsidRPr="00B609FC">
        <w:rPr>
          <w:rFonts w:eastAsia="Times New Roman" w:cstheme="minorHAnsi"/>
          <w:bCs/>
          <w:sz w:val="22"/>
          <w:szCs w:val="22"/>
          <w:lang w:eastAsia="hr-HR"/>
        </w:rPr>
        <w:t xml:space="preserve"> </w:t>
      </w:r>
    </w:p>
    <w:p w14:paraId="53D0F1E9" w14:textId="77777777" w:rsidR="00EA1914" w:rsidRPr="00B609FC" w:rsidRDefault="00EA1914" w:rsidP="00EA1914">
      <w:pPr>
        <w:spacing w:before="240" w:after="240" w:line="276" w:lineRule="auto"/>
        <w:jc w:val="both"/>
        <w:rPr>
          <w:rFonts w:eastAsia="Times New Roman" w:cstheme="minorHAnsi"/>
          <w:bCs/>
          <w:lang w:eastAsia="hr-HR"/>
        </w:rPr>
      </w:pPr>
      <w:r w:rsidRPr="00B609FC">
        <w:rPr>
          <w:rFonts w:eastAsia="Times New Roman" w:cstheme="minorHAnsi"/>
          <w:bCs/>
          <w:lang w:eastAsia="hr-HR"/>
        </w:rPr>
        <w:t>Tijekom 2023. godine zaposlenici Agencije pohađali su sljedeća poslijediplomska stručna i znanstvena usavršavanja odobrena od strane Upravnog vijeća u prethodnim godinama i u 2023. godini:</w:t>
      </w:r>
    </w:p>
    <w:p w14:paraId="11DD5ED3" w14:textId="77777777" w:rsidR="00EA1914" w:rsidRPr="00B609FC" w:rsidRDefault="00EA1914" w:rsidP="00EA1914">
      <w:pPr>
        <w:pStyle w:val="ListParagraph"/>
        <w:spacing w:before="240" w:after="240"/>
        <w:ind w:left="709"/>
        <w:jc w:val="both"/>
        <w:rPr>
          <w:rFonts w:eastAsia="Times New Roman" w:cstheme="minorHAnsi"/>
          <w:b/>
          <w:bCs/>
          <w:sz w:val="22"/>
          <w:szCs w:val="22"/>
          <w:lang w:eastAsia="hr-HR"/>
        </w:rPr>
      </w:pPr>
      <w:r w:rsidRPr="00B609FC">
        <w:rPr>
          <w:rFonts w:eastAsia="Times New Roman" w:cstheme="minorHAnsi"/>
          <w:b/>
          <w:bCs/>
          <w:sz w:val="22"/>
          <w:szCs w:val="22"/>
          <w:lang w:eastAsia="hr-HR"/>
        </w:rPr>
        <w:t>Doktorski studiji:</w:t>
      </w:r>
    </w:p>
    <w:p w14:paraId="748B7CB2" w14:textId="77777777" w:rsidR="00EA1914" w:rsidRPr="00B609FC" w:rsidRDefault="00EA1914" w:rsidP="00AC375F">
      <w:pPr>
        <w:pStyle w:val="ListParagraph"/>
        <w:numPr>
          <w:ilvl w:val="0"/>
          <w:numId w:val="30"/>
        </w:numPr>
        <w:spacing w:before="240" w:after="240"/>
        <w:ind w:left="709" w:hanging="709"/>
        <w:jc w:val="both"/>
        <w:rPr>
          <w:rFonts w:eastAsia="Times New Roman" w:cstheme="minorHAnsi"/>
          <w:bCs/>
          <w:sz w:val="22"/>
          <w:szCs w:val="22"/>
          <w:lang w:eastAsia="hr-HR"/>
        </w:rPr>
      </w:pPr>
      <w:r w:rsidRPr="00B609FC">
        <w:rPr>
          <w:rFonts w:eastAsia="Times New Roman" w:cstheme="minorHAnsi"/>
          <w:bCs/>
          <w:sz w:val="22"/>
          <w:szCs w:val="22"/>
          <w:lang w:eastAsia="hr-HR"/>
        </w:rPr>
        <w:t xml:space="preserve">poslijediplomski doktorski studij Biomedicina i zdravstvo na </w:t>
      </w:r>
      <w:r w:rsidRPr="00B609FC">
        <w:rPr>
          <w:rFonts w:cstheme="minorHAnsi"/>
          <w:sz w:val="22"/>
          <w:szCs w:val="22"/>
        </w:rPr>
        <w:t>Medicinskom fakultetu Sveučilišta u Zagrebu</w:t>
      </w:r>
      <w:r w:rsidRPr="00B609FC">
        <w:rPr>
          <w:rFonts w:eastAsia="Times New Roman" w:cstheme="minorHAnsi"/>
          <w:bCs/>
          <w:sz w:val="22"/>
          <w:szCs w:val="22"/>
          <w:lang w:eastAsia="hr-HR"/>
        </w:rPr>
        <w:t xml:space="preserve"> - 2 zaposlenika</w:t>
      </w:r>
    </w:p>
    <w:p w14:paraId="263BB3C6" w14:textId="77777777" w:rsidR="00EA1914" w:rsidRPr="00B609FC" w:rsidRDefault="00EA1914" w:rsidP="00AC375F">
      <w:pPr>
        <w:pStyle w:val="ListParagraph"/>
        <w:numPr>
          <w:ilvl w:val="0"/>
          <w:numId w:val="30"/>
        </w:numPr>
        <w:spacing w:before="240" w:after="240"/>
        <w:ind w:left="709" w:hanging="709"/>
        <w:jc w:val="both"/>
        <w:rPr>
          <w:rFonts w:eastAsia="Times New Roman" w:cstheme="minorHAnsi"/>
          <w:bCs/>
          <w:sz w:val="22"/>
          <w:szCs w:val="22"/>
          <w:lang w:eastAsia="hr-HR"/>
        </w:rPr>
      </w:pPr>
      <w:r w:rsidRPr="00B609FC">
        <w:rPr>
          <w:rFonts w:eastAsia="Times New Roman" w:cstheme="minorHAnsi"/>
          <w:bCs/>
          <w:sz w:val="22"/>
          <w:szCs w:val="22"/>
          <w:lang w:eastAsia="hr-HR"/>
        </w:rPr>
        <w:t xml:space="preserve">poslijediplomski doktorski studij Kemija na </w:t>
      </w:r>
      <w:r w:rsidRPr="00B609FC">
        <w:rPr>
          <w:rFonts w:cstheme="minorHAnsi"/>
          <w:sz w:val="22"/>
          <w:szCs w:val="22"/>
        </w:rPr>
        <w:t>Prirodoslovno-matematičkom fakultetu Sveučilišta u Zagrebu</w:t>
      </w:r>
      <w:r w:rsidRPr="00B609FC">
        <w:rPr>
          <w:rFonts w:eastAsia="Times New Roman" w:cstheme="minorHAnsi"/>
          <w:bCs/>
          <w:sz w:val="22"/>
          <w:szCs w:val="22"/>
          <w:lang w:eastAsia="hr-HR"/>
        </w:rPr>
        <w:t xml:space="preserve"> - 1 zaposlenik</w:t>
      </w:r>
    </w:p>
    <w:p w14:paraId="5B6C7730" w14:textId="77777777" w:rsidR="00EA1914" w:rsidRPr="00B609FC" w:rsidRDefault="00EA1914" w:rsidP="00AC375F">
      <w:pPr>
        <w:pStyle w:val="ListParagraph"/>
        <w:numPr>
          <w:ilvl w:val="0"/>
          <w:numId w:val="30"/>
        </w:numPr>
        <w:spacing w:before="240" w:after="240"/>
        <w:ind w:left="709" w:hanging="709"/>
        <w:jc w:val="both"/>
        <w:rPr>
          <w:rFonts w:eastAsia="Times New Roman" w:cstheme="minorHAnsi"/>
          <w:bCs/>
          <w:sz w:val="22"/>
          <w:szCs w:val="22"/>
          <w:lang w:eastAsia="hr-HR"/>
        </w:rPr>
      </w:pPr>
      <w:r w:rsidRPr="00B609FC">
        <w:rPr>
          <w:rFonts w:eastAsia="Times New Roman" w:cstheme="minorHAnsi"/>
          <w:bCs/>
          <w:sz w:val="22"/>
          <w:szCs w:val="22"/>
          <w:lang w:eastAsia="hr-HR"/>
        </w:rPr>
        <w:t xml:space="preserve">poslijediplomski doktorski studij Medicinska kemija na </w:t>
      </w:r>
      <w:r w:rsidRPr="00B609FC">
        <w:rPr>
          <w:rFonts w:cstheme="minorHAnsi"/>
          <w:sz w:val="22"/>
          <w:szCs w:val="22"/>
        </w:rPr>
        <w:t>Sveučilištu u Rijeci, Odjel za biotehnologiju</w:t>
      </w:r>
      <w:r w:rsidRPr="00B609FC">
        <w:rPr>
          <w:rFonts w:eastAsia="Times New Roman" w:cstheme="minorHAnsi"/>
          <w:bCs/>
          <w:sz w:val="22"/>
          <w:szCs w:val="22"/>
          <w:lang w:eastAsia="hr-HR"/>
        </w:rPr>
        <w:t xml:space="preserve"> - 1 zaposlenik</w:t>
      </w:r>
    </w:p>
    <w:p w14:paraId="6B25587B" w14:textId="77777777" w:rsidR="00EA1914" w:rsidRPr="00B609FC" w:rsidRDefault="00EA1914" w:rsidP="00AC375F">
      <w:pPr>
        <w:pStyle w:val="ListParagraph"/>
        <w:numPr>
          <w:ilvl w:val="0"/>
          <w:numId w:val="30"/>
        </w:numPr>
        <w:spacing w:before="240" w:after="240"/>
        <w:ind w:left="709" w:hanging="709"/>
        <w:jc w:val="both"/>
        <w:rPr>
          <w:rFonts w:eastAsia="Times New Roman" w:cstheme="minorHAnsi"/>
          <w:bCs/>
          <w:sz w:val="22"/>
          <w:szCs w:val="22"/>
          <w:lang w:eastAsia="hr-HR"/>
        </w:rPr>
      </w:pPr>
      <w:r w:rsidRPr="00B609FC">
        <w:rPr>
          <w:rFonts w:eastAsia="Times New Roman" w:cstheme="minorHAnsi"/>
          <w:bCs/>
          <w:sz w:val="22"/>
          <w:szCs w:val="22"/>
          <w:lang w:eastAsia="hr-HR"/>
        </w:rPr>
        <w:t>poslijediplomski</w:t>
      </w:r>
      <w:r w:rsidRPr="00B609FC">
        <w:rPr>
          <w:rFonts w:cstheme="minorHAnsi"/>
          <w:sz w:val="22"/>
          <w:szCs w:val="22"/>
        </w:rPr>
        <w:t xml:space="preserve"> doktorski studij Zdravstveno i ekološko inženjerstvo na Medicinskom fakultetu Sveučilišta u Rijeci - 1 zaposlenik</w:t>
      </w:r>
    </w:p>
    <w:p w14:paraId="12C0640B" w14:textId="77777777" w:rsidR="00EA1914" w:rsidRPr="00B609FC" w:rsidRDefault="00EA1914" w:rsidP="00AC375F">
      <w:pPr>
        <w:pStyle w:val="ListParagraph"/>
        <w:numPr>
          <w:ilvl w:val="0"/>
          <w:numId w:val="30"/>
        </w:numPr>
        <w:ind w:left="709" w:hanging="709"/>
        <w:jc w:val="both"/>
        <w:rPr>
          <w:rFonts w:cstheme="minorHAnsi"/>
          <w:sz w:val="22"/>
          <w:szCs w:val="22"/>
        </w:rPr>
      </w:pPr>
      <w:r w:rsidRPr="00B609FC">
        <w:rPr>
          <w:rFonts w:eastAsia="Times New Roman" w:cstheme="minorHAnsi"/>
          <w:bCs/>
          <w:sz w:val="22"/>
          <w:szCs w:val="22"/>
          <w:lang w:eastAsia="hr-HR"/>
        </w:rPr>
        <w:t>poslijediplomski doktorski studij iz područja Komunikologije na Sveučilištu J.J. Strossmayera u Osijeku - 1 zaposlenik</w:t>
      </w:r>
    </w:p>
    <w:p w14:paraId="79CAA91F" w14:textId="77777777" w:rsidR="00EA1914" w:rsidRPr="00B609FC" w:rsidRDefault="00EA1914" w:rsidP="00AC375F">
      <w:pPr>
        <w:pStyle w:val="ListParagraph"/>
        <w:numPr>
          <w:ilvl w:val="0"/>
          <w:numId w:val="30"/>
        </w:numPr>
        <w:ind w:left="709" w:hanging="709"/>
        <w:jc w:val="both"/>
        <w:rPr>
          <w:rFonts w:cstheme="minorHAnsi"/>
          <w:sz w:val="22"/>
          <w:szCs w:val="22"/>
        </w:rPr>
      </w:pPr>
      <w:r w:rsidRPr="00B609FC">
        <w:rPr>
          <w:rFonts w:eastAsia="Times New Roman" w:cstheme="minorHAnsi"/>
          <w:bCs/>
          <w:sz w:val="22"/>
          <w:szCs w:val="22"/>
          <w:lang w:eastAsia="hr-HR"/>
        </w:rPr>
        <w:t>poslijediplomski doktorski studij Informacijske znanosti na Fakultetu za informacijske študije, Novo Mesto, Slovenija - 1 zaposlenik</w:t>
      </w:r>
    </w:p>
    <w:p w14:paraId="6EC71421" w14:textId="77777777" w:rsidR="00EA1914" w:rsidRPr="00B609FC" w:rsidRDefault="00EA1914" w:rsidP="00AC375F">
      <w:pPr>
        <w:pStyle w:val="ListParagraph"/>
        <w:numPr>
          <w:ilvl w:val="0"/>
          <w:numId w:val="30"/>
        </w:numPr>
        <w:ind w:left="709" w:hanging="709"/>
        <w:jc w:val="both"/>
        <w:rPr>
          <w:rFonts w:cstheme="minorHAnsi"/>
          <w:sz w:val="22"/>
          <w:szCs w:val="22"/>
        </w:rPr>
      </w:pPr>
      <w:r w:rsidRPr="00B609FC">
        <w:rPr>
          <w:rFonts w:eastAsia="Times New Roman" w:cstheme="minorHAnsi"/>
          <w:bCs/>
          <w:sz w:val="22"/>
          <w:szCs w:val="22"/>
          <w:lang w:eastAsia="hr-HR"/>
        </w:rPr>
        <w:t>poslijediplomski doktorski studij iz područja biomedicine i zdravstva: Doktorska škola „Biomedicina i zdravstvo“, Medicinski fakultet Sveučilišta u Rijeci - 2 zaposlenika</w:t>
      </w:r>
    </w:p>
    <w:p w14:paraId="665C1838" w14:textId="77777777" w:rsidR="00EA1914" w:rsidRPr="00B609FC" w:rsidRDefault="00EA1914" w:rsidP="00AC375F">
      <w:pPr>
        <w:pStyle w:val="ListParagraph"/>
        <w:numPr>
          <w:ilvl w:val="0"/>
          <w:numId w:val="30"/>
        </w:numPr>
        <w:ind w:left="709" w:hanging="709"/>
        <w:jc w:val="both"/>
        <w:rPr>
          <w:rFonts w:cstheme="minorHAnsi"/>
          <w:sz w:val="22"/>
          <w:szCs w:val="22"/>
        </w:rPr>
      </w:pPr>
      <w:r w:rsidRPr="00B609FC">
        <w:rPr>
          <w:rFonts w:eastAsia="Times New Roman" w:cstheme="minorHAnsi"/>
          <w:bCs/>
          <w:sz w:val="22"/>
          <w:szCs w:val="22"/>
          <w:lang w:eastAsia="hr-HR"/>
        </w:rPr>
        <w:t>poslijediplomski doktorski studij Informacijske znanosti na Fakultetu organizacije i informatike Varaždin Sveučilišta u Zagrebu - 2 zaposlenika</w:t>
      </w:r>
    </w:p>
    <w:p w14:paraId="7619FB46" w14:textId="77777777" w:rsidR="00EA1914" w:rsidRPr="00B609FC" w:rsidRDefault="00EA1914" w:rsidP="00AC375F">
      <w:pPr>
        <w:pStyle w:val="ListParagraph"/>
        <w:numPr>
          <w:ilvl w:val="0"/>
          <w:numId w:val="30"/>
        </w:numPr>
        <w:ind w:left="709" w:hanging="709"/>
        <w:jc w:val="both"/>
        <w:rPr>
          <w:rFonts w:cstheme="minorHAnsi"/>
          <w:sz w:val="22"/>
          <w:szCs w:val="22"/>
        </w:rPr>
      </w:pPr>
      <w:r w:rsidRPr="00B609FC">
        <w:rPr>
          <w:rFonts w:eastAsia="Times New Roman" w:cstheme="minorHAnsi"/>
          <w:bCs/>
          <w:sz w:val="22"/>
          <w:szCs w:val="22"/>
          <w:lang w:eastAsia="hr-HR"/>
        </w:rPr>
        <w:t xml:space="preserve">poslijediplomski doktorski studij </w:t>
      </w:r>
      <w:r w:rsidRPr="00B609FC">
        <w:rPr>
          <w:rFonts w:cstheme="minorHAnsi"/>
          <w:sz w:val="22"/>
          <w:szCs w:val="22"/>
        </w:rPr>
        <w:t>Translacijska istraživanja u biomedicini na Medicinskom fakultetu Sveučilišta u Splitu - 1 zaposlenik</w:t>
      </w:r>
    </w:p>
    <w:p w14:paraId="5DC9B1F3" w14:textId="77777777" w:rsidR="00EA1914" w:rsidRPr="00B609FC" w:rsidRDefault="00EA1914" w:rsidP="00EA1914">
      <w:pPr>
        <w:pStyle w:val="ListParagraph"/>
        <w:ind w:left="709"/>
        <w:jc w:val="both"/>
        <w:rPr>
          <w:rFonts w:cstheme="minorHAnsi"/>
          <w:sz w:val="22"/>
          <w:szCs w:val="22"/>
          <w:highlight w:val="yellow"/>
        </w:rPr>
      </w:pPr>
    </w:p>
    <w:p w14:paraId="1DBCAB7E" w14:textId="77777777" w:rsidR="00EA1914" w:rsidRPr="00B609FC" w:rsidRDefault="00EA1914" w:rsidP="00EA1914">
      <w:pPr>
        <w:pStyle w:val="ListParagraph"/>
        <w:spacing w:before="240" w:after="240"/>
        <w:ind w:left="709"/>
        <w:jc w:val="both"/>
        <w:rPr>
          <w:rFonts w:eastAsia="Times New Roman" w:cstheme="minorHAnsi"/>
          <w:b/>
          <w:bCs/>
          <w:sz w:val="22"/>
          <w:szCs w:val="22"/>
          <w:lang w:eastAsia="hr-HR"/>
        </w:rPr>
      </w:pPr>
      <w:r w:rsidRPr="00B609FC">
        <w:rPr>
          <w:rFonts w:eastAsia="Times New Roman" w:cstheme="minorHAnsi"/>
          <w:b/>
          <w:bCs/>
          <w:sz w:val="22"/>
          <w:szCs w:val="22"/>
          <w:lang w:eastAsia="hr-HR"/>
        </w:rPr>
        <w:t xml:space="preserve"> Specijalistički studij: </w:t>
      </w:r>
    </w:p>
    <w:p w14:paraId="6A0BD00C" w14:textId="77777777" w:rsidR="00EA1914" w:rsidRPr="00B609FC" w:rsidRDefault="00EA1914" w:rsidP="00AC375F">
      <w:pPr>
        <w:pStyle w:val="ListParagraph"/>
        <w:numPr>
          <w:ilvl w:val="0"/>
          <w:numId w:val="30"/>
        </w:numPr>
        <w:spacing w:before="120"/>
        <w:ind w:left="709" w:hanging="709"/>
        <w:jc w:val="both"/>
        <w:rPr>
          <w:rFonts w:eastAsiaTheme="minorHAnsi" w:cstheme="minorHAnsi"/>
          <w:sz w:val="22"/>
          <w:szCs w:val="22"/>
        </w:rPr>
      </w:pPr>
      <w:r w:rsidRPr="00B609FC">
        <w:rPr>
          <w:rFonts w:eastAsia="Times New Roman" w:cstheme="minorHAnsi"/>
          <w:bCs/>
          <w:sz w:val="22"/>
          <w:szCs w:val="22"/>
          <w:lang w:eastAsia="hr-HR"/>
        </w:rPr>
        <w:t xml:space="preserve">poslijediplomski specijalistički studij Klinička farmacija na </w:t>
      </w:r>
      <w:r w:rsidRPr="00B609FC">
        <w:rPr>
          <w:rFonts w:cstheme="minorHAnsi"/>
          <w:sz w:val="22"/>
          <w:szCs w:val="22"/>
        </w:rPr>
        <w:t>Farmaceutsko-biokemijskom fakultetu Sveučilišta u Zagrebu</w:t>
      </w:r>
      <w:r w:rsidRPr="00B609FC">
        <w:rPr>
          <w:rFonts w:eastAsia="Times New Roman" w:cstheme="minorHAnsi"/>
          <w:bCs/>
          <w:sz w:val="22"/>
          <w:szCs w:val="22"/>
          <w:lang w:eastAsia="hr-HR"/>
        </w:rPr>
        <w:t xml:space="preserve"> - 1 zaposlenik</w:t>
      </w:r>
    </w:p>
    <w:p w14:paraId="62393CF1" w14:textId="77777777" w:rsidR="00EA1914" w:rsidRPr="00B609FC" w:rsidRDefault="00EA1914" w:rsidP="00AC375F">
      <w:pPr>
        <w:pStyle w:val="ListParagraph"/>
        <w:numPr>
          <w:ilvl w:val="0"/>
          <w:numId w:val="30"/>
        </w:numPr>
        <w:spacing w:before="240" w:after="240"/>
        <w:ind w:left="709" w:hanging="709"/>
        <w:jc w:val="both"/>
        <w:rPr>
          <w:rFonts w:eastAsia="Times New Roman" w:cstheme="minorHAnsi"/>
          <w:bCs/>
          <w:sz w:val="22"/>
          <w:szCs w:val="22"/>
          <w:lang w:eastAsia="hr-HR"/>
        </w:rPr>
      </w:pPr>
      <w:r w:rsidRPr="00B609FC">
        <w:rPr>
          <w:rFonts w:eastAsia="Times New Roman" w:cstheme="minorHAnsi"/>
          <w:bCs/>
          <w:sz w:val="22"/>
          <w:szCs w:val="22"/>
          <w:lang w:eastAsia="hr-HR"/>
        </w:rPr>
        <w:t xml:space="preserve">poslijediplomski specijalistički studij Razvoj lijekova </w:t>
      </w:r>
      <w:r w:rsidRPr="00B609FC">
        <w:rPr>
          <w:rFonts w:cstheme="minorHAnsi"/>
          <w:sz w:val="22"/>
          <w:szCs w:val="22"/>
        </w:rPr>
        <w:t>na Farmaceutsko-biokemijskom fakultetu Sveučilišta u Zagrebu</w:t>
      </w:r>
      <w:r w:rsidRPr="00B609FC">
        <w:rPr>
          <w:rFonts w:eastAsia="Times New Roman" w:cstheme="minorHAnsi"/>
          <w:bCs/>
          <w:sz w:val="22"/>
          <w:szCs w:val="22"/>
          <w:lang w:eastAsia="hr-HR"/>
        </w:rPr>
        <w:t xml:space="preserve"> - 4 zaposlenika</w:t>
      </w:r>
    </w:p>
    <w:p w14:paraId="48E3C88F" w14:textId="77777777" w:rsidR="00EA1914" w:rsidRPr="00B609FC" w:rsidRDefault="00EA1914" w:rsidP="00AC375F">
      <w:pPr>
        <w:pStyle w:val="ListParagraph"/>
        <w:numPr>
          <w:ilvl w:val="0"/>
          <w:numId w:val="30"/>
        </w:numPr>
        <w:spacing w:before="240" w:after="240"/>
        <w:ind w:left="709" w:hanging="709"/>
        <w:jc w:val="both"/>
        <w:rPr>
          <w:rFonts w:eastAsia="Times New Roman" w:cstheme="minorHAnsi"/>
          <w:bCs/>
          <w:sz w:val="22"/>
          <w:szCs w:val="22"/>
          <w:lang w:eastAsia="hr-HR"/>
        </w:rPr>
      </w:pPr>
      <w:r w:rsidRPr="00B609FC">
        <w:rPr>
          <w:rFonts w:eastAsia="Times New Roman" w:cstheme="minorHAnsi"/>
          <w:bCs/>
          <w:sz w:val="22"/>
          <w:szCs w:val="22"/>
          <w:lang w:eastAsia="hr-HR"/>
        </w:rPr>
        <w:t>poslijediplomski specijalistički studij Upravljanje ljudskim potencijalima</w:t>
      </w:r>
      <w:r w:rsidRPr="00B609FC">
        <w:rPr>
          <w:rFonts w:cstheme="minorHAnsi"/>
          <w:sz w:val="22"/>
          <w:szCs w:val="22"/>
        </w:rPr>
        <w:t xml:space="preserve"> </w:t>
      </w:r>
      <w:r w:rsidRPr="00B609FC">
        <w:rPr>
          <w:rFonts w:eastAsia="Times New Roman" w:cstheme="minorHAnsi"/>
          <w:bCs/>
          <w:sz w:val="22"/>
          <w:szCs w:val="22"/>
          <w:lang w:eastAsia="hr-HR"/>
        </w:rPr>
        <w:t>na Sveučilištu u Zagrebu, Centru za poslijediplomski studij  - 1 zaposlenik</w:t>
      </w:r>
    </w:p>
    <w:p w14:paraId="6591FC13" w14:textId="77777777" w:rsidR="00EA1914" w:rsidRPr="00B609FC" w:rsidRDefault="00EA1914" w:rsidP="00AC375F">
      <w:pPr>
        <w:pStyle w:val="ListParagraph"/>
        <w:numPr>
          <w:ilvl w:val="0"/>
          <w:numId w:val="30"/>
        </w:numPr>
        <w:spacing w:before="240" w:after="240"/>
        <w:ind w:left="709" w:hanging="709"/>
        <w:jc w:val="both"/>
        <w:rPr>
          <w:rFonts w:eastAsia="Times New Roman" w:cstheme="minorHAnsi"/>
          <w:bCs/>
          <w:sz w:val="22"/>
          <w:szCs w:val="22"/>
          <w:lang w:eastAsia="hr-HR"/>
        </w:rPr>
      </w:pPr>
      <w:r w:rsidRPr="00B609FC">
        <w:rPr>
          <w:rFonts w:eastAsia="Times New Roman" w:cstheme="minorHAnsi"/>
          <w:bCs/>
          <w:sz w:val="22"/>
          <w:szCs w:val="22"/>
          <w:lang w:eastAsia="hr-HR"/>
        </w:rPr>
        <w:t>poslijediplomski specijalistički studij iz područja Epidemiologije University of London – London School of Hygiene &amp; Tropical Medicine – 1 zaposlenik.</w:t>
      </w:r>
    </w:p>
    <w:p w14:paraId="2C8054D9" w14:textId="77777777" w:rsidR="00EA1914" w:rsidRPr="00B609FC" w:rsidRDefault="00EA1914" w:rsidP="00EA1914">
      <w:pPr>
        <w:spacing w:before="240" w:after="240" w:line="276" w:lineRule="auto"/>
        <w:ind w:firstLine="708"/>
        <w:jc w:val="both"/>
        <w:rPr>
          <w:rFonts w:eastAsia="Times New Roman" w:cstheme="minorHAnsi"/>
          <w:b/>
          <w:bCs/>
          <w:lang w:eastAsia="hr-HR"/>
        </w:rPr>
      </w:pPr>
      <w:r w:rsidRPr="00B609FC">
        <w:rPr>
          <w:rFonts w:eastAsia="Times New Roman" w:cstheme="minorHAnsi"/>
          <w:b/>
          <w:bCs/>
          <w:lang w:eastAsia="hr-HR"/>
        </w:rPr>
        <w:t xml:space="preserve">Specijalistički studiji koji se pohađa </w:t>
      </w:r>
      <w:r w:rsidRPr="00B609FC">
        <w:rPr>
          <w:rFonts w:cstheme="minorHAnsi"/>
          <w:b/>
          <w:color w:val="0B0F18"/>
        </w:rPr>
        <w:t xml:space="preserve">temeljem </w:t>
      </w:r>
      <w:r w:rsidRPr="00B609FC">
        <w:rPr>
          <w:rFonts w:cstheme="minorHAnsi"/>
          <w:b/>
          <w:i/>
        </w:rPr>
        <w:t>Memoranduma o suradnji i razumijevanju</w:t>
      </w:r>
      <w:r w:rsidRPr="00B609FC">
        <w:rPr>
          <w:rFonts w:cstheme="minorHAnsi"/>
          <w:b/>
        </w:rPr>
        <w:t xml:space="preserve"> sklopljenim između Agencije za lijekove i medicinske proizvode i nizozemskog Odbora za ocjenu lijekova</w:t>
      </w:r>
      <w:r w:rsidRPr="00B609FC">
        <w:rPr>
          <w:rFonts w:eastAsia="Times New Roman" w:cstheme="minorHAnsi"/>
          <w:b/>
          <w:bCs/>
          <w:lang w:eastAsia="hr-HR"/>
        </w:rPr>
        <w:t xml:space="preserve">: </w:t>
      </w:r>
    </w:p>
    <w:p w14:paraId="5243CA8B" w14:textId="77777777" w:rsidR="00EA1914" w:rsidRPr="00B609FC" w:rsidRDefault="00EA1914" w:rsidP="00AC375F">
      <w:pPr>
        <w:pStyle w:val="ListParagraph"/>
        <w:numPr>
          <w:ilvl w:val="0"/>
          <w:numId w:val="30"/>
        </w:numPr>
        <w:shd w:val="clear" w:color="auto" w:fill="FFFFFF" w:themeFill="background1"/>
        <w:spacing w:before="240" w:after="240"/>
        <w:ind w:left="709" w:hanging="709"/>
        <w:jc w:val="both"/>
        <w:rPr>
          <w:rFonts w:eastAsia="Times New Roman" w:cstheme="minorHAnsi"/>
          <w:bCs/>
          <w:sz w:val="22"/>
          <w:szCs w:val="22"/>
          <w:lang w:eastAsia="hr-HR"/>
        </w:rPr>
      </w:pPr>
      <w:r w:rsidRPr="00B609FC">
        <w:rPr>
          <w:rFonts w:eastAsia="Times New Roman" w:cstheme="minorHAnsi"/>
          <w:bCs/>
          <w:sz w:val="22"/>
          <w:szCs w:val="22"/>
          <w:lang w:eastAsia="hr-HR"/>
        </w:rPr>
        <w:t>poslijediplomski specijalistički studij Clinial Trials by Distance Learning, London School of Hygiene &amp; Tropical Medicine, University of London – 1 zaposlenik</w:t>
      </w:r>
    </w:p>
    <w:p w14:paraId="0DBE1BCD" w14:textId="77777777" w:rsidR="00EA1914" w:rsidRPr="00B609FC" w:rsidRDefault="00EA1914" w:rsidP="00EA1914">
      <w:pPr>
        <w:pStyle w:val="ListParagraph"/>
        <w:spacing w:before="240" w:after="240"/>
        <w:jc w:val="both"/>
        <w:rPr>
          <w:rFonts w:eastAsia="Times New Roman" w:cstheme="minorHAnsi"/>
          <w:b/>
          <w:bCs/>
          <w:sz w:val="22"/>
          <w:szCs w:val="22"/>
          <w:lang w:eastAsia="hr-HR"/>
        </w:rPr>
      </w:pPr>
    </w:p>
    <w:p w14:paraId="513D5120" w14:textId="77777777" w:rsidR="00EA1914" w:rsidRPr="00B609FC" w:rsidRDefault="00EA1914" w:rsidP="00EA1914">
      <w:pPr>
        <w:pStyle w:val="ListParagraph"/>
        <w:spacing w:before="240" w:after="240"/>
        <w:jc w:val="both"/>
        <w:rPr>
          <w:rFonts w:eastAsia="Times New Roman" w:cstheme="minorHAnsi"/>
          <w:bCs/>
          <w:sz w:val="22"/>
          <w:szCs w:val="22"/>
          <w:lang w:eastAsia="hr-HR"/>
        </w:rPr>
      </w:pPr>
      <w:r w:rsidRPr="00B609FC">
        <w:rPr>
          <w:rFonts w:eastAsia="Times New Roman" w:cstheme="minorHAnsi"/>
          <w:b/>
          <w:bCs/>
          <w:sz w:val="22"/>
          <w:szCs w:val="22"/>
          <w:lang w:eastAsia="hr-HR"/>
        </w:rPr>
        <w:t>Specijalističko usavršavanje magistara farmacije (specijalizacija):</w:t>
      </w:r>
    </w:p>
    <w:p w14:paraId="385E27AB" w14:textId="44E6AE4F" w:rsidR="00EA1914" w:rsidRPr="00B609FC" w:rsidRDefault="00EA1914" w:rsidP="00AC375F">
      <w:pPr>
        <w:pStyle w:val="ListParagraph"/>
        <w:numPr>
          <w:ilvl w:val="0"/>
          <w:numId w:val="32"/>
        </w:numPr>
        <w:spacing w:before="240" w:after="240"/>
        <w:ind w:hanging="720"/>
        <w:jc w:val="both"/>
        <w:rPr>
          <w:rFonts w:eastAsia="Times New Roman" w:cstheme="minorHAnsi"/>
          <w:bCs/>
          <w:sz w:val="22"/>
          <w:szCs w:val="22"/>
          <w:lang w:eastAsia="hr-HR"/>
        </w:rPr>
      </w:pPr>
      <w:r w:rsidRPr="00B609FC">
        <w:rPr>
          <w:rFonts w:eastAsia="Times New Roman" w:cstheme="minorHAnsi"/>
          <w:bCs/>
          <w:sz w:val="22"/>
          <w:szCs w:val="22"/>
          <w:lang w:eastAsia="hr-HR"/>
        </w:rPr>
        <w:t>Specijalizacija iz ispitivanja i kontrole lijekova, HALMED, - 1 zaposlenik (započet</w:t>
      </w:r>
      <w:r w:rsidR="00EF0816" w:rsidRPr="00B609FC">
        <w:rPr>
          <w:rFonts w:eastAsia="Times New Roman" w:cstheme="minorHAnsi"/>
          <w:bCs/>
          <w:sz w:val="22"/>
          <w:szCs w:val="22"/>
          <w:lang w:eastAsia="hr-HR"/>
        </w:rPr>
        <w:t>a</w:t>
      </w:r>
      <w:r w:rsidRPr="00B609FC">
        <w:rPr>
          <w:rFonts w:eastAsia="Times New Roman" w:cstheme="minorHAnsi"/>
          <w:bCs/>
          <w:sz w:val="22"/>
          <w:szCs w:val="22"/>
          <w:lang w:eastAsia="hr-HR"/>
        </w:rPr>
        <w:t xml:space="preserve"> u 2021. godini)</w:t>
      </w:r>
    </w:p>
    <w:p w14:paraId="0F24AC4E" w14:textId="77777777" w:rsidR="00EA1914" w:rsidRPr="00B609FC" w:rsidRDefault="00EA1914" w:rsidP="00AC375F">
      <w:pPr>
        <w:pStyle w:val="ListParagraph"/>
        <w:numPr>
          <w:ilvl w:val="0"/>
          <w:numId w:val="32"/>
        </w:numPr>
        <w:spacing w:before="240" w:after="240"/>
        <w:ind w:hanging="720"/>
        <w:jc w:val="both"/>
        <w:rPr>
          <w:rFonts w:eastAsia="Times New Roman" w:cstheme="minorHAnsi"/>
          <w:bCs/>
          <w:sz w:val="22"/>
          <w:szCs w:val="22"/>
          <w:lang w:eastAsia="hr-HR"/>
        </w:rPr>
      </w:pPr>
      <w:r w:rsidRPr="00B609FC">
        <w:rPr>
          <w:rFonts w:eastAsia="Times New Roman" w:cstheme="minorHAnsi"/>
          <w:bCs/>
          <w:sz w:val="22"/>
          <w:szCs w:val="22"/>
          <w:lang w:eastAsia="hr-HR"/>
        </w:rPr>
        <w:t>Specijalizacija iz farmaceutske tehnologije – 1 zaposlenik (započeta u 2022. godini)</w:t>
      </w:r>
    </w:p>
    <w:p w14:paraId="0CF2F65E" w14:textId="77777777" w:rsidR="00EA1914" w:rsidRPr="00B609FC" w:rsidRDefault="00EA1914" w:rsidP="00EA1914">
      <w:pPr>
        <w:spacing w:before="240" w:after="240" w:line="276" w:lineRule="auto"/>
        <w:jc w:val="both"/>
        <w:rPr>
          <w:rFonts w:eastAsia="Times New Roman" w:cstheme="minorHAnsi"/>
          <w:b/>
          <w:bCs/>
          <w:lang w:eastAsia="hr-HR"/>
        </w:rPr>
      </w:pPr>
      <w:r w:rsidRPr="00B609FC">
        <w:rPr>
          <w:rFonts w:eastAsia="Times New Roman" w:cstheme="minorHAnsi"/>
          <w:b/>
          <w:bCs/>
          <w:lang w:eastAsia="hr-HR"/>
        </w:rPr>
        <w:t>Tijekom  2023. godine:</w:t>
      </w:r>
    </w:p>
    <w:p w14:paraId="5FE2394E" w14:textId="64687D84" w:rsidR="00EA1914" w:rsidRPr="00B609FC" w:rsidRDefault="00EA1914" w:rsidP="00AC375F">
      <w:pPr>
        <w:pStyle w:val="ListParagraph"/>
        <w:numPr>
          <w:ilvl w:val="0"/>
          <w:numId w:val="32"/>
        </w:numPr>
        <w:spacing w:before="240" w:after="240"/>
        <w:ind w:left="284" w:hanging="284"/>
        <w:jc w:val="both"/>
        <w:rPr>
          <w:rFonts w:eastAsia="Times New Roman" w:cstheme="minorHAnsi"/>
          <w:bCs/>
          <w:sz w:val="22"/>
          <w:szCs w:val="22"/>
          <w:lang w:eastAsia="hr-HR"/>
        </w:rPr>
      </w:pPr>
      <w:r w:rsidRPr="00B609FC">
        <w:rPr>
          <w:rFonts w:eastAsia="Times New Roman" w:cstheme="minorHAnsi"/>
          <w:bCs/>
          <w:sz w:val="22"/>
          <w:szCs w:val="22"/>
          <w:lang w:eastAsia="hr-HR"/>
        </w:rPr>
        <w:t>s jednom zaposlenic</w:t>
      </w:r>
      <w:r w:rsidR="00EF0816" w:rsidRPr="00B609FC">
        <w:rPr>
          <w:rFonts w:eastAsia="Times New Roman" w:cstheme="minorHAnsi"/>
          <w:bCs/>
          <w:sz w:val="22"/>
          <w:szCs w:val="22"/>
          <w:lang w:eastAsia="hr-HR"/>
        </w:rPr>
        <w:t>om</w:t>
      </w:r>
      <w:r w:rsidRPr="00B609FC">
        <w:rPr>
          <w:rFonts w:eastAsia="Times New Roman" w:cstheme="minorHAnsi"/>
          <w:bCs/>
          <w:sz w:val="22"/>
          <w:szCs w:val="22"/>
          <w:lang w:eastAsia="hr-HR"/>
        </w:rPr>
        <w:t xml:space="preserve"> sklopljen sporazum o povratu sredstava</w:t>
      </w:r>
      <w:r w:rsidRPr="00B609FC">
        <w:rPr>
          <w:rFonts w:cstheme="minorHAnsi"/>
          <w:sz w:val="22"/>
          <w:szCs w:val="22"/>
        </w:rPr>
        <w:t xml:space="preserve"> za </w:t>
      </w:r>
      <w:r w:rsidRPr="00B609FC">
        <w:rPr>
          <w:rFonts w:eastAsia="Times New Roman" w:cstheme="minorHAnsi"/>
          <w:bCs/>
          <w:sz w:val="22"/>
          <w:szCs w:val="22"/>
          <w:lang w:eastAsia="hr-HR"/>
        </w:rPr>
        <w:t>poslijediplomski doktorski studij Farmaceutske znanosti na Farmaceutsko-biokemijskom fakultetu u Zagrebu, a radi prestanka ugovor</w:t>
      </w:r>
      <w:r w:rsidR="00EF0816" w:rsidRPr="00B609FC">
        <w:rPr>
          <w:rFonts w:eastAsia="Times New Roman" w:cstheme="minorHAnsi"/>
          <w:bCs/>
          <w:sz w:val="22"/>
          <w:szCs w:val="22"/>
          <w:lang w:eastAsia="hr-HR"/>
        </w:rPr>
        <w:t>a</w:t>
      </w:r>
      <w:r w:rsidRPr="00B609FC">
        <w:rPr>
          <w:rFonts w:eastAsia="Times New Roman" w:cstheme="minorHAnsi"/>
          <w:bCs/>
          <w:sz w:val="22"/>
          <w:szCs w:val="22"/>
          <w:lang w:eastAsia="hr-HR"/>
        </w:rPr>
        <w:t xml:space="preserve"> o radu;</w:t>
      </w:r>
    </w:p>
    <w:p w14:paraId="04BD5848" w14:textId="77777777" w:rsidR="00EA1914" w:rsidRPr="00B609FC" w:rsidRDefault="00EA1914" w:rsidP="00AC375F">
      <w:pPr>
        <w:pStyle w:val="ListParagraph"/>
        <w:numPr>
          <w:ilvl w:val="0"/>
          <w:numId w:val="32"/>
        </w:numPr>
        <w:spacing w:before="240" w:after="240"/>
        <w:ind w:left="284" w:hanging="284"/>
        <w:jc w:val="both"/>
        <w:rPr>
          <w:rFonts w:eastAsia="Times New Roman" w:cstheme="minorHAnsi"/>
          <w:bCs/>
          <w:sz w:val="22"/>
          <w:szCs w:val="22"/>
          <w:lang w:eastAsia="hr-HR"/>
        </w:rPr>
      </w:pPr>
      <w:r w:rsidRPr="00B609FC">
        <w:rPr>
          <w:rFonts w:eastAsia="Times New Roman" w:cstheme="minorHAnsi"/>
          <w:bCs/>
          <w:sz w:val="22"/>
          <w:szCs w:val="22"/>
          <w:lang w:eastAsia="hr-HR"/>
        </w:rPr>
        <w:t xml:space="preserve">3 zaposlenice su završile poslijediplomski specijalistički studij Razvoj lijekova na Farmaceutsko-biokemijskom fakultetu u Zagrebu od toga s 1 zaposlenicom sklopljen sporazum o povratu sredstava, a radi prestanka ugovora o radu; </w:t>
      </w:r>
    </w:p>
    <w:p w14:paraId="6EF067B1" w14:textId="77777777" w:rsidR="00EA1914" w:rsidRPr="00B609FC" w:rsidRDefault="00EA1914" w:rsidP="00AC375F">
      <w:pPr>
        <w:pStyle w:val="ListParagraph"/>
        <w:numPr>
          <w:ilvl w:val="0"/>
          <w:numId w:val="32"/>
        </w:numPr>
        <w:spacing w:before="240" w:after="240"/>
        <w:ind w:left="284" w:hanging="284"/>
        <w:jc w:val="both"/>
        <w:rPr>
          <w:rFonts w:eastAsia="Times New Roman" w:cstheme="minorHAnsi"/>
          <w:bCs/>
          <w:sz w:val="22"/>
          <w:szCs w:val="22"/>
          <w:lang w:eastAsia="hr-HR"/>
        </w:rPr>
      </w:pPr>
      <w:r w:rsidRPr="00B609FC">
        <w:rPr>
          <w:rFonts w:eastAsia="Times New Roman" w:cstheme="minorHAnsi"/>
          <w:bCs/>
          <w:sz w:val="22"/>
          <w:szCs w:val="22"/>
          <w:lang w:eastAsia="hr-HR"/>
        </w:rPr>
        <w:t>1 zaposlenica je završila poslijediplomski doktorski studij Farmaceutsko-biokemijske znanosti na Farmaceutsko-biokemijskom fakultetu u Zagrebu;</w:t>
      </w:r>
    </w:p>
    <w:p w14:paraId="17C6F195" w14:textId="77777777" w:rsidR="00EA1914" w:rsidRPr="00B609FC" w:rsidRDefault="00EA1914" w:rsidP="00AC375F">
      <w:pPr>
        <w:pStyle w:val="ListParagraph"/>
        <w:numPr>
          <w:ilvl w:val="0"/>
          <w:numId w:val="32"/>
        </w:numPr>
        <w:spacing w:before="240" w:after="240"/>
        <w:ind w:left="284" w:hanging="284"/>
        <w:jc w:val="both"/>
        <w:rPr>
          <w:rFonts w:eastAsia="Times New Roman" w:cstheme="minorHAnsi"/>
          <w:bCs/>
          <w:sz w:val="22"/>
          <w:szCs w:val="22"/>
          <w:lang w:eastAsia="hr-HR"/>
        </w:rPr>
      </w:pPr>
      <w:r w:rsidRPr="00B609FC">
        <w:rPr>
          <w:rFonts w:eastAsia="Times New Roman" w:cstheme="minorHAnsi"/>
          <w:bCs/>
          <w:sz w:val="22"/>
          <w:szCs w:val="22"/>
          <w:lang w:eastAsia="hr-HR"/>
        </w:rPr>
        <w:t>1 zaposlenica je završila poslijediplomski specijalistički studij iz područja Epidemiologije University of London – London School of Hygiene &amp; Tropical Medicine;</w:t>
      </w:r>
    </w:p>
    <w:p w14:paraId="462E9368" w14:textId="77777777" w:rsidR="00EA1914" w:rsidRPr="00B609FC" w:rsidRDefault="00EA1914" w:rsidP="00AC375F">
      <w:pPr>
        <w:pStyle w:val="ListParagraph"/>
        <w:numPr>
          <w:ilvl w:val="0"/>
          <w:numId w:val="32"/>
        </w:numPr>
        <w:spacing w:before="240" w:after="240"/>
        <w:ind w:left="284" w:hanging="284"/>
        <w:jc w:val="both"/>
        <w:rPr>
          <w:rFonts w:eastAsia="Times New Roman" w:cstheme="minorHAnsi"/>
          <w:bCs/>
          <w:sz w:val="22"/>
          <w:szCs w:val="22"/>
          <w:lang w:eastAsia="hr-HR"/>
        </w:rPr>
      </w:pPr>
      <w:r w:rsidRPr="00B609FC">
        <w:rPr>
          <w:rFonts w:eastAsia="Times New Roman" w:cstheme="minorHAnsi"/>
          <w:bCs/>
          <w:sz w:val="22"/>
          <w:szCs w:val="22"/>
          <w:lang w:eastAsia="hr-HR"/>
        </w:rPr>
        <w:t xml:space="preserve">1 zaposlenica je završila poslijediplomski specijalistički studij </w:t>
      </w:r>
      <w:r w:rsidRPr="00B609FC">
        <w:rPr>
          <w:rFonts w:cstheme="minorHAnsi"/>
          <w:sz w:val="22"/>
          <w:szCs w:val="22"/>
        </w:rPr>
        <w:t>Toxicology na Medical University of Vienna.</w:t>
      </w:r>
    </w:p>
    <w:p w14:paraId="565C0B52" w14:textId="48A5D6EE" w:rsidR="00EA1914" w:rsidRPr="00B609FC" w:rsidRDefault="00EA1914" w:rsidP="00EA1914">
      <w:pPr>
        <w:spacing w:line="276" w:lineRule="auto"/>
        <w:jc w:val="both"/>
        <w:rPr>
          <w:rFonts w:eastAsia="Times New Roman" w:cstheme="minorHAnsi"/>
          <w:bCs/>
          <w:lang w:eastAsia="hr-HR"/>
        </w:rPr>
      </w:pPr>
      <w:r w:rsidRPr="00B609FC">
        <w:rPr>
          <w:rFonts w:eastAsia="Times New Roman" w:cstheme="minorHAnsi"/>
          <w:bCs/>
          <w:lang w:eastAsia="hr-HR"/>
        </w:rPr>
        <w:t xml:space="preserve">Osim navedenih stručnih i znanstvenih usavršavanja koje odobrava Upravno vijeće, zaposlenici su upućeni na razne oblike stručnog usavršavanja (seminari, radionice, kongresi, simpoziji) iz područja specifičnih kompetencija nužnih za obavljanje stručnih poslova, upravljanja, javne nabave, financija i pravnih poslova sukladno Planu obrazovanja. </w:t>
      </w:r>
    </w:p>
    <w:p w14:paraId="242B3763" w14:textId="77777777" w:rsidR="00EA1914" w:rsidRPr="00B609FC" w:rsidRDefault="00EA1914" w:rsidP="00EA1914">
      <w:pPr>
        <w:spacing w:line="276" w:lineRule="auto"/>
        <w:jc w:val="both"/>
        <w:rPr>
          <w:rFonts w:eastAsia="Times New Roman" w:cstheme="minorHAnsi"/>
          <w:bCs/>
          <w:highlight w:val="yellow"/>
          <w:lang w:eastAsia="hr-HR"/>
        </w:rPr>
      </w:pPr>
    </w:p>
    <w:p w14:paraId="28F88857" w14:textId="1C14E198" w:rsidR="00EA1914" w:rsidRPr="00B609FC" w:rsidRDefault="00EA1914" w:rsidP="00EA1914">
      <w:pPr>
        <w:spacing w:line="276" w:lineRule="auto"/>
        <w:jc w:val="both"/>
        <w:rPr>
          <w:rFonts w:cstheme="minorHAnsi"/>
          <w:bCs/>
        </w:rPr>
      </w:pPr>
      <w:r w:rsidRPr="00B609FC">
        <w:rPr>
          <w:rFonts w:cstheme="minorHAnsi"/>
          <w:bCs/>
          <w:lang w:eastAsia="hr-HR"/>
        </w:rPr>
        <w:t xml:space="preserve">Tijekom 2023. godine </w:t>
      </w:r>
      <w:r w:rsidRPr="00B609FC">
        <w:rPr>
          <w:rFonts w:cstheme="minorHAnsi"/>
          <w:bCs/>
        </w:rPr>
        <w:t xml:space="preserve">na jedan ili više oblika stručnog usavršavanja upućeno </w:t>
      </w:r>
      <w:r w:rsidRPr="00B609FC">
        <w:rPr>
          <w:rFonts w:cstheme="minorHAnsi"/>
          <w:bCs/>
          <w:color w:val="000000"/>
        </w:rPr>
        <w:t xml:space="preserve">je 187 </w:t>
      </w:r>
      <w:r w:rsidRPr="00B609FC">
        <w:rPr>
          <w:rFonts w:cstheme="minorHAnsi"/>
          <w:bCs/>
        </w:rPr>
        <w:t xml:space="preserve">zaposlenika </w:t>
      </w:r>
      <w:r w:rsidRPr="00B609FC">
        <w:rPr>
          <w:rFonts w:cstheme="minorHAnsi"/>
          <w:bCs/>
          <w:color w:val="000000"/>
        </w:rPr>
        <w:t xml:space="preserve">ili </w:t>
      </w:r>
      <w:r w:rsidR="00EF0816" w:rsidRPr="00B609FC">
        <w:rPr>
          <w:rFonts w:cstheme="minorHAnsi"/>
          <w:bCs/>
          <w:color w:val="000000"/>
        </w:rPr>
        <w:t>90</w:t>
      </w:r>
      <w:r w:rsidRPr="00B609FC">
        <w:rPr>
          <w:rFonts w:cstheme="minorHAnsi"/>
          <w:bCs/>
          <w:color w:val="000000"/>
        </w:rPr>
        <w:t xml:space="preserve"> % </w:t>
      </w:r>
      <w:r w:rsidRPr="00B609FC">
        <w:rPr>
          <w:rFonts w:cstheme="minorHAnsi"/>
          <w:bCs/>
        </w:rPr>
        <w:t>od ukupnog broja zaposlenih u 2023. godini prema stvarnim satima rada. Broj zaposlenika prema stvarnim satima rada u 2023. godine bio je 208 zaposlenih.</w:t>
      </w:r>
    </w:p>
    <w:p w14:paraId="61932DFF" w14:textId="3E11618A" w:rsidR="00EA1914" w:rsidRPr="00B609FC" w:rsidRDefault="00EA1914" w:rsidP="00EA1914">
      <w:pPr>
        <w:spacing w:before="240" w:after="240" w:line="276" w:lineRule="auto"/>
        <w:jc w:val="both"/>
        <w:rPr>
          <w:rFonts w:eastAsia="Times New Roman" w:cstheme="minorHAnsi"/>
          <w:bCs/>
          <w:lang w:eastAsia="hr-HR"/>
        </w:rPr>
      </w:pPr>
      <w:r w:rsidRPr="00B609FC">
        <w:rPr>
          <w:rFonts w:eastAsia="Times New Roman" w:cstheme="minorHAnsi"/>
          <w:bCs/>
          <w:lang w:eastAsia="hr-HR"/>
        </w:rPr>
        <w:lastRenderedPageBreak/>
        <w:t>Budući da zaposlenici HALMED-a sudjeluju u radu EK-a, EMA-e, EDQM-a, HMA-a i drugih međunarodnih tijela, postoji potreba za stalnom nadogradnjom znanja iz engleskog jezika u stručnim područjima. Slijedom navedenog, HALMED je u 2023. godin</w:t>
      </w:r>
      <w:r w:rsidR="00EF0816" w:rsidRPr="00B609FC">
        <w:rPr>
          <w:rFonts w:eastAsia="Times New Roman" w:cstheme="minorHAnsi"/>
          <w:bCs/>
          <w:lang w:eastAsia="hr-HR"/>
        </w:rPr>
        <w:t>i</w:t>
      </w:r>
      <w:r w:rsidRPr="00B609FC">
        <w:rPr>
          <w:rFonts w:eastAsia="Times New Roman" w:cstheme="minorHAnsi"/>
          <w:bCs/>
          <w:lang w:eastAsia="hr-HR"/>
        </w:rPr>
        <w:t xml:space="preserve"> nastavio za dio zaposlenika organizirati tečaj engleskog jezika.</w:t>
      </w:r>
    </w:p>
    <w:p w14:paraId="665878E9" w14:textId="77777777" w:rsidR="00EA1914" w:rsidRPr="00B609FC" w:rsidRDefault="00EA1914" w:rsidP="00EA1914">
      <w:pPr>
        <w:rPr>
          <w:rFonts w:cstheme="minorHAnsi"/>
        </w:rPr>
      </w:pPr>
    </w:p>
    <w:p w14:paraId="36DD7AC5" w14:textId="06C53EBF" w:rsidR="00D75B83" w:rsidRPr="00B609FC" w:rsidRDefault="00D75B83">
      <w:pPr>
        <w:rPr>
          <w:rFonts w:cstheme="minorHAnsi"/>
        </w:rPr>
      </w:pPr>
      <w:r w:rsidRPr="00B609FC">
        <w:rPr>
          <w:rFonts w:cstheme="minorHAnsi"/>
        </w:rPr>
        <w:br w:type="page"/>
      </w:r>
    </w:p>
    <w:p w14:paraId="0F999642" w14:textId="77777777" w:rsidR="00D75B83" w:rsidRPr="00716794" w:rsidRDefault="00D75B83" w:rsidP="00D75B83">
      <w:pPr>
        <w:pStyle w:val="Heading1"/>
      </w:pPr>
      <w:bookmarkStart w:id="364" w:name="_Toc165035557"/>
      <w:r w:rsidRPr="00716794">
        <w:lastRenderedPageBreak/>
        <w:t>7. PRIVITCI</w:t>
      </w:r>
      <w:bookmarkEnd w:id="364"/>
    </w:p>
    <w:p w14:paraId="12260E30" w14:textId="77777777" w:rsidR="00D75B83" w:rsidRPr="005C4250" w:rsidRDefault="00D75B83" w:rsidP="00D75B83">
      <w:pPr>
        <w:pStyle w:val="Heading2"/>
      </w:pPr>
      <w:bookmarkStart w:id="365" w:name="_Toc165035558"/>
      <w:r w:rsidRPr="00451234">
        <w:t xml:space="preserve">Privitak 1. Popis </w:t>
      </w:r>
      <w:r>
        <w:t>kratica</w:t>
      </w:r>
      <w:bookmarkEnd w:id="365"/>
    </w:p>
    <w:tbl>
      <w:tblPr>
        <w:tblStyle w:val="TableGrid1"/>
        <w:tblW w:w="0" w:type="auto"/>
        <w:tblLook w:val="04A0" w:firstRow="1" w:lastRow="0" w:firstColumn="1" w:lastColumn="0" w:noHBand="0" w:noVBand="1"/>
      </w:tblPr>
      <w:tblGrid>
        <w:gridCol w:w="1809"/>
        <w:gridCol w:w="7479"/>
      </w:tblGrid>
      <w:tr w:rsidR="00D75B83" w:rsidRPr="00E3787C" w14:paraId="099BE39D" w14:textId="77777777" w:rsidTr="00BA499D">
        <w:tc>
          <w:tcPr>
            <w:tcW w:w="1809" w:type="dxa"/>
          </w:tcPr>
          <w:p w14:paraId="58FB015B" w14:textId="77777777" w:rsidR="00D75B83" w:rsidRPr="00E3787C" w:rsidRDefault="00D75B83" w:rsidP="00BA499D">
            <w:pPr>
              <w:rPr>
                <w:sz w:val="18"/>
                <w:szCs w:val="18"/>
              </w:rPr>
            </w:pPr>
            <w:r w:rsidRPr="00E3787C">
              <w:rPr>
                <w:sz w:val="18"/>
                <w:szCs w:val="18"/>
              </w:rPr>
              <w:t>BEMA</w:t>
            </w:r>
          </w:p>
        </w:tc>
        <w:tc>
          <w:tcPr>
            <w:tcW w:w="7479" w:type="dxa"/>
          </w:tcPr>
          <w:p w14:paraId="306FE98F" w14:textId="77777777" w:rsidR="00D75B83" w:rsidRPr="00E3787C" w:rsidRDefault="00D75B83" w:rsidP="00BA499D">
            <w:pPr>
              <w:rPr>
                <w:rFonts w:eastAsia="Times New Roman" w:cstheme="minorHAnsi"/>
                <w:sz w:val="18"/>
                <w:szCs w:val="18"/>
              </w:rPr>
            </w:pPr>
            <w:r w:rsidRPr="00E3787C">
              <w:rPr>
                <w:rFonts w:eastAsia="Times New Roman" w:cstheme="minorHAnsi"/>
                <w:i/>
                <w:sz w:val="18"/>
                <w:szCs w:val="18"/>
              </w:rPr>
              <w:t>Benchmarking of European Medicines Agencies</w:t>
            </w:r>
            <w:r w:rsidRPr="00E3787C">
              <w:rPr>
                <w:rFonts w:eastAsia="Times New Roman" w:cstheme="minorHAnsi"/>
                <w:sz w:val="18"/>
                <w:szCs w:val="18"/>
              </w:rPr>
              <w:t xml:space="preserve"> </w:t>
            </w:r>
          </w:p>
          <w:p w14:paraId="505FE332" w14:textId="77777777" w:rsidR="00D75B83" w:rsidRPr="00E3787C" w:rsidRDefault="00D75B83" w:rsidP="00BA499D">
            <w:pPr>
              <w:rPr>
                <w:rFonts w:eastAsia="Times New Roman" w:cstheme="minorHAnsi"/>
                <w:sz w:val="18"/>
                <w:szCs w:val="18"/>
              </w:rPr>
            </w:pPr>
            <w:r w:rsidRPr="00E3787C">
              <w:rPr>
                <w:rFonts w:eastAsia="Times New Roman" w:cstheme="minorHAnsi"/>
                <w:sz w:val="18"/>
                <w:szCs w:val="18"/>
              </w:rPr>
              <w:t>Program vrednovanja europskih agencija za lijekove</w:t>
            </w:r>
          </w:p>
        </w:tc>
      </w:tr>
      <w:tr w:rsidR="00D75B83" w:rsidRPr="00E3787C" w14:paraId="74BE3661" w14:textId="77777777" w:rsidTr="00BA499D">
        <w:tc>
          <w:tcPr>
            <w:tcW w:w="1809" w:type="dxa"/>
          </w:tcPr>
          <w:p w14:paraId="3C77A779" w14:textId="77777777" w:rsidR="00D75B83" w:rsidRPr="00E3787C" w:rsidRDefault="00D75B83" w:rsidP="00BA499D">
            <w:pPr>
              <w:rPr>
                <w:sz w:val="18"/>
                <w:szCs w:val="18"/>
              </w:rPr>
            </w:pPr>
            <w:r w:rsidRPr="00E3787C">
              <w:rPr>
                <w:sz w:val="18"/>
                <w:szCs w:val="18"/>
              </w:rPr>
              <w:t>BIS</w:t>
            </w:r>
          </w:p>
        </w:tc>
        <w:tc>
          <w:tcPr>
            <w:tcW w:w="7479" w:type="dxa"/>
          </w:tcPr>
          <w:p w14:paraId="55609197" w14:textId="77777777" w:rsidR="00D75B83" w:rsidRPr="00E3787C" w:rsidRDefault="00D75B83" w:rsidP="00BA499D">
            <w:pPr>
              <w:rPr>
                <w:sz w:val="18"/>
                <w:szCs w:val="18"/>
              </w:rPr>
            </w:pPr>
            <w:r w:rsidRPr="00E3787C">
              <w:rPr>
                <w:sz w:val="18"/>
                <w:szCs w:val="18"/>
              </w:rPr>
              <w:t xml:space="preserve">Bolnički informacijski sustav u RH </w:t>
            </w:r>
          </w:p>
        </w:tc>
      </w:tr>
      <w:tr w:rsidR="00D75B83" w:rsidRPr="00E3787C" w14:paraId="607D0D1F" w14:textId="77777777" w:rsidTr="00BA499D">
        <w:tc>
          <w:tcPr>
            <w:tcW w:w="1809" w:type="dxa"/>
          </w:tcPr>
          <w:p w14:paraId="40390FFD" w14:textId="77777777" w:rsidR="00D75B83" w:rsidRPr="00E3787C" w:rsidRDefault="00D75B83" w:rsidP="00BA499D">
            <w:pPr>
              <w:rPr>
                <w:sz w:val="18"/>
                <w:szCs w:val="18"/>
              </w:rPr>
            </w:pPr>
            <w:r w:rsidRPr="00E3787C">
              <w:rPr>
                <w:sz w:val="18"/>
                <w:szCs w:val="18"/>
              </w:rPr>
              <w:t>BPT</w:t>
            </w:r>
          </w:p>
        </w:tc>
        <w:tc>
          <w:tcPr>
            <w:tcW w:w="7479" w:type="dxa"/>
          </w:tcPr>
          <w:p w14:paraId="68273459" w14:textId="77777777" w:rsidR="00D75B83" w:rsidRPr="00E3787C" w:rsidRDefault="00D75B83" w:rsidP="00BA499D">
            <w:pPr>
              <w:tabs>
                <w:tab w:val="left" w:pos="4170"/>
              </w:tabs>
              <w:rPr>
                <w:rFonts w:eastAsia="Times New Roman" w:cstheme="minorHAnsi"/>
                <w:sz w:val="18"/>
                <w:szCs w:val="18"/>
              </w:rPr>
            </w:pPr>
            <w:r w:rsidRPr="00E3787C">
              <w:rPr>
                <w:rFonts w:eastAsia="Times New Roman" w:cstheme="minorHAnsi"/>
                <w:i/>
                <w:sz w:val="18"/>
                <w:szCs w:val="18"/>
              </w:rPr>
              <w:t>Pharmacovigilance Business Team</w:t>
            </w:r>
            <w:r w:rsidRPr="00E3787C">
              <w:rPr>
                <w:rFonts w:eastAsia="Times New Roman" w:cstheme="minorHAnsi"/>
                <w:sz w:val="18"/>
                <w:szCs w:val="18"/>
              </w:rPr>
              <w:t xml:space="preserve"> </w:t>
            </w:r>
          </w:p>
          <w:p w14:paraId="4310398F" w14:textId="77777777" w:rsidR="00D75B83" w:rsidRPr="00E3787C" w:rsidRDefault="00D75B83" w:rsidP="00BA499D">
            <w:pPr>
              <w:tabs>
                <w:tab w:val="left" w:pos="4170"/>
              </w:tabs>
              <w:rPr>
                <w:rFonts w:eastAsia="Times New Roman" w:cstheme="minorHAnsi"/>
                <w:sz w:val="18"/>
                <w:szCs w:val="18"/>
              </w:rPr>
            </w:pPr>
            <w:r w:rsidRPr="00E3787C">
              <w:rPr>
                <w:rFonts w:eastAsia="Times New Roman" w:cstheme="minorHAnsi"/>
                <w:sz w:val="18"/>
                <w:szCs w:val="18"/>
              </w:rPr>
              <w:t xml:space="preserve">Tim za upravljanje farmakovigilancijskim poslovima </w:t>
            </w:r>
          </w:p>
        </w:tc>
      </w:tr>
      <w:tr w:rsidR="00D75B83" w:rsidRPr="00E3787C" w14:paraId="434B5C0E" w14:textId="77777777" w:rsidTr="00BA499D">
        <w:tc>
          <w:tcPr>
            <w:tcW w:w="1809" w:type="dxa"/>
          </w:tcPr>
          <w:p w14:paraId="386D46DD" w14:textId="77777777" w:rsidR="00D75B83" w:rsidRPr="00E3787C" w:rsidRDefault="00D75B83" w:rsidP="00BA499D">
            <w:pPr>
              <w:rPr>
                <w:rFonts w:cstheme="minorHAnsi"/>
                <w:sz w:val="18"/>
                <w:szCs w:val="18"/>
              </w:rPr>
            </w:pPr>
            <w:r w:rsidRPr="00E3787C">
              <w:rPr>
                <w:rFonts w:cstheme="minorHAnsi"/>
                <w:sz w:val="18"/>
                <w:szCs w:val="18"/>
              </w:rPr>
              <w:t>BPWP</w:t>
            </w:r>
          </w:p>
        </w:tc>
        <w:tc>
          <w:tcPr>
            <w:tcW w:w="7479" w:type="dxa"/>
          </w:tcPr>
          <w:p w14:paraId="534455A4" w14:textId="77777777" w:rsidR="00D75B83" w:rsidRPr="00E3787C" w:rsidRDefault="00D75B83" w:rsidP="00BA499D">
            <w:pPr>
              <w:rPr>
                <w:rFonts w:eastAsia="Times New Roman" w:cstheme="minorHAnsi"/>
                <w:sz w:val="18"/>
                <w:szCs w:val="18"/>
              </w:rPr>
            </w:pPr>
            <w:r w:rsidRPr="00E3787C">
              <w:rPr>
                <w:rFonts w:eastAsia="Times New Roman" w:cstheme="minorHAnsi"/>
                <w:i/>
                <w:iCs/>
                <w:sz w:val="18"/>
                <w:szCs w:val="18"/>
              </w:rPr>
              <w:t>Blood Products Working Party</w:t>
            </w:r>
            <w:r w:rsidRPr="00E3787C">
              <w:rPr>
                <w:rFonts w:eastAsia="Times New Roman" w:cstheme="minorHAnsi"/>
                <w:sz w:val="18"/>
                <w:szCs w:val="18"/>
              </w:rPr>
              <w:t xml:space="preserve"> </w:t>
            </w:r>
          </w:p>
          <w:p w14:paraId="7F9647BF" w14:textId="77777777" w:rsidR="00D75B83" w:rsidRPr="00E3787C" w:rsidRDefault="00D75B83" w:rsidP="00BA499D">
            <w:pPr>
              <w:rPr>
                <w:rFonts w:eastAsia="Times New Roman" w:cstheme="minorHAnsi"/>
                <w:sz w:val="18"/>
                <w:szCs w:val="18"/>
              </w:rPr>
            </w:pPr>
            <w:r w:rsidRPr="00E3787C">
              <w:rPr>
                <w:rFonts w:eastAsia="Times New Roman" w:cstheme="minorHAnsi"/>
                <w:sz w:val="18"/>
                <w:szCs w:val="18"/>
              </w:rPr>
              <w:t>Radna skupina za lijekove iz krvi ili ljudske plazme</w:t>
            </w:r>
          </w:p>
        </w:tc>
      </w:tr>
      <w:tr w:rsidR="00D75B83" w:rsidRPr="00E3787C" w14:paraId="2C922F98" w14:textId="77777777" w:rsidTr="00BA499D">
        <w:tc>
          <w:tcPr>
            <w:tcW w:w="1809" w:type="dxa"/>
          </w:tcPr>
          <w:p w14:paraId="3D174DB1" w14:textId="77777777" w:rsidR="00D75B83" w:rsidRPr="00E3787C" w:rsidRDefault="00D75B83" w:rsidP="00BA499D">
            <w:pPr>
              <w:rPr>
                <w:rFonts w:cstheme="minorHAnsi"/>
                <w:sz w:val="18"/>
                <w:szCs w:val="18"/>
              </w:rPr>
            </w:pPr>
            <w:r w:rsidRPr="00E3787C">
              <w:rPr>
                <w:sz w:val="18"/>
                <w:szCs w:val="18"/>
              </w:rPr>
              <w:t>BS OHSAS</w:t>
            </w:r>
          </w:p>
        </w:tc>
        <w:tc>
          <w:tcPr>
            <w:tcW w:w="7479" w:type="dxa"/>
          </w:tcPr>
          <w:p w14:paraId="420C5984" w14:textId="77777777" w:rsidR="00D75B83" w:rsidRPr="00E3787C" w:rsidRDefault="00D75B83" w:rsidP="00BA499D">
            <w:pPr>
              <w:rPr>
                <w:rFonts w:eastAsia="Times New Roman" w:cstheme="minorHAnsi"/>
                <w:sz w:val="18"/>
                <w:szCs w:val="18"/>
              </w:rPr>
            </w:pPr>
            <w:r w:rsidRPr="00E3787C">
              <w:rPr>
                <w:rFonts w:eastAsia="Times New Roman" w:cstheme="minorHAnsi"/>
                <w:i/>
                <w:sz w:val="18"/>
                <w:szCs w:val="18"/>
              </w:rPr>
              <w:t xml:space="preserve">British Standard </w:t>
            </w:r>
            <w:r w:rsidRPr="00E3787C">
              <w:rPr>
                <w:rFonts w:eastAsia="Times New Roman" w:cstheme="minorHAnsi"/>
                <w:sz w:val="18"/>
                <w:szCs w:val="18"/>
              </w:rPr>
              <w:t xml:space="preserve">Occupational Health and Safety Management System </w:t>
            </w:r>
          </w:p>
          <w:p w14:paraId="6ED2EB1A" w14:textId="77777777" w:rsidR="00D75B83" w:rsidRPr="00E3787C" w:rsidRDefault="00D75B83" w:rsidP="00BA499D">
            <w:pPr>
              <w:rPr>
                <w:rFonts w:eastAsia="Times New Roman" w:cstheme="minorHAnsi"/>
                <w:sz w:val="18"/>
                <w:szCs w:val="18"/>
              </w:rPr>
            </w:pPr>
            <w:r w:rsidRPr="00E3787C">
              <w:rPr>
                <w:rFonts w:eastAsia="Times New Roman" w:cstheme="minorHAnsi"/>
                <w:sz w:val="18"/>
                <w:szCs w:val="18"/>
              </w:rPr>
              <w:t>Britanski standard Sustav upravljanja zdravljem i sigurnošću na radu</w:t>
            </w:r>
          </w:p>
        </w:tc>
      </w:tr>
      <w:tr w:rsidR="00D75B83" w:rsidRPr="00E3787C" w14:paraId="152F1DAF" w14:textId="77777777" w:rsidTr="00BA499D">
        <w:tc>
          <w:tcPr>
            <w:tcW w:w="1809" w:type="dxa"/>
          </w:tcPr>
          <w:p w14:paraId="7F38AA77" w14:textId="77777777" w:rsidR="00D75B83" w:rsidRPr="00E3787C" w:rsidRDefault="00D75B83" w:rsidP="00BA499D">
            <w:pPr>
              <w:rPr>
                <w:rFonts w:cstheme="minorHAnsi"/>
                <w:sz w:val="18"/>
                <w:szCs w:val="18"/>
              </w:rPr>
            </w:pPr>
            <w:r w:rsidRPr="00E3787C">
              <w:rPr>
                <w:rFonts w:cstheme="minorHAnsi"/>
                <w:sz w:val="18"/>
                <w:szCs w:val="18"/>
              </w:rPr>
              <w:t>BWP</w:t>
            </w:r>
          </w:p>
        </w:tc>
        <w:tc>
          <w:tcPr>
            <w:tcW w:w="7479" w:type="dxa"/>
          </w:tcPr>
          <w:p w14:paraId="3BF085AD" w14:textId="77777777" w:rsidR="00D75B83" w:rsidRPr="00E3787C" w:rsidRDefault="00D75B83" w:rsidP="00BA499D">
            <w:pPr>
              <w:rPr>
                <w:rFonts w:eastAsia="Times New Roman" w:cstheme="minorHAnsi"/>
                <w:sz w:val="18"/>
                <w:szCs w:val="18"/>
              </w:rPr>
            </w:pPr>
            <w:r w:rsidRPr="00E3787C">
              <w:rPr>
                <w:rFonts w:eastAsia="Times New Roman" w:cstheme="minorHAnsi"/>
                <w:i/>
                <w:iCs/>
                <w:sz w:val="18"/>
                <w:szCs w:val="18"/>
              </w:rPr>
              <w:t>Biologics Working Party</w:t>
            </w:r>
            <w:r w:rsidRPr="00E3787C">
              <w:rPr>
                <w:rFonts w:eastAsia="Times New Roman" w:cstheme="minorHAnsi"/>
                <w:sz w:val="18"/>
                <w:szCs w:val="18"/>
              </w:rPr>
              <w:t xml:space="preserve"> </w:t>
            </w:r>
          </w:p>
          <w:p w14:paraId="15450DCD" w14:textId="77777777" w:rsidR="00D75B83" w:rsidRPr="00E3787C" w:rsidRDefault="00D75B83" w:rsidP="00BA499D">
            <w:pPr>
              <w:rPr>
                <w:rFonts w:eastAsia="Times New Roman" w:cstheme="minorHAnsi"/>
                <w:sz w:val="18"/>
                <w:szCs w:val="18"/>
              </w:rPr>
            </w:pPr>
            <w:r w:rsidRPr="00E3787C">
              <w:rPr>
                <w:rFonts w:eastAsia="Times New Roman" w:cstheme="minorHAnsi"/>
                <w:sz w:val="18"/>
                <w:szCs w:val="18"/>
              </w:rPr>
              <w:t>Radna skupina za biološke lijekove</w:t>
            </w:r>
          </w:p>
        </w:tc>
      </w:tr>
      <w:tr w:rsidR="00D75B83" w:rsidRPr="00E3787C" w14:paraId="409DA34B" w14:textId="77777777" w:rsidTr="00BA499D">
        <w:tc>
          <w:tcPr>
            <w:tcW w:w="1809" w:type="dxa"/>
          </w:tcPr>
          <w:p w14:paraId="4B927C7E" w14:textId="77777777" w:rsidR="00D75B83" w:rsidRPr="00E3787C" w:rsidRDefault="00D75B83" w:rsidP="00BA499D">
            <w:pPr>
              <w:rPr>
                <w:sz w:val="18"/>
                <w:szCs w:val="18"/>
              </w:rPr>
            </w:pPr>
            <w:r w:rsidRPr="00E3787C">
              <w:rPr>
                <w:sz w:val="18"/>
                <w:szCs w:val="18"/>
              </w:rPr>
              <w:t>CAMD</w:t>
            </w:r>
          </w:p>
        </w:tc>
        <w:tc>
          <w:tcPr>
            <w:tcW w:w="7479" w:type="dxa"/>
          </w:tcPr>
          <w:p w14:paraId="4DBED746" w14:textId="77777777" w:rsidR="00D75B83" w:rsidRPr="00E3787C" w:rsidRDefault="00D75B83" w:rsidP="00BA499D">
            <w:pPr>
              <w:rPr>
                <w:sz w:val="18"/>
                <w:szCs w:val="18"/>
              </w:rPr>
            </w:pPr>
            <w:r w:rsidRPr="00E3787C">
              <w:rPr>
                <w:rFonts w:eastAsia="Times New Roman" w:cstheme="minorHAnsi"/>
                <w:i/>
                <w:iCs/>
                <w:sz w:val="18"/>
                <w:szCs w:val="18"/>
              </w:rPr>
              <w:t>Competent Authorities for Medical Devices</w:t>
            </w:r>
            <w:r w:rsidRPr="00E3787C">
              <w:rPr>
                <w:sz w:val="18"/>
                <w:szCs w:val="18"/>
              </w:rPr>
              <w:t xml:space="preserve"> </w:t>
            </w:r>
          </w:p>
          <w:p w14:paraId="2D5568AE" w14:textId="77777777" w:rsidR="00D75B83" w:rsidRPr="00E3787C" w:rsidRDefault="00D75B83" w:rsidP="00BA499D">
            <w:pPr>
              <w:rPr>
                <w:sz w:val="18"/>
                <w:szCs w:val="18"/>
              </w:rPr>
            </w:pPr>
            <w:r w:rsidRPr="00E3787C">
              <w:rPr>
                <w:rFonts w:eastAsia="Times New Roman" w:cstheme="minorHAnsi"/>
                <w:sz w:val="18"/>
                <w:szCs w:val="18"/>
              </w:rPr>
              <w:t>Mreža nacionalnih agencija za medicinske proizvode</w:t>
            </w:r>
          </w:p>
        </w:tc>
      </w:tr>
      <w:tr w:rsidR="00D75B83" w:rsidRPr="00E3787C" w14:paraId="1225F6DD" w14:textId="77777777" w:rsidTr="00BA499D">
        <w:tc>
          <w:tcPr>
            <w:tcW w:w="1809" w:type="dxa"/>
          </w:tcPr>
          <w:p w14:paraId="7A8E440B" w14:textId="77777777" w:rsidR="00D75B83" w:rsidRPr="00E3787C" w:rsidRDefault="00D75B83" w:rsidP="00BA499D">
            <w:pPr>
              <w:rPr>
                <w:rFonts w:cstheme="minorHAnsi"/>
                <w:sz w:val="18"/>
                <w:szCs w:val="18"/>
              </w:rPr>
            </w:pPr>
            <w:r w:rsidRPr="00E3787C">
              <w:rPr>
                <w:rFonts w:cstheme="minorHAnsi"/>
                <w:sz w:val="18"/>
                <w:szCs w:val="18"/>
              </w:rPr>
              <w:t>CAT</w:t>
            </w:r>
          </w:p>
        </w:tc>
        <w:tc>
          <w:tcPr>
            <w:tcW w:w="7479" w:type="dxa"/>
          </w:tcPr>
          <w:p w14:paraId="3ED544FE" w14:textId="77777777" w:rsidR="00D75B83" w:rsidRPr="00E3787C" w:rsidRDefault="00D75B83" w:rsidP="00BA499D">
            <w:pPr>
              <w:rPr>
                <w:rFonts w:eastAsia="Times New Roman" w:cstheme="minorHAnsi"/>
                <w:sz w:val="18"/>
                <w:szCs w:val="18"/>
              </w:rPr>
            </w:pPr>
            <w:r w:rsidRPr="00E3787C">
              <w:rPr>
                <w:rFonts w:eastAsia="Times New Roman" w:cstheme="minorHAnsi"/>
                <w:i/>
                <w:iCs/>
                <w:sz w:val="18"/>
                <w:szCs w:val="18"/>
              </w:rPr>
              <w:t>Committee for Advanced Therapies</w:t>
            </w:r>
            <w:r w:rsidRPr="00E3787C">
              <w:rPr>
                <w:rFonts w:eastAsia="Times New Roman" w:cstheme="minorHAnsi"/>
                <w:sz w:val="18"/>
                <w:szCs w:val="18"/>
              </w:rPr>
              <w:t xml:space="preserve"> </w:t>
            </w:r>
          </w:p>
          <w:p w14:paraId="16C4ACCD" w14:textId="77777777" w:rsidR="00D75B83" w:rsidRPr="00E3787C" w:rsidRDefault="00D75B83" w:rsidP="00BA499D">
            <w:pPr>
              <w:rPr>
                <w:rFonts w:eastAsia="Times New Roman" w:cstheme="minorHAnsi"/>
                <w:sz w:val="18"/>
                <w:szCs w:val="18"/>
              </w:rPr>
            </w:pPr>
            <w:r w:rsidRPr="00E3787C">
              <w:rPr>
                <w:rFonts w:eastAsia="Times New Roman" w:cstheme="minorHAnsi"/>
                <w:sz w:val="18"/>
                <w:szCs w:val="18"/>
              </w:rPr>
              <w:t>Povjerenstvo za napredne terapije</w:t>
            </w:r>
          </w:p>
        </w:tc>
      </w:tr>
      <w:tr w:rsidR="00D75B83" w:rsidRPr="00E3787C" w14:paraId="1880DB84" w14:textId="77777777" w:rsidTr="00BA499D">
        <w:tc>
          <w:tcPr>
            <w:tcW w:w="1809" w:type="dxa"/>
          </w:tcPr>
          <w:p w14:paraId="557C2D36" w14:textId="77777777" w:rsidR="00D75B83" w:rsidRPr="00E3787C" w:rsidRDefault="00D75B83" w:rsidP="00BA499D">
            <w:pPr>
              <w:rPr>
                <w:rFonts w:cstheme="minorHAnsi"/>
                <w:sz w:val="18"/>
                <w:szCs w:val="18"/>
              </w:rPr>
            </w:pPr>
            <w:r w:rsidRPr="00E3787C">
              <w:rPr>
                <w:rFonts w:cstheme="minorHAnsi"/>
                <w:sz w:val="18"/>
                <w:szCs w:val="18"/>
              </w:rPr>
              <w:t>CD-P-PH</w:t>
            </w:r>
          </w:p>
        </w:tc>
        <w:tc>
          <w:tcPr>
            <w:tcW w:w="7479" w:type="dxa"/>
          </w:tcPr>
          <w:p w14:paraId="17DF61E9" w14:textId="77777777" w:rsidR="00D75B83" w:rsidRPr="00E3787C" w:rsidRDefault="00D75B83" w:rsidP="00BA499D">
            <w:pPr>
              <w:rPr>
                <w:rFonts w:eastAsia="Times New Roman" w:cstheme="minorHAnsi"/>
                <w:sz w:val="18"/>
                <w:szCs w:val="18"/>
              </w:rPr>
            </w:pPr>
            <w:r w:rsidRPr="00E3787C">
              <w:rPr>
                <w:rFonts w:eastAsia="Times New Roman" w:cstheme="minorHAnsi"/>
                <w:i/>
                <w:sz w:val="18"/>
                <w:szCs w:val="18"/>
              </w:rPr>
              <w:t>The European Committee on Pharmaceuticals and Pharmaceutical Care</w:t>
            </w:r>
            <w:r w:rsidRPr="00E3787C">
              <w:rPr>
                <w:rFonts w:eastAsia="Times New Roman" w:cstheme="minorHAnsi"/>
                <w:sz w:val="18"/>
                <w:szCs w:val="18"/>
              </w:rPr>
              <w:t xml:space="preserve"> </w:t>
            </w:r>
          </w:p>
          <w:p w14:paraId="6FBBF3B2" w14:textId="77777777" w:rsidR="00D75B83" w:rsidRPr="00E3787C" w:rsidRDefault="00D75B83" w:rsidP="00BA499D">
            <w:pPr>
              <w:rPr>
                <w:rFonts w:eastAsia="Times New Roman" w:cstheme="minorHAnsi"/>
                <w:sz w:val="18"/>
                <w:szCs w:val="18"/>
              </w:rPr>
            </w:pPr>
            <w:r w:rsidRPr="00E3787C">
              <w:rPr>
                <w:rFonts w:eastAsia="Times New Roman" w:cstheme="minorHAnsi"/>
                <w:sz w:val="18"/>
                <w:szCs w:val="18"/>
              </w:rPr>
              <w:t>Europski odbor za lijekove i farmaceutsku skrb</w:t>
            </w:r>
          </w:p>
        </w:tc>
      </w:tr>
      <w:tr w:rsidR="00D75B83" w:rsidRPr="00E3787C" w14:paraId="5AE0EE6C" w14:textId="77777777" w:rsidTr="00BA499D">
        <w:tc>
          <w:tcPr>
            <w:tcW w:w="1809" w:type="dxa"/>
          </w:tcPr>
          <w:p w14:paraId="22722781" w14:textId="77777777" w:rsidR="00D75B83" w:rsidRPr="00E3787C" w:rsidRDefault="00D75B83" w:rsidP="00BA499D">
            <w:pPr>
              <w:rPr>
                <w:rFonts w:cstheme="minorHAnsi"/>
                <w:sz w:val="18"/>
                <w:szCs w:val="18"/>
              </w:rPr>
            </w:pPr>
            <w:r w:rsidRPr="00E3787C">
              <w:rPr>
                <w:rFonts w:cstheme="minorHAnsi"/>
                <w:sz w:val="18"/>
                <w:szCs w:val="18"/>
              </w:rPr>
              <w:t>CD-P-PH/CMED</w:t>
            </w:r>
          </w:p>
        </w:tc>
        <w:tc>
          <w:tcPr>
            <w:tcW w:w="7479" w:type="dxa"/>
          </w:tcPr>
          <w:p w14:paraId="10623D75" w14:textId="77777777" w:rsidR="00D75B83" w:rsidRPr="00E3787C" w:rsidRDefault="00D75B83" w:rsidP="00BA499D">
            <w:pPr>
              <w:rPr>
                <w:rFonts w:eastAsia="Times New Roman" w:cstheme="minorHAnsi"/>
                <w:sz w:val="18"/>
                <w:szCs w:val="18"/>
              </w:rPr>
            </w:pPr>
            <w:r w:rsidRPr="00E3787C">
              <w:rPr>
                <w:rFonts w:eastAsia="Times New Roman" w:cstheme="minorHAnsi"/>
                <w:i/>
                <w:sz w:val="18"/>
                <w:szCs w:val="18"/>
              </w:rPr>
              <w:t>Committee of Experts on Minimising the Public Health Risks Posed by Counterfeiting of Medical Products and Related Crimes</w:t>
            </w:r>
            <w:r w:rsidRPr="00E3787C">
              <w:rPr>
                <w:rFonts w:eastAsia="Times New Roman" w:cstheme="minorHAnsi"/>
                <w:sz w:val="18"/>
                <w:szCs w:val="18"/>
              </w:rPr>
              <w:t xml:space="preserve"> </w:t>
            </w:r>
          </w:p>
          <w:p w14:paraId="23DC70D2" w14:textId="77777777" w:rsidR="00D75B83" w:rsidRPr="00E3787C" w:rsidRDefault="00D75B83" w:rsidP="00BA499D">
            <w:pPr>
              <w:rPr>
                <w:rFonts w:eastAsia="Times New Roman" w:cstheme="minorHAnsi"/>
                <w:sz w:val="18"/>
                <w:szCs w:val="18"/>
              </w:rPr>
            </w:pPr>
            <w:r w:rsidRPr="00E3787C">
              <w:rPr>
                <w:rFonts w:eastAsia="Times New Roman" w:cstheme="minorHAnsi"/>
                <w:sz w:val="18"/>
                <w:szCs w:val="18"/>
              </w:rPr>
              <w:t>Odbor za smanjenje rizika od krivotvorenih lijekova</w:t>
            </w:r>
          </w:p>
        </w:tc>
      </w:tr>
      <w:tr w:rsidR="00D75B83" w:rsidRPr="00E3787C" w14:paraId="77452798" w14:textId="77777777" w:rsidTr="00BA499D">
        <w:tc>
          <w:tcPr>
            <w:tcW w:w="1809" w:type="dxa"/>
          </w:tcPr>
          <w:p w14:paraId="02277FAD" w14:textId="77777777" w:rsidR="00D75B83" w:rsidRPr="00E3787C" w:rsidRDefault="00D75B83" w:rsidP="00BA499D">
            <w:pPr>
              <w:rPr>
                <w:rFonts w:cstheme="minorHAnsi"/>
                <w:sz w:val="18"/>
                <w:szCs w:val="18"/>
              </w:rPr>
            </w:pPr>
            <w:r w:rsidRPr="00E3787C">
              <w:rPr>
                <w:rFonts w:cstheme="minorHAnsi"/>
                <w:sz w:val="18"/>
                <w:szCs w:val="18"/>
              </w:rPr>
              <w:t>CD-P-PH/PC</w:t>
            </w:r>
          </w:p>
        </w:tc>
        <w:tc>
          <w:tcPr>
            <w:tcW w:w="7479" w:type="dxa"/>
          </w:tcPr>
          <w:p w14:paraId="4059CC8A" w14:textId="77777777" w:rsidR="00D75B83" w:rsidRPr="00E3787C" w:rsidRDefault="00D75B83" w:rsidP="00BA499D">
            <w:pPr>
              <w:rPr>
                <w:rFonts w:eastAsia="Times New Roman" w:cstheme="minorHAnsi"/>
                <w:sz w:val="18"/>
                <w:szCs w:val="18"/>
              </w:rPr>
            </w:pPr>
            <w:r w:rsidRPr="00E3787C">
              <w:rPr>
                <w:rFonts w:eastAsia="Times New Roman" w:cstheme="minorHAnsi"/>
                <w:i/>
                <w:sz w:val="18"/>
                <w:szCs w:val="18"/>
              </w:rPr>
              <w:t>Committee of Experts on Quality and Safety Standards in Pharmaceutical Practices and Pharmaceutical Care</w:t>
            </w:r>
            <w:r w:rsidRPr="00E3787C">
              <w:rPr>
                <w:rFonts w:eastAsia="Times New Roman" w:cstheme="minorHAnsi"/>
                <w:sz w:val="18"/>
                <w:szCs w:val="18"/>
              </w:rPr>
              <w:t xml:space="preserve"> </w:t>
            </w:r>
          </w:p>
          <w:p w14:paraId="5008A8EB" w14:textId="77777777" w:rsidR="00D75B83" w:rsidRPr="00E3787C" w:rsidRDefault="00D75B83" w:rsidP="00BA499D">
            <w:pPr>
              <w:rPr>
                <w:rFonts w:eastAsia="Times New Roman" w:cstheme="minorHAnsi"/>
                <w:sz w:val="18"/>
                <w:szCs w:val="18"/>
              </w:rPr>
            </w:pPr>
            <w:r w:rsidRPr="00E3787C">
              <w:rPr>
                <w:rFonts w:eastAsia="Times New Roman" w:cstheme="minorHAnsi"/>
                <w:sz w:val="18"/>
                <w:szCs w:val="18"/>
              </w:rPr>
              <w:t>Odbor za standarde kakvoće i sigurnosti u farmaceutskoj praksi i farmaceutskoj skrbi</w:t>
            </w:r>
          </w:p>
        </w:tc>
      </w:tr>
      <w:tr w:rsidR="00D75B83" w:rsidRPr="00E3787C" w14:paraId="73D0F869" w14:textId="77777777" w:rsidTr="00BA499D">
        <w:tc>
          <w:tcPr>
            <w:tcW w:w="1809" w:type="dxa"/>
          </w:tcPr>
          <w:p w14:paraId="330CE576" w14:textId="77777777" w:rsidR="00D75B83" w:rsidRPr="00E3787C" w:rsidRDefault="00D75B83" w:rsidP="00BA499D">
            <w:pPr>
              <w:rPr>
                <w:sz w:val="18"/>
                <w:szCs w:val="18"/>
              </w:rPr>
            </w:pPr>
            <w:r w:rsidRPr="00E3787C">
              <w:rPr>
                <w:sz w:val="18"/>
                <w:szCs w:val="18"/>
              </w:rPr>
              <w:t>CD-P-PH/PHO</w:t>
            </w:r>
          </w:p>
        </w:tc>
        <w:tc>
          <w:tcPr>
            <w:tcW w:w="7479" w:type="dxa"/>
          </w:tcPr>
          <w:p w14:paraId="10CBA16F" w14:textId="77777777" w:rsidR="00D75B83" w:rsidRPr="00E3787C" w:rsidRDefault="00D75B83" w:rsidP="00BA499D">
            <w:pPr>
              <w:rPr>
                <w:rFonts w:cstheme="minorHAnsi"/>
                <w:sz w:val="18"/>
                <w:szCs w:val="18"/>
              </w:rPr>
            </w:pPr>
            <w:r w:rsidRPr="00E3787C">
              <w:rPr>
                <w:rFonts w:cstheme="minorHAnsi"/>
                <w:i/>
                <w:sz w:val="18"/>
                <w:szCs w:val="18"/>
              </w:rPr>
              <w:t>Committee of Experts on the classification of medicines as regards their supply</w:t>
            </w:r>
            <w:r w:rsidRPr="00E3787C">
              <w:rPr>
                <w:rFonts w:cstheme="minorHAnsi"/>
                <w:sz w:val="18"/>
                <w:szCs w:val="18"/>
              </w:rPr>
              <w:t xml:space="preserve"> </w:t>
            </w:r>
          </w:p>
          <w:p w14:paraId="6EFCD053" w14:textId="77777777" w:rsidR="00D75B83" w:rsidRPr="00E3787C" w:rsidRDefault="00D75B83" w:rsidP="00BA499D">
            <w:pPr>
              <w:rPr>
                <w:rFonts w:cstheme="minorHAnsi"/>
                <w:sz w:val="18"/>
                <w:szCs w:val="18"/>
                <w:highlight w:val="yellow"/>
              </w:rPr>
            </w:pPr>
            <w:r w:rsidRPr="00E3787C">
              <w:rPr>
                <w:rFonts w:cstheme="minorHAnsi"/>
                <w:sz w:val="18"/>
                <w:szCs w:val="18"/>
              </w:rPr>
              <w:t>Povjerenstvo stručnjaka za klasifikaciju lijekova s obzirom na opskrbu</w:t>
            </w:r>
          </w:p>
        </w:tc>
      </w:tr>
      <w:tr w:rsidR="00D75B83" w:rsidRPr="00E3787C" w14:paraId="38F3C2F9" w14:textId="77777777" w:rsidTr="00BA499D">
        <w:tc>
          <w:tcPr>
            <w:tcW w:w="1809" w:type="dxa"/>
          </w:tcPr>
          <w:p w14:paraId="32D6C284" w14:textId="77777777" w:rsidR="00D75B83" w:rsidRPr="00E3787C" w:rsidRDefault="00D75B83" w:rsidP="00BA499D">
            <w:pPr>
              <w:rPr>
                <w:rFonts w:cstheme="minorHAnsi"/>
                <w:sz w:val="18"/>
                <w:szCs w:val="18"/>
              </w:rPr>
            </w:pPr>
            <w:r w:rsidRPr="00E3787C">
              <w:rPr>
                <w:rFonts w:cstheme="minorHAnsi"/>
                <w:sz w:val="18"/>
                <w:szCs w:val="18"/>
              </w:rPr>
              <w:t>CD-P-PH/PC</w:t>
            </w:r>
          </w:p>
        </w:tc>
        <w:tc>
          <w:tcPr>
            <w:tcW w:w="7479" w:type="dxa"/>
          </w:tcPr>
          <w:p w14:paraId="73F10ADB" w14:textId="77777777" w:rsidR="00D75B83" w:rsidRPr="00E3787C" w:rsidRDefault="00D75B83" w:rsidP="00BA499D">
            <w:pPr>
              <w:rPr>
                <w:rFonts w:eastAsia="Times New Roman" w:cstheme="minorHAnsi"/>
                <w:i/>
                <w:sz w:val="18"/>
                <w:szCs w:val="18"/>
              </w:rPr>
            </w:pPr>
            <w:r w:rsidRPr="00E3787C">
              <w:rPr>
                <w:rFonts w:eastAsia="Times New Roman" w:cstheme="minorHAnsi"/>
                <w:i/>
                <w:sz w:val="18"/>
                <w:szCs w:val="18"/>
              </w:rPr>
              <w:t xml:space="preserve">Committee of Experts on Quality and Safety Standards in Pharmaceutical Practice and Pharmaceutical Care </w:t>
            </w:r>
          </w:p>
          <w:p w14:paraId="013A69A6" w14:textId="77777777" w:rsidR="00D75B83" w:rsidRPr="00E3787C" w:rsidRDefault="00D75B83" w:rsidP="00BA499D">
            <w:pPr>
              <w:rPr>
                <w:rFonts w:eastAsia="Times New Roman" w:cstheme="minorHAnsi"/>
                <w:sz w:val="18"/>
                <w:szCs w:val="18"/>
                <w:highlight w:val="yellow"/>
              </w:rPr>
            </w:pPr>
            <w:r w:rsidRPr="00E3787C">
              <w:rPr>
                <w:rFonts w:eastAsia="Times New Roman" w:cstheme="minorHAnsi"/>
                <w:sz w:val="18"/>
                <w:szCs w:val="18"/>
              </w:rPr>
              <w:t>Povjerenstvo za standarde kakvoće i sigurnosti u farmaceutskoj praksi i farmaceutskoj skrbi</w:t>
            </w:r>
            <w:r w:rsidRPr="00E3787C">
              <w:rPr>
                <w:rFonts w:eastAsia="Calibri" w:cs="Times New Roman"/>
                <w:b/>
                <w:sz w:val="18"/>
                <w:szCs w:val="18"/>
              </w:rPr>
              <w:t xml:space="preserve"> </w:t>
            </w:r>
          </w:p>
        </w:tc>
      </w:tr>
      <w:tr w:rsidR="00D75B83" w:rsidRPr="00E3787C" w14:paraId="5934152D" w14:textId="77777777" w:rsidTr="00BA499D">
        <w:tc>
          <w:tcPr>
            <w:tcW w:w="1809" w:type="dxa"/>
          </w:tcPr>
          <w:p w14:paraId="7A8B90BD" w14:textId="77777777" w:rsidR="00D75B83" w:rsidRPr="00E3787C" w:rsidRDefault="00D75B83" w:rsidP="00BA499D">
            <w:pPr>
              <w:rPr>
                <w:sz w:val="18"/>
                <w:szCs w:val="18"/>
              </w:rPr>
            </w:pPr>
            <w:r w:rsidRPr="00E3787C">
              <w:rPr>
                <w:sz w:val="18"/>
                <w:szCs w:val="18"/>
              </w:rPr>
              <w:t>CESP</w:t>
            </w:r>
          </w:p>
        </w:tc>
        <w:tc>
          <w:tcPr>
            <w:tcW w:w="7479" w:type="dxa"/>
          </w:tcPr>
          <w:p w14:paraId="573C9680" w14:textId="77777777" w:rsidR="00D75B83" w:rsidRPr="00E3787C" w:rsidRDefault="00D75B83" w:rsidP="00BA499D">
            <w:pPr>
              <w:rPr>
                <w:i/>
                <w:sz w:val="18"/>
                <w:szCs w:val="18"/>
              </w:rPr>
            </w:pPr>
            <w:r w:rsidRPr="00E3787C">
              <w:rPr>
                <w:i/>
                <w:sz w:val="18"/>
                <w:szCs w:val="18"/>
              </w:rPr>
              <w:t xml:space="preserve">Common European Submission Platform </w:t>
            </w:r>
          </w:p>
          <w:p w14:paraId="4A667F72" w14:textId="77777777" w:rsidR="00D75B83" w:rsidRPr="00E3787C" w:rsidRDefault="00D75B83" w:rsidP="00BA499D">
            <w:pPr>
              <w:rPr>
                <w:sz w:val="18"/>
                <w:szCs w:val="18"/>
              </w:rPr>
            </w:pPr>
            <w:r w:rsidRPr="00E3787C">
              <w:rPr>
                <w:sz w:val="18"/>
                <w:szCs w:val="18"/>
              </w:rPr>
              <w:t>Europska platforma za razmjenu dokumentacije o lijeku</w:t>
            </w:r>
          </w:p>
        </w:tc>
      </w:tr>
      <w:tr w:rsidR="00D75B83" w:rsidRPr="00E3787C" w14:paraId="5AA796C7" w14:textId="77777777" w:rsidTr="00BA499D">
        <w:tc>
          <w:tcPr>
            <w:tcW w:w="1809" w:type="dxa"/>
          </w:tcPr>
          <w:p w14:paraId="3E1D343E" w14:textId="77777777" w:rsidR="00D75B83" w:rsidRPr="00E3787C" w:rsidRDefault="00D75B83" w:rsidP="00BA499D">
            <w:pPr>
              <w:rPr>
                <w:sz w:val="18"/>
                <w:szCs w:val="18"/>
              </w:rPr>
            </w:pPr>
            <w:r w:rsidRPr="00E3787C">
              <w:rPr>
                <w:sz w:val="18"/>
                <w:szCs w:val="18"/>
              </w:rPr>
              <w:t>CEZIH</w:t>
            </w:r>
          </w:p>
        </w:tc>
        <w:tc>
          <w:tcPr>
            <w:tcW w:w="7479" w:type="dxa"/>
          </w:tcPr>
          <w:p w14:paraId="016A00A6" w14:textId="77777777" w:rsidR="00D75B83" w:rsidRPr="00E3787C" w:rsidRDefault="00D75B83" w:rsidP="00BA499D">
            <w:pPr>
              <w:rPr>
                <w:sz w:val="18"/>
                <w:szCs w:val="18"/>
              </w:rPr>
            </w:pPr>
            <w:r w:rsidRPr="00E3787C">
              <w:rPr>
                <w:sz w:val="18"/>
                <w:szCs w:val="18"/>
              </w:rPr>
              <w:t>Centralni zdravstveni informacijski sustav u RH</w:t>
            </w:r>
          </w:p>
        </w:tc>
      </w:tr>
      <w:tr w:rsidR="00D75B83" w:rsidRPr="00E3787C" w14:paraId="1DD05D03" w14:textId="77777777" w:rsidTr="00BA499D">
        <w:tc>
          <w:tcPr>
            <w:tcW w:w="1809" w:type="dxa"/>
          </w:tcPr>
          <w:p w14:paraId="6A502C27" w14:textId="77777777" w:rsidR="00D75B83" w:rsidRPr="00E3787C" w:rsidRDefault="00D75B83" w:rsidP="00BA499D">
            <w:pPr>
              <w:rPr>
                <w:sz w:val="18"/>
                <w:szCs w:val="18"/>
              </w:rPr>
            </w:pPr>
            <w:r w:rsidRPr="00E3787C">
              <w:rPr>
                <w:sz w:val="18"/>
                <w:szCs w:val="18"/>
              </w:rPr>
              <w:t>CG</w:t>
            </w:r>
          </w:p>
        </w:tc>
        <w:tc>
          <w:tcPr>
            <w:tcW w:w="7479" w:type="dxa"/>
          </w:tcPr>
          <w:p w14:paraId="20BAD3FF" w14:textId="77777777" w:rsidR="00D75B83" w:rsidRPr="00E3787C" w:rsidRDefault="00D75B83" w:rsidP="00BA499D">
            <w:pPr>
              <w:tabs>
                <w:tab w:val="left" w:pos="4170"/>
              </w:tabs>
              <w:rPr>
                <w:rFonts w:eastAsia="Times New Roman" w:cstheme="minorHAnsi"/>
                <w:sz w:val="18"/>
                <w:szCs w:val="18"/>
              </w:rPr>
            </w:pPr>
            <w:r w:rsidRPr="00E3787C">
              <w:rPr>
                <w:rFonts w:eastAsia="Times New Roman" w:cstheme="minorHAnsi"/>
                <w:i/>
                <w:sz w:val="18"/>
                <w:szCs w:val="18"/>
              </w:rPr>
              <w:t>The Compliance Group</w:t>
            </w:r>
            <w:r w:rsidRPr="00E3787C">
              <w:rPr>
                <w:rFonts w:eastAsia="Times New Roman" w:cstheme="minorHAnsi"/>
                <w:sz w:val="18"/>
                <w:szCs w:val="18"/>
              </w:rPr>
              <w:t xml:space="preserve"> </w:t>
            </w:r>
          </w:p>
          <w:p w14:paraId="3A63B2D5" w14:textId="77777777" w:rsidR="00D75B83" w:rsidRPr="00E3787C" w:rsidRDefault="00D75B83" w:rsidP="00BA499D">
            <w:pPr>
              <w:tabs>
                <w:tab w:val="left" w:pos="4170"/>
              </w:tabs>
              <w:rPr>
                <w:rFonts w:eastAsia="Times New Roman" w:cstheme="minorHAnsi"/>
                <w:sz w:val="18"/>
                <w:szCs w:val="18"/>
              </w:rPr>
            </w:pPr>
            <w:r w:rsidRPr="00E3787C">
              <w:rPr>
                <w:rFonts w:eastAsia="Times New Roman" w:cstheme="minorHAnsi"/>
                <w:sz w:val="18"/>
                <w:szCs w:val="18"/>
              </w:rPr>
              <w:t>Radna grupa za usklađenost</w:t>
            </w:r>
          </w:p>
        </w:tc>
      </w:tr>
      <w:tr w:rsidR="00D75B83" w:rsidRPr="00E3787C" w14:paraId="4C9234C0" w14:textId="77777777" w:rsidTr="00BA499D">
        <w:tc>
          <w:tcPr>
            <w:tcW w:w="1809" w:type="dxa"/>
          </w:tcPr>
          <w:p w14:paraId="5D8D0871" w14:textId="77777777" w:rsidR="00D75B83" w:rsidRPr="00E3787C" w:rsidRDefault="00D75B83" w:rsidP="00BA499D">
            <w:pPr>
              <w:rPr>
                <w:rFonts w:cstheme="minorHAnsi"/>
                <w:sz w:val="18"/>
                <w:szCs w:val="18"/>
              </w:rPr>
            </w:pPr>
            <w:r w:rsidRPr="00E3787C">
              <w:rPr>
                <w:rFonts w:cstheme="minorHAnsi"/>
                <w:sz w:val="18"/>
                <w:szCs w:val="18"/>
              </w:rPr>
              <w:t>CHMP</w:t>
            </w:r>
          </w:p>
        </w:tc>
        <w:tc>
          <w:tcPr>
            <w:tcW w:w="7479" w:type="dxa"/>
          </w:tcPr>
          <w:p w14:paraId="0689B46A" w14:textId="77777777" w:rsidR="00D75B83" w:rsidRPr="00E3787C" w:rsidRDefault="00D75B83" w:rsidP="00BA499D">
            <w:pPr>
              <w:rPr>
                <w:rFonts w:cstheme="minorHAnsi"/>
                <w:sz w:val="18"/>
                <w:szCs w:val="18"/>
              </w:rPr>
            </w:pPr>
            <w:r w:rsidRPr="00E3787C">
              <w:rPr>
                <w:rFonts w:eastAsia="Times New Roman" w:cstheme="minorHAnsi"/>
                <w:i/>
                <w:iCs/>
                <w:sz w:val="18"/>
                <w:szCs w:val="18"/>
              </w:rPr>
              <w:t>Committee for Medicinal Products for Human Use</w:t>
            </w:r>
            <w:r w:rsidRPr="00E3787C">
              <w:rPr>
                <w:rFonts w:cstheme="minorHAnsi"/>
                <w:sz w:val="18"/>
                <w:szCs w:val="18"/>
              </w:rPr>
              <w:t xml:space="preserve"> </w:t>
            </w:r>
          </w:p>
          <w:p w14:paraId="6BDB066B" w14:textId="77777777" w:rsidR="00D75B83" w:rsidRPr="00E3787C" w:rsidRDefault="00D75B83" w:rsidP="00BA499D">
            <w:pPr>
              <w:rPr>
                <w:rFonts w:cstheme="minorHAnsi"/>
                <w:sz w:val="18"/>
                <w:szCs w:val="18"/>
              </w:rPr>
            </w:pPr>
            <w:r w:rsidRPr="00E3787C">
              <w:rPr>
                <w:rFonts w:cstheme="minorHAnsi"/>
                <w:sz w:val="18"/>
                <w:szCs w:val="18"/>
              </w:rPr>
              <w:t>Povjerenstvo za lijekove za humanu uporabu</w:t>
            </w:r>
          </w:p>
        </w:tc>
      </w:tr>
      <w:tr w:rsidR="00D75B83" w:rsidRPr="00E3787C" w14:paraId="5E41D5C6" w14:textId="77777777" w:rsidTr="00BA499D">
        <w:tc>
          <w:tcPr>
            <w:tcW w:w="1809" w:type="dxa"/>
          </w:tcPr>
          <w:p w14:paraId="1FFE8996" w14:textId="77777777" w:rsidR="00D75B83" w:rsidRPr="00E3787C" w:rsidRDefault="00D75B83" w:rsidP="00BA499D">
            <w:pPr>
              <w:rPr>
                <w:sz w:val="18"/>
                <w:szCs w:val="18"/>
              </w:rPr>
            </w:pPr>
            <w:r w:rsidRPr="00E3787C">
              <w:rPr>
                <w:sz w:val="18"/>
                <w:szCs w:val="18"/>
              </w:rPr>
              <w:t>CMDh</w:t>
            </w:r>
          </w:p>
        </w:tc>
        <w:tc>
          <w:tcPr>
            <w:tcW w:w="7479" w:type="dxa"/>
          </w:tcPr>
          <w:p w14:paraId="02F0FF2F" w14:textId="77777777" w:rsidR="00D75B83" w:rsidRPr="00E3787C" w:rsidRDefault="00D75B83" w:rsidP="00BA499D">
            <w:pPr>
              <w:rPr>
                <w:rFonts w:eastAsia="Times New Roman" w:cstheme="minorHAnsi"/>
                <w:sz w:val="18"/>
                <w:szCs w:val="18"/>
              </w:rPr>
            </w:pPr>
            <w:r w:rsidRPr="00E3787C">
              <w:rPr>
                <w:rFonts w:eastAsia="Times New Roman" w:cstheme="minorHAnsi"/>
                <w:i/>
                <w:sz w:val="18"/>
                <w:szCs w:val="18"/>
              </w:rPr>
              <w:t>Co-ordination group for Mutual recognition and Decentralised procedures – human</w:t>
            </w:r>
            <w:r w:rsidRPr="00E3787C">
              <w:rPr>
                <w:rFonts w:eastAsia="Times New Roman" w:cstheme="minorHAnsi"/>
                <w:sz w:val="18"/>
                <w:szCs w:val="18"/>
              </w:rPr>
              <w:t xml:space="preserve"> </w:t>
            </w:r>
          </w:p>
          <w:p w14:paraId="727A70AF" w14:textId="77777777" w:rsidR="00D75B83" w:rsidRPr="00E3787C" w:rsidRDefault="00D75B83" w:rsidP="00BA499D">
            <w:pPr>
              <w:rPr>
                <w:rFonts w:eastAsia="Times New Roman" w:cstheme="minorHAnsi"/>
                <w:sz w:val="18"/>
                <w:szCs w:val="18"/>
              </w:rPr>
            </w:pPr>
            <w:r w:rsidRPr="00E3787C">
              <w:rPr>
                <w:rFonts w:eastAsia="Times New Roman" w:cstheme="minorHAnsi"/>
                <w:sz w:val="18"/>
                <w:szCs w:val="18"/>
              </w:rPr>
              <w:t>Koordinacijska skupina za postupke uzajamnog priznavanja i decentralizirane postupke za lijekove za humanu uporabu</w:t>
            </w:r>
          </w:p>
        </w:tc>
      </w:tr>
      <w:tr w:rsidR="00D75B83" w:rsidRPr="00E3787C" w14:paraId="6B2CDBDD" w14:textId="77777777" w:rsidTr="00BA499D">
        <w:tc>
          <w:tcPr>
            <w:tcW w:w="1809" w:type="dxa"/>
          </w:tcPr>
          <w:p w14:paraId="1EB2E293" w14:textId="77777777" w:rsidR="00D75B83" w:rsidRPr="00E3787C" w:rsidRDefault="00D75B83" w:rsidP="00BA499D">
            <w:pPr>
              <w:rPr>
                <w:sz w:val="18"/>
                <w:szCs w:val="18"/>
              </w:rPr>
            </w:pPr>
            <w:r w:rsidRPr="00E3787C">
              <w:rPr>
                <w:sz w:val="18"/>
                <w:szCs w:val="18"/>
              </w:rPr>
              <w:t>COEN</w:t>
            </w:r>
          </w:p>
          <w:p w14:paraId="4FAAEC7B" w14:textId="77777777" w:rsidR="00D75B83" w:rsidRPr="00E3787C" w:rsidRDefault="00D75B83" w:rsidP="00BA499D">
            <w:pPr>
              <w:rPr>
                <w:sz w:val="18"/>
                <w:szCs w:val="18"/>
              </w:rPr>
            </w:pPr>
          </w:p>
        </w:tc>
        <w:tc>
          <w:tcPr>
            <w:tcW w:w="7479" w:type="dxa"/>
          </w:tcPr>
          <w:p w14:paraId="6B3F04AC" w14:textId="77777777" w:rsidR="00D75B83" w:rsidRPr="00E3787C" w:rsidRDefault="00D75B83" w:rsidP="00BA499D">
            <w:pPr>
              <w:rPr>
                <w:b/>
                <w:i/>
                <w:sz w:val="18"/>
                <w:szCs w:val="18"/>
              </w:rPr>
            </w:pPr>
            <w:r w:rsidRPr="00E3787C">
              <w:rPr>
                <w:i/>
                <w:sz w:val="18"/>
                <w:szCs w:val="18"/>
              </w:rPr>
              <w:t>Compliance&amp;Enforcement WG</w:t>
            </w:r>
            <w:r w:rsidRPr="00E3787C">
              <w:rPr>
                <w:b/>
                <w:i/>
                <w:sz w:val="18"/>
                <w:szCs w:val="18"/>
              </w:rPr>
              <w:t xml:space="preserve"> </w:t>
            </w:r>
          </w:p>
          <w:p w14:paraId="6BA31A17" w14:textId="77777777" w:rsidR="00D75B83" w:rsidRPr="00E3787C" w:rsidRDefault="00D75B83" w:rsidP="00BA499D">
            <w:pPr>
              <w:rPr>
                <w:sz w:val="18"/>
                <w:szCs w:val="18"/>
              </w:rPr>
            </w:pPr>
            <w:r w:rsidRPr="00E3787C">
              <w:rPr>
                <w:sz w:val="18"/>
                <w:szCs w:val="18"/>
              </w:rPr>
              <w:t>Radna skupina za usklađenost i izvršenje</w:t>
            </w:r>
          </w:p>
        </w:tc>
      </w:tr>
      <w:tr w:rsidR="00D75B83" w:rsidRPr="00E3787C" w14:paraId="620193E2" w14:textId="77777777" w:rsidTr="00BA499D">
        <w:tc>
          <w:tcPr>
            <w:tcW w:w="1809" w:type="dxa"/>
          </w:tcPr>
          <w:p w14:paraId="32FBA2B3" w14:textId="77777777" w:rsidR="00D75B83" w:rsidRPr="00E3787C" w:rsidRDefault="00D75B83" w:rsidP="00BA499D">
            <w:pPr>
              <w:rPr>
                <w:rFonts w:cstheme="minorHAnsi"/>
                <w:sz w:val="18"/>
                <w:szCs w:val="18"/>
              </w:rPr>
            </w:pPr>
            <w:r w:rsidRPr="00E3787C">
              <w:rPr>
                <w:rFonts w:cstheme="minorHAnsi"/>
                <w:sz w:val="18"/>
                <w:szCs w:val="18"/>
              </w:rPr>
              <w:t>COMP</w:t>
            </w:r>
          </w:p>
        </w:tc>
        <w:tc>
          <w:tcPr>
            <w:tcW w:w="7479" w:type="dxa"/>
          </w:tcPr>
          <w:p w14:paraId="7A9D78C7" w14:textId="77777777" w:rsidR="00D75B83" w:rsidRPr="00E3787C" w:rsidRDefault="00D75B83" w:rsidP="00BA499D">
            <w:pPr>
              <w:rPr>
                <w:rFonts w:eastAsia="Times New Roman" w:cstheme="minorHAnsi"/>
                <w:sz w:val="18"/>
                <w:szCs w:val="18"/>
              </w:rPr>
            </w:pPr>
            <w:r w:rsidRPr="00E3787C">
              <w:rPr>
                <w:rFonts w:eastAsia="Times New Roman" w:cstheme="minorHAnsi"/>
                <w:i/>
                <w:iCs/>
                <w:sz w:val="18"/>
                <w:szCs w:val="18"/>
              </w:rPr>
              <w:t>Committee for Orphan Medicinal Products</w:t>
            </w:r>
            <w:r w:rsidRPr="00E3787C">
              <w:rPr>
                <w:rFonts w:eastAsia="Times New Roman" w:cstheme="minorHAnsi"/>
                <w:sz w:val="18"/>
                <w:szCs w:val="18"/>
              </w:rPr>
              <w:t xml:space="preserve"> </w:t>
            </w:r>
          </w:p>
          <w:p w14:paraId="062F5CA3" w14:textId="77777777" w:rsidR="00D75B83" w:rsidRPr="00E3787C" w:rsidRDefault="00D75B83" w:rsidP="00BA499D">
            <w:pPr>
              <w:rPr>
                <w:rFonts w:eastAsia="Times New Roman" w:cstheme="minorHAnsi"/>
                <w:sz w:val="18"/>
                <w:szCs w:val="18"/>
              </w:rPr>
            </w:pPr>
            <w:r w:rsidRPr="00E3787C">
              <w:rPr>
                <w:rFonts w:eastAsia="Times New Roman" w:cstheme="minorHAnsi"/>
                <w:sz w:val="18"/>
                <w:szCs w:val="18"/>
              </w:rPr>
              <w:t>Povjerenstvo za lijekove za liječenje rijetkih i teških bolesti</w:t>
            </w:r>
          </w:p>
        </w:tc>
      </w:tr>
      <w:tr w:rsidR="00D75B83" w:rsidRPr="00E3787C" w14:paraId="4627057F" w14:textId="77777777" w:rsidTr="00BA499D">
        <w:tc>
          <w:tcPr>
            <w:tcW w:w="1809" w:type="dxa"/>
          </w:tcPr>
          <w:p w14:paraId="7193278E" w14:textId="77777777" w:rsidR="00D75B83" w:rsidRPr="00E3787C" w:rsidRDefault="00D75B83" w:rsidP="00BA499D">
            <w:pPr>
              <w:rPr>
                <w:sz w:val="18"/>
                <w:szCs w:val="18"/>
              </w:rPr>
            </w:pPr>
            <w:r w:rsidRPr="00E3787C">
              <w:rPr>
                <w:sz w:val="18"/>
                <w:szCs w:val="18"/>
              </w:rPr>
              <w:t>CP</w:t>
            </w:r>
          </w:p>
        </w:tc>
        <w:tc>
          <w:tcPr>
            <w:tcW w:w="7479" w:type="dxa"/>
          </w:tcPr>
          <w:p w14:paraId="3561665A" w14:textId="77777777" w:rsidR="00D75B83" w:rsidRPr="00E3787C" w:rsidRDefault="00D75B83" w:rsidP="00BA499D">
            <w:pPr>
              <w:rPr>
                <w:sz w:val="18"/>
                <w:szCs w:val="18"/>
              </w:rPr>
            </w:pPr>
            <w:r w:rsidRPr="00E3787C">
              <w:rPr>
                <w:i/>
                <w:sz w:val="18"/>
                <w:szCs w:val="18"/>
              </w:rPr>
              <w:t>Centralised Procedure</w:t>
            </w:r>
            <w:r w:rsidRPr="00E3787C">
              <w:rPr>
                <w:sz w:val="18"/>
                <w:szCs w:val="18"/>
              </w:rPr>
              <w:t xml:space="preserve"> </w:t>
            </w:r>
          </w:p>
          <w:p w14:paraId="74A05698" w14:textId="77777777" w:rsidR="00D75B83" w:rsidRPr="00E3787C" w:rsidRDefault="00D75B83" w:rsidP="00BA499D">
            <w:pPr>
              <w:rPr>
                <w:sz w:val="18"/>
                <w:szCs w:val="18"/>
              </w:rPr>
            </w:pPr>
            <w:r w:rsidRPr="00E3787C">
              <w:rPr>
                <w:sz w:val="18"/>
                <w:szCs w:val="18"/>
              </w:rPr>
              <w:t>Centralizirani postupak</w:t>
            </w:r>
          </w:p>
        </w:tc>
      </w:tr>
      <w:tr w:rsidR="00D75B83" w:rsidRPr="00E3787C" w14:paraId="237F073E" w14:textId="77777777" w:rsidTr="00BA499D">
        <w:tc>
          <w:tcPr>
            <w:tcW w:w="1809" w:type="dxa"/>
          </w:tcPr>
          <w:p w14:paraId="620AB1C6" w14:textId="77777777" w:rsidR="00D75B83" w:rsidRPr="00E3787C" w:rsidRDefault="00D75B83" w:rsidP="00BA499D">
            <w:pPr>
              <w:rPr>
                <w:sz w:val="18"/>
                <w:szCs w:val="18"/>
              </w:rPr>
            </w:pPr>
            <w:r w:rsidRPr="00E3787C">
              <w:rPr>
                <w:sz w:val="18"/>
                <w:szCs w:val="18"/>
              </w:rPr>
              <w:t>CVSWP</w:t>
            </w:r>
          </w:p>
        </w:tc>
        <w:tc>
          <w:tcPr>
            <w:tcW w:w="7479" w:type="dxa"/>
          </w:tcPr>
          <w:p w14:paraId="4F52F490" w14:textId="77777777" w:rsidR="00D75B83" w:rsidRPr="00E3787C" w:rsidRDefault="00D75B83" w:rsidP="00BA499D">
            <w:pPr>
              <w:rPr>
                <w:rFonts w:eastAsia="Times New Roman" w:cstheme="minorHAnsi"/>
                <w:i/>
                <w:sz w:val="18"/>
                <w:szCs w:val="18"/>
              </w:rPr>
            </w:pPr>
            <w:r w:rsidRPr="00E3787C">
              <w:rPr>
                <w:rFonts w:eastAsia="Times New Roman" w:cstheme="minorHAnsi"/>
                <w:i/>
                <w:sz w:val="18"/>
                <w:szCs w:val="18"/>
              </w:rPr>
              <w:t>Cardiovascular Working Party</w:t>
            </w:r>
          </w:p>
          <w:p w14:paraId="3C7D06EA" w14:textId="77777777" w:rsidR="00D75B83" w:rsidRPr="00E3787C" w:rsidRDefault="00D75B83" w:rsidP="00BA499D">
            <w:pPr>
              <w:rPr>
                <w:rFonts w:eastAsia="Times New Roman" w:cstheme="minorHAnsi"/>
                <w:sz w:val="18"/>
                <w:szCs w:val="18"/>
              </w:rPr>
            </w:pPr>
            <w:r w:rsidRPr="00E3787C">
              <w:rPr>
                <w:rFonts w:eastAsia="Times New Roman" w:cstheme="minorHAnsi"/>
                <w:sz w:val="18"/>
                <w:szCs w:val="18"/>
              </w:rPr>
              <w:t>Radna skupina za terapiju kardiovaskularnih bolesti</w:t>
            </w:r>
          </w:p>
        </w:tc>
      </w:tr>
      <w:tr w:rsidR="00D75B83" w:rsidRPr="00E3787C" w14:paraId="08113326" w14:textId="77777777" w:rsidTr="00BA499D">
        <w:tc>
          <w:tcPr>
            <w:tcW w:w="1809" w:type="dxa"/>
          </w:tcPr>
          <w:p w14:paraId="5B458CE5" w14:textId="77777777" w:rsidR="00D75B83" w:rsidRPr="00E3787C" w:rsidRDefault="00D75B83" w:rsidP="00BA499D">
            <w:pPr>
              <w:rPr>
                <w:sz w:val="18"/>
                <w:szCs w:val="18"/>
              </w:rPr>
            </w:pPr>
            <w:r w:rsidRPr="00E3787C">
              <w:rPr>
                <w:sz w:val="18"/>
                <w:szCs w:val="18"/>
              </w:rPr>
              <w:t>DAIS</w:t>
            </w:r>
          </w:p>
        </w:tc>
        <w:tc>
          <w:tcPr>
            <w:tcW w:w="7479" w:type="dxa"/>
          </w:tcPr>
          <w:p w14:paraId="163B0FF3" w14:textId="77777777" w:rsidR="00D75B83" w:rsidRPr="00E3787C" w:rsidRDefault="00D75B83" w:rsidP="00BA499D">
            <w:pPr>
              <w:rPr>
                <w:sz w:val="18"/>
                <w:szCs w:val="18"/>
              </w:rPr>
            </w:pPr>
            <w:r w:rsidRPr="00E3787C">
              <w:rPr>
                <w:i/>
                <w:sz w:val="18"/>
                <w:szCs w:val="18"/>
              </w:rPr>
              <w:t>Digital Archival Information System</w:t>
            </w:r>
            <w:r w:rsidRPr="00E3787C">
              <w:rPr>
                <w:sz w:val="18"/>
                <w:szCs w:val="18"/>
              </w:rPr>
              <w:t xml:space="preserve"> </w:t>
            </w:r>
          </w:p>
          <w:p w14:paraId="72DFA02F" w14:textId="77777777" w:rsidR="00D75B83" w:rsidRPr="00E3787C" w:rsidRDefault="00D75B83" w:rsidP="00BA499D">
            <w:pPr>
              <w:rPr>
                <w:sz w:val="18"/>
                <w:szCs w:val="18"/>
              </w:rPr>
            </w:pPr>
            <w:r w:rsidRPr="00E3787C">
              <w:rPr>
                <w:sz w:val="18"/>
                <w:szCs w:val="18"/>
              </w:rPr>
              <w:t>Digitalni arhivski informacijski sustav HALMED-a</w:t>
            </w:r>
          </w:p>
        </w:tc>
      </w:tr>
      <w:tr w:rsidR="00D75B83" w:rsidRPr="00E3787C" w14:paraId="0B1A8A69" w14:textId="77777777" w:rsidTr="00BA499D">
        <w:tc>
          <w:tcPr>
            <w:tcW w:w="1809" w:type="dxa"/>
          </w:tcPr>
          <w:p w14:paraId="16E3E6E3" w14:textId="77777777" w:rsidR="00D75B83" w:rsidRPr="00E3787C" w:rsidRDefault="00D75B83" w:rsidP="00BA499D">
            <w:pPr>
              <w:rPr>
                <w:sz w:val="18"/>
                <w:szCs w:val="18"/>
              </w:rPr>
            </w:pPr>
            <w:r w:rsidRPr="00E3787C">
              <w:rPr>
                <w:sz w:val="18"/>
                <w:szCs w:val="18"/>
              </w:rPr>
              <w:t>eCTD</w:t>
            </w:r>
          </w:p>
        </w:tc>
        <w:tc>
          <w:tcPr>
            <w:tcW w:w="7479" w:type="dxa"/>
          </w:tcPr>
          <w:p w14:paraId="401D6124" w14:textId="77777777" w:rsidR="00D75B83" w:rsidRPr="00E3787C" w:rsidRDefault="00D75B83" w:rsidP="00BA499D">
            <w:pPr>
              <w:rPr>
                <w:sz w:val="18"/>
                <w:szCs w:val="18"/>
              </w:rPr>
            </w:pPr>
            <w:r w:rsidRPr="00E3787C">
              <w:rPr>
                <w:i/>
                <w:sz w:val="18"/>
                <w:szCs w:val="18"/>
              </w:rPr>
              <w:t>Electronic Common Technical Document</w:t>
            </w:r>
            <w:r w:rsidRPr="00E3787C">
              <w:rPr>
                <w:sz w:val="18"/>
                <w:szCs w:val="18"/>
              </w:rPr>
              <w:t xml:space="preserve"> </w:t>
            </w:r>
          </w:p>
          <w:p w14:paraId="42247147" w14:textId="77777777" w:rsidR="00D75B83" w:rsidRPr="00E3787C" w:rsidRDefault="00D75B83" w:rsidP="00BA499D">
            <w:pPr>
              <w:rPr>
                <w:sz w:val="18"/>
                <w:szCs w:val="18"/>
              </w:rPr>
            </w:pPr>
            <w:r w:rsidRPr="00E3787C">
              <w:rPr>
                <w:sz w:val="18"/>
                <w:szCs w:val="18"/>
              </w:rPr>
              <w:t>Elektronički zajednički tehnički dokument</w:t>
            </w:r>
          </w:p>
        </w:tc>
      </w:tr>
      <w:tr w:rsidR="00D75B83" w:rsidRPr="00E3787C" w14:paraId="202424ED" w14:textId="77777777" w:rsidTr="00BA499D">
        <w:tc>
          <w:tcPr>
            <w:tcW w:w="1809" w:type="dxa"/>
          </w:tcPr>
          <w:p w14:paraId="143C9AEA" w14:textId="77777777" w:rsidR="00D75B83" w:rsidRPr="00E3787C" w:rsidRDefault="00D75B83" w:rsidP="00BA499D">
            <w:pPr>
              <w:rPr>
                <w:sz w:val="18"/>
                <w:szCs w:val="18"/>
              </w:rPr>
            </w:pPr>
            <w:r w:rsidRPr="00E3787C">
              <w:rPr>
                <w:sz w:val="18"/>
                <w:szCs w:val="18"/>
              </w:rPr>
              <w:t>EDQM</w:t>
            </w:r>
          </w:p>
        </w:tc>
        <w:tc>
          <w:tcPr>
            <w:tcW w:w="7479" w:type="dxa"/>
          </w:tcPr>
          <w:p w14:paraId="740FC265" w14:textId="77777777" w:rsidR="00D75B83" w:rsidRPr="00E3787C" w:rsidRDefault="00D75B83" w:rsidP="00BA499D">
            <w:pPr>
              <w:rPr>
                <w:sz w:val="18"/>
                <w:szCs w:val="18"/>
              </w:rPr>
            </w:pPr>
            <w:r w:rsidRPr="00E3787C">
              <w:rPr>
                <w:i/>
                <w:sz w:val="18"/>
                <w:szCs w:val="18"/>
              </w:rPr>
              <w:t>European Directory for the Quality of Medicines and Healthcare</w:t>
            </w:r>
            <w:r w:rsidRPr="00E3787C">
              <w:rPr>
                <w:sz w:val="18"/>
                <w:szCs w:val="18"/>
              </w:rPr>
              <w:t xml:space="preserve"> </w:t>
            </w:r>
          </w:p>
          <w:p w14:paraId="1BA19029" w14:textId="77777777" w:rsidR="00D75B83" w:rsidRPr="00E3787C" w:rsidRDefault="00D75B83" w:rsidP="00BA499D">
            <w:pPr>
              <w:rPr>
                <w:sz w:val="18"/>
                <w:szCs w:val="18"/>
              </w:rPr>
            </w:pPr>
            <w:r w:rsidRPr="00E3787C">
              <w:rPr>
                <w:sz w:val="18"/>
                <w:szCs w:val="18"/>
              </w:rPr>
              <w:t>Europsko ravnateljstvo za kakvoću lijekova i zdravstvenu skrb</w:t>
            </w:r>
          </w:p>
        </w:tc>
      </w:tr>
      <w:tr w:rsidR="00D75B83" w:rsidRPr="00E3787C" w14:paraId="5C90CA6E" w14:textId="77777777" w:rsidTr="00BA499D">
        <w:tc>
          <w:tcPr>
            <w:tcW w:w="1809" w:type="dxa"/>
          </w:tcPr>
          <w:p w14:paraId="25A95C22" w14:textId="77777777" w:rsidR="00D75B83" w:rsidRPr="00E3787C" w:rsidRDefault="00D75B83" w:rsidP="00BA499D">
            <w:pPr>
              <w:rPr>
                <w:sz w:val="18"/>
                <w:szCs w:val="18"/>
              </w:rPr>
            </w:pPr>
            <w:r w:rsidRPr="00E3787C">
              <w:rPr>
                <w:sz w:val="18"/>
                <w:szCs w:val="18"/>
              </w:rPr>
              <w:t>EK</w:t>
            </w:r>
          </w:p>
        </w:tc>
        <w:tc>
          <w:tcPr>
            <w:tcW w:w="7479" w:type="dxa"/>
          </w:tcPr>
          <w:p w14:paraId="6D405B7E" w14:textId="77777777" w:rsidR="00D75B83" w:rsidRPr="00E3787C" w:rsidRDefault="00D75B83" w:rsidP="00BA499D">
            <w:pPr>
              <w:rPr>
                <w:sz w:val="18"/>
                <w:szCs w:val="18"/>
              </w:rPr>
            </w:pPr>
            <w:r w:rsidRPr="00E3787C">
              <w:rPr>
                <w:i/>
                <w:sz w:val="18"/>
                <w:szCs w:val="18"/>
              </w:rPr>
              <w:t>European Commission</w:t>
            </w:r>
            <w:r w:rsidRPr="00E3787C">
              <w:rPr>
                <w:sz w:val="18"/>
                <w:szCs w:val="18"/>
              </w:rPr>
              <w:t xml:space="preserve"> </w:t>
            </w:r>
          </w:p>
          <w:p w14:paraId="5902D421" w14:textId="77777777" w:rsidR="00D75B83" w:rsidRPr="00E3787C" w:rsidRDefault="00D75B83" w:rsidP="00BA499D">
            <w:pPr>
              <w:rPr>
                <w:sz w:val="18"/>
                <w:szCs w:val="18"/>
              </w:rPr>
            </w:pPr>
            <w:r w:rsidRPr="00E3787C">
              <w:rPr>
                <w:sz w:val="18"/>
                <w:szCs w:val="18"/>
              </w:rPr>
              <w:t>Europska komisija</w:t>
            </w:r>
          </w:p>
        </w:tc>
      </w:tr>
      <w:tr w:rsidR="00D75B83" w:rsidRPr="00E3787C" w14:paraId="5D6FB435" w14:textId="77777777" w:rsidTr="00BA499D">
        <w:tc>
          <w:tcPr>
            <w:tcW w:w="1809" w:type="dxa"/>
          </w:tcPr>
          <w:p w14:paraId="39B2D300" w14:textId="77777777" w:rsidR="00D75B83" w:rsidRPr="00E3787C" w:rsidRDefault="00D75B83" w:rsidP="00BA499D">
            <w:pPr>
              <w:rPr>
                <w:sz w:val="18"/>
                <w:szCs w:val="18"/>
              </w:rPr>
            </w:pPr>
            <w:r w:rsidRPr="00E3787C">
              <w:rPr>
                <w:sz w:val="18"/>
                <w:szCs w:val="18"/>
              </w:rPr>
              <w:t xml:space="preserve">EMA </w:t>
            </w:r>
          </w:p>
        </w:tc>
        <w:tc>
          <w:tcPr>
            <w:tcW w:w="7479" w:type="dxa"/>
          </w:tcPr>
          <w:p w14:paraId="1C557634" w14:textId="77777777" w:rsidR="00D75B83" w:rsidRPr="00E3787C" w:rsidRDefault="00D75B83" w:rsidP="00BA499D">
            <w:pPr>
              <w:rPr>
                <w:sz w:val="18"/>
                <w:szCs w:val="18"/>
              </w:rPr>
            </w:pPr>
            <w:r w:rsidRPr="00E3787C">
              <w:rPr>
                <w:i/>
                <w:sz w:val="18"/>
                <w:szCs w:val="18"/>
              </w:rPr>
              <w:t>European Medicines Agency</w:t>
            </w:r>
            <w:r w:rsidRPr="00E3787C">
              <w:rPr>
                <w:sz w:val="18"/>
                <w:szCs w:val="18"/>
              </w:rPr>
              <w:t xml:space="preserve"> </w:t>
            </w:r>
          </w:p>
          <w:p w14:paraId="15A45C25" w14:textId="77777777" w:rsidR="00D75B83" w:rsidRPr="00E3787C" w:rsidRDefault="00D75B83" w:rsidP="00BA499D">
            <w:pPr>
              <w:rPr>
                <w:sz w:val="18"/>
                <w:szCs w:val="18"/>
              </w:rPr>
            </w:pPr>
            <w:r w:rsidRPr="00E3787C">
              <w:rPr>
                <w:sz w:val="18"/>
                <w:szCs w:val="18"/>
              </w:rPr>
              <w:lastRenderedPageBreak/>
              <w:t>Europska agencija za lijekove</w:t>
            </w:r>
          </w:p>
        </w:tc>
      </w:tr>
      <w:tr w:rsidR="00D75B83" w:rsidRPr="00E3787C" w14:paraId="670BB74F" w14:textId="77777777" w:rsidTr="00BA499D">
        <w:tc>
          <w:tcPr>
            <w:tcW w:w="1809" w:type="dxa"/>
          </w:tcPr>
          <w:p w14:paraId="21613B02" w14:textId="77777777" w:rsidR="00D75B83" w:rsidRPr="00E3787C" w:rsidRDefault="00D75B83" w:rsidP="00BA499D">
            <w:pPr>
              <w:rPr>
                <w:sz w:val="18"/>
                <w:szCs w:val="18"/>
              </w:rPr>
            </w:pPr>
            <w:r w:rsidRPr="00E3787C">
              <w:rPr>
                <w:sz w:val="18"/>
                <w:szCs w:val="18"/>
              </w:rPr>
              <w:lastRenderedPageBreak/>
              <w:t>EMACOLEX</w:t>
            </w:r>
          </w:p>
        </w:tc>
        <w:tc>
          <w:tcPr>
            <w:tcW w:w="7479" w:type="dxa"/>
          </w:tcPr>
          <w:p w14:paraId="2A2188D4" w14:textId="77777777" w:rsidR="00D75B83" w:rsidRPr="00E3787C" w:rsidRDefault="00D75B83" w:rsidP="00BA499D">
            <w:pPr>
              <w:rPr>
                <w:rFonts w:eastAsia="Times New Roman" w:cstheme="minorHAnsi"/>
                <w:sz w:val="18"/>
                <w:szCs w:val="18"/>
              </w:rPr>
            </w:pPr>
            <w:r w:rsidRPr="00E3787C">
              <w:rPr>
                <w:rFonts w:eastAsia="Times New Roman" w:cstheme="minorHAnsi"/>
                <w:i/>
                <w:sz w:val="18"/>
                <w:szCs w:val="18"/>
              </w:rPr>
              <w:t>European Medicines Agencies Co-operation on Legal and Legislative Issues</w:t>
            </w:r>
            <w:r w:rsidRPr="00E3787C">
              <w:rPr>
                <w:rFonts w:eastAsia="Times New Roman" w:cstheme="minorHAnsi"/>
                <w:sz w:val="18"/>
                <w:szCs w:val="18"/>
              </w:rPr>
              <w:t xml:space="preserve"> </w:t>
            </w:r>
          </w:p>
          <w:p w14:paraId="638B0355" w14:textId="77777777" w:rsidR="00D75B83" w:rsidRPr="00E3787C" w:rsidRDefault="00D75B83" w:rsidP="00BA499D">
            <w:pPr>
              <w:rPr>
                <w:sz w:val="18"/>
                <w:szCs w:val="18"/>
              </w:rPr>
            </w:pPr>
            <w:r w:rsidRPr="00E3787C">
              <w:rPr>
                <w:rFonts w:eastAsia="Times New Roman" w:cstheme="minorHAnsi"/>
                <w:sz w:val="18"/>
                <w:szCs w:val="18"/>
              </w:rPr>
              <w:t>Radna skupina za pravna i zakonodavna pitanja</w:t>
            </w:r>
          </w:p>
        </w:tc>
      </w:tr>
      <w:tr w:rsidR="00D75B83" w:rsidRPr="00E3787C" w14:paraId="172DD927" w14:textId="77777777" w:rsidTr="00BA499D">
        <w:tc>
          <w:tcPr>
            <w:tcW w:w="1809" w:type="dxa"/>
          </w:tcPr>
          <w:p w14:paraId="47842CF6" w14:textId="77777777" w:rsidR="00D75B83" w:rsidRPr="00E3787C" w:rsidRDefault="00D75B83" w:rsidP="00BA499D">
            <w:pPr>
              <w:rPr>
                <w:sz w:val="18"/>
                <w:szCs w:val="18"/>
              </w:rPr>
            </w:pPr>
            <w:r w:rsidRPr="00E3787C">
              <w:rPr>
                <w:sz w:val="18"/>
                <w:szCs w:val="18"/>
              </w:rPr>
              <w:t>EMRN</w:t>
            </w:r>
          </w:p>
        </w:tc>
        <w:tc>
          <w:tcPr>
            <w:tcW w:w="7479" w:type="dxa"/>
          </w:tcPr>
          <w:p w14:paraId="34BDBC59" w14:textId="77777777" w:rsidR="00D75B83" w:rsidRPr="00E3787C" w:rsidRDefault="00D75B83" w:rsidP="00BA499D">
            <w:pPr>
              <w:rPr>
                <w:rFonts w:ascii="Calibri" w:eastAsia="Times New Roman" w:hAnsi="Calibri" w:cs="Calibri"/>
                <w:i/>
                <w:color w:val="1D1B11"/>
                <w:sz w:val="18"/>
                <w:szCs w:val="18"/>
              </w:rPr>
            </w:pPr>
            <w:r w:rsidRPr="00E3787C">
              <w:rPr>
                <w:rFonts w:ascii="Calibri" w:eastAsia="Times New Roman" w:hAnsi="Calibri" w:cs="Calibri"/>
                <w:i/>
                <w:color w:val="1D1B11"/>
                <w:sz w:val="18"/>
                <w:szCs w:val="18"/>
              </w:rPr>
              <w:t>European Medicines Regulatory Network</w:t>
            </w:r>
          </w:p>
          <w:p w14:paraId="6DEF7A25" w14:textId="77777777" w:rsidR="00D75B83" w:rsidRPr="00E3787C" w:rsidRDefault="00D75B83" w:rsidP="00BA499D">
            <w:pPr>
              <w:rPr>
                <w:rFonts w:ascii="Calibri" w:eastAsia="Times New Roman" w:hAnsi="Calibri" w:cs="Calibri"/>
                <w:color w:val="1D1B11"/>
                <w:sz w:val="18"/>
                <w:szCs w:val="18"/>
              </w:rPr>
            </w:pPr>
            <w:r w:rsidRPr="00E3787C">
              <w:rPr>
                <w:rFonts w:ascii="Calibri" w:eastAsia="Times New Roman" w:hAnsi="Calibri" w:cs="Calibri"/>
                <w:iCs/>
                <w:sz w:val="18"/>
                <w:szCs w:val="18"/>
              </w:rPr>
              <w:t xml:space="preserve">Europska regulatorna mreža za lijekove </w:t>
            </w:r>
            <w:r w:rsidRPr="00E3787C">
              <w:rPr>
                <w:rFonts w:ascii="Calibri" w:eastAsia="Times New Roman" w:hAnsi="Calibri" w:cs="Calibri"/>
                <w:color w:val="1D1B11"/>
                <w:sz w:val="18"/>
                <w:szCs w:val="18"/>
              </w:rPr>
              <w:t>za humanui životinjsku uporabu</w:t>
            </w:r>
          </w:p>
        </w:tc>
      </w:tr>
      <w:tr w:rsidR="00D75B83" w:rsidRPr="00E3787C" w14:paraId="75AD7B77" w14:textId="77777777" w:rsidTr="00BA499D">
        <w:tc>
          <w:tcPr>
            <w:tcW w:w="1809" w:type="dxa"/>
          </w:tcPr>
          <w:p w14:paraId="54F05C72" w14:textId="77777777" w:rsidR="00D75B83" w:rsidRPr="00E3787C" w:rsidRDefault="00D75B83" w:rsidP="00BA499D">
            <w:pPr>
              <w:rPr>
                <w:rFonts w:cstheme="minorHAnsi"/>
                <w:sz w:val="18"/>
                <w:szCs w:val="18"/>
              </w:rPr>
            </w:pPr>
            <w:r w:rsidRPr="00E3787C">
              <w:rPr>
                <w:rFonts w:cstheme="minorHAnsi"/>
                <w:sz w:val="18"/>
                <w:szCs w:val="18"/>
              </w:rPr>
              <w:t>ENCePP</w:t>
            </w:r>
          </w:p>
        </w:tc>
        <w:tc>
          <w:tcPr>
            <w:tcW w:w="7479" w:type="dxa"/>
          </w:tcPr>
          <w:p w14:paraId="241772DC" w14:textId="77777777" w:rsidR="00D75B83" w:rsidRPr="00E3787C" w:rsidRDefault="00D75B83" w:rsidP="00BA499D">
            <w:pPr>
              <w:rPr>
                <w:rFonts w:eastAsia="Times New Roman" w:cstheme="minorHAnsi"/>
                <w:sz w:val="18"/>
                <w:szCs w:val="18"/>
              </w:rPr>
            </w:pPr>
            <w:r w:rsidRPr="00E3787C">
              <w:rPr>
                <w:rFonts w:eastAsia="Times New Roman" w:cstheme="minorHAnsi"/>
                <w:i/>
                <w:iCs/>
                <w:sz w:val="18"/>
                <w:szCs w:val="18"/>
              </w:rPr>
              <w:t>European Network of Centre for Pharmacovigilance and Pharmacoepidemiology</w:t>
            </w:r>
            <w:r w:rsidRPr="00E3787C">
              <w:rPr>
                <w:rFonts w:eastAsia="Times New Roman" w:cstheme="minorHAnsi"/>
                <w:sz w:val="18"/>
                <w:szCs w:val="18"/>
              </w:rPr>
              <w:t xml:space="preserve"> </w:t>
            </w:r>
          </w:p>
          <w:p w14:paraId="329E158C" w14:textId="77777777" w:rsidR="00D75B83" w:rsidRPr="00E3787C" w:rsidRDefault="00D75B83" w:rsidP="00BA499D">
            <w:pPr>
              <w:rPr>
                <w:rFonts w:eastAsia="Times New Roman" w:cstheme="minorHAnsi"/>
                <w:sz w:val="18"/>
                <w:szCs w:val="18"/>
              </w:rPr>
            </w:pPr>
            <w:r w:rsidRPr="00E3787C">
              <w:rPr>
                <w:rFonts w:eastAsia="Times New Roman" w:cstheme="minorHAnsi"/>
                <w:sz w:val="18"/>
                <w:szCs w:val="18"/>
              </w:rPr>
              <w:t xml:space="preserve">Europska mreža centara za farmakovigilanciju i farmakoepidemiologiju </w:t>
            </w:r>
          </w:p>
        </w:tc>
      </w:tr>
      <w:tr w:rsidR="00D75B83" w:rsidRPr="00E3787C" w14:paraId="41D39C23" w14:textId="77777777" w:rsidTr="00BA499D">
        <w:tc>
          <w:tcPr>
            <w:tcW w:w="1809" w:type="dxa"/>
          </w:tcPr>
          <w:p w14:paraId="1B667BBE" w14:textId="77777777" w:rsidR="00D75B83" w:rsidRPr="00E3787C" w:rsidRDefault="00D75B83" w:rsidP="00BA499D">
            <w:pPr>
              <w:rPr>
                <w:sz w:val="18"/>
                <w:szCs w:val="18"/>
              </w:rPr>
            </w:pPr>
            <w:r w:rsidRPr="00E3787C">
              <w:rPr>
                <w:sz w:val="18"/>
                <w:szCs w:val="18"/>
              </w:rPr>
              <w:t>ENG</w:t>
            </w:r>
          </w:p>
        </w:tc>
        <w:tc>
          <w:tcPr>
            <w:tcW w:w="7479" w:type="dxa"/>
          </w:tcPr>
          <w:p w14:paraId="45A5F713" w14:textId="77777777" w:rsidR="00D75B83" w:rsidRPr="00E3787C" w:rsidRDefault="00D75B83" w:rsidP="00BA499D">
            <w:pPr>
              <w:tabs>
                <w:tab w:val="left" w:pos="4170"/>
              </w:tabs>
              <w:rPr>
                <w:sz w:val="18"/>
                <w:szCs w:val="18"/>
              </w:rPr>
            </w:pPr>
            <w:r w:rsidRPr="00E3787C">
              <w:rPr>
                <w:rFonts w:cstheme="minorHAnsi"/>
                <w:bCs/>
                <w:i/>
                <w:sz w:val="18"/>
                <w:szCs w:val="18"/>
              </w:rPr>
              <w:t>Expert group on the delegated act on the safety features for medicinal products for human use</w:t>
            </w:r>
            <w:r w:rsidRPr="00E3787C">
              <w:rPr>
                <w:sz w:val="18"/>
                <w:szCs w:val="18"/>
              </w:rPr>
              <w:t xml:space="preserve"> </w:t>
            </w:r>
          </w:p>
          <w:p w14:paraId="0B045F95" w14:textId="77777777" w:rsidR="00D75B83" w:rsidRPr="00E3787C" w:rsidRDefault="00D75B83" w:rsidP="00BA499D">
            <w:pPr>
              <w:tabs>
                <w:tab w:val="left" w:pos="4170"/>
              </w:tabs>
              <w:rPr>
                <w:rFonts w:cstheme="minorHAnsi"/>
                <w:bCs/>
                <w:sz w:val="18"/>
                <w:szCs w:val="18"/>
              </w:rPr>
            </w:pPr>
            <w:r w:rsidRPr="00E3787C">
              <w:rPr>
                <w:sz w:val="18"/>
                <w:szCs w:val="18"/>
              </w:rPr>
              <w:t>Ekspertna grupa za donošenje delegiranog akta o serijalizaciji lijekova za humanu uporabu</w:t>
            </w:r>
          </w:p>
        </w:tc>
      </w:tr>
      <w:tr w:rsidR="00D75B83" w:rsidRPr="00E3787C" w14:paraId="691A5826" w14:textId="77777777" w:rsidTr="00BA499D">
        <w:tc>
          <w:tcPr>
            <w:tcW w:w="1809" w:type="dxa"/>
          </w:tcPr>
          <w:p w14:paraId="6E19CFB7" w14:textId="77777777" w:rsidR="00D75B83" w:rsidRPr="00E3787C" w:rsidRDefault="00D75B83" w:rsidP="00BA499D">
            <w:pPr>
              <w:rPr>
                <w:sz w:val="18"/>
                <w:szCs w:val="18"/>
              </w:rPr>
            </w:pPr>
            <w:r w:rsidRPr="00E3787C">
              <w:rPr>
                <w:sz w:val="18"/>
                <w:szCs w:val="18"/>
              </w:rPr>
              <w:t>EPITT</w:t>
            </w:r>
          </w:p>
        </w:tc>
        <w:tc>
          <w:tcPr>
            <w:tcW w:w="7479" w:type="dxa"/>
          </w:tcPr>
          <w:p w14:paraId="6F4299FC" w14:textId="77777777" w:rsidR="00D75B83" w:rsidRPr="00E3787C" w:rsidRDefault="00D75B83" w:rsidP="00BA499D">
            <w:pPr>
              <w:tabs>
                <w:tab w:val="left" w:pos="4170"/>
              </w:tabs>
              <w:rPr>
                <w:rFonts w:eastAsia="Times New Roman" w:cstheme="minorHAnsi"/>
                <w:i/>
                <w:sz w:val="18"/>
                <w:szCs w:val="18"/>
              </w:rPr>
            </w:pPr>
            <w:r w:rsidRPr="00E3787C">
              <w:rPr>
                <w:rFonts w:eastAsia="Times New Roman" w:cstheme="minorHAnsi"/>
                <w:i/>
                <w:sz w:val="18"/>
                <w:szCs w:val="18"/>
              </w:rPr>
              <w:t>European Pharmacovigilance Issues Tracking Tool</w:t>
            </w:r>
          </w:p>
        </w:tc>
      </w:tr>
      <w:tr w:rsidR="00D75B83" w:rsidRPr="00E3787C" w14:paraId="4ED198B3" w14:textId="77777777" w:rsidTr="00BA499D">
        <w:tc>
          <w:tcPr>
            <w:tcW w:w="1809" w:type="dxa"/>
          </w:tcPr>
          <w:p w14:paraId="32B49088" w14:textId="77777777" w:rsidR="00D75B83" w:rsidRPr="00E3787C" w:rsidRDefault="00D75B83" w:rsidP="00BA499D">
            <w:pPr>
              <w:rPr>
                <w:sz w:val="18"/>
                <w:szCs w:val="18"/>
              </w:rPr>
            </w:pPr>
            <w:r w:rsidRPr="00E3787C">
              <w:rPr>
                <w:sz w:val="18"/>
                <w:szCs w:val="18"/>
              </w:rPr>
              <w:t>EU</w:t>
            </w:r>
          </w:p>
        </w:tc>
        <w:tc>
          <w:tcPr>
            <w:tcW w:w="7479" w:type="dxa"/>
          </w:tcPr>
          <w:p w14:paraId="54198C5E" w14:textId="77777777" w:rsidR="00D75B83" w:rsidRPr="00E3787C" w:rsidRDefault="00D75B83" w:rsidP="00BA499D">
            <w:pPr>
              <w:rPr>
                <w:sz w:val="18"/>
                <w:szCs w:val="18"/>
              </w:rPr>
            </w:pPr>
            <w:r w:rsidRPr="00E3787C">
              <w:rPr>
                <w:i/>
                <w:sz w:val="18"/>
                <w:szCs w:val="18"/>
              </w:rPr>
              <w:t>European Union</w:t>
            </w:r>
            <w:r w:rsidRPr="00E3787C">
              <w:rPr>
                <w:sz w:val="18"/>
                <w:szCs w:val="18"/>
              </w:rPr>
              <w:t xml:space="preserve"> </w:t>
            </w:r>
          </w:p>
          <w:p w14:paraId="732ADF9E" w14:textId="77777777" w:rsidR="00D75B83" w:rsidRPr="00E3787C" w:rsidRDefault="00D75B83" w:rsidP="00BA499D">
            <w:pPr>
              <w:rPr>
                <w:sz w:val="18"/>
                <w:szCs w:val="18"/>
              </w:rPr>
            </w:pPr>
            <w:r w:rsidRPr="00E3787C">
              <w:rPr>
                <w:sz w:val="18"/>
                <w:szCs w:val="18"/>
              </w:rPr>
              <w:t>Europska unija</w:t>
            </w:r>
          </w:p>
        </w:tc>
      </w:tr>
      <w:tr w:rsidR="00D75B83" w:rsidRPr="00E3787C" w14:paraId="656713B6" w14:textId="77777777" w:rsidTr="00BA499D">
        <w:tc>
          <w:tcPr>
            <w:tcW w:w="1809" w:type="dxa"/>
          </w:tcPr>
          <w:p w14:paraId="59DBDEDF" w14:textId="77777777" w:rsidR="00D75B83" w:rsidRPr="00E3787C" w:rsidRDefault="00D75B83" w:rsidP="00BA499D">
            <w:pPr>
              <w:rPr>
                <w:sz w:val="18"/>
                <w:szCs w:val="18"/>
              </w:rPr>
            </w:pPr>
            <w:r w:rsidRPr="00E3787C">
              <w:rPr>
                <w:sz w:val="18"/>
                <w:szCs w:val="18"/>
              </w:rPr>
              <w:t>EUDAMED</w:t>
            </w:r>
          </w:p>
        </w:tc>
        <w:tc>
          <w:tcPr>
            <w:tcW w:w="7479" w:type="dxa"/>
          </w:tcPr>
          <w:p w14:paraId="6301F4AA" w14:textId="77777777" w:rsidR="00D75B83" w:rsidRPr="00E3787C" w:rsidRDefault="00D75B83" w:rsidP="00BA499D">
            <w:pPr>
              <w:rPr>
                <w:i/>
                <w:sz w:val="18"/>
                <w:szCs w:val="18"/>
              </w:rPr>
            </w:pPr>
            <w:r w:rsidRPr="00E3787C">
              <w:rPr>
                <w:i/>
                <w:sz w:val="18"/>
                <w:szCs w:val="18"/>
              </w:rPr>
              <w:t>European Database for Medical Devices</w:t>
            </w:r>
          </w:p>
          <w:p w14:paraId="5D140DED" w14:textId="77777777" w:rsidR="00D75B83" w:rsidRPr="00E3787C" w:rsidRDefault="00D75B83" w:rsidP="00BA499D">
            <w:pPr>
              <w:rPr>
                <w:sz w:val="18"/>
                <w:szCs w:val="18"/>
              </w:rPr>
            </w:pPr>
            <w:r w:rsidRPr="00E3787C">
              <w:rPr>
                <w:sz w:val="18"/>
                <w:szCs w:val="18"/>
              </w:rPr>
              <w:t>Europska baza medicinskih proizvoda</w:t>
            </w:r>
          </w:p>
        </w:tc>
      </w:tr>
      <w:tr w:rsidR="00D75B83" w:rsidRPr="00E3787C" w14:paraId="1CB46BC5" w14:textId="77777777" w:rsidTr="00BA499D">
        <w:tc>
          <w:tcPr>
            <w:tcW w:w="1809" w:type="dxa"/>
          </w:tcPr>
          <w:p w14:paraId="3E6C2C6C" w14:textId="77777777" w:rsidR="00D75B83" w:rsidRPr="00E3787C" w:rsidRDefault="00D75B83" w:rsidP="00BA499D">
            <w:pPr>
              <w:rPr>
                <w:sz w:val="18"/>
                <w:szCs w:val="18"/>
              </w:rPr>
            </w:pPr>
            <w:r w:rsidRPr="00E3787C">
              <w:rPr>
                <w:sz w:val="18"/>
                <w:szCs w:val="18"/>
              </w:rPr>
              <w:t>EUDAMED SC</w:t>
            </w:r>
          </w:p>
        </w:tc>
        <w:tc>
          <w:tcPr>
            <w:tcW w:w="7479" w:type="dxa"/>
          </w:tcPr>
          <w:p w14:paraId="56F0F603" w14:textId="77777777" w:rsidR="00D75B83" w:rsidRPr="00E3787C" w:rsidRDefault="00D75B83" w:rsidP="00BA499D">
            <w:pPr>
              <w:jc w:val="both"/>
              <w:rPr>
                <w:rFonts w:eastAsia="Times New Roman" w:cstheme="minorHAnsi"/>
                <w:sz w:val="18"/>
                <w:szCs w:val="18"/>
              </w:rPr>
            </w:pPr>
            <w:r w:rsidRPr="00E3787C">
              <w:rPr>
                <w:rFonts w:eastAsia="Times New Roman" w:cstheme="minorHAnsi"/>
                <w:i/>
                <w:sz w:val="18"/>
                <w:szCs w:val="18"/>
              </w:rPr>
              <w:t>EUDAMED Steering Committee</w:t>
            </w:r>
            <w:r w:rsidRPr="00E3787C">
              <w:rPr>
                <w:rFonts w:eastAsia="Times New Roman" w:cstheme="minorHAnsi"/>
                <w:sz w:val="18"/>
                <w:szCs w:val="18"/>
              </w:rPr>
              <w:t xml:space="preserve"> </w:t>
            </w:r>
          </w:p>
          <w:p w14:paraId="751AB591" w14:textId="77777777" w:rsidR="00D75B83" w:rsidRPr="00E3787C" w:rsidRDefault="00D75B83" w:rsidP="00BA499D">
            <w:pPr>
              <w:jc w:val="both"/>
              <w:rPr>
                <w:rFonts w:eastAsia="Times New Roman" w:cstheme="minorHAnsi"/>
                <w:sz w:val="18"/>
                <w:szCs w:val="18"/>
              </w:rPr>
            </w:pPr>
            <w:r w:rsidRPr="00E3787C">
              <w:rPr>
                <w:rFonts w:eastAsia="Times New Roman" w:cstheme="minorHAnsi"/>
                <w:sz w:val="18"/>
                <w:szCs w:val="18"/>
              </w:rPr>
              <w:t>EUDAMED upravljački odbor za razvoj novog IT sustava</w:t>
            </w:r>
          </w:p>
        </w:tc>
      </w:tr>
      <w:tr w:rsidR="00D75B83" w:rsidRPr="00E3787C" w14:paraId="2110180F" w14:textId="77777777" w:rsidTr="00BA499D">
        <w:tc>
          <w:tcPr>
            <w:tcW w:w="1809" w:type="dxa"/>
          </w:tcPr>
          <w:p w14:paraId="50973437" w14:textId="77777777" w:rsidR="00D75B83" w:rsidRPr="00E3787C" w:rsidRDefault="00D75B83" w:rsidP="00BA499D">
            <w:pPr>
              <w:rPr>
                <w:sz w:val="18"/>
                <w:szCs w:val="18"/>
              </w:rPr>
            </w:pPr>
            <w:r w:rsidRPr="00E3787C">
              <w:rPr>
                <w:sz w:val="18"/>
                <w:szCs w:val="18"/>
              </w:rPr>
              <w:t>Eudranet</w:t>
            </w:r>
          </w:p>
        </w:tc>
        <w:tc>
          <w:tcPr>
            <w:tcW w:w="7479" w:type="dxa"/>
          </w:tcPr>
          <w:p w14:paraId="53BAFF0A" w14:textId="77777777" w:rsidR="00D75B83" w:rsidRPr="00E3787C" w:rsidRDefault="00D75B83" w:rsidP="00BA499D">
            <w:pPr>
              <w:rPr>
                <w:sz w:val="18"/>
                <w:szCs w:val="18"/>
              </w:rPr>
            </w:pPr>
            <w:r w:rsidRPr="00E3787C">
              <w:rPr>
                <w:i/>
                <w:sz w:val="18"/>
                <w:szCs w:val="18"/>
              </w:rPr>
              <w:t>Union Drug Regulating Authorities Network</w:t>
            </w:r>
            <w:r w:rsidRPr="00E3787C">
              <w:rPr>
                <w:sz w:val="18"/>
                <w:szCs w:val="18"/>
              </w:rPr>
              <w:t xml:space="preserve"> </w:t>
            </w:r>
          </w:p>
          <w:p w14:paraId="47D71366" w14:textId="77777777" w:rsidR="00D75B83" w:rsidRPr="00E3787C" w:rsidRDefault="00D75B83" w:rsidP="00BA499D">
            <w:pPr>
              <w:rPr>
                <w:sz w:val="18"/>
                <w:szCs w:val="18"/>
              </w:rPr>
            </w:pPr>
            <w:r w:rsidRPr="00E3787C">
              <w:rPr>
                <w:sz w:val="18"/>
                <w:szCs w:val="18"/>
              </w:rPr>
              <w:t>Zaštićena telekomunikacijska mreža regulatornih tijela odgovornih za lijekove EU-a</w:t>
            </w:r>
          </w:p>
        </w:tc>
      </w:tr>
      <w:tr w:rsidR="00D75B83" w:rsidRPr="00E3787C" w14:paraId="1E4691DD" w14:textId="77777777" w:rsidTr="00BA499D">
        <w:tc>
          <w:tcPr>
            <w:tcW w:w="1809" w:type="dxa"/>
          </w:tcPr>
          <w:p w14:paraId="0177AF6D" w14:textId="77777777" w:rsidR="00D75B83" w:rsidRPr="00E3787C" w:rsidRDefault="00D75B83" w:rsidP="00BA499D">
            <w:pPr>
              <w:rPr>
                <w:sz w:val="18"/>
                <w:szCs w:val="18"/>
              </w:rPr>
            </w:pPr>
            <w:r w:rsidRPr="00E3787C">
              <w:rPr>
                <w:sz w:val="18"/>
                <w:szCs w:val="18"/>
              </w:rPr>
              <w:t>EUNDB</w:t>
            </w:r>
          </w:p>
        </w:tc>
        <w:tc>
          <w:tcPr>
            <w:tcW w:w="7479" w:type="dxa"/>
          </w:tcPr>
          <w:p w14:paraId="67919002" w14:textId="77777777" w:rsidR="00D75B83" w:rsidRPr="00AC3B73" w:rsidRDefault="008B34CD" w:rsidP="00BA499D">
            <w:pPr>
              <w:rPr>
                <w:i/>
                <w:sz w:val="18"/>
                <w:szCs w:val="18"/>
              </w:rPr>
            </w:pPr>
            <w:hyperlink r:id="rId40" w:history="1">
              <w:r w:rsidR="00D75B83" w:rsidRPr="00AC3B73">
                <w:rPr>
                  <w:i/>
                  <w:sz w:val="18"/>
                  <w:szCs w:val="18"/>
                </w:rPr>
                <w:t>European Union Network Data Board</w:t>
              </w:r>
            </w:hyperlink>
          </w:p>
          <w:p w14:paraId="564E8B65" w14:textId="77777777" w:rsidR="00D75B83" w:rsidRPr="00E3787C" w:rsidRDefault="00D75B83" w:rsidP="00BA499D">
            <w:pPr>
              <w:rPr>
                <w:sz w:val="18"/>
                <w:szCs w:val="18"/>
              </w:rPr>
            </w:pPr>
            <w:r w:rsidRPr="00E3787C">
              <w:rPr>
                <w:sz w:val="18"/>
                <w:szCs w:val="18"/>
              </w:rPr>
              <w:t>Europski odbor za mrežne podatke</w:t>
            </w:r>
          </w:p>
        </w:tc>
      </w:tr>
      <w:tr w:rsidR="00D75B83" w:rsidRPr="00E3787C" w14:paraId="5FCD94B0" w14:textId="77777777" w:rsidTr="00BA499D">
        <w:tc>
          <w:tcPr>
            <w:tcW w:w="1809" w:type="dxa"/>
          </w:tcPr>
          <w:p w14:paraId="14567B8B" w14:textId="77777777" w:rsidR="00D75B83" w:rsidRPr="00E3787C" w:rsidRDefault="00D75B83" w:rsidP="00BA499D">
            <w:pPr>
              <w:rPr>
                <w:sz w:val="18"/>
                <w:szCs w:val="18"/>
              </w:rPr>
            </w:pPr>
            <w:r w:rsidRPr="00E3787C">
              <w:rPr>
                <w:sz w:val="18"/>
                <w:szCs w:val="18"/>
              </w:rPr>
              <w:t>EURS</w:t>
            </w:r>
          </w:p>
        </w:tc>
        <w:tc>
          <w:tcPr>
            <w:tcW w:w="7479" w:type="dxa"/>
          </w:tcPr>
          <w:p w14:paraId="54CE3612" w14:textId="77777777" w:rsidR="00D75B83" w:rsidRPr="00E3787C" w:rsidRDefault="00D75B83" w:rsidP="00BA499D">
            <w:pPr>
              <w:rPr>
                <w:sz w:val="18"/>
                <w:szCs w:val="18"/>
              </w:rPr>
            </w:pPr>
            <w:r w:rsidRPr="00E3787C">
              <w:rPr>
                <w:i/>
                <w:sz w:val="18"/>
                <w:szCs w:val="18"/>
              </w:rPr>
              <w:t>The European Union Review System</w:t>
            </w:r>
            <w:r w:rsidRPr="00E3787C">
              <w:rPr>
                <w:sz w:val="18"/>
                <w:szCs w:val="18"/>
              </w:rPr>
              <w:t xml:space="preserve"> </w:t>
            </w:r>
          </w:p>
          <w:p w14:paraId="05FD41AF" w14:textId="77777777" w:rsidR="00D75B83" w:rsidRPr="00E3787C" w:rsidRDefault="00D75B83" w:rsidP="00BA499D">
            <w:pPr>
              <w:rPr>
                <w:sz w:val="18"/>
                <w:szCs w:val="18"/>
              </w:rPr>
            </w:pPr>
            <w:r w:rsidRPr="00E3787C">
              <w:rPr>
                <w:sz w:val="18"/>
                <w:szCs w:val="18"/>
              </w:rPr>
              <w:t>Sustav za pregled eCTD dokumentacije o lijeku</w:t>
            </w:r>
          </w:p>
        </w:tc>
      </w:tr>
      <w:tr w:rsidR="00D75B83" w:rsidRPr="00E3787C" w14:paraId="37079494" w14:textId="77777777" w:rsidTr="00BA499D">
        <w:tc>
          <w:tcPr>
            <w:tcW w:w="1809" w:type="dxa"/>
          </w:tcPr>
          <w:p w14:paraId="6CCE1407" w14:textId="77777777" w:rsidR="00D75B83" w:rsidRPr="00E3787C" w:rsidRDefault="00D75B83" w:rsidP="00BA499D">
            <w:pPr>
              <w:rPr>
                <w:sz w:val="18"/>
                <w:szCs w:val="18"/>
              </w:rPr>
            </w:pPr>
            <w:r w:rsidRPr="00E3787C">
              <w:rPr>
                <w:sz w:val="18"/>
                <w:szCs w:val="18"/>
              </w:rPr>
              <w:t>EUTCT</w:t>
            </w:r>
          </w:p>
        </w:tc>
        <w:tc>
          <w:tcPr>
            <w:tcW w:w="7479" w:type="dxa"/>
          </w:tcPr>
          <w:p w14:paraId="38E3468E" w14:textId="77777777" w:rsidR="00D75B83" w:rsidRPr="00E3787C" w:rsidRDefault="00D75B83" w:rsidP="00BA499D">
            <w:pPr>
              <w:rPr>
                <w:sz w:val="18"/>
                <w:szCs w:val="18"/>
              </w:rPr>
            </w:pPr>
            <w:r w:rsidRPr="00E3787C">
              <w:rPr>
                <w:i/>
                <w:sz w:val="18"/>
                <w:szCs w:val="18"/>
              </w:rPr>
              <w:t>The European Union Telematics Controlled Terms</w:t>
            </w:r>
            <w:r w:rsidRPr="00E3787C">
              <w:rPr>
                <w:sz w:val="18"/>
                <w:szCs w:val="18"/>
              </w:rPr>
              <w:t xml:space="preserve"> </w:t>
            </w:r>
          </w:p>
          <w:p w14:paraId="021692BA" w14:textId="77777777" w:rsidR="00D75B83" w:rsidRPr="00E3787C" w:rsidRDefault="00D75B83" w:rsidP="00BA499D">
            <w:pPr>
              <w:rPr>
                <w:sz w:val="18"/>
                <w:szCs w:val="18"/>
              </w:rPr>
            </w:pPr>
            <w:r w:rsidRPr="00E3787C">
              <w:rPr>
                <w:sz w:val="18"/>
                <w:szCs w:val="18"/>
              </w:rPr>
              <w:t>EU šifrarnici</w:t>
            </w:r>
          </w:p>
        </w:tc>
      </w:tr>
      <w:tr w:rsidR="00D75B83" w:rsidRPr="00E3787C" w14:paraId="6BABBE37" w14:textId="77777777" w:rsidTr="00BA499D">
        <w:tc>
          <w:tcPr>
            <w:tcW w:w="1809" w:type="dxa"/>
          </w:tcPr>
          <w:p w14:paraId="38DBD5A6" w14:textId="77777777" w:rsidR="00D75B83" w:rsidRPr="00E3787C" w:rsidRDefault="00D75B83" w:rsidP="00BA499D">
            <w:pPr>
              <w:rPr>
                <w:rFonts w:cstheme="minorHAnsi"/>
                <w:sz w:val="18"/>
                <w:szCs w:val="18"/>
              </w:rPr>
            </w:pPr>
            <w:r w:rsidRPr="00E3787C">
              <w:rPr>
                <w:rFonts w:cstheme="minorHAnsi"/>
                <w:sz w:val="18"/>
                <w:szCs w:val="18"/>
              </w:rPr>
              <w:t>EV TIG</w:t>
            </w:r>
          </w:p>
        </w:tc>
        <w:tc>
          <w:tcPr>
            <w:tcW w:w="7479" w:type="dxa"/>
          </w:tcPr>
          <w:p w14:paraId="64A010A7" w14:textId="77777777" w:rsidR="00D75B83" w:rsidRPr="00E3787C" w:rsidRDefault="00D75B83" w:rsidP="00BA499D">
            <w:pPr>
              <w:rPr>
                <w:rFonts w:eastAsia="Times New Roman" w:cstheme="minorHAnsi"/>
                <w:sz w:val="18"/>
                <w:szCs w:val="18"/>
              </w:rPr>
            </w:pPr>
            <w:r w:rsidRPr="00E3787C">
              <w:rPr>
                <w:rFonts w:eastAsia="Times New Roman" w:cstheme="minorHAnsi"/>
                <w:i/>
                <w:iCs/>
                <w:sz w:val="18"/>
                <w:szCs w:val="18"/>
              </w:rPr>
              <w:t>Eudravigilance TIG</w:t>
            </w:r>
          </w:p>
        </w:tc>
      </w:tr>
      <w:tr w:rsidR="00D75B83" w:rsidRPr="00E3787C" w14:paraId="4804153F" w14:textId="77777777" w:rsidTr="00BA499D">
        <w:tc>
          <w:tcPr>
            <w:tcW w:w="1809" w:type="dxa"/>
          </w:tcPr>
          <w:p w14:paraId="36AD453C" w14:textId="77777777" w:rsidR="00D75B83" w:rsidRPr="00E3787C" w:rsidRDefault="00D75B83" w:rsidP="00BA499D">
            <w:pPr>
              <w:rPr>
                <w:rFonts w:cstheme="minorHAnsi"/>
                <w:sz w:val="18"/>
                <w:szCs w:val="18"/>
              </w:rPr>
            </w:pPr>
            <w:r w:rsidRPr="00E3787C">
              <w:rPr>
                <w:rFonts w:cstheme="minorHAnsi"/>
                <w:sz w:val="18"/>
                <w:szCs w:val="18"/>
              </w:rPr>
              <w:t>FMC</w:t>
            </w:r>
          </w:p>
        </w:tc>
        <w:tc>
          <w:tcPr>
            <w:tcW w:w="7479" w:type="dxa"/>
          </w:tcPr>
          <w:p w14:paraId="3045CF03" w14:textId="77777777" w:rsidR="00D75B83" w:rsidRPr="00E3787C" w:rsidRDefault="00D75B83" w:rsidP="00BA499D">
            <w:pPr>
              <w:rPr>
                <w:rFonts w:ascii="Calibri" w:eastAsia="Times New Roman" w:hAnsi="Calibri" w:cs="Calibri"/>
                <w:sz w:val="18"/>
                <w:szCs w:val="18"/>
              </w:rPr>
            </w:pPr>
            <w:r w:rsidRPr="00E3787C">
              <w:rPr>
                <w:rFonts w:ascii="Calibri" w:eastAsia="Times New Roman" w:hAnsi="Calibri" w:cs="Calibri"/>
                <w:i/>
                <w:sz w:val="18"/>
                <w:szCs w:val="18"/>
              </w:rPr>
              <w:t>Financial Management and Control</w:t>
            </w:r>
            <w:r w:rsidRPr="00E3787C">
              <w:rPr>
                <w:rFonts w:ascii="Calibri" w:eastAsia="Times New Roman" w:hAnsi="Calibri" w:cs="Calibri"/>
                <w:sz w:val="18"/>
                <w:szCs w:val="18"/>
              </w:rPr>
              <w:t xml:space="preserve"> </w:t>
            </w:r>
          </w:p>
          <w:p w14:paraId="0123731F" w14:textId="77777777" w:rsidR="00D75B83" w:rsidRPr="00E3787C" w:rsidRDefault="00D75B83" w:rsidP="00BA499D">
            <w:pPr>
              <w:rPr>
                <w:rFonts w:ascii="Calibri" w:eastAsia="Times New Roman" w:hAnsi="Calibri" w:cs="Calibri"/>
                <w:sz w:val="18"/>
                <w:szCs w:val="18"/>
              </w:rPr>
            </w:pPr>
            <w:r w:rsidRPr="00E3787C">
              <w:rPr>
                <w:rFonts w:ascii="Calibri" w:eastAsia="Times New Roman" w:hAnsi="Calibri" w:cs="Calibri"/>
                <w:sz w:val="18"/>
                <w:szCs w:val="18"/>
              </w:rPr>
              <w:t>Financijsko upravljanje i kontrola</w:t>
            </w:r>
          </w:p>
        </w:tc>
      </w:tr>
      <w:tr w:rsidR="00D75B83" w:rsidRPr="00E3787C" w14:paraId="6AB6C4AF" w14:textId="77777777" w:rsidTr="00BA499D">
        <w:tc>
          <w:tcPr>
            <w:tcW w:w="1809" w:type="dxa"/>
          </w:tcPr>
          <w:p w14:paraId="5FAFF970" w14:textId="77777777" w:rsidR="00D75B83" w:rsidRPr="00E3787C" w:rsidRDefault="00D75B83" w:rsidP="00BA499D">
            <w:pPr>
              <w:rPr>
                <w:rFonts w:cstheme="minorHAnsi"/>
                <w:sz w:val="18"/>
                <w:szCs w:val="18"/>
              </w:rPr>
            </w:pPr>
            <w:r w:rsidRPr="00E3787C">
              <w:rPr>
                <w:rFonts w:cstheme="minorHAnsi"/>
                <w:sz w:val="18"/>
                <w:szCs w:val="18"/>
              </w:rPr>
              <w:t>GCP IWG</w:t>
            </w:r>
          </w:p>
        </w:tc>
        <w:tc>
          <w:tcPr>
            <w:tcW w:w="7479" w:type="dxa"/>
          </w:tcPr>
          <w:p w14:paraId="7D012409" w14:textId="77777777" w:rsidR="00D75B83" w:rsidRPr="00E3787C" w:rsidRDefault="00D75B83" w:rsidP="00BA499D">
            <w:pPr>
              <w:rPr>
                <w:rFonts w:eastAsia="Times New Roman" w:cstheme="minorHAnsi"/>
                <w:sz w:val="18"/>
                <w:szCs w:val="18"/>
              </w:rPr>
            </w:pPr>
            <w:r w:rsidRPr="00E3787C">
              <w:rPr>
                <w:rFonts w:eastAsia="Times New Roman" w:cstheme="minorHAnsi"/>
                <w:i/>
                <w:sz w:val="18"/>
                <w:szCs w:val="18"/>
              </w:rPr>
              <w:t>Good Clinical Practice Inspectors Working Group</w:t>
            </w:r>
            <w:r w:rsidRPr="00E3787C">
              <w:rPr>
                <w:rFonts w:eastAsia="Times New Roman" w:cstheme="minorHAnsi"/>
                <w:sz w:val="18"/>
                <w:szCs w:val="18"/>
              </w:rPr>
              <w:t xml:space="preserve"> </w:t>
            </w:r>
          </w:p>
          <w:p w14:paraId="2FD0721E" w14:textId="77777777" w:rsidR="00D75B83" w:rsidRPr="00E3787C" w:rsidRDefault="00D75B83" w:rsidP="00BA499D">
            <w:pPr>
              <w:rPr>
                <w:rFonts w:eastAsia="Times New Roman" w:cstheme="minorHAnsi"/>
                <w:sz w:val="18"/>
                <w:szCs w:val="18"/>
              </w:rPr>
            </w:pPr>
            <w:r w:rsidRPr="00E3787C">
              <w:rPr>
                <w:rFonts w:eastAsia="Times New Roman" w:cstheme="minorHAnsi"/>
                <w:sz w:val="18"/>
                <w:szCs w:val="18"/>
              </w:rPr>
              <w:t>Inspektorska radna skupina za dobru kliničku praksu</w:t>
            </w:r>
          </w:p>
        </w:tc>
      </w:tr>
      <w:tr w:rsidR="00D75B83" w:rsidRPr="00E3787C" w14:paraId="6259410E" w14:textId="77777777" w:rsidTr="00BA499D">
        <w:tc>
          <w:tcPr>
            <w:tcW w:w="1809" w:type="dxa"/>
          </w:tcPr>
          <w:p w14:paraId="00A45AF9" w14:textId="77777777" w:rsidR="00D75B83" w:rsidRPr="00E3787C" w:rsidRDefault="00D75B83" w:rsidP="00BA499D">
            <w:pPr>
              <w:rPr>
                <w:sz w:val="18"/>
                <w:szCs w:val="18"/>
                <w:highlight w:val="yellow"/>
              </w:rPr>
            </w:pPr>
            <w:r w:rsidRPr="00E3787C">
              <w:rPr>
                <w:sz w:val="18"/>
                <w:szCs w:val="18"/>
              </w:rPr>
              <w:t>GEON</w:t>
            </w:r>
          </w:p>
        </w:tc>
        <w:tc>
          <w:tcPr>
            <w:tcW w:w="7479" w:type="dxa"/>
          </w:tcPr>
          <w:p w14:paraId="3C42BD6D" w14:textId="77777777" w:rsidR="00D75B83" w:rsidRPr="00E3787C" w:rsidRDefault="00D75B83" w:rsidP="00BA499D">
            <w:pPr>
              <w:rPr>
                <w:rFonts w:eastAsia="Times New Roman" w:cstheme="minorHAnsi"/>
                <w:i/>
                <w:sz w:val="18"/>
                <w:szCs w:val="18"/>
              </w:rPr>
            </w:pPr>
            <w:r w:rsidRPr="00E3787C">
              <w:rPr>
                <w:rFonts w:eastAsia="Times New Roman" w:cstheme="minorHAnsi"/>
                <w:i/>
                <w:sz w:val="18"/>
                <w:szCs w:val="18"/>
              </w:rPr>
              <w:t xml:space="preserve">General European OMCL Network </w:t>
            </w:r>
          </w:p>
          <w:p w14:paraId="6769D690" w14:textId="77777777" w:rsidR="00D75B83" w:rsidRPr="00E3787C" w:rsidRDefault="00D75B83" w:rsidP="00BA499D">
            <w:pPr>
              <w:rPr>
                <w:rFonts w:cstheme="minorHAnsi"/>
                <w:sz w:val="18"/>
                <w:szCs w:val="18"/>
                <w:highlight w:val="yellow"/>
              </w:rPr>
            </w:pPr>
            <w:r w:rsidRPr="00E3787C">
              <w:rPr>
                <w:rFonts w:eastAsia="Times New Roman" w:cstheme="minorHAnsi"/>
                <w:sz w:val="18"/>
                <w:szCs w:val="18"/>
              </w:rPr>
              <w:t>Europska mreža službenih laboratorija za provjeru kakvoće lijekova</w:t>
            </w:r>
          </w:p>
        </w:tc>
      </w:tr>
      <w:tr w:rsidR="00D75B83" w:rsidRPr="00E3787C" w14:paraId="458FC37D" w14:textId="77777777" w:rsidTr="00BA499D">
        <w:tc>
          <w:tcPr>
            <w:tcW w:w="1809" w:type="dxa"/>
          </w:tcPr>
          <w:p w14:paraId="1521A1C3" w14:textId="77777777" w:rsidR="00D75B83" w:rsidRPr="00E3787C" w:rsidRDefault="00D75B83" w:rsidP="00BA499D">
            <w:pPr>
              <w:rPr>
                <w:rFonts w:cstheme="minorHAnsi"/>
                <w:sz w:val="18"/>
                <w:szCs w:val="18"/>
              </w:rPr>
            </w:pPr>
            <w:r w:rsidRPr="00E3787C">
              <w:rPr>
                <w:rFonts w:cstheme="minorHAnsi"/>
                <w:sz w:val="18"/>
                <w:szCs w:val="18"/>
              </w:rPr>
              <w:t>GMDP IWG</w:t>
            </w:r>
          </w:p>
        </w:tc>
        <w:tc>
          <w:tcPr>
            <w:tcW w:w="7479" w:type="dxa"/>
          </w:tcPr>
          <w:p w14:paraId="464769FD" w14:textId="77777777" w:rsidR="00D75B83" w:rsidRPr="00E3787C" w:rsidRDefault="00D75B83" w:rsidP="00BA499D">
            <w:pPr>
              <w:rPr>
                <w:rFonts w:eastAsia="Times New Roman" w:cstheme="minorHAnsi"/>
                <w:sz w:val="18"/>
                <w:szCs w:val="18"/>
              </w:rPr>
            </w:pPr>
            <w:r w:rsidRPr="00E3787C">
              <w:rPr>
                <w:rFonts w:eastAsia="Times New Roman" w:cstheme="minorHAnsi"/>
                <w:i/>
                <w:sz w:val="18"/>
                <w:szCs w:val="18"/>
              </w:rPr>
              <w:t>Good Manufacturing and Distribution Practice Inspectors Working Group</w:t>
            </w:r>
            <w:r w:rsidRPr="00E3787C">
              <w:rPr>
                <w:rFonts w:eastAsia="Times New Roman" w:cstheme="minorHAnsi"/>
                <w:sz w:val="18"/>
                <w:szCs w:val="18"/>
              </w:rPr>
              <w:t xml:space="preserve"> </w:t>
            </w:r>
          </w:p>
          <w:p w14:paraId="3CB9F8EF" w14:textId="77777777" w:rsidR="00D75B83" w:rsidRPr="00E3787C" w:rsidRDefault="00D75B83" w:rsidP="00BA499D">
            <w:pPr>
              <w:rPr>
                <w:rFonts w:eastAsia="Times New Roman" w:cstheme="minorHAnsi"/>
                <w:sz w:val="18"/>
                <w:szCs w:val="18"/>
              </w:rPr>
            </w:pPr>
            <w:r w:rsidRPr="00E3787C">
              <w:rPr>
                <w:rFonts w:eastAsia="Times New Roman" w:cstheme="minorHAnsi"/>
                <w:sz w:val="18"/>
                <w:szCs w:val="18"/>
              </w:rPr>
              <w:t>Radna skupina inspektora dobre proizvođačke prakse i dobre distribucijske prakse</w:t>
            </w:r>
          </w:p>
        </w:tc>
      </w:tr>
      <w:tr w:rsidR="00D75B83" w:rsidRPr="00E3787C" w14:paraId="10764B27" w14:textId="77777777" w:rsidTr="00BA499D">
        <w:tc>
          <w:tcPr>
            <w:tcW w:w="1809" w:type="dxa"/>
          </w:tcPr>
          <w:p w14:paraId="374B6402" w14:textId="77777777" w:rsidR="00D75B83" w:rsidRPr="00E3787C" w:rsidRDefault="00D75B83" w:rsidP="00BA499D">
            <w:pPr>
              <w:rPr>
                <w:sz w:val="18"/>
                <w:szCs w:val="18"/>
              </w:rPr>
            </w:pPr>
            <w:r w:rsidRPr="00E3787C">
              <w:rPr>
                <w:sz w:val="18"/>
                <w:szCs w:val="18"/>
              </w:rPr>
              <w:t>HALMED</w:t>
            </w:r>
          </w:p>
        </w:tc>
        <w:tc>
          <w:tcPr>
            <w:tcW w:w="7479" w:type="dxa"/>
          </w:tcPr>
          <w:p w14:paraId="62487325" w14:textId="77777777" w:rsidR="00D75B83" w:rsidRPr="00E3787C" w:rsidRDefault="00D75B83" w:rsidP="00BA499D">
            <w:pPr>
              <w:rPr>
                <w:sz w:val="18"/>
                <w:szCs w:val="18"/>
              </w:rPr>
            </w:pPr>
            <w:r w:rsidRPr="00E3787C">
              <w:rPr>
                <w:sz w:val="18"/>
                <w:szCs w:val="18"/>
              </w:rPr>
              <w:t>Agencija za lijekove i medicinske proizvode</w:t>
            </w:r>
          </w:p>
        </w:tc>
      </w:tr>
      <w:tr w:rsidR="00D75B83" w:rsidRPr="00E3787C" w14:paraId="293D6C8C" w14:textId="77777777" w:rsidTr="00BA499D">
        <w:tc>
          <w:tcPr>
            <w:tcW w:w="1809" w:type="dxa"/>
          </w:tcPr>
          <w:p w14:paraId="252DE28C" w14:textId="77777777" w:rsidR="00D75B83" w:rsidRPr="00E3787C" w:rsidRDefault="00D75B83" w:rsidP="00BA499D">
            <w:pPr>
              <w:rPr>
                <w:sz w:val="18"/>
                <w:szCs w:val="18"/>
              </w:rPr>
            </w:pPr>
            <w:r w:rsidRPr="00E3787C">
              <w:rPr>
                <w:sz w:val="18"/>
                <w:szCs w:val="18"/>
              </w:rPr>
              <w:t>HFD</w:t>
            </w:r>
          </w:p>
        </w:tc>
        <w:tc>
          <w:tcPr>
            <w:tcW w:w="7479" w:type="dxa"/>
          </w:tcPr>
          <w:p w14:paraId="6C58E45B" w14:textId="77777777" w:rsidR="00D75B83" w:rsidRPr="00E3787C" w:rsidRDefault="00D75B83" w:rsidP="00BA499D">
            <w:pPr>
              <w:rPr>
                <w:sz w:val="18"/>
                <w:szCs w:val="18"/>
              </w:rPr>
            </w:pPr>
            <w:r w:rsidRPr="00E3787C">
              <w:rPr>
                <w:sz w:val="18"/>
                <w:szCs w:val="18"/>
              </w:rPr>
              <w:t>Hrvatsko farmaceutsko društvo</w:t>
            </w:r>
          </w:p>
        </w:tc>
      </w:tr>
      <w:tr w:rsidR="00D75B83" w:rsidRPr="00E3787C" w14:paraId="42251AEA" w14:textId="77777777" w:rsidTr="00BA499D">
        <w:tc>
          <w:tcPr>
            <w:tcW w:w="1809" w:type="dxa"/>
          </w:tcPr>
          <w:p w14:paraId="347A0982" w14:textId="77777777" w:rsidR="00D75B83" w:rsidRPr="00E3787C" w:rsidRDefault="00D75B83" w:rsidP="00BA499D">
            <w:pPr>
              <w:rPr>
                <w:sz w:val="18"/>
                <w:szCs w:val="18"/>
              </w:rPr>
            </w:pPr>
            <w:r w:rsidRPr="00E3787C">
              <w:rPr>
                <w:sz w:val="18"/>
                <w:szCs w:val="18"/>
              </w:rPr>
              <w:t>HLK</w:t>
            </w:r>
          </w:p>
        </w:tc>
        <w:tc>
          <w:tcPr>
            <w:tcW w:w="7479" w:type="dxa"/>
          </w:tcPr>
          <w:p w14:paraId="48CB811D" w14:textId="77777777" w:rsidR="00D75B83" w:rsidRPr="00E3787C" w:rsidRDefault="00D75B83" w:rsidP="00BA499D">
            <w:pPr>
              <w:rPr>
                <w:sz w:val="18"/>
                <w:szCs w:val="18"/>
              </w:rPr>
            </w:pPr>
            <w:r w:rsidRPr="00E3787C">
              <w:rPr>
                <w:sz w:val="18"/>
                <w:szCs w:val="18"/>
              </w:rPr>
              <w:t>Hrvatska liječnička komora</w:t>
            </w:r>
          </w:p>
        </w:tc>
      </w:tr>
      <w:tr w:rsidR="00D75B83" w:rsidRPr="00E3787C" w14:paraId="3CF1C7B4" w14:textId="77777777" w:rsidTr="00BA499D">
        <w:tc>
          <w:tcPr>
            <w:tcW w:w="1809" w:type="dxa"/>
          </w:tcPr>
          <w:p w14:paraId="248653A2" w14:textId="77777777" w:rsidR="00D75B83" w:rsidRPr="00E3787C" w:rsidRDefault="00D75B83" w:rsidP="00BA499D">
            <w:pPr>
              <w:rPr>
                <w:sz w:val="18"/>
                <w:szCs w:val="18"/>
              </w:rPr>
            </w:pPr>
            <w:r w:rsidRPr="00E3787C">
              <w:rPr>
                <w:sz w:val="18"/>
                <w:szCs w:val="18"/>
              </w:rPr>
              <w:t>HLJK</w:t>
            </w:r>
          </w:p>
        </w:tc>
        <w:tc>
          <w:tcPr>
            <w:tcW w:w="7479" w:type="dxa"/>
          </w:tcPr>
          <w:p w14:paraId="50433269" w14:textId="77777777" w:rsidR="00D75B83" w:rsidRPr="00E3787C" w:rsidRDefault="00D75B83" w:rsidP="00BA499D">
            <w:pPr>
              <w:rPr>
                <w:sz w:val="18"/>
                <w:szCs w:val="18"/>
              </w:rPr>
            </w:pPr>
            <w:r w:rsidRPr="00E3787C">
              <w:rPr>
                <w:sz w:val="18"/>
                <w:szCs w:val="18"/>
              </w:rPr>
              <w:t>Hrvatska ljekarnička komora</w:t>
            </w:r>
          </w:p>
        </w:tc>
      </w:tr>
      <w:tr w:rsidR="00D75B83" w:rsidRPr="00E3787C" w14:paraId="6E271670" w14:textId="77777777" w:rsidTr="00BA499D">
        <w:tc>
          <w:tcPr>
            <w:tcW w:w="1809" w:type="dxa"/>
          </w:tcPr>
          <w:p w14:paraId="22870AE6" w14:textId="77777777" w:rsidR="00D75B83" w:rsidRPr="00E3787C" w:rsidRDefault="00D75B83" w:rsidP="00BA499D">
            <w:pPr>
              <w:rPr>
                <w:sz w:val="18"/>
                <w:szCs w:val="18"/>
              </w:rPr>
            </w:pPr>
            <w:r w:rsidRPr="00E3787C">
              <w:rPr>
                <w:sz w:val="18"/>
                <w:szCs w:val="18"/>
              </w:rPr>
              <w:t xml:space="preserve">HMA </w:t>
            </w:r>
          </w:p>
        </w:tc>
        <w:tc>
          <w:tcPr>
            <w:tcW w:w="7479" w:type="dxa"/>
          </w:tcPr>
          <w:p w14:paraId="31B9F079" w14:textId="77777777" w:rsidR="00D75B83" w:rsidRPr="00E3787C" w:rsidRDefault="00D75B83" w:rsidP="00BA499D">
            <w:pPr>
              <w:rPr>
                <w:sz w:val="18"/>
                <w:szCs w:val="18"/>
              </w:rPr>
            </w:pPr>
            <w:r w:rsidRPr="00E3787C">
              <w:rPr>
                <w:i/>
                <w:sz w:val="18"/>
                <w:szCs w:val="18"/>
              </w:rPr>
              <w:t>Heads of Medicines Agencies</w:t>
            </w:r>
            <w:r w:rsidRPr="00E3787C">
              <w:rPr>
                <w:sz w:val="18"/>
                <w:szCs w:val="18"/>
              </w:rPr>
              <w:t xml:space="preserve"> </w:t>
            </w:r>
          </w:p>
          <w:p w14:paraId="454B2068" w14:textId="77777777" w:rsidR="00D75B83" w:rsidRPr="00E3787C" w:rsidRDefault="00D75B83" w:rsidP="00BA499D">
            <w:pPr>
              <w:rPr>
                <w:sz w:val="18"/>
                <w:szCs w:val="18"/>
              </w:rPr>
            </w:pPr>
            <w:r w:rsidRPr="00E3787C">
              <w:rPr>
                <w:sz w:val="18"/>
                <w:szCs w:val="18"/>
              </w:rPr>
              <w:t>Ravnatelji agencija za lijekove</w:t>
            </w:r>
          </w:p>
        </w:tc>
      </w:tr>
      <w:tr w:rsidR="00D75B83" w:rsidRPr="00E3787C" w14:paraId="3A56E0D9" w14:textId="77777777" w:rsidTr="00BA499D">
        <w:tc>
          <w:tcPr>
            <w:tcW w:w="1809" w:type="dxa"/>
          </w:tcPr>
          <w:p w14:paraId="6C94ACAA" w14:textId="77777777" w:rsidR="00D75B83" w:rsidRPr="00E3787C" w:rsidRDefault="00D75B83" w:rsidP="00BA499D">
            <w:pPr>
              <w:rPr>
                <w:rFonts w:cstheme="minorHAnsi"/>
                <w:sz w:val="18"/>
                <w:szCs w:val="18"/>
              </w:rPr>
            </w:pPr>
            <w:r w:rsidRPr="00E3787C">
              <w:rPr>
                <w:rFonts w:cstheme="minorHAnsi"/>
                <w:sz w:val="18"/>
                <w:szCs w:val="18"/>
              </w:rPr>
              <w:t>HPMC</w:t>
            </w:r>
          </w:p>
        </w:tc>
        <w:tc>
          <w:tcPr>
            <w:tcW w:w="7479" w:type="dxa"/>
          </w:tcPr>
          <w:p w14:paraId="1EB0D7D7" w14:textId="77777777" w:rsidR="00D75B83" w:rsidRPr="00E3787C" w:rsidRDefault="00D75B83" w:rsidP="00BA499D">
            <w:pPr>
              <w:rPr>
                <w:rFonts w:eastAsia="Times New Roman" w:cstheme="minorHAnsi"/>
                <w:sz w:val="18"/>
                <w:szCs w:val="18"/>
              </w:rPr>
            </w:pPr>
            <w:r w:rsidRPr="00E3787C">
              <w:rPr>
                <w:rFonts w:eastAsia="Times New Roman" w:cstheme="minorHAnsi"/>
                <w:i/>
                <w:iCs/>
                <w:sz w:val="18"/>
                <w:szCs w:val="18"/>
              </w:rPr>
              <w:t>Committee for Herbal Medicinal Products</w:t>
            </w:r>
            <w:r w:rsidRPr="00E3787C">
              <w:rPr>
                <w:rFonts w:eastAsia="Times New Roman" w:cstheme="minorHAnsi"/>
                <w:sz w:val="18"/>
                <w:szCs w:val="18"/>
              </w:rPr>
              <w:t xml:space="preserve"> </w:t>
            </w:r>
          </w:p>
          <w:p w14:paraId="0155241B" w14:textId="77777777" w:rsidR="00D75B83" w:rsidRPr="00E3787C" w:rsidRDefault="00D75B83" w:rsidP="00BA499D">
            <w:pPr>
              <w:rPr>
                <w:rFonts w:eastAsia="Times New Roman" w:cstheme="minorHAnsi"/>
                <w:sz w:val="18"/>
                <w:szCs w:val="18"/>
              </w:rPr>
            </w:pPr>
            <w:r w:rsidRPr="00E3787C">
              <w:rPr>
                <w:rFonts w:eastAsia="Times New Roman" w:cstheme="minorHAnsi"/>
                <w:sz w:val="18"/>
                <w:szCs w:val="18"/>
              </w:rPr>
              <w:t>Povjerenstvo za biljne lijekove</w:t>
            </w:r>
          </w:p>
        </w:tc>
      </w:tr>
      <w:tr w:rsidR="00D75B83" w:rsidRPr="00E3787C" w14:paraId="36C7E4F1" w14:textId="77777777" w:rsidTr="00BA499D">
        <w:tc>
          <w:tcPr>
            <w:tcW w:w="1809" w:type="dxa"/>
          </w:tcPr>
          <w:p w14:paraId="31FCB1C9" w14:textId="77777777" w:rsidR="00D75B83" w:rsidRPr="00E3787C" w:rsidRDefault="00D75B83" w:rsidP="00BA499D">
            <w:pPr>
              <w:rPr>
                <w:rFonts w:cstheme="minorHAnsi"/>
                <w:sz w:val="18"/>
                <w:szCs w:val="18"/>
              </w:rPr>
            </w:pPr>
            <w:r w:rsidRPr="00E3787C">
              <w:rPr>
                <w:rFonts w:cstheme="minorHAnsi"/>
                <w:sz w:val="18"/>
                <w:szCs w:val="18"/>
              </w:rPr>
              <w:t>HR PRES 2020</w:t>
            </w:r>
          </w:p>
        </w:tc>
        <w:tc>
          <w:tcPr>
            <w:tcW w:w="7479" w:type="dxa"/>
          </w:tcPr>
          <w:p w14:paraId="463D3FDD" w14:textId="77777777" w:rsidR="00D75B83" w:rsidRPr="00E3787C" w:rsidRDefault="00D75B83" w:rsidP="00BA499D">
            <w:pPr>
              <w:rPr>
                <w:rFonts w:eastAsia="Times New Roman" w:cstheme="minorHAnsi"/>
                <w:i/>
                <w:iCs/>
                <w:sz w:val="18"/>
                <w:szCs w:val="18"/>
              </w:rPr>
            </w:pPr>
            <w:r w:rsidRPr="00E3787C">
              <w:rPr>
                <w:rFonts w:ascii="Calibri" w:hAnsi="Calibri" w:cs="Calibri"/>
                <w:sz w:val="18"/>
                <w:szCs w:val="18"/>
              </w:rPr>
              <w:t>Hrvatsko predsjedanje Vijećem Europske unije 2020</w:t>
            </w:r>
          </w:p>
        </w:tc>
      </w:tr>
      <w:tr w:rsidR="00D75B83" w:rsidRPr="00E3787C" w14:paraId="56B28DC9" w14:textId="77777777" w:rsidTr="00BA499D">
        <w:tc>
          <w:tcPr>
            <w:tcW w:w="1809" w:type="dxa"/>
          </w:tcPr>
          <w:p w14:paraId="2DA6BB5B" w14:textId="77777777" w:rsidR="00D75B83" w:rsidRPr="00E3787C" w:rsidRDefault="00D75B83" w:rsidP="00BA499D">
            <w:pPr>
              <w:rPr>
                <w:sz w:val="18"/>
                <w:szCs w:val="18"/>
              </w:rPr>
            </w:pPr>
            <w:r w:rsidRPr="00E3787C">
              <w:rPr>
                <w:sz w:val="18"/>
                <w:szCs w:val="18"/>
              </w:rPr>
              <w:t>HVI</w:t>
            </w:r>
          </w:p>
        </w:tc>
        <w:tc>
          <w:tcPr>
            <w:tcW w:w="7479" w:type="dxa"/>
          </w:tcPr>
          <w:p w14:paraId="706E68AC" w14:textId="77777777" w:rsidR="00D75B83" w:rsidRPr="00E3787C" w:rsidRDefault="00D75B83" w:rsidP="00BA499D">
            <w:pPr>
              <w:rPr>
                <w:sz w:val="18"/>
                <w:szCs w:val="18"/>
              </w:rPr>
            </w:pPr>
            <w:r w:rsidRPr="00E3787C">
              <w:rPr>
                <w:sz w:val="18"/>
                <w:szCs w:val="18"/>
              </w:rPr>
              <w:t>Hrvatski veterinarski institut</w:t>
            </w:r>
          </w:p>
        </w:tc>
      </w:tr>
      <w:tr w:rsidR="00D75B83" w:rsidRPr="00E3787C" w14:paraId="2145D43D" w14:textId="77777777" w:rsidTr="00BA499D">
        <w:tc>
          <w:tcPr>
            <w:tcW w:w="1809" w:type="dxa"/>
          </w:tcPr>
          <w:p w14:paraId="1AF6493D" w14:textId="77777777" w:rsidR="00D75B83" w:rsidRPr="00E3787C" w:rsidRDefault="00D75B83" w:rsidP="00BA499D">
            <w:pPr>
              <w:rPr>
                <w:sz w:val="18"/>
                <w:szCs w:val="18"/>
              </w:rPr>
            </w:pPr>
            <w:r w:rsidRPr="00E3787C">
              <w:rPr>
                <w:sz w:val="18"/>
                <w:szCs w:val="18"/>
              </w:rPr>
              <w:t>IMDRF</w:t>
            </w:r>
          </w:p>
        </w:tc>
        <w:tc>
          <w:tcPr>
            <w:tcW w:w="7479" w:type="dxa"/>
          </w:tcPr>
          <w:p w14:paraId="75646E3E" w14:textId="77777777" w:rsidR="00D75B83" w:rsidRPr="00E3787C" w:rsidRDefault="00D75B83" w:rsidP="00BA499D">
            <w:pPr>
              <w:jc w:val="both"/>
              <w:rPr>
                <w:rFonts w:cstheme="minorHAnsi"/>
                <w:i/>
                <w:sz w:val="18"/>
                <w:szCs w:val="18"/>
              </w:rPr>
            </w:pPr>
            <w:r w:rsidRPr="00E3787C">
              <w:rPr>
                <w:rFonts w:cstheme="minorHAnsi"/>
                <w:i/>
                <w:sz w:val="18"/>
                <w:szCs w:val="18"/>
              </w:rPr>
              <w:t xml:space="preserve">International medical devices regulatory forum </w:t>
            </w:r>
          </w:p>
          <w:p w14:paraId="28E62C7F" w14:textId="77777777" w:rsidR="00D75B83" w:rsidRPr="00E3787C" w:rsidRDefault="00D75B83" w:rsidP="00BA499D">
            <w:pPr>
              <w:jc w:val="both"/>
              <w:rPr>
                <w:rFonts w:cstheme="minorHAnsi"/>
                <w:sz w:val="18"/>
                <w:szCs w:val="18"/>
              </w:rPr>
            </w:pPr>
            <w:r w:rsidRPr="00E3787C">
              <w:rPr>
                <w:rFonts w:cstheme="minorHAnsi"/>
                <w:sz w:val="18"/>
                <w:szCs w:val="18"/>
              </w:rPr>
              <w:t xml:space="preserve">Međunarodni forum za regulativu medicinskih proizvoda </w:t>
            </w:r>
          </w:p>
        </w:tc>
      </w:tr>
      <w:tr w:rsidR="00D75B83" w:rsidRPr="00E3787C" w14:paraId="12432720" w14:textId="77777777" w:rsidTr="00BA499D">
        <w:tc>
          <w:tcPr>
            <w:tcW w:w="1809" w:type="dxa"/>
          </w:tcPr>
          <w:p w14:paraId="0EEBE24F" w14:textId="77777777" w:rsidR="00D75B83" w:rsidRPr="00E3787C" w:rsidRDefault="00D75B83" w:rsidP="00BA499D">
            <w:pPr>
              <w:rPr>
                <w:sz w:val="18"/>
                <w:szCs w:val="18"/>
              </w:rPr>
            </w:pPr>
            <w:r w:rsidRPr="00E3787C">
              <w:rPr>
                <w:sz w:val="18"/>
                <w:szCs w:val="18"/>
              </w:rPr>
              <w:t>IMI</w:t>
            </w:r>
          </w:p>
        </w:tc>
        <w:tc>
          <w:tcPr>
            <w:tcW w:w="7479" w:type="dxa"/>
          </w:tcPr>
          <w:p w14:paraId="0A55A261" w14:textId="77777777" w:rsidR="00D75B83" w:rsidRPr="00E3787C" w:rsidRDefault="00D75B83" w:rsidP="00BA499D">
            <w:pPr>
              <w:rPr>
                <w:sz w:val="18"/>
                <w:szCs w:val="18"/>
              </w:rPr>
            </w:pPr>
            <w:r w:rsidRPr="00E3787C">
              <w:rPr>
                <w:sz w:val="18"/>
                <w:szCs w:val="18"/>
              </w:rPr>
              <w:t>Institut za medicinska istraživanja</w:t>
            </w:r>
          </w:p>
        </w:tc>
      </w:tr>
      <w:tr w:rsidR="00D75B83" w:rsidRPr="00E3787C" w14:paraId="0D35B8EA" w14:textId="77777777" w:rsidTr="00BA499D">
        <w:tc>
          <w:tcPr>
            <w:tcW w:w="1809" w:type="dxa"/>
          </w:tcPr>
          <w:p w14:paraId="3540BFD5" w14:textId="77777777" w:rsidR="00D75B83" w:rsidRPr="00E3787C" w:rsidRDefault="00D75B83" w:rsidP="00BA499D">
            <w:pPr>
              <w:rPr>
                <w:sz w:val="18"/>
                <w:szCs w:val="18"/>
              </w:rPr>
            </w:pPr>
            <w:r w:rsidRPr="00E3787C">
              <w:rPr>
                <w:sz w:val="18"/>
                <w:szCs w:val="18"/>
              </w:rPr>
              <w:t>IPA</w:t>
            </w:r>
          </w:p>
        </w:tc>
        <w:tc>
          <w:tcPr>
            <w:tcW w:w="7479" w:type="dxa"/>
          </w:tcPr>
          <w:p w14:paraId="100C139E" w14:textId="77777777" w:rsidR="00D75B83" w:rsidRPr="005C4250" w:rsidRDefault="00D75B83" w:rsidP="00BA499D">
            <w:pPr>
              <w:rPr>
                <w:rFonts w:cstheme="minorHAnsi"/>
                <w:bCs/>
                <w:i/>
                <w:sz w:val="18"/>
                <w:szCs w:val="18"/>
                <w:shd w:val="clear" w:color="auto" w:fill="FFFFFF"/>
              </w:rPr>
            </w:pPr>
            <w:r w:rsidRPr="005C4250">
              <w:rPr>
                <w:rFonts w:cstheme="minorHAnsi"/>
                <w:bCs/>
                <w:i/>
                <w:sz w:val="18"/>
                <w:szCs w:val="18"/>
                <w:shd w:val="clear" w:color="auto" w:fill="FFFFFF"/>
              </w:rPr>
              <w:t xml:space="preserve">Instrument for Pre-Accession Assistance </w:t>
            </w:r>
          </w:p>
          <w:p w14:paraId="3A594195" w14:textId="77777777" w:rsidR="00D75B83" w:rsidRPr="00E3787C" w:rsidRDefault="00D75B83" w:rsidP="00BA499D">
            <w:pPr>
              <w:rPr>
                <w:rFonts w:cstheme="minorHAnsi"/>
                <w:b/>
                <w:bCs/>
                <w:sz w:val="18"/>
                <w:szCs w:val="18"/>
                <w:shd w:val="clear" w:color="auto" w:fill="FFFFFF"/>
              </w:rPr>
            </w:pPr>
            <w:r w:rsidRPr="005C4250">
              <w:rPr>
                <w:rFonts w:cstheme="minorHAnsi"/>
                <w:bCs/>
                <w:sz w:val="18"/>
                <w:szCs w:val="18"/>
                <w:shd w:val="clear" w:color="auto" w:fill="FFFFFF"/>
              </w:rPr>
              <w:t>Instrument pretpristupne pomoći</w:t>
            </w:r>
          </w:p>
        </w:tc>
      </w:tr>
      <w:tr w:rsidR="00D75B83" w:rsidRPr="00E3787C" w14:paraId="6B7E0B3C" w14:textId="77777777" w:rsidTr="00BA499D">
        <w:tc>
          <w:tcPr>
            <w:tcW w:w="1809" w:type="dxa"/>
          </w:tcPr>
          <w:p w14:paraId="61039CEE" w14:textId="77777777" w:rsidR="00D75B83" w:rsidRPr="00E3787C" w:rsidRDefault="00D75B83" w:rsidP="00BA499D">
            <w:pPr>
              <w:rPr>
                <w:sz w:val="18"/>
                <w:szCs w:val="18"/>
              </w:rPr>
            </w:pPr>
            <w:r w:rsidRPr="00E3787C">
              <w:rPr>
                <w:sz w:val="18"/>
                <w:szCs w:val="18"/>
              </w:rPr>
              <w:t>ISO IDMP Task Force</w:t>
            </w:r>
          </w:p>
        </w:tc>
        <w:tc>
          <w:tcPr>
            <w:tcW w:w="7479" w:type="dxa"/>
          </w:tcPr>
          <w:p w14:paraId="62A851F1" w14:textId="77777777" w:rsidR="00D75B83" w:rsidRPr="00E3787C" w:rsidRDefault="00D75B83" w:rsidP="00BA499D">
            <w:pPr>
              <w:rPr>
                <w:sz w:val="18"/>
                <w:szCs w:val="18"/>
              </w:rPr>
            </w:pPr>
            <w:r w:rsidRPr="00E3787C">
              <w:rPr>
                <w:i/>
                <w:iCs/>
                <w:sz w:val="18"/>
                <w:szCs w:val="18"/>
              </w:rPr>
              <w:t>International Organization for Standardization (ISO) for the identification of medicinal products (IDMP) Task Force</w:t>
            </w:r>
            <w:r w:rsidRPr="00E3787C">
              <w:rPr>
                <w:sz w:val="18"/>
                <w:szCs w:val="18"/>
              </w:rPr>
              <w:t xml:space="preserve"> </w:t>
            </w:r>
          </w:p>
          <w:p w14:paraId="6E5C7193" w14:textId="77777777" w:rsidR="00D75B83" w:rsidRPr="00E3787C" w:rsidRDefault="00D75B83" w:rsidP="00BA499D">
            <w:pPr>
              <w:rPr>
                <w:sz w:val="18"/>
                <w:szCs w:val="18"/>
              </w:rPr>
            </w:pPr>
            <w:r w:rsidRPr="00E3787C">
              <w:rPr>
                <w:sz w:val="18"/>
                <w:szCs w:val="18"/>
              </w:rPr>
              <w:t>Radna grupa za uspostavu ISO standarda na podacima o lijeku</w:t>
            </w:r>
          </w:p>
        </w:tc>
      </w:tr>
      <w:tr w:rsidR="00D75B83" w:rsidRPr="00E3787C" w14:paraId="3DC35F6A" w14:textId="77777777" w:rsidTr="00BA499D">
        <w:tc>
          <w:tcPr>
            <w:tcW w:w="1809" w:type="dxa"/>
          </w:tcPr>
          <w:p w14:paraId="5D82004B" w14:textId="77777777" w:rsidR="00D75B83" w:rsidRPr="00E3787C" w:rsidRDefault="00D75B83" w:rsidP="00BA499D">
            <w:pPr>
              <w:rPr>
                <w:sz w:val="18"/>
                <w:szCs w:val="18"/>
              </w:rPr>
            </w:pPr>
            <w:r w:rsidRPr="00E3787C">
              <w:rPr>
                <w:sz w:val="18"/>
                <w:szCs w:val="18"/>
              </w:rPr>
              <w:t>ISPOR</w:t>
            </w:r>
          </w:p>
        </w:tc>
        <w:tc>
          <w:tcPr>
            <w:tcW w:w="7479" w:type="dxa"/>
          </w:tcPr>
          <w:p w14:paraId="5F52350E" w14:textId="77777777" w:rsidR="00D75B83" w:rsidRPr="00E3787C" w:rsidRDefault="00D75B83" w:rsidP="00BA499D">
            <w:pPr>
              <w:tabs>
                <w:tab w:val="left" w:pos="4170"/>
              </w:tabs>
              <w:rPr>
                <w:sz w:val="18"/>
                <w:szCs w:val="18"/>
              </w:rPr>
            </w:pPr>
            <w:r w:rsidRPr="00E3787C">
              <w:rPr>
                <w:rFonts w:eastAsia="Times New Roman" w:cstheme="minorHAnsi"/>
                <w:i/>
                <w:sz w:val="18"/>
                <w:szCs w:val="18"/>
              </w:rPr>
              <w:t>International Society for Pharmacoeconomics and Outcomes Research</w:t>
            </w:r>
            <w:r w:rsidRPr="00E3787C">
              <w:rPr>
                <w:sz w:val="18"/>
                <w:szCs w:val="18"/>
              </w:rPr>
              <w:t xml:space="preserve"> </w:t>
            </w:r>
          </w:p>
          <w:p w14:paraId="6FCA44EE" w14:textId="77777777" w:rsidR="00D75B83" w:rsidRPr="00E3787C" w:rsidRDefault="00D75B83" w:rsidP="00BA499D">
            <w:pPr>
              <w:tabs>
                <w:tab w:val="left" w:pos="4170"/>
              </w:tabs>
              <w:rPr>
                <w:sz w:val="18"/>
                <w:szCs w:val="18"/>
              </w:rPr>
            </w:pPr>
            <w:r w:rsidRPr="00E3787C">
              <w:rPr>
                <w:sz w:val="18"/>
                <w:szCs w:val="18"/>
              </w:rPr>
              <w:t>Međunarodno društvo za farmakoekonomiku i istraživanje ishoda</w:t>
            </w:r>
          </w:p>
        </w:tc>
      </w:tr>
      <w:tr w:rsidR="00D75B83" w:rsidRPr="00E3787C" w14:paraId="07BFB762" w14:textId="77777777" w:rsidTr="00BA499D">
        <w:tc>
          <w:tcPr>
            <w:tcW w:w="1809" w:type="dxa"/>
          </w:tcPr>
          <w:p w14:paraId="0B303037" w14:textId="77777777" w:rsidR="00D75B83" w:rsidRPr="00E3787C" w:rsidRDefault="00D75B83" w:rsidP="00BA499D">
            <w:pPr>
              <w:rPr>
                <w:sz w:val="18"/>
                <w:szCs w:val="18"/>
              </w:rPr>
            </w:pPr>
            <w:r w:rsidRPr="00E3787C">
              <w:rPr>
                <w:sz w:val="18"/>
                <w:szCs w:val="18"/>
              </w:rPr>
              <w:t>IT Directors Group</w:t>
            </w:r>
          </w:p>
        </w:tc>
        <w:tc>
          <w:tcPr>
            <w:tcW w:w="7479" w:type="dxa"/>
          </w:tcPr>
          <w:p w14:paraId="52B66520" w14:textId="77777777" w:rsidR="00D75B83" w:rsidRPr="00E3787C" w:rsidRDefault="00D75B83" w:rsidP="00BA499D">
            <w:pPr>
              <w:rPr>
                <w:sz w:val="18"/>
                <w:szCs w:val="18"/>
              </w:rPr>
            </w:pPr>
            <w:r w:rsidRPr="00E3787C">
              <w:rPr>
                <w:i/>
                <w:sz w:val="18"/>
                <w:szCs w:val="18"/>
              </w:rPr>
              <w:t>IT Directors Group</w:t>
            </w:r>
            <w:r w:rsidRPr="00E3787C">
              <w:rPr>
                <w:sz w:val="18"/>
                <w:szCs w:val="18"/>
              </w:rPr>
              <w:t xml:space="preserve"> </w:t>
            </w:r>
          </w:p>
          <w:p w14:paraId="3A5270D7" w14:textId="77777777" w:rsidR="00D75B83" w:rsidRPr="00E3787C" w:rsidRDefault="00D75B83" w:rsidP="00BA499D">
            <w:pPr>
              <w:rPr>
                <w:sz w:val="18"/>
                <w:szCs w:val="18"/>
              </w:rPr>
            </w:pPr>
            <w:r w:rsidRPr="00E3787C">
              <w:rPr>
                <w:sz w:val="18"/>
                <w:szCs w:val="18"/>
              </w:rPr>
              <w:t>Radna skupina za voditelje informatičkih poslova</w:t>
            </w:r>
          </w:p>
        </w:tc>
      </w:tr>
      <w:tr w:rsidR="00D75B83" w:rsidRPr="00E3787C" w14:paraId="5B93643D" w14:textId="77777777" w:rsidTr="00BA499D">
        <w:tc>
          <w:tcPr>
            <w:tcW w:w="1809" w:type="dxa"/>
          </w:tcPr>
          <w:p w14:paraId="60EAE4D2" w14:textId="77777777" w:rsidR="00D75B83" w:rsidRPr="00E3787C" w:rsidRDefault="00D75B83" w:rsidP="00BA499D">
            <w:pPr>
              <w:rPr>
                <w:sz w:val="18"/>
                <w:szCs w:val="18"/>
              </w:rPr>
            </w:pPr>
            <w:r w:rsidRPr="00E3787C">
              <w:rPr>
                <w:sz w:val="18"/>
                <w:szCs w:val="18"/>
              </w:rPr>
              <w:t>IV TIG</w:t>
            </w:r>
          </w:p>
        </w:tc>
        <w:tc>
          <w:tcPr>
            <w:tcW w:w="7479" w:type="dxa"/>
          </w:tcPr>
          <w:p w14:paraId="2E592B4D" w14:textId="77777777" w:rsidR="00D75B83" w:rsidRPr="00E3787C" w:rsidRDefault="00D75B83" w:rsidP="00BA499D">
            <w:pPr>
              <w:jc w:val="both"/>
              <w:rPr>
                <w:rFonts w:cstheme="minorHAnsi"/>
                <w:sz w:val="18"/>
                <w:szCs w:val="18"/>
              </w:rPr>
            </w:pPr>
            <w:r w:rsidRPr="00E3787C">
              <w:rPr>
                <w:i/>
                <w:sz w:val="18"/>
                <w:szCs w:val="18"/>
              </w:rPr>
              <w:t>IVD Technical group</w:t>
            </w:r>
            <w:r w:rsidRPr="00E3787C">
              <w:rPr>
                <w:rFonts w:cstheme="minorHAnsi"/>
                <w:sz w:val="18"/>
                <w:szCs w:val="18"/>
              </w:rPr>
              <w:t xml:space="preserve"> </w:t>
            </w:r>
          </w:p>
          <w:p w14:paraId="2DDEE8BD" w14:textId="77777777" w:rsidR="00D75B83" w:rsidRPr="00E3787C" w:rsidRDefault="00D75B83" w:rsidP="00BA499D">
            <w:pPr>
              <w:jc w:val="both"/>
              <w:rPr>
                <w:rFonts w:cstheme="minorHAnsi"/>
                <w:sz w:val="18"/>
                <w:szCs w:val="18"/>
              </w:rPr>
            </w:pPr>
            <w:r w:rsidRPr="00E3787C">
              <w:rPr>
                <w:rFonts w:cstheme="minorHAnsi"/>
                <w:sz w:val="18"/>
                <w:szCs w:val="18"/>
              </w:rPr>
              <w:t xml:space="preserve">Tehnička skupina za </w:t>
            </w:r>
            <w:r w:rsidRPr="00E3787C">
              <w:rPr>
                <w:rFonts w:cstheme="minorHAnsi"/>
                <w:i/>
                <w:sz w:val="18"/>
                <w:szCs w:val="18"/>
              </w:rPr>
              <w:t>in vitro</w:t>
            </w:r>
            <w:r w:rsidRPr="00E3787C">
              <w:rPr>
                <w:rFonts w:cstheme="minorHAnsi"/>
                <w:sz w:val="18"/>
                <w:szCs w:val="18"/>
              </w:rPr>
              <w:t xml:space="preserve"> dijagnostičke medicinske proizvode</w:t>
            </w:r>
          </w:p>
        </w:tc>
      </w:tr>
      <w:tr w:rsidR="00D75B83" w:rsidRPr="00E3787C" w14:paraId="693F5C20" w14:textId="77777777" w:rsidTr="00BA499D">
        <w:tc>
          <w:tcPr>
            <w:tcW w:w="1809" w:type="dxa"/>
          </w:tcPr>
          <w:p w14:paraId="4079603C" w14:textId="77777777" w:rsidR="00D75B83" w:rsidRPr="00E3787C" w:rsidRDefault="00D75B83" w:rsidP="00BA499D">
            <w:pPr>
              <w:rPr>
                <w:sz w:val="18"/>
                <w:szCs w:val="18"/>
              </w:rPr>
            </w:pPr>
            <w:r w:rsidRPr="00E3787C">
              <w:rPr>
                <w:sz w:val="18"/>
                <w:szCs w:val="18"/>
              </w:rPr>
              <w:t>JAP</w:t>
            </w:r>
          </w:p>
        </w:tc>
        <w:tc>
          <w:tcPr>
            <w:tcW w:w="7479" w:type="dxa"/>
          </w:tcPr>
          <w:p w14:paraId="0B6DC31A" w14:textId="77777777" w:rsidR="00D75B83" w:rsidRPr="00E3787C" w:rsidRDefault="00D75B83" w:rsidP="00BA499D">
            <w:pPr>
              <w:tabs>
                <w:tab w:val="left" w:pos="4170"/>
              </w:tabs>
              <w:rPr>
                <w:rFonts w:eastAsia="Times New Roman" w:cstheme="minorHAnsi"/>
                <w:sz w:val="18"/>
                <w:szCs w:val="18"/>
              </w:rPr>
            </w:pPr>
            <w:r w:rsidRPr="00E3787C">
              <w:rPr>
                <w:rFonts w:eastAsia="Times New Roman" w:cstheme="minorHAnsi"/>
                <w:i/>
                <w:sz w:val="18"/>
                <w:szCs w:val="18"/>
              </w:rPr>
              <w:t>Joint Audit Program</w:t>
            </w:r>
            <w:r w:rsidRPr="00E3787C">
              <w:rPr>
                <w:rFonts w:eastAsia="Times New Roman" w:cstheme="minorHAnsi"/>
                <w:sz w:val="18"/>
                <w:szCs w:val="18"/>
              </w:rPr>
              <w:t xml:space="preserve"> </w:t>
            </w:r>
          </w:p>
          <w:p w14:paraId="0CE2861A" w14:textId="77777777" w:rsidR="00D75B83" w:rsidRPr="00E3787C" w:rsidRDefault="00D75B83" w:rsidP="00BA499D">
            <w:pPr>
              <w:tabs>
                <w:tab w:val="left" w:pos="4170"/>
              </w:tabs>
              <w:rPr>
                <w:rFonts w:eastAsia="Times New Roman" w:cstheme="minorHAnsi"/>
                <w:sz w:val="18"/>
                <w:szCs w:val="18"/>
              </w:rPr>
            </w:pPr>
            <w:r w:rsidRPr="00E3787C">
              <w:rPr>
                <w:rFonts w:eastAsia="Times New Roman" w:cstheme="minorHAnsi"/>
                <w:sz w:val="18"/>
                <w:szCs w:val="18"/>
              </w:rPr>
              <w:t>Zajednički program nadzora</w:t>
            </w:r>
          </w:p>
        </w:tc>
      </w:tr>
      <w:tr w:rsidR="00D75B83" w:rsidRPr="00E3787C" w14:paraId="7DB2A797" w14:textId="77777777" w:rsidTr="00BA499D">
        <w:tc>
          <w:tcPr>
            <w:tcW w:w="1809" w:type="dxa"/>
          </w:tcPr>
          <w:p w14:paraId="3EBE18CF" w14:textId="77777777" w:rsidR="00D75B83" w:rsidRPr="00E3787C" w:rsidRDefault="00D75B83" w:rsidP="00BA499D">
            <w:pPr>
              <w:rPr>
                <w:sz w:val="18"/>
                <w:szCs w:val="18"/>
              </w:rPr>
            </w:pPr>
            <w:r w:rsidRPr="00E3787C">
              <w:rPr>
                <w:sz w:val="18"/>
                <w:szCs w:val="18"/>
              </w:rPr>
              <w:t>MDEG VIGILANCE</w:t>
            </w:r>
          </w:p>
        </w:tc>
        <w:tc>
          <w:tcPr>
            <w:tcW w:w="7479" w:type="dxa"/>
          </w:tcPr>
          <w:p w14:paraId="1DCA873B" w14:textId="77777777" w:rsidR="00D75B83" w:rsidRPr="00E3787C" w:rsidRDefault="00D75B83" w:rsidP="00BA499D">
            <w:pPr>
              <w:jc w:val="both"/>
              <w:rPr>
                <w:rFonts w:cstheme="minorHAnsi"/>
                <w:sz w:val="18"/>
                <w:szCs w:val="18"/>
              </w:rPr>
            </w:pPr>
            <w:r w:rsidRPr="00E3787C">
              <w:rPr>
                <w:rFonts w:cstheme="minorHAnsi"/>
                <w:sz w:val="18"/>
                <w:szCs w:val="18"/>
              </w:rPr>
              <w:t>Radna skupina stručnjaka za medicinske proizvode u području vigilancije</w:t>
            </w:r>
          </w:p>
        </w:tc>
      </w:tr>
      <w:tr w:rsidR="00D75B83" w:rsidRPr="00E3787C" w14:paraId="1BE4CFF0" w14:textId="77777777" w:rsidTr="00BA499D">
        <w:tc>
          <w:tcPr>
            <w:tcW w:w="1809" w:type="dxa"/>
          </w:tcPr>
          <w:p w14:paraId="49D43ECC" w14:textId="77777777" w:rsidR="00D75B83" w:rsidRPr="00E3787C" w:rsidRDefault="00D75B83" w:rsidP="00BA499D">
            <w:pPr>
              <w:rPr>
                <w:sz w:val="18"/>
                <w:szCs w:val="18"/>
              </w:rPr>
            </w:pPr>
            <w:r w:rsidRPr="00E3787C">
              <w:rPr>
                <w:sz w:val="18"/>
                <w:szCs w:val="18"/>
              </w:rPr>
              <w:lastRenderedPageBreak/>
              <w:t>MedDRA</w:t>
            </w:r>
          </w:p>
        </w:tc>
        <w:tc>
          <w:tcPr>
            <w:tcW w:w="7479" w:type="dxa"/>
          </w:tcPr>
          <w:p w14:paraId="6E79E429" w14:textId="77777777" w:rsidR="00D75B83" w:rsidRPr="00E3787C" w:rsidRDefault="00D75B83" w:rsidP="00BA499D">
            <w:pPr>
              <w:rPr>
                <w:sz w:val="18"/>
                <w:szCs w:val="18"/>
              </w:rPr>
            </w:pPr>
            <w:r w:rsidRPr="00E3787C">
              <w:rPr>
                <w:i/>
                <w:sz w:val="18"/>
                <w:szCs w:val="18"/>
              </w:rPr>
              <w:t>Medical Dictonary for Regulatory Activities</w:t>
            </w:r>
            <w:r w:rsidRPr="00E3787C">
              <w:rPr>
                <w:sz w:val="18"/>
                <w:szCs w:val="18"/>
              </w:rPr>
              <w:t xml:space="preserve"> </w:t>
            </w:r>
          </w:p>
          <w:p w14:paraId="5532E0BF" w14:textId="77777777" w:rsidR="00D75B83" w:rsidRPr="00E3787C" w:rsidRDefault="00D75B83" w:rsidP="00BA499D">
            <w:pPr>
              <w:rPr>
                <w:sz w:val="18"/>
                <w:szCs w:val="18"/>
              </w:rPr>
            </w:pPr>
            <w:r w:rsidRPr="00E3787C">
              <w:rPr>
                <w:sz w:val="18"/>
                <w:szCs w:val="18"/>
              </w:rPr>
              <w:t>Rječnik medicinske terminologije za regulatorna tijela</w:t>
            </w:r>
          </w:p>
        </w:tc>
      </w:tr>
      <w:tr w:rsidR="00D75B83" w:rsidRPr="00E3787C" w14:paraId="77E7AB4A" w14:textId="77777777" w:rsidTr="00BA499D">
        <w:tc>
          <w:tcPr>
            <w:tcW w:w="1809" w:type="dxa"/>
          </w:tcPr>
          <w:p w14:paraId="3409E7C8" w14:textId="77777777" w:rsidR="00D75B83" w:rsidRPr="00E3787C" w:rsidRDefault="00D75B83" w:rsidP="00BA499D">
            <w:pPr>
              <w:rPr>
                <w:sz w:val="18"/>
                <w:szCs w:val="18"/>
              </w:rPr>
            </w:pPr>
            <w:r w:rsidRPr="00E3787C">
              <w:rPr>
                <w:sz w:val="18"/>
                <w:szCs w:val="18"/>
              </w:rPr>
              <w:t>MHRA</w:t>
            </w:r>
          </w:p>
        </w:tc>
        <w:tc>
          <w:tcPr>
            <w:tcW w:w="7479" w:type="dxa"/>
          </w:tcPr>
          <w:p w14:paraId="7B0DA2F8" w14:textId="77777777" w:rsidR="00D75B83" w:rsidRPr="00E3787C" w:rsidRDefault="00D75B83" w:rsidP="00BA499D">
            <w:pPr>
              <w:rPr>
                <w:sz w:val="18"/>
                <w:szCs w:val="18"/>
              </w:rPr>
            </w:pPr>
            <w:r w:rsidRPr="00E3787C">
              <w:rPr>
                <w:i/>
                <w:sz w:val="18"/>
                <w:szCs w:val="18"/>
              </w:rPr>
              <w:t>Medicines and Healthcare products Regulatory Agency</w:t>
            </w:r>
            <w:r w:rsidRPr="00E3787C">
              <w:rPr>
                <w:sz w:val="18"/>
                <w:szCs w:val="18"/>
              </w:rPr>
              <w:t xml:space="preserve"> </w:t>
            </w:r>
          </w:p>
          <w:p w14:paraId="5531F097" w14:textId="77777777" w:rsidR="00D75B83" w:rsidRPr="00E3787C" w:rsidRDefault="00D75B83" w:rsidP="00BA499D">
            <w:pPr>
              <w:rPr>
                <w:sz w:val="18"/>
                <w:szCs w:val="18"/>
              </w:rPr>
            </w:pPr>
            <w:r w:rsidRPr="00E3787C">
              <w:rPr>
                <w:sz w:val="18"/>
                <w:szCs w:val="18"/>
              </w:rPr>
              <w:t>Britanska agencija za lijekove i medicinske proizvode</w:t>
            </w:r>
          </w:p>
        </w:tc>
      </w:tr>
      <w:tr w:rsidR="00D75B83" w:rsidRPr="00E3787C" w14:paraId="2AF7D6C1" w14:textId="77777777" w:rsidTr="00BA499D">
        <w:tc>
          <w:tcPr>
            <w:tcW w:w="1809" w:type="dxa"/>
          </w:tcPr>
          <w:p w14:paraId="0DA33F4E" w14:textId="77777777" w:rsidR="00D75B83" w:rsidRPr="00E3787C" w:rsidRDefault="00D75B83" w:rsidP="00BA499D">
            <w:pPr>
              <w:rPr>
                <w:sz w:val="18"/>
                <w:szCs w:val="18"/>
              </w:rPr>
            </w:pPr>
            <w:r w:rsidRPr="00E3787C">
              <w:rPr>
                <w:sz w:val="18"/>
                <w:szCs w:val="18"/>
              </w:rPr>
              <w:t>MRP/DCP</w:t>
            </w:r>
          </w:p>
        </w:tc>
        <w:tc>
          <w:tcPr>
            <w:tcW w:w="7479" w:type="dxa"/>
          </w:tcPr>
          <w:p w14:paraId="4AC04BE8" w14:textId="77777777" w:rsidR="00D75B83" w:rsidRPr="00E3787C" w:rsidRDefault="00D75B83" w:rsidP="00BA499D">
            <w:pPr>
              <w:rPr>
                <w:sz w:val="18"/>
                <w:szCs w:val="18"/>
              </w:rPr>
            </w:pPr>
            <w:r w:rsidRPr="00E3787C">
              <w:rPr>
                <w:i/>
                <w:sz w:val="18"/>
                <w:szCs w:val="18"/>
              </w:rPr>
              <w:t>Mutual recognition procedure/Decentralised procedure</w:t>
            </w:r>
            <w:r w:rsidRPr="00E3787C">
              <w:rPr>
                <w:sz w:val="18"/>
                <w:szCs w:val="18"/>
              </w:rPr>
              <w:t xml:space="preserve"> </w:t>
            </w:r>
          </w:p>
          <w:p w14:paraId="4E2CE271" w14:textId="77777777" w:rsidR="00D75B83" w:rsidRPr="00E3787C" w:rsidRDefault="00D75B83" w:rsidP="00BA499D">
            <w:pPr>
              <w:rPr>
                <w:sz w:val="18"/>
                <w:szCs w:val="18"/>
              </w:rPr>
            </w:pPr>
            <w:r w:rsidRPr="00E3787C">
              <w:rPr>
                <w:sz w:val="18"/>
                <w:szCs w:val="18"/>
              </w:rPr>
              <w:t>Postupak međusobnog priznavanja/Decentralizirani postupak priznavanja</w:t>
            </w:r>
          </w:p>
        </w:tc>
      </w:tr>
      <w:tr w:rsidR="00D75B83" w:rsidRPr="00E3787C" w14:paraId="6DB6088F" w14:textId="77777777" w:rsidTr="00BA499D">
        <w:tc>
          <w:tcPr>
            <w:tcW w:w="1809" w:type="dxa"/>
          </w:tcPr>
          <w:p w14:paraId="00F66B74" w14:textId="77777777" w:rsidR="00D75B83" w:rsidRPr="00E3787C" w:rsidRDefault="00D75B83" w:rsidP="00BA499D">
            <w:pPr>
              <w:rPr>
                <w:rFonts w:cstheme="minorHAnsi"/>
                <w:sz w:val="18"/>
                <w:szCs w:val="18"/>
              </w:rPr>
            </w:pPr>
            <w:r w:rsidRPr="00E3787C">
              <w:rPr>
                <w:rFonts w:cstheme="minorHAnsi"/>
                <w:sz w:val="18"/>
                <w:szCs w:val="18"/>
              </w:rPr>
              <w:t>NRG</w:t>
            </w:r>
          </w:p>
        </w:tc>
        <w:tc>
          <w:tcPr>
            <w:tcW w:w="7479" w:type="dxa"/>
          </w:tcPr>
          <w:p w14:paraId="0885039B" w14:textId="77777777" w:rsidR="00D75B83" w:rsidRPr="00E3787C" w:rsidRDefault="00D75B83" w:rsidP="00BA499D">
            <w:pPr>
              <w:rPr>
                <w:rFonts w:eastAsia="Times New Roman" w:cstheme="minorHAnsi"/>
                <w:sz w:val="18"/>
                <w:szCs w:val="18"/>
              </w:rPr>
            </w:pPr>
            <w:r w:rsidRPr="00E3787C">
              <w:rPr>
                <w:rFonts w:eastAsia="Times New Roman" w:cstheme="minorHAnsi"/>
                <w:i/>
                <w:sz w:val="18"/>
                <w:szCs w:val="18"/>
              </w:rPr>
              <w:t>(Invented) Name Review Group</w:t>
            </w:r>
            <w:r w:rsidRPr="00E3787C">
              <w:rPr>
                <w:rFonts w:eastAsia="Times New Roman" w:cstheme="minorHAnsi"/>
                <w:sz w:val="18"/>
                <w:szCs w:val="18"/>
              </w:rPr>
              <w:t xml:space="preserve"> </w:t>
            </w:r>
          </w:p>
          <w:p w14:paraId="71E80934" w14:textId="77777777" w:rsidR="00D75B83" w:rsidRPr="00E3787C" w:rsidRDefault="00D75B83" w:rsidP="00BA499D">
            <w:pPr>
              <w:rPr>
                <w:rFonts w:eastAsia="Times New Roman" w:cstheme="minorHAnsi"/>
                <w:sz w:val="18"/>
                <w:szCs w:val="18"/>
              </w:rPr>
            </w:pPr>
            <w:r w:rsidRPr="00E3787C">
              <w:rPr>
                <w:rFonts w:eastAsia="Times New Roman" w:cstheme="minorHAnsi"/>
                <w:sz w:val="18"/>
                <w:szCs w:val="18"/>
              </w:rPr>
              <w:t>Radna skupina za ocjenu prihvatljivosti naziva lijeka</w:t>
            </w:r>
          </w:p>
        </w:tc>
      </w:tr>
      <w:tr w:rsidR="00D75B83" w:rsidRPr="00E3787C" w14:paraId="5A884FC6" w14:textId="77777777" w:rsidTr="00BA499D">
        <w:tc>
          <w:tcPr>
            <w:tcW w:w="1809" w:type="dxa"/>
          </w:tcPr>
          <w:p w14:paraId="7B73577F" w14:textId="77777777" w:rsidR="00D75B83" w:rsidRPr="00E3787C" w:rsidRDefault="00D75B83" w:rsidP="00BA499D">
            <w:pPr>
              <w:rPr>
                <w:sz w:val="18"/>
                <w:szCs w:val="18"/>
              </w:rPr>
            </w:pPr>
            <w:r w:rsidRPr="00E3787C">
              <w:rPr>
                <w:sz w:val="18"/>
                <w:szCs w:val="18"/>
              </w:rPr>
              <w:t>NtA</w:t>
            </w:r>
          </w:p>
        </w:tc>
        <w:tc>
          <w:tcPr>
            <w:tcW w:w="7479" w:type="dxa"/>
          </w:tcPr>
          <w:p w14:paraId="12F0A597" w14:textId="77777777" w:rsidR="00D75B83" w:rsidRPr="00E3787C" w:rsidRDefault="00D75B83" w:rsidP="00BA499D">
            <w:pPr>
              <w:rPr>
                <w:sz w:val="18"/>
                <w:szCs w:val="18"/>
              </w:rPr>
            </w:pPr>
            <w:r w:rsidRPr="00E3787C">
              <w:rPr>
                <w:i/>
                <w:sz w:val="18"/>
                <w:szCs w:val="18"/>
              </w:rPr>
              <w:t>Notice to Applicants Working Group</w:t>
            </w:r>
            <w:r w:rsidRPr="00E3787C">
              <w:rPr>
                <w:sz w:val="18"/>
                <w:szCs w:val="18"/>
              </w:rPr>
              <w:t xml:space="preserve"> </w:t>
            </w:r>
          </w:p>
          <w:p w14:paraId="350D4E79" w14:textId="77777777" w:rsidR="00D75B83" w:rsidRPr="00E3787C" w:rsidRDefault="00D75B83" w:rsidP="00BA499D">
            <w:pPr>
              <w:rPr>
                <w:sz w:val="18"/>
                <w:szCs w:val="18"/>
              </w:rPr>
            </w:pPr>
            <w:r w:rsidRPr="00E3787C">
              <w:rPr>
                <w:sz w:val="18"/>
                <w:szCs w:val="18"/>
              </w:rPr>
              <w:t xml:space="preserve">Radna skupina za upute podnositeljima zahtjeva </w:t>
            </w:r>
          </w:p>
        </w:tc>
      </w:tr>
      <w:tr w:rsidR="00D75B83" w:rsidRPr="00E3787C" w14:paraId="3CD5BF1C" w14:textId="77777777" w:rsidTr="00BA499D">
        <w:tc>
          <w:tcPr>
            <w:tcW w:w="1809" w:type="dxa"/>
          </w:tcPr>
          <w:p w14:paraId="3A693446" w14:textId="77777777" w:rsidR="00D75B83" w:rsidRPr="00E3787C" w:rsidRDefault="00D75B83" w:rsidP="00BA499D">
            <w:pPr>
              <w:rPr>
                <w:sz w:val="18"/>
                <w:szCs w:val="18"/>
              </w:rPr>
            </w:pPr>
            <w:r w:rsidRPr="00E3787C">
              <w:rPr>
                <w:sz w:val="18"/>
                <w:szCs w:val="18"/>
              </w:rPr>
              <w:t>NUI</w:t>
            </w:r>
          </w:p>
        </w:tc>
        <w:tc>
          <w:tcPr>
            <w:tcW w:w="7479" w:type="dxa"/>
          </w:tcPr>
          <w:p w14:paraId="710736FF" w14:textId="77777777" w:rsidR="00D75B83" w:rsidRPr="00E3787C" w:rsidRDefault="00D75B83" w:rsidP="00BA499D">
            <w:pPr>
              <w:rPr>
                <w:rFonts w:eastAsia="Times New Roman" w:cstheme="minorHAnsi"/>
                <w:sz w:val="18"/>
                <w:szCs w:val="18"/>
              </w:rPr>
            </w:pPr>
            <w:r w:rsidRPr="00E3787C">
              <w:rPr>
                <w:rFonts w:eastAsia="Times New Roman" w:cstheme="minorHAnsi"/>
                <w:i/>
                <w:sz w:val="18"/>
                <w:szCs w:val="18"/>
              </w:rPr>
              <w:t>Non Urgent Information</w:t>
            </w:r>
          </w:p>
        </w:tc>
      </w:tr>
      <w:tr w:rsidR="00D75B83" w:rsidRPr="00E3787C" w14:paraId="0301EA6C" w14:textId="77777777" w:rsidTr="00BA499D">
        <w:tc>
          <w:tcPr>
            <w:tcW w:w="1809" w:type="dxa"/>
          </w:tcPr>
          <w:p w14:paraId="6F11735B" w14:textId="77777777" w:rsidR="00D75B83" w:rsidRPr="00E3787C" w:rsidRDefault="00D75B83" w:rsidP="00BA499D">
            <w:pPr>
              <w:rPr>
                <w:sz w:val="18"/>
                <w:szCs w:val="18"/>
              </w:rPr>
            </w:pPr>
            <w:r w:rsidRPr="00E3787C">
              <w:rPr>
                <w:sz w:val="18"/>
                <w:szCs w:val="18"/>
              </w:rPr>
              <w:t>OMCL</w:t>
            </w:r>
          </w:p>
        </w:tc>
        <w:tc>
          <w:tcPr>
            <w:tcW w:w="7479" w:type="dxa"/>
          </w:tcPr>
          <w:p w14:paraId="0B835044" w14:textId="77777777" w:rsidR="00D75B83" w:rsidRPr="00E3787C" w:rsidRDefault="00D75B83" w:rsidP="00BA499D">
            <w:pPr>
              <w:rPr>
                <w:sz w:val="18"/>
                <w:szCs w:val="18"/>
              </w:rPr>
            </w:pPr>
            <w:r w:rsidRPr="00E3787C">
              <w:rPr>
                <w:i/>
                <w:sz w:val="18"/>
                <w:szCs w:val="18"/>
              </w:rPr>
              <w:t>Official Medicines Control Laboratories</w:t>
            </w:r>
            <w:r w:rsidRPr="00E3787C">
              <w:rPr>
                <w:sz w:val="18"/>
                <w:szCs w:val="18"/>
              </w:rPr>
              <w:t xml:space="preserve"> </w:t>
            </w:r>
          </w:p>
          <w:p w14:paraId="47AAEAE3" w14:textId="77777777" w:rsidR="00D75B83" w:rsidRPr="00E3787C" w:rsidRDefault="00D75B83" w:rsidP="00BA499D">
            <w:pPr>
              <w:rPr>
                <w:sz w:val="18"/>
                <w:szCs w:val="18"/>
              </w:rPr>
            </w:pPr>
            <w:r w:rsidRPr="00E3787C">
              <w:rPr>
                <w:sz w:val="18"/>
                <w:szCs w:val="18"/>
              </w:rPr>
              <w:t>Službeni laboratoriji za kontrolu lijekova</w:t>
            </w:r>
          </w:p>
        </w:tc>
      </w:tr>
      <w:tr w:rsidR="00D75B83" w:rsidRPr="00E3787C" w14:paraId="21FBEF94" w14:textId="77777777" w:rsidTr="00BA499D">
        <w:tc>
          <w:tcPr>
            <w:tcW w:w="1809" w:type="dxa"/>
          </w:tcPr>
          <w:p w14:paraId="7B8AF08C" w14:textId="77777777" w:rsidR="00D75B83" w:rsidRPr="00E3787C" w:rsidRDefault="00D75B83" w:rsidP="00BA499D">
            <w:pPr>
              <w:rPr>
                <w:sz w:val="18"/>
                <w:szCs w:val="18"/>
              </w:rPr>
            </w:pPr>
            <w:r w:rsidRPr="00E3787C">
              <w:rPr>
                <w:sz w:val="18"/>
                <w:szCs w:val="18"/>
              </w:rPr>
              <w:t>PBT</w:t>
            </w:r>
          </w:p>
        </w:tc>
        <w:tc>
          <w:tcPr>
            <w:tcW w:w="7479" w:type="dxa"/>
          </w:tcPr>
          <w:p w14:paraId="1C3B175C" w14:textId="77777777" w:rsidR="00D75B83" w:rsidRPr="00E3787C" w:rsidRDefault="00D75B83" w:rsidP="00BA499D">
            <w:pPr>
              <w:rPr>
                <w:i/>
                <w:sz w:val="18"/>
                <w:szCs w:val="18"/>
              </w:rPr>
            </w:pPr>
            <w:r w:rsidRPr="00E3787C">
              <w:rPr>
                <w:rFonts w:eastAsia="Times New Roman" w:cstheme="minorHAnsi"/>
                <w:i/>
                <w:sz w:val="18"/>
                <w:szCs w:val="18"/>
              </w:rPr>
              <w:t>Pharmacovigilance Business Team</w:t>
            </w:r>
          </w:p>
        </w:tc>
      </w:tr>
      <w:tr w:rsidR="00D75B83" w:rsidRPr="00E3787C" w14:paraId="6116F412" w14:textId="77777777" w:rsidTr="00BA499D">
        <w:tc>
          <w:tcPr>
            <w:tcW w:w="1809" w:type="dxa"/>
          </w:tcPr>
          <w:p w14:paraId="5922BB5C" w14:textId="77777777" w:rsidR="00D75B83" w:rsidRPr="00E3787C" w:rsidRDefault="00D75B83" w:rsidP="00BA499D">
            <w:pPr>
              <w:rPr>
                <w:rFonts w:cstheme="minorHAnsi"/>
                <w:sz w:val="18"/>
                <w:szCs w:val="18"/>
              </w:rPr>
            </w:pPr>
            <w:r w:rsidRPr="00E3787C">
              <w:rPr>
                <w:rFonts w:cstheme="minorHAnsi"/>
                <w:sz w:val="18"/>
                <w:szCs w:val="18"/>
              </w:rPr>
              <w:t>PDCO</w:t>
            </w:r>
          </w:p>
        </w:tc>
        <w:tc>
          <w:tcPr>
            <w:tcW w:w="7479" w:type="dxa"/>
          </w:tcPr>
          <w:p w14:paraId="247A93E9" w14:textId="77777777" w:rsidR="00D75B83" w:rsidRPr="00E3787C" w:rsidRDefault="00D75B83" w:rsidP="00BA499D">
            <w:pPr>
              <w:rPr>
                <w:rFonts w:eastAsia="Times New Roman" w:cstheme="minorHAnsi"/>
                <w:sz w:val="18"/>
                <w:szCs w:val="18"/>
              </w:rPr>
            </w:pPr>
            <w:r w:rsidRPr="00E3787C">
              <w:rPr>
                <w:rFonts w:eastAsia="Times New Roman" w:cstheme="minorHAnsi"/>
                <w:i/>
                <w:sz w:val="18"/>
                <w:szCs w:val="18"/>
              </w:rPr>
              <w:t>Paediatric Committee</w:t>
            </w:r>
            <w:r w:rsidRPr="00E3787C">
              <w:rPr>
                <w:rFonts w:eastAsia="Times New Roman" w:cstheme="minorHAnsi"/>
                <w:sz w:val="18"/>
                <w:szCs w:val="18"/>
              </w:rPr>
              <w:t xml:space="preserve"> </w:t>
            </w:r>
          </w:p>
          <w:p w14:paraId="0D89232B" w14:textId="77777777" w:rsidR="00D75B83" w:rsidRPr="00E3787C" w:rsidRDefault="00D75B83" w:rsidP="00BA499D">
            <w:pPr>
              <w:rPr>
                <w:rFonts w:eastAsia="Times New Roman" w:cstheme="minorHAnsi"/>
                <w:sz w:val="18"/>
                <w:szCs w:val="18"/>
              </w:rPr>
            </w:pPr>
            <w:r w:rsidRPr="00E3787C">
              <w:rPr>
                <w:rFonts w:eastAsia="Times New Roman" w:cstheme="minorHAnsi"/>
                <w:sz w:val="18"/>
                <w:szCs w:val="18"/>
              </w:rPr>
              <w:t>Povjerenstvo za pedijatriju</w:t>
            </w:r>
          </w:p>
        </w:tc>
      </w:tr>
      <w:tr w:rsidR="00D75B83" w:rsidRPr="00E3787C" w14:paraId="47394430" w14:textId="77777777" w:rsidTr="00BA499D">
        <w:tc>
          <w:tcPr>
            <w:tcW w:w="1809" w:type="dxa"/>
          </w:tcPr>
          <w:p w14:paraId="489E535F" w14:textId="77777777" w:rsidR="00D75B83" w:rsidRPr="00E3787C" w:rsidRDefault="00D75B83" w:rsidP="00BA499D">
            <w:pPr>
              <w:rPr>
                <w:sz w:val="18"/>
                <w:szCs w:val="18"/>
              </w:rPr>
            </w:pPr>
            <w:r w:rsidRPr="00E3787C">
              <w:rPr>
                <w:sz w:val="18"/>
                <w:szCs w:val="18"/>
              </w:rPr>
              <w:t>PHARMA WP</w:t>
            </w:r>
          </w:p>
        </w:tc>
        <w:tc>
          <w:tcPr>
            <w:tcW w:w="7479" w:type="dxa"/>
          </w:tcPr>
          <w:p w14:paraId="7CF12E83" w14:textId="77777777" w:rsidR="00D75B83" w:rsidRPr="00E3787C" w:rsidRDefault="00D75B83" w:rsidP="00BA499D">
            <w:pPr>
              <w:jc w:val="both"/>
              <w:rPr>
                <w:rFonts w:eastAsia="Times New Roman" w:cstheme="minorHAnsi"/>
                <w:sz w:val="18"/>
                <w:szCs w:val="18"/>
              </w:rPr>
            </w:pPr>
            <w:r w:rsidRPr="00E3787C">
              <w:rPr>
                <w:rFonts w:eastAsia="Times New Roman" w:cstheme="minorHAnsi"/>
                <w:i/>
                <w:sz w:val="18"/>
                <w:szCs w:val="18"/>
              </w:rPr>
              <w:t>Working Party on Pharmaceuticals and Medical Devices</w:t>
            </w:r>
            <w:r w:rsidRPr="00E3787C">
              <w:rPr>
                <w:rFonts w:eastAsia="Times New Roman" w:cstheme="minorHAnsi"/>
                <w:sz w:val="18"/>
                <w:szCs w:val="18"/>
              </w:rPr>
              <w:t xml:space="preserve"> </w:t>
            </w:r>
          </w:p>
          <w:p w14:paraId="4B9250F9" w14:textId="77777777" w:rsidR="00D75B83" w:rsidRPr="00E3787C" w:rsidRDefault="00D75B83" w:rsidP="00BA499D">
            <w:pPr>
              <w:jc w:val="both"/>
              <w:rPr>
                <w:rFonts w:eastAsia="Times New Roman" w:cstheme="minorHAnsi"/>
                <w:sz w:val="18"/>
                <w:szCs w:val="18"/>
              </w:rPr>
            </w:pPr>
            <w:r w:rsidRPr="00E3787C">
              <w:rPr>
                <w:rFonts w:eastAsia="Times New Roman" w:cstheme="minorHAnsi"/>
                <w:sz w:val="18"/>
                <w:szCs w:val="18"/>
              </w:rPr>
              <w:t xml:space="preserve">Radna skupina za lijekove i medicinske proizvode </w:t>
            </w:r>
          </w:p>
        </w:tc>
      </w:tr>
      <w:tr w:rsidR="00D75B83" w:rsidRPr="00E3787C" w14:paraId="46F36753" w14:textId="77777777" w:rsidTr="00BA499D">
        <w:tc>
          <w:tcPr>
            <w:tcW w:w="1809" w:type="dxa"/>
          </w:tcPr>
          <w:p w14:paraId="7AF9B635" w14:textId="77777777" w:rsidR="00D75B83" w:rsidRPr="00E3787C" w:rsidRDefault="00D75B83" w:rsidP="00BA499D">
            <w:pPr>
              <w:rPr>
                <w:rFonts w:cstheme="minorHAnsi"/>
                <w:sz w:val="18"/>
                <w:szCs w:val="18"/>
              </w:rPr>
            </w:pPr>
            <w:r w:rsidRPr="00E3787C">
              <w:rPr>
                <w:rFonts w:cstheme="minorHAnsi"/>
                <w:sz w:val="18"/>
                <w:szCs w:val="18"/>
              </w:rPr>
              <w:t>PhV IWG</w:t>
            </w:r>
          </w:p>
        </w:tc>
        <w:tc>
          <w:tcPr>
            <w:tcW w:w="7479" w:type="dxa"/>
          </w:tcPr>
          <w:p w14:paraId="58D0081D" w14:textId="77777777" w:rsidR="00D75B83" w:rsidRPr="00E3787C" w:rsidRDefault="00D75B83" w:rsidP="00BA499D">
            <w:pPr>
              <w:rPr>
                <w:rFonts w:eastAsia="Times New Roman" w:cstheme="minorHAnsi"/>
                <w:sz w:val="18"/>
                <w:szCs w:val="18"/>
              </w:rPr>
            </w:pPr>
            <w:r w:rsidRPr="00E3787C">
              <w:rPr>
                <w:rFonts w:eastAsia="Times New Roman" w:cstheme="minorHAnsi"/>
                <w:i/>
                <w:iCs/>
                <w:sz w:val="18"/>
                <w:szCs w:val="18"/>
              </w:rPr>
              <w:t>Pharmacovigilance Inspectors Working Group</w:t>
            </w:r>
            <w:r w:rsidRPr="00E3787C">
              <w:rPr>
                <w:rFonts w:eastAsia="Times New Roman" w:cstheme="minorHAnsi"/>
                <w:sz w:val="18"/>
                <w:szCs w:val="18"/>
              </w:rPr>
              <w:t xml:space="preserve"> </w:t>
            </w:r>
          </w:p>
          <w:p w14:paraId="3FD419ED" w14:textId="77777777" w:rsidR="00D75B83" w:rsidRPr="00E3787C" w:rsidRDefault="00D75B83" w:rsidP="00BA499D">
            <w:pPr>
              <w:rPr>
                <w:rFonts w:eastAsia="Times New Roman" w:cstheme="minorHAnsi"/>
                <w:sz w:val="18"/>
                <w:szCs w:val="18"/>
              </w:rPr>
            </w:pPr>
            <w:r w:rsidRPr="00E3787C">
              <w:rPr>
                <w:rFonts w:eastAsia="Times New Roman" w:cstheme="minorHAnsi"/>
                <w:sz w:val="18"/>
                <w:szCs w:val="18"/>
              </w:rPr>
              <w:t>Radna skupina farmakovigilancijskih inspektora</w:t>
            </w:r>
          </w:p>
        </w:tc>
      </w:tr>
      <w:tr w:rsidR="00D75B83" w:rsidRPr="00E3787C" w14:paraId="52F16571" w14:textId="77777777" w:rsidTr="00BA499D">
        <w:tc>
          <w:tcPr>
            <w:tcW w:w="1809" w:type="dxa"/>
          </w:tcPr>
          <w:p w14:paraId="02CFA6E9" w14:textId="77777777" w:rsidR="00D75B83" w:rsidRPr="00E3787C" w:rsidRDefault="00D75B83" w:rsidP="00BA499D">
            <w:pPr>
              <w:rPr>
                <w:sz w:val="18"/>
                <w:szCs w:val="18"/>
              </w:rPr>
            </w:pPr>
            <w:r w:rsidRPr="00E3787C">
              <w:rPr>
                <w:sz w:val="18"/>
                <w:szCs w:val="18"/>
              </w:rPr>
              <w:t>PIC/S</w:t>
            </w:r>
          </w:p>
        </w:tc>
        <w:tc>
          <w:tcPr>
            <w:tcW w:w="7479" w:type="dxa"/>
          </w:tcPr>
          <w:p w14:paraId="7342DE41" w14:textId="77777777" w:rsidR="00D75B83" w:rsidRPr="00E3787C" w:rsidRDefault="00D75B83" w:rsidP="00BA499D">
            <w:pPr>
              <w:tabs>
                <w:tab w:val="left" w:pos="4170"/>
              </w:tabs>
              <w:rPr>
                <w:sz w:val="18"/>
                <w:szCs w:val="18"/>
              </w:rPr>
            </w:pPr>
            <w:r w:rsidRPr="00E3787C">
              <w:rPr>
                <w:i/>
                <w:sz w:val="18"/>
                <w:szCs w:val="18"/>
              </w:rPr>
              <w:t>Pharmaceutical Inspection Convention and Pharmaceutical Inspection CO-operation Scheme</w:t>
            </w:r>
            <w:r w:rsidRPr="00E3787C">
              <w:rPr>
                <w:sz w:val="18"/>
                <w:szCs w:val="18"/>
              </w:rPr>
              <w:t xml:space="preserve"> </w:t>
            </w:r>
          </w:p>
          <w:p w14:paraId="67556ADC" w14:textId="77777777" w:rsidR="00D75B83" w:rsidRPr="00E3787C" w:rsidRDefault="00D75B83" w:rsidP="00BA499D">
            <w:pPr>
              <w:tabs>
                <w:tab w:val="left" w:pos="4170"/>
              </w:tabs>
              <w:rPr>
                <w:sz w:val="18"/>
                <w:szCs w:val="18"/>
                <w:highlight w:val="yellow"/>
              </w:rPr>
            </w:pPr>
            <w:r w:rsidRPr="00E3787C">
              <w:rPr>
                <w:sz w:val="18"/>
                <w:szCs w:val="18"/>
              </w:rPr>
              <w:t xml:space="preserve">Međunarodna farmaceutska inspekcijska organizacija </w:t>
            </w:r>
          </w:p>
        </w:tc>
      </w:tr>
      <w:tr w:rsidR="00D75B83" w:rsidRPr="00E3787C" w14:paraId="2E33B0FB" w14:textId="77777777" w:rsidTr="00BA499D">
        <w:tc>
          <w:tcPr>
            <w:tcW w:w="1809" w:type="dxa"/>
          </w:tcPr>
          <w:p w14:paraId="11CD92FE" w14:textId="77777777" w:rsidR="00D75B83" w:rsidRPr="00E3787C" w:rsidRDefault="00D75B83" w:rsidP="00BA499D">
            <w:pPr>
              <w:rPr>
                <w:rFonts w:cstheme="minorHAnsi"/>
                <w:sz w:val="18"/>
                <w:szCs w:val="18"/>
              </w:rPr>
            </w:pPr>
            <w:r w:rsidRPr="00E3787C">
              <w:rPr>
                <w:rFonts w:cstheme="minorHAnsi"/>
                <w:sz w:val="18"/>
                <w:szCs w:val="18"/>
              </w:rPr>
              <w:t>PRAC</w:t>
            </w:r>
          </w:p>
        </w:tc>
        <w:tc>
          <w:tcPr>
            <w:tcW w:w="7479" w:type="dxa"/>
          </w:tcPr>
          <w:p w14:paraId="168CE62E" w14:textId="77777777" w:rsidR="00D75B83" w:rsidRPr="00E3787C" w:rsidRDefault="00D75B83" w:rsidP="00BA499D">
            <w:pPr>
              <w:rPr>
                <w:rFonts w:eastAsia="Times New Roman" w:cstheme="minorHAnsi"/>
                <w:sz w:val="18"/>
                <w:szCs w:val="18"/>
              </w:rPr>
            </w:pPr>
            <w:r w:rsidRPr="00E3787C">
              <w:rPr>
                <w:rFonts w:eastAsia="Times New Roman" w:cstheme="minorHAnsi"/>
                <w:i/>
                <w:iCs/>
                <w:sz w:val="18"/>
                <w:szCs w:val="18"/>
              </w:rPr>
              <w:t>Pharmacovigilance Risk Assessment Committee</w:t>
            </w:r>
            <w:r w:rsidRPr="00E3787C">
              <w:rPr>
                <w:rFonts w:eastAsia="Times New Roman" w:cstheme="minorHAnsi"/>
                <w:sz w:val="18"/>
                <w:szCs w:val="18"/>
              </w:rPr>
              <w:t xml:space="preserve"> </w:t>
            </w:r>
          </w:p>
          <w:p w14:paraId="36672643" w14:textId="77777777" w:rsidR="00D75B83" w:rsidRPr="00E3787C" w:rsidRDefault="00D75B83" w:rsidP="00BA499D">
            <w:pPr>
              <w:rPr>
                <w:rFonts w:eastAsia="Times New Roman" w:cstheme="minorHAnsi"/>
                <w:sz w:val="18"/>
                <w:szCs w:val="18"/>
              </w:rPr>
            </w:pPr>
            <w:r w:rsidRPr="00E3787C">
              <w:rPr>
                <w:rFonts w:ascii="Calibri" w:hAnsi="Calibri" w:cs="Calibri"/>
                <w:sz w:val="18"/>
                <w:szCs w:val="18"/>
              </w:rPr>
              <w:t>Povjerenstvo za ocjenu rizika na području farmakovigilancije</w:t>
            </w:r>
          </w:p>
        </w:tc>
      </w:tr>
      <w:tr w:rsidR="00D75B83" w:rsidRPr="00E3787C" w14:paraId="6F88A340" w14:textId="77777777" w:rsidTr="00BA499D">
        <w:tc>
          <w:tcPr>
            <w:tcW w:w="1809" w:type="dxa"/>
          </w:tcPr>
          <w:p w14:paraId="10196275" w14:textId="77777777" w:rsidR="00D75B83" w:rsidRPr="00E3787C" w:rsidRDefault="00D75B83" w:rsidP="00BA499D">
            <w:pPr>
              <w:rPr>
                <w:sz w:val="18"/>
                <w:szCs w:val="18"/>
              </w:rPr>
            </w:pPr>
            <w:r w:rsidRPr="00E3787C">
              <w:rPr>
                <w:sz w:val="18"/>
                <w:szCs w:val="18"/>
              </w:rPr>
              <w:t>PSMF</w:t>
            </w:r>
          </w:p>
        </w:tc>
        <w:tc>
          <w:tcPr>
            <w:tcW w:w="7479" w:type="dxa"/>
          </w:tcPr>
          <w:p w14:paraId="38E2CABE" w14:textId="77777777" w:rsidR="00D75B83" w:rsidRPr="00E3787C" w:rsidRDefault="00D75B83" w:rsidP="00BA499D">
            <w:pPr>
              <w:tabs>
                <w:tab w:val="left" w:pos="4170"/>
              </w:tabs>
              <w:rPr>
                <w:rFonts w:eastAsia="Times New Roman" w:cstheme="minorHAnsi"/>
                <w:i/>
                <w:sz w:val="18"/>
                <w:szCs w:val="18"/>
              </w:rPr>
            </w:pPr>
            <w:r w:rsidRPr="00E3787C">
              <w:rPr>
                <w:rFonts w:eastAsia="Times New Roman" w:cstheme="minorHAnsi"/>
                <w:i/>
                <w:sz w:val="18"/>
                <w:szCs w:val="18"/>
              </w:rPr>
              <w:t>Pharmacovigilance site master file</w:t>
            </w:r>
          </w:p>
        </w:tc>
      </w:tr>
      <w:tr w:rsidR="00D75B83" w:rsidRPr="00E3787C" w14:paraId="4A75984D" w14:textId="77777777" w:rsidTr="00BA499D">
        <w:tc>
          <w:tcPr>
            <w:tcW w:w="1809" w:type="dxa"/>
          </w:tcPr>
          <w:p w14:paraId="67EBD259" w14:textId="77777777" w:rsidR="00D75B83" w:rsidRPr="00E3787C" w:rsidRDefault="00D75B83" w:rsidP="00BA499D">
            <w:pPr>
              <w:rPr>
                <w:rFonts w:cstheme="minorHAnsi"/>
                <w:sz w:val="18"/>
                <w:szCs w:val="18"/>
              </w:rPr>
            </w:pPr>
            <w:r w:rsidRPr="00E3787C">
              <w:rPr>
                <w:rFonts w:cstheme="minorHAnsi"/>
                <w:sz w:val="18"/>
                <w:szCs w:val="18"/>
              </w:rPr>
              <w:t>QRD</w:t>
            </w:r>
          </w:p>
        </w:tc>
        <w:tc>
          <w:tcPr>
            <w:tcW w:w="7479" w:type="dxa"/>
          </w:tcPr>
          <w:p w14:paraId="5CF18329" w14:textId="77777777" w:rsidR="00D75B83" w:rsidRPr="00E3787C" w:rsidRDefault="00D75B83" w:rsidP="00BA499D">
            <w:pPr>
              <w:rPr>
                <w:rFonts w:eastAsia="Times New Roman" w:cstheme="minorHAnsi"/>
                <w:iCs/>
                <w:sz w:val="18"/>
                <w:szCs w:val="18"/>
              </w:rPr>
            </w:pPr>
            <w:r w:rsidRPr="00E3787C">
              <w:rPr>
                <w:rFonts w:eastAsia="Times New Roman" w:cstheme="minorHAnsi"/>
                <w:i/>
                <w:iCs/>
                <w:sz w:val="18"/>
                <w:szCs w:val="18"/>
              </w:rPr>
              <w:t>Quality Review of Documents</w:t>
            </w:r>
            <w:r w:rsidRPr="00E3787C">
              <w:rPr>
                <w:rFonts w:eastAsia="Times New Roman" w:cstheme="minorHAnsi"/>
                <w:iCs/>
                <w:sz w:val="18"/>
                <w:szCs w:val="18"/>
              </w:rPr>
              <w:t xml:space="preserve"> </w:t>
            </w:r>
          </w:p>
          <w:p w14:paraId="3841AC23" w14:textId="77777777" w:rsidR="00D75B83" w:rsidRPr="00E3787C" w:rsidRDefault="00D75B83" w:rsidP="00BA499D">
            <w:pPr>
              <w:rPr>
                <w:rFonts w:eastAsia="Times New Roman" w:cstheme="minorHAnsi"/>
                <w:iCs/>
                <w:sz w:val="18"/>
                <w:szCs w:val="18"/>
              </w:rPr>
            </w:pPr>
            <w:r w:rsidRPr="00E3787C">
              <w:rPr>
                <w:rFonts w:eastAsia="Times New Roman" w:cstheme="minorHAnsi"/>
                <w:iCs/>
                <w:sz w:val="18"/>
                <w:szCs w:val="18"/>
              </w:rPr>
              <w:t>Radna skupina za lingvističku provjeru dokumenata</w:t>
            </w:r>
          </w:p>
        </w:tc>
      </w:tr>
      <w:tr w:rsidR="00D75B83" w:rsidRPr="00E3787C" w14:paraId="2D41C914" w14:textId="77777777" w:rsidTr="00BA499D">
        <w:tc>
          <w:tcPr>
            <w:tcW w:w="1809" w:type="dxa"/>
          </w:tcPr>
          <w:p w14:paraId="1C6096CB" w14:textId="77777777" w:rsidR="00D75B83" w:rsidRPr="00E3787C" w:rsidRDefault="00D75B83" w:rsidP="00BA499D">
            <w:pPr>
              <w:rPr>
                <w:rFonts w:cstheme="minorHAnsi"/>
                <w:sz w:val="18"/>
                <w:szCs w:val="18"/>
              </w:rPr>
            </w:pPr>
            <w:r w:rsidRPr="00E3787C">
              <w:rPr>
                <w:rFonts w:cstheme="minorHAnsi"/>
                <w:sz w:val="18"/>
                <w:szCs w:val="18"/>
              </w:rPr>
              <w:t>QWP</w:t>
            </w:r>
          </w:p>
        </w:tc>
        <w:tc>
          <w:tcPr>
            <w:tcW w:w="7479" w:type="dxa"/>
          </w:tcPr>
          <w:p w14:paraId="4085B4E6" w14:textId="77777777" w:rsidR="00D75B83" w:rsidRPr="00E3787C" w:rsidRDefault="00D75B83" w:rsidP="00BA499D">
            <w:pPr>
              <w:rPr>
                <w:rFonts w:eastAsia="Times New Roman" w:cstheme="minorHAnsi"/>
                <w:i/>
                <w:sz w:val="18"/>
                <w:szCs w:val="18"/>
              </w:rPr>
            </w:pPr>
            <w:r w:rsidRPr="00E3787C">
              <w:rPr>
                <w:rFonts w:eastAsia="Times New Roman" w:cstheme="minorHAnsi"/>
                <w:i/>
                <w:sz w:val="18"/>
                <w:szCs w:val="18"/>
              </w:rPr>
              <w:t>Quality Working Party</w:t>
            </w:r>
          </w:p>
          <w:p w14:paraId="6479BC83" w14:textId="77777777" w:rsidR="00D75B83" w:rsidRPr="00E3787C" w:rsidRDefault="00D75B83" w:rsidP="00BA499D">
            <w:pPr>
              <w:rPr>
                <w:rFonts w:eastAsia="Times New Roman" w:cstheme="minorHAnsi"/>
                <w:sz w:val="18"/>
                <w:szCs w:val="18"/>
              </w:rPr>
            </w:pPr>
            <w:r w:rsidRPr="00E3787C">
              <w:rPr>
                <w:rFonts w:eastAsia="Times New Roman" w:cstheme="minorHAnsi"/>
                <w:sz w:val="18"/>
                <w:szCs w:val="18"/>
              </w:rPr>
              <w:t>Radna skupina za kakvoću lijekova</w:t>
            </w:r>
          </w:p>
        </w:tc>
      </w:tr>
      <w:tr w:rsidR="00D75B83" w:rsidRPr="00E3787C" w14:paraId="10D7E3A0" w14:textId="77777777" w:rsidTr="00BA499D">
        <w:tc>
          <w:tcPr>
            <w:tcW w:w="1809" w:type="dxa"/>
          </w:tcPr>
          <w:p w14:paraId="4FCBD5C9" w14:textId="77777777" w:rsidR="00D75B83" w:rsidRPr="00E3787C" w:rsidRDefault="00D75B83" w:rsidP="00BA499D">
            <w:pPr>
              <w:rPr>
                <w:sz w:val="18"/>
                <w:szCs w:val="18"/>
              </w:rPr>
            </w:pPr>
            <w:r w:rsidRPr="00E3787C">
              <w:rPr>
                <w:sz w:val="18"/>
                <w:szCs w:val="18"/>
              </w:rPr>
              <w:t xml:space="preserve">SAWP </w:t>
            </w:r>
          </w:p>
        </w:tc>
        <w:tc>
          <w:tcPr>
            <w:tcW w:w="7479" w:type="dxa"/>
          </w:tcPr>
          <w:p w14:paraId="59D571D6" w14:textId="77777777" w:rsidR="00D75B83" w:rsidRPr="00E3787C" w:rsidRDefault="00D75B83" w:rsidP="00BA499D">
            <w:pPr>
              <w:rPr>
                <w:rFonts w:eastAsia="Times New Roman" w:cstheme="minorHAnsi"/>
                <w:sz w:val="18"/>
                <w:szCs w:val="18"/>
              </w:rPr>
            </w:pPr>
            <w:r w:rsidRPr="00E3787C">
              <w:rPr>
                <w:rFonts w:eastAsia="Times New Roman" w:cstheme="minorHAnsi"/>
                <w:i/>
                <w:sz w:val="18"/>
                <w:szCs w:val="18"/>
              </w:rPr>
              <w:t>Sctientific Advice Working Party</w:t>
            </w:r>
            <w:r w:rsidRPr="00E3787C">
              <w:rPr>
                <w:rFonts w:eastAsia="Times New Roman" w:cstheme="minorHAnsi"/>
                <w:sz w:val="18"/>
                <w:szCs w:val="18"/>
              </w:rPr>
              <w:t xml:space="preserve"> </w:t>
            </w:r>
          </w:p>
          <w:p w14:paraId="6C7CF535" w14:textId="77777777" w:rsidR="00D75B83" w:rsidRPr="00E3787C" w:rsidRDefault="00D75B83" w:rsidP="00BA499D">
            <w:pPr>
              <w:rPr>
                <w:rFonts w:eastAsia="Times New Roman" w:cstheme="minorHAnsi"/>
                <w:sz w:val="18"/>
                <w:szCs w:val="18"/>
              </w:rPr>
            </w:pPr>
            <w:r w:rsidRPr="00E3787C">
              <w:rPr>
                <w:rFonts w:eastAsia="Times New Roman" w:cstheme="minorHAnsi"/>
                <w:sz w:val="18"/>
                <w:szCs w:val="18"/>
              </w:rPr>
              <w:t>Radna skupina za znanstveni savjet</w:t>
            </w:r>
          </w:p>
        </w:tc>
      </w:tr>
      <w:tr w:rsidR="00D75B83" w:rsidRPr="00E3787C" w14:paraId="2734105C" w14:textId="77777777" w:rsidTr="00BA499D">
        <w:tc>
          <w:tcPr>
            <w:tcW w:w="1809" w:type="dxa"/>
          </w:tcPr>
          <w:p w14:paraId="45441DDB" w14:textId="77777777" w:rsidR="00D75B83" w:rsidRPr="00E3787C" w:rsidRDefault="00D75B83" w:rsidP="00BA499D">
            <w:pPr>
              <w:rPr>
                <w:sz w:val="18"/>
                <w:szCs w:val="18"/>
              </w:rPr>
            </w:pPr>
            <w:r w:rsidRPr="00E3787C">
              <w:rPr>
                <w:sz w:val="18"/>
                <w:szCs w:val="18"/>
              </w:rPr>
              <w:t>SCOPE</w:t>
            </w:r>
          </w:p>
        </w:tc>
        <w:tc>
          <w:tcPr>
            <w:tcW w:w="7479" w:type="dxa"/>
          </w:tcPr>
          <w:p w14:paraId="613A4541" w14:textId="77777777" w:rsidR="00D75B83" w:rsidRPr="00E3787C" w:rsidRDefault="00D75B83" w:rsidP="00BA499D">
            <w:pPr>
              <w:rPr>
                <w:sz w:val="18"/>
                <w:szCs w:val="18"/>
              </w:rPr>
            </w:pPr>
            <w:r w:rsidRPr="00E3787C">
              <w:rPr>
                <w:rFonts w:eastAsia="Times New Roman" w:cstheme="minorHAnsi"/>
                <w:i/>
                <w:sz w:val="18"/>
                <w:szCs w:val="18"/>
                <w:lang w:eastAsia="ja-JP"/>
              </w:rPr>
              <w:t>Joint Action on Strenghtening Collaboration for Operating Pharmacovigilance in Europe</w:t>
            </w:r>
            <w:r w:rsidRPr="00E3787C">
              <w:rPr>
                <w:sz w:val="18"/>
                <w:szCs w:val="18"/>
              </w:rPr>
              <w:t xml:space="preserve"> </w:t>
            </w:r>
          </w:p>
          <w:p w14:paraId="137FC1A2" w14:textId="77777777" w:rsidR="00D75B83" w:rsidRPr="00E3787C" w:rsidRDefault="00D75B83" w:rsidP="00BA499D">
            <w:pPr>
              <w:rPr>
                <w:sz w:val="18"/>
                <w:szCs w:val="18"/>
              </w:rPr>
            </w:pPr>
            <w:r w:rsidRPr="00E3787C">
              <w:rPr>
                <w:sz w:val="18"/>
                <w:szCs w:val="18"/>
              </w:rPr>
              <w:t>Zajednička akcija jačanja suradnje za funkcioniranje farmakovigilancije u Europi</w:t>
            </w:r>
          </w:p>
        </w:tc>
      </w:tr>
      <w:tr w:rsidR="00D75B83" w:rsidRPr="00E3787C" w14:paraId="43EE2D62" w14:textId="77777777" w:rsidTr="00BA499D">
        <w:tc>
          <w:tcPr>
            <w:tcW w:w="1809" w:type="dxa"/>
          </w:tcPr>
          <w:p w14:paraId="13646F38" w14:textId="77777777" w:rsidR="00D75B83" w:rsidRPr="00E3787C" w:rsidRDefault="00D75B83" w:rsidP="00BA499D">
            <w:pPr>
              <w:rPr>
                <w:sz w:val="18"/>
                <w:szCs w:val="18"/>
              </w:rPr>
            </w:pPr>
            <w:r w:rsidRPr="00E3787C">
              <w:rPr>
                <w:sz w:val="18"/>
                <w:szCs w:val="18"/>
              </w:rPr>
              <w:t>SEP</w:t>
            </w:r>
          </w:p>
        </w:tc>
        <w:tc>
          <w:tcPr>
            <w:tcW w:w="7479" w:type="dxa"/>
          </w:tcPr>
          <w:p w14:paraId="0F0B6A00" w14:textId="77777777" w:rsidR="00D75B83" w:rsidRPr="00E3787C" w:rsidRDefault="00D75B83" w:rsidP="00BA499D">
            <w:pPr>
              <w:tabs>
                <w:tab w:val="left" w:pos="4170"/>
              </w:tabs>
              <w:rPr>
                <w:sz w:val="18"/>
                <w:szCs w:val="18"/>
              </w:rPr>
            </w:pPr>
            <w:r w:rsidRPr="00E3787C">
              <w:rPr>
                <w:sz w:val="18"/>
                <w:szCs w:val="18"/>
              </w:rPr>
              <w:t>Središnje etičko povjerenstvo</w:t>
            </w:r>
          </w:p>
        </w:tc>
      </w:tr>
      <w:tr w:rsidR="00D75B83" w:rsidRPr="00E3787C" w14:paraId="7DB73172" w14:textId="77777777" w:rsidTr="00BA499D">
        <w:tc>
          <w:tcPr>
            <w:tcW w:w="1809" w:type="dxa"/>
          </w:tcPr>
          <w:p w14:paraId="234FE8F6" w14:textId="77777777" w:rsidR="00D75B83" w:rsidRPr="00E3787C" w:rsidRDefault="00D75B83" w:rsidP="00BA499D">
            <w:pPr>
              <w:rPr>
                <w:sz w:val="18"/>
                <w:szCs w:val="18"/>
              </w:rPr>
            </w:pPr>
            <w:r w:rsidRPr="00E3787C">
              <w:rPr>
                <w:sz w:val="18"/>
                <w:szCs w:val="18"/>
              </w:rPr>
              <w:t>SOP</w:t>
            </w:r>
          </w:p>
        </w:tc>
        <w:tc>
          <w:tcPr>
            <w:tcW w:w="7479" w:type="dxa"/>
          </w:tcPr>
          <w:p w14:paraId="4BA8EF79" w14:textId="77777777" w:rsidR="00D75B83" w:rsidRPr="00E3787C" w:rsidRDefault="00D75B83" w:rsidP="00BA499D">
            <w:pPr>
              <w:rPr>
                <w:rFonts w:eastAsia="Times New Roman" w:cstheme="minorHAnsi"/>
                <w:sz w:val="18"/>
                <w:szCs w:val="18"/>
              </w:rPr>
            </w:pPr>
            <w:r w:rsidRPr="00E3787C">
              <w:rPr>
                <w:rFonts w:eastAsia="Times New Roman" w:cstheme="minorHAnsi"/>
                <w:i/>
                <w:sz w:val="18"/>
                <w:szCs w:val="18"/>
              </w:rPr>
              <w:t>Standard Operative Procedure</w:t>
            </w:r>
            <w:r w:rsidRPr="00E3787C">
              <w:rPr>
                <w:rFonts w:eastAsia="Times New Roman" w:cstheme="minorHAnsi"/>
                <w:sz w:val="18"/>
                <w:szCs w:val="18"/>
              </w:rPr>
              <w:t xml:space="preserve"> </w:t>
            </w:r>
          </w:p>
          <w:p w14:paraId="2AF7C116" w14:textId="77777777" w:rsidR="00D75B83" w:rsidRPr="00E3787C" w:rsidRDefault="00D75B83" w:rsidP="00BA499D">
            <w:pPr>
              <w:rPr>
                <w:rFonts w:eastAsia="Times New Roman" w:cstheme="minorHAnsi"/>
                <w:sz w:val="18"/>
                <w:szCs w:val="18"/>
              </w:rPr>
            </w:pPr>
            <w:r w:rsidRPr="00E3787C">
              <w:rPr>
                <w:rFonts w:eastAsia="Times New Roman" w:cstheme="minorHAnsi"/>
                <w:sz w:val="18"/>
                <w:szCs w:val="18"/>
              </w:rPr>
              <w:t>Standardni operativni postupak</w:t>
            </w:r>
          </w:p>
        </w:tc>
      </w:tr>
      <w:tr w:rsidR="00D75B83" w:rsidRPr="00E3787C" w14:paraId="16C217B7" w14:textId="77777777" w:rsidTr="00BA499D">
        <w:tc>
          <w:tcPr>
            <w:tcW w:w="1809" w:type="dxa"/>
          </w:tcPr>
          <w:p w14:paraId="77F0D50D" w14:textId="77777777" w:rsidR="00D75B83" w:rsidRPr="00E3787C" w:rsidRDefault="00D75B83" w:rsidP="00BA499D">
            <w:pPr>
              <w:rPr>
                <w:sz w:val="18"/>
                <w:szCs w:val="18"/>
              </w:rPr>
            </w:pPr>
            <w:r w:rsidRPr="00E3787C">
              <w:rPr>
                <w:sz w:val="18"/>
                <w:szCs w:val="18"/>
              </w:rPr>
              <w:t xml:space="preserve">STAMP </w:t>
            </w:r>
          </w:p>
        </w:tc>
        <w:tc>
          <w:tcPr>
            <w:tcW w:w="7479" w:type="dxa"/>
          </w:tcPr>
          <w:p w14:paraId="6D2A50A0" w14:textId="77777777" w:rsidR="00D75B83" w:rsidRPr="00E3787C" w:rsidRDefault="00D75B83" w:rsidP="00BA499D">
            <w:pPr>
              <w:tabs>
                <w:tab w:val="left" w:pos="4170"/>
              </w:tabs>
              <w:rPr>
                <w:sz w:val="18"/>
                <w:szCs w:val="18"/>
              </w:rPr>
            </w:pPr>
            <w:r w:rsidRPr="00E3787C">
              <w:rPr>
                <w:rFonts w:cstheme="minorHAnsi"/>
                <w:bCs/>
                <w:i/>
                <w:sz w:val="18"/>
                <w:szCs w:val="18"/>
              </w:rPr>
              <w:t>Safe and Timely Access to Medicines for Patients</w:t>
            </w:r>
            <w:r w:rsidRPr="00E3787C">
              <w:rPr>
                <w:sz w:val="18"/>
                <w:szCs w:val="18"/>
              </w:rPr>
              <w:t xml:space="preserve"> </w:t>
            </w:r>
          </w:p>
          <w:p w14:paraId="0B64028A" w14:textId="77777777" w:rsidR="00D75B83" w:rsidRPr="00E3787C" w:rsidRDefault="00D75B83" w:rsidP="00BA499D">
            <w:pPr>
              <w:tabs>
                <w:tab w:val="left" w:pos="4170"/>
              </w:tabs>
              <w:rPr>
                <w:rFonts w:cstheme="minorHAnsi"/>
                <w:bCs/>
                <w:sz w:val="18"/>
                <w:szCs w:val="18"/>
              </w:rPr>
            </w:pPr>
            <w:r w:rsidRPr="00E3787C">
              <w:rPr>
                <w:sz w:val="18"/>
                <w:szCs w:val="18"/>
              </w:rPr>
              <w:t>Radna grupa za sigurni i pravovremeni pristup lijeka pacijentima</w:t>
            </w:r>
          </w:p>
        </w:tc>
      </w:tr>
      <w:tr w:rsidR="00D75B83" w:rsidRPr="00E3787C" w14:paraId="56BCDDDE" w14:textId="77777777" w:rsidTr="00BA499D">
        <w:tc>
          <w:tcPr>
            <w:tcW w:w="1809" w:type="dxa"/>
          </w:tcPr>
          <w:p w14:paraId="2F148812" w14:textId="77777777" w:rsidR="00D75B83" w:rsidRPr="00E3787C" w:rsidRDefault="00D75B83" w:rsidP="00BA499D">
            <w:pPr>
              <w:rPr>
                <w:rFonts w:cstheme="minorHAnsi"/>
                <w:sz w:val="18"/>
                <w:szCs w:val="18"/>
              </w:rPr>
            </w:pPr>
            <w:r w:rsidRPr="00E3787C">
              <w:rPr>
                <w:rFonts w:cstheme="minorHAnsi"/>
                <w:sz w:val="18"/>
                <w:szCs w:val="18"/>
              </w:rPr>
              <w:t>SWP</w:t>
            </w:r>
          </w:p>
        </w:tc>
        <w:tc>
          <w:tcPr>
            <w:tcW w:w="7479" w:type="dxa"/>
          </w:tcPr>
          <w:p w14:paraId="41B4E40B" w14:textId="77777777" w:rsidR="00D75B83" w:rsidRPr="00E3787C" w:rsidRDefault="00D75B83" w:rsidP="00BA499D">
            <w:pPr>
              <w:rPr>
                <w:rFonts w:eastAsia="Times New Roman" w:cstheme="minorHAnsi"/>
                <w:sz w:val="18"/>
                <w:szCs w:val="18"/>
              </w:rPr>
            </w:pPr>
            <w:r w:rsidRPr="00E3787C">
              <w:rPr>
                <w:rFonts w:eastAsia="Times New Roman" w:cstheme="minorHAnsi"/>
                <w:i/>
                <w:iCs/>
                <w:sz w:val="18"/>
                <w:szCs w:val="18"/>
              </w:rPr>
              <w:t>Safety Working Party</w:t>
            </w:r>
            <w:r w:rsidRPr="00E3787C">
              <w:rPr>
                <w:rFonts w:eastAsia="Times New Roman" w:cstheme="minorHAnsi"/>
                <w:sz w:val="18"/>
                <w:szCs w:val="18"/>
              </w:rPr>
              <w:t xml:space="preserve"> </w:t>
            </w:r>
          </w:p>
          <w:p w14:paraId="539D5B1A" w14:textId="77777777" w:rsidR="00D75B83" w:rsidRPr="00E3787C" w:rsidRDefault="00D75B83" w:rsidP="00BA499D">
            <w:pPr>
              <w:rPr>
                <w:rFonts w:eastAsia="Times New Roman" w:cstheme="minorHAnsi"/>
                <w:sz w:val="18"/>
                <w:szCs w:val="18"/>
              </w:rPr>
            </w:pPr>
            <w:r w:rsidRPr="00E3787C">
              <w:rPr>
                <w:rFonts w:eastAsia="Times New Roman" w:cstheme="minorHAnsi"/>
                <w:sz w:val="18"/>
                <w:szCs w:val="18"/>
              </w:rPr>
              <w:t>Radna skupina za sigurnost</w:t>
            </w:r>
          </w:p>
        </w:tc>
      </w:tr>
      <w:tr w:rsidR="00D75B83" w:rsidRPr="00E3787C" w14:paraId="29327534" w14:textId="77777777" w:rsidTr="00BA499D">
        <w:tc>
          <w:tcPr>
            <w:tcW w:w="1809" w:type="dxa"/>
          </w:tcPr>
          <w:p w14:paraId="26987D4B" w14:textId="77777777" w:rsidR="00D75B83" w:rsidRPr="00E3787C" w:rsidRDefault="00D75B83" w:rsidP="00BA499D">
            <w:pPr>
              <w:rPr>
                <w:sz w:val="18"/>
                <w:szCs w:val="18"/>
              </w:rPr>
            </w:pPr>
            <w:r w:rsidRPr="00E3787C">
              <w:rPr>
                <w:sz w:val="18"/>
                <w:szCs w:val="18"/>
              </w:rPr>
              <w:t>UMC</w:t>
            </w:r>
          </w:p>
        </w:tc>
        <w:tc>
          <w:tcPr>
            <w:tcW w:w="7479" w:type="dxa"/>
          </w:tcPr>
          <w:p w14:paraId="430B7273" w14:textId="77777777" w:rsidR="00D75B83" w:rsidRPr="00E3787C" w:rsidRDefault="00D75B83" w:rsidP="00BA499D">
            <w:pPr>
              <w:rPr>
                <w:i/>
                <w:sz w:val="18"/>
                <w:szCs w:val="18"/>
              </w:rPr>
            </w:pPr>
            <w:r w:rsidRPr="00E3787C">
              <w:rPr>
                <w:i/>
                <w:sz w:val="18"/>
                <w:szCs w:val="18"/>
              </w:rPr>
              <w:t>Uppsala Monitoring Centre</w:t>
            </w:r>
          </w:p>
        </w:tc>
      </w:tr>
      <w:tr w:rsidR="00D75B83" w:rsidRPr="00E3787C" w14:paraId="0D522067" w14:textId="77777777" w:rsidTr="00BA499D">
        <w:tc>
          <w:tcPr>
            <w:tcW w:w="1809" w:type="dxa"/>
          </w:tcPr>
          <w:p w14:paraId="0FC7140D" w14:textId="77777777" w:rsidR="00D75B83" w:rsidRPr="00E3787C" w:rsidRDefault="00D75B83" w:rsidP="00BA499D">
            <w:pPr>
              <w:rPr>
                <w:rFonts w:cstheme="minorHAnsi"/>
                <w:sz w:val="18"/>
                <w:szCs w:val="18"/>
              </w:rPr>
            </w:pPr>
            <w:r w:rsidRPr="00E3787C">
              <w:rPr>
                <w:rFonts w:cstheme="minorHAnsi"/>
                <w:sz w:val="18"/>
                <w:szCs w:val="18"/>
              </w:rPr>
              <w:t>UNO</w:t>
            </w:r>
          </w:p>
        </w:tc>
        <w:tc>
          <w:tcPr>
            <w:tcW w:w="7479" w:type="dxa"/>
          </w:tcPr>
          <w:p w14:paraId="6358E720" w14:textId="77777777" w:rsidR="00D75B83" w:rsidRPr="00E3787C" w:rsidRDefault="00D75B83" w:rsidP="00BA499D">
            <w:pPr>
              <w:rPr>
                <w:rFonts w:eastAsia="Times New Roman" w:cstheme="minorHAnsi"/>
                <w:sz w:val="18"/>
                <w:szCs w:val="18"/>
              </w:rPr>
            </w:pPr>
            <w:r w:rsidRPr="00E3787C">
              <w:rPr>
                <w:rFonts w:eastAsia="Times New Roman" w:cstheme="minorHAnsi"/>
                <w:i/>
                <w:sz w:val="18"/>
                <w:szCs w:val="18"/>
              </w:rPr>
              <w:t>Internal audit</w:t>
            </w:r>
            <w:r w:rsidRPr="00E3787C">
              <w:rPr>
                <w:rFonts w:eastAsia="Times New Roman" w:cstheme="minorHAnsi"/>
                <w:sz w:val="18"/>
                <w:szCs w:val="18"/>
              </w:rPr>
              <w:t xml:space="preserve"> </w:t>
            </w:r>
          </w:p>
          <w:p w14:paraId="64A79D80" w14:textId="77777777" w:rsidR="00D75B83" w:rsidRPr="00E3787C" w:rsidRDefault="00D75B83" w:rsidP="00BA499D">
            <w:pPr>
              <w:rPr>
                <w:rFonts w:eastAsia="Times New Roman" w:cstheme="minorHAnsi"/>
                <w:sz w:val="18"/>
                <w:szCs w:val="18"/>
              </w:rPr>
            </w:pPr>
            <w:r w:rsidRPr="00E3787C">
              <w:rPr>
                <w:rFonts w:eastAsia="Times New Roman" w:cstheme="minorHAnsi"/>
                <w:sz w:val="18"/>
                <w:szCs w:val="18"/>
              </w:rPr>
              <w:t>Unutarnji nadzor</w:t>
            </w:r>
          </w:p>
        </w:tc>
      </w:tr>
      <w:tr w:rsidR="00D75B83" w:rsidRPr="00E3787C" w14:paraId="2BF3830F" w14:textId="77777777" w:rsidTr="00BA499D">
        <w:tc>
          <w:tcPr>
            <w:tcW w:w="1809" w:type="dxa"/>
          </w:tcPr>
          <w:p w14:paraId="22B1CE49" w14:textId="77777777" w:rsidR="00D75B83" w:rsidRPr="00E3787C" w:rsidRDefault="00D75B83" w:rsidP="00BA499D">
            <w:pPr>
              <w:rPr>
                <w:sz w:val="18"/>
                <w:szCs w:val="18"/>
              </w:rPr>
            </w:pPr>
            <w:r w:rsidRPr="00E3787C">
              <w:rPr>
                <w:sz w:val="18"/>
                <w:szCs w:val="18"/>
              </w:rPr>
              <w:t>UNODC</w:t>
            </w:r>
          </w:p>
        </w:tc>
        <w:tc>
          <w:tcPr>
            <w:tcW w:w="7479" w:type="dxa"/>
          </w:tcPr>
          <w:p w14:paraId="1A438935" w14:textId="77777777" w:rsidR="00D75B83" w:rsidRPr="00E3787C" w:rsidRDefault="00D75B83" w:rsidP="00BA499D">
            <w:pPr>
              <w:rPr>
                <w:i/>
                <w:sz w:val="18"/>
                <w:szCs w:val="18"/>
              </w:rPr>
            </w:pPr>
            <w:r w:rsidRPr="00E3787C">
              <w:rPr>
                <w:rFonts w:eastAsia="Times New Roman" w:cstheme="minorHAnsi"/>
                <w:i/>
                <w:sz w:val="18"/>
                <w:szCs w:val="18"/>
              </w:rPr>
              <w:t>United Nations Office for Drugs and Crime</w:t>
            </w:r>
          </w:p>
        </w:tc>
      </w:tr>
      <w:tr w:rsidR="00D75B83" w:rsidRPr="00E3787C" w14:paraId="206B48CA" w14:textId="77777777" w:rsidTr="00BA499D">
        <w:tc>
          <w:tcPr>
            <w:tcW w:w="1809" w:type="dxa"/>
          </w:tcPr>
          <w:p w14:paraId="37F790E5" w14:textId="77777777" w:rsidR="00D75B83" w:rsidRPr="00E3787C" w:rsidRDefault="00D75B83" w:rsidP="00BA499D">
            <w:pPr>
              <w:rPr>
                <w:sz w:val="18"/>
                <w:szCs w:val="18"/>
              </w:rPr>
            </w:pPr>
            <w:r w:rsidRPr="00E3787C">
              <w:rPr>
                <w:sz w:val="18"/>
                <w:szCs w:val="18"/>
              </w:rPr>
              <w:t>VigiFlow</w:t>
            </w:r>
          </w:p>
        </w:tc>
        <w:tc>
          <w:tcPr>
            <w:tcW w:w="7479" w:type="dxa"/>
          </w:tcPr>
          <w:p w14:paraId="2F7E6EBE" w14:textId="77777777" w:rsidR="00D75B83" w:rsidRPr="00E3787C" w:rsidRDefault="00D75B83" w:rsidP="00BA499D">
            <w:pPr>
              <w:rPr>
                <w:sz w:val="18"/>
                <w:szCs w:val="18"/>
              </w:rPr>
            </w:pPr>
            <w:r w:rsidRPr="00E3787C">
              <w:rPr>
                <w:sz w:val="18"/>
                <w:szCs w:val="18"/>
              </w:rPr>
              <w:t>Nacionalna baza nuspojava</w:t>
            </w:r>
          </w:p>
        </w:tc>
      </w:tr>
      <w:tr w:rsidR="00D75B83" w:rsidRPr="00E3787C" w14:paraId="300CFFB7" w14:textId="77777777" w:rsidTr="00BA499D">
        <w:tc>
          <w:tcPr>
            <w:tcW w:w="1809" w:type="dxa"/>
          </w:tcPr>
          <w:p w14:paraId="4ED43816" w14:textId="77777777" w:rsidR="00D75B83" w:rsidRPr="00E3787C" w:rsidRDefault="00D75B83" w:rsidP="00BA499D">
            <w:pPr>
              <w:rPr>
                <w:sz w:val="18"/>
                <w:szCs w:val="18"/>
              </w:rPr>
            </w:pPr>
            <w:r w:rsidRPr="00E3787C">
              <w:rPr>
                <w:sz w:val="18"/>
                <w:szCs w:val="18"/>
              </w:rPr>
              <w:t>WEB-RADR</w:t>
            </w:r>
          </w:p>
        </w:tc>
        <w:tc>
          <w:tcPr>
            <w:tcW w:w="7479" w:type="dxa"/>
          </w:tcPr>
          <w:p w14:paraId="3E788181" w14:textId="77777777" w:rsidR="00D75B83" w:rsidRPr="00E3787C" w:rsidRDefault="00D75B83" w:rsidP="00BA499D">
            <w:pPr>
              <w:rPr>
                <w:i/>
                <w:iCs/>
                <w:sz w:val="18"/>
                <w:szCs w:val="18"/>
              </w:rPr>
            </w:pPr>
            <w:r w:rsidRPr="00E3787C">
              <w:rPr>
                <w:i/>
                <w:iCs/>
                <w:sz w:val="18"/>
                <w:szCs w:val="18"/>
              </w:rPr>
              <w:t>WEB - Recognising Adverse Drug Reactions</w:t>
            </w:r>
            <w:r w:rsidRPr="00E3787C">
              <w:rPr>
                <w:sz w:val="18"/>
                <w:szCs w:val="18"/>
              </w:rPr>
              <w:t xml:space="preserve"> </w:t>
            </w:r>
          </w:p>
        </w:tc>
      </w:tr>
      <w:tr w:rsidR="00D75B83" w:rsidRPr="00E3787C" w14:paraId="26AC8D7C" w14:textId="77777777" w:rsidTr="00BA499D">
        <w:tc>
          <w:tcPr>
            <w:tcW w:w="1809" w:type="dxa"/>
          </w:tcPr>
          <w:p w14:paraId="7DBADEC0" w14:textId="77777777" w:rsidR="00D75B83" w:rsidRPr="00E3787C" w:rsidRDefault="00D75B83" w:rsidP="00BA499D">
            <w:pPr>
              <w:rPr>
                <w:sz w:val="18"/>
                <w:szCs w:val="18"/>
              </w:rPr>
            </w:pPr>
            <w:r w:rsidRPr="00E3787C">
              <w:rPr>
                <w:sz w:val="18"/>
                <w:szCs w:val="18"/>
              </w:rPr>
              <w:t>WGEO</w:t>
            </w:r>
          </w:p>
        </w:tc>
        <w:tc>
          <w:tcPr>
            <w:tcW w:w="7479" w:type="dxa"/>
          </w:tcPr>
          <w:p w14:paraId="050072B3" w14:textId="77777777" w:rsidR="00D75B83" w:rsidRPr="00E3787C" w:rsidRDefault="00D75B83" w:rsidP="00BA499D">
            <w:pPr>
              <w:tabs>
                <w:tab w:val="left" w:pos="4170"/>
              </w:tabs>
              <w:rPr>
                <w:rFonts w:eastAsia="Times New Roman" w:cstheme="minorHAnsi"/>
                <w:sz w:val="18"/>
                <w:szCs w:val="18"/>
              </w:rPr>
            </w:pPr>
            <w:r w:rsidRPr="00E3787C">
              <w:rPr>
                <w:rFonts w:eastAsia="Times New Roman" w:cstheme="minorHAnsi"/>
                <w:i/>
                <w:iCs/>
                <w:sz w:val="18"/>
                <w:szCs w:val="18"/>
              </w:rPr>
              <w:t>Working group of Enforcement Officers</w:t>
            </w:r>
            <w:r w:rsidRPr="00E3787C">
              <w:rPr>
                <w:rFonts w:eastAsia="Times New Roman" w:cstheme="minorHAnsi"/>
                <w:sz w:val="18"/>
                <w:szCs w:val="18"/>
              </w:rPr>
              <w:t xml:space="preserve"> </w:t>
            </w:r>
          </w:p>
          <w:p w14:paraId="7D3CF5BF" w14:textId="77777777" w:rsidR="00D75B83" w:rsidRPr="00E3787C" w:rsidRDefault="00D75B83" w:rsidP="00BA499D">
            <w:pPr>
              <w:tabs>
                <w:tab w:val="left" w:pos="4170"/>
              </w:tabs>
              <w:rPr>
                <w:rFonts w:eastAsia="Times New Roman" w:cstheme="minorHAnsi"/>
                <w:sz w:val="18"/>
                <w:szCs w:val="18"/>
              </w:rPr>
            </w:pPr>
            <w:r w:rsidRPr="00E3787C">
              <w:rPr>
                <w:rFonts w:eastAsia="Times New Roman" w:cstheme="minorHAnsi"/>
                <w:sz w:val="18"/>
                <w:szCs w:val="18"/>
              </w:rPr>
              <w:t>Radna skupina provedbenih službenika</w:t>
            </w:r>
          </w:p>
        </w:tc>
      </w:tr>
      <w:tr w:rsidR="00D75B83" w:rsidRPr="00E3787C" w14:paraId="1409A3E2" w14:textId="77777777" w:rsidTr="00BA499D">
        <w:tc>
          <w:tcPr>
            <w:tcW w:w="1809" w:type="dxa"/>
          </w:tcPr>
          <w:p w14:paraId="44BC9381" w14:textId="77777777" w:rsidR="00D75B83" w:rsidRPr="00E3787C" w:rsidRDefault="00D75B83" w:rsidP="00BA499D">
            <w:pPr>
              <w:rPr>
                <w:sz w:val="18"/>
                <w:szCs w:val="18"/>
              </w:rPr>
            </w:pPr>
            <w:r w:rsidRPr="00E3787C">
              <w:rPr>
                <w:sz w:val="18"/>
                <w:szCs w:val="18"/>
              </w:rPr>
              <w:t>WGQM</w:t>
            </w:r>
          </w:p>
        </w:tc>
        <w:tc>
          <w:tcPr>
            <w:tcW w:w="7479" w:type="dxa"/>
          </w:tcPr>
          <w:p w14:paraId="1173A451" w14:textId="77777777" w:rsidR="00D75B83" w:rsidRPr="00E3787C" w:rsidRDefault="00D75B83" w:rsidP="00BA499D">
            <w:pPr>
              <w:rPr>
                <w:rFonts w:eastAsia="Times New Roman" w:cstheme="minorHAnsi"/>
                <w:sz w:val="18"/>
                <w:szCs w:val="18"/>
              </w:rPr>
            </w:pPr>
            <w:r w:rsidRPr="00E3787C">
              <w:rPr>
                <w:rFonts w:eastAsia="Times New Roman" w:cstheme="minorHAnsi"/>
                <w:i/>
                <w:sz w:val="18"/>
                <w:szCs w:val="18"/>
              </w:rPr>
              <w:t>Working group of quality managers</w:t>
            </w:r>
            <w:r w:rsidRPr="00E3787C">
              <w:rPr>
                <w:rFonts w:eastAsia="Times New Roman" w:cstheme="minorHAnsi"/>
                <w:sz w:val="18"/>
                <w:szCs w:val="18"/>
              </w:rPr>
              <w:t xml:space="preserve"> </w:t>
            </w:r>
          </w:p>
          <w:p w14:paraId="1C7372D9" w14:textId="77777777" w:rsidR="00D75B83" w:rsidRPr="00E3787C" w:rsidRDefault="00D75B83" w:rsidP="00BA499D">
            <w:pPr>
              <w:rPr>
                <w:rFonts w:eastAsia="Times New Roman" w:cstheme="minorHAnsi"/>
                <w:sz w:val="18"/>
                <w:szCs w:val="18"/>
              </w:rPr>
            </w:pPr>
            <w:r w:rsidRPr="00E3787C">
              <w:rPr>
                <w:rFonts w:eastAsia="Times New Roman" w:cstheme="minorHAnsi"/>
                <w:sz w:val="18"/>
                <w:szCs w:val="18"/>
              </w:rPr>
              <w:t>Radna grupa menadžera za kvalitetu</w:t>
            </w:r>
          </w:p>
        </w:tc>
      </w:tr>
      <w:tr w:rsidR="00D75B83" w:rsidRPr="00E3787C" w14:paraId="411144F1" w14:textId="77777777" w:rsidTr="00BA499D">
        <w:tc>
          <w:tcPr>
            <w:tcW w:w="1809" w:type="dxa"/>
          </w:tcPr>
          <w:p w14:paraId="50E0DFA8" w14:textId="77777777" w:rsidR="00D75B83" w:rsidRPr="00E3787C" w:rsidRDefault="00D75B83" w:rsidP="00BA499D">
            <w:pPr>
              <w:rPr>
                <w:sz w:val="18"/>
                <w:szCs w:val="18"/>
              </w:rPr>
            </w:pPr>
            <w:r w:rsidRPr="00E3787C">
              <w:rPr>
                <w:sz w:val="18"/>
                <w:szCs w:val="18"/>
              </w:rPr>
              <w:t>WHO</w:t>
            </w:r>
          </w:p>
        </w:tc>
        <w:tc>
          <w:tcPr>
            <w:tcW w:w="7479" w:type="dxa"/>
          </w:tcPr>
          <w:p w14:paraId="5DF0FF9B" w14:textId="77777777" w:rsidR="00D75B83" w:rsidRPr="00E3787C" w:rsidRDefault="00D75B83" w:rsidP="00BA499D">
            <w:pPr>
              <w:rPr>
                <w:sz w:val="18"/>
                <w:szCs w:val="18"/>
              </w:rPr>
            </w:pPr>
            <w:r w:rsidRPr="00E3787C">
              <w:rPr>
                <w:i/>
                <w:sz w:val="18"/>
                <w:szCs w:val="18"/>
              </w:rPr>
              <w:t>World Health Organization</w:t>
            </w:r>
            <w:r w:rsidRPr="00E3787C">
              <w:rPr>
                <w:sz w:val="18"/>
                <w:szCs w:val="18"/>
              </w:rPr>
              <w:t xml:space="preserve"> </w:t>
            </w:r>
          </w:p>
          <w:p w14:paraId="018AB368" w14:textId="77777777" w:rsidR="00D75B83" w:rsidRPr="00E3787C" w:rsidRDefault="00D75B83" w:rsidP="00BA499D">
            <w:pPr>
              <w:rPr>
                <w:sz w:val="18"/>
                <w:szCs w:val="18"/>
              </w:rPr>
            </w:pPr>
            <w:r w:rsidRPr="00E3787C">
              <w:rPr>
                <w:sz w:val="18"/>
                <w:szCs w:val="18"/>
              </w:rPr>
              <w:t>Svjetska zdravstvena organizacija</w:t>
            </w:r>
          </w:p>
        </w:tc>
      </w:tr>
      <w:tr w:rsidR="00D75B83" w:rsidRPr="00E3787C" w14:paraId="0F37A323" w14:textId="77777777" w:rsidTr="00BA499D">
        <w:tc>
          <w:tcPr>
            <w:tcW w:w="1809" w:type="dxa"/>
          </w:tcPr>
          <w:p w14:paraId="4E8EB92D" w14:textId="77777777" w:rsidR="00D75B83" w:rsidRPr="00E3787C" w:rsidRDefault="00D75B83" w:rsidP="00BA499D">
            <w:pPr>
              <w:rPr>
                <w:sz w:val="18"/>
                <w:szCs w:val="18"/>
              </w:rPr>
            </w:pPr>
            <w:r>
              <w:rPr>
                <w:sz w:val="18"/>
                <w:szCs w:val="18"/>
              </w:rPr>
              <w:t>WLA</w:t>
            </w:r>
          </w:p>
        </w:tc>
        <w:tc>
          <w:tcPr>
            <w:tcW w:w="7479" w:type="dxa"/>
          </w:tcPr>
          <w:p w14:paraId="5462E0AB" w14:textId="77777777" w:rsidR="00D75B83" w:rsidRPr="00E3787C" w:rsidRDefault="00D75B83" w:rsidP="00BA499D">
            <w:pPr>
              <w:rPr>
                <w:sz w:val="18"/>
                <w:szCs w:val="18"/>
              </w:rPr>
            </w:pPr>
            <w:r w:rsidRPr="00E3787C">
              <w:rPr>
                <w:i/>
                <w:sz w:val="18"/>
                <w:szCs w:val="18"/>
              </w:rPr>
              <w:t>World Health Organization</w:t>
            </w:r>
            <w:r w:rsidRPr="00E3787C">
              <w:rPr>
                <w:sz w:val="18"/>
                <w:szCs w:val="18"/>
              </w:rPr>
              <w:t xml:space="preserve"> </w:t>
            </w:r>
            <w:r>
              <w:rPr>
                <w:sz w:val="18"/>
                <w:szCs w:val="18"/>
              </w:rPr>
              <w:t xml:space="preserve"> </w:t>
            </w:r>
            <w:r w:rsidRPr="00A74D25">
              <w:rPr>
                <w:i/>
                <w:sz w:val="18"/>
                <w:szCs w:val="18"/>
              </w:rPr>
              <w:t>Listid Authority</w:t>
            </w:r>
          </w:p>
          <w:p w14:paraId="7051DA7B" w14:textId="77777777" w:rsidR="00D75B83" w:rsidRPr="00E3787C" w:rsidRDefault="00D75B83" w:rsidP="00BA499D">
            <w:pPr>
              <w:rPr>
                <w:i/>
                <w:sz w:val="18"/>
                <w:szCs w:val="18"/>
              </w:rPr>
            </w:pPr>
            <w:r>
              <w:rPr>
                <w:sz w:val="18"/>
                <w:szCs w:val="18"/>
              </w:rPr>
              <w:t xml:space="preserve">Regulatorno tijelo globalno prepoznato od </w:t>
            </w:r>
            <w:r w:rsidRPr="00E3787C">
              <w:rPr>
                <w:sz w:val="18"/>
                <w:szCs w:val="18"/>
              </w:rPr>
              <w:t>Svjetsk</w:t>
            </w:r>
            <w:r>
              <w:rPr>
                <w:sz w:val="18"/>
                <w:szCs w:val="18"/>
              </w:rPr>
              <w:t>e</w:t>
            </w:r>
            <w:r w:rsidRPr="00E3787C">
              <w:rPr>
                <w:sz w:val="18"/>
                <w:szCs w:val="18"/>
              </w:rPr>
              <w:t xml:space="preserve"> zdravstven</w:t>
            </w:r>
            <w:r>
              <w:rPr>
                <w:sz w:val="18"/>
                <w:szCs w:val="18"/>
              </w:rPr>
              <w:t>e</w:t>
            </w:r>
            <w:r w:rsidRPr="00E3787C">
              <w:rPr>
                <w:sz w:val="18"/>
                <w:szCs w:val="18"/>
              </w:rPr>
              <w:t xml:space="preserve"> organizacij</w:t>
            </w:r>
            <w:r>
              <w:rPr>
                <w:sz w:val="18"/>
                <w:szCs w:val="18"/>
              </w:rPr>
              <w:t>e kao najbolje</w:t>
            </w:r>
          </w:p>
        </w:tc>
      </w:tr>
    </w:tbl>
    <w:p w14:paraId="647A3254" w14:textId="77777777" w:rsidR="00D75B83" w:rsidRPr="00E3787C" w:rsidRDefault="00D75B83" w:rsidP="00D75B83">
      <w:pPr>
        <w:rPr>
          <w:sz w:val="18"/>
          <w:szCs w:val="18"/>
        </w:rPr>
      </w:pPr>
    </w:p>
    <w:p w14:paraId="3EE9BEB2" w14:textId="77777777" w:rsidR="00D75B83" w:rsidRPr="00E3787C" w:rsidRDefault="00D75B83" w:rsidP="00D75B83">
      <w:pPr>
        <w:rPr>
          <w:sz w:val="18"/>
          <w:szCs w:val="18"/>
        </w:rPr>
      </w:pPr>
    </w:p>
    <w:p w14:paraId="28458802" w14:textId="77777777" w:rsidR="00D75B83" w:rsidRDefault="00D75B83" w:rsidP="00D75B83"/>
    <w:p w14:paraId="0E7F8A4C" w14:textId="77777777" w:rsidR="00D75B83" w:rsidRPr="005C4250" w:rsidRDefault="00D75B83" w:rsidP="00D75B83"/>
    <w:p w14:paraId="4DE949B8" w14:textId="77777777" w:rsidR="00D75B83" w:rsidRDefault="00D75B83" w:rsidP="00D75B83">
      <w:pPr>
        <w:pStyle w:val="Heading2"/>
      </w:pPr>
      <w:bookmarkStart w:id="366" w:name="_Toc165035559"/>
      <w:r w:rsidRPr="00451234">
        <w:lastRenderedPageBreak/>
        <w:t>Privitak 2. Popis tablica</w:t>
      </w:r>
      <w:bookmarkEnd w:id="366"/>
    </w:p>
    <w:p w14:paraId="09BDF5F5" w14:textId="7C07B1E3" w:rsidR="00D75B83" w:rsidRPr="00AD7C2E" w:rsidRDefault="00D75B83" w:rsidP="00D75B83">
      <w:pPr>
        <w:tabs>
          <w:tab w:val="left" w:pos="0"/>
        </w:tabs>
        <w:spacing w:line="360" w:lineRule="auto"/>
        <w:jc w:val="both"/>
        <w:rPr>
          <w:rFonts w:eastAsia="Times New Roman" w:cstheme="minorHAnsi"/>
          <w:color w:val="1A1A1A"/>
          <w:sz w:val="18"/>
          <w:szCs w:val="18"/>
          <w:lang w:eastAsia="hr-HR"/>
        </w:rPr>
      </w:pPr>
      <w:r w:rsidRPr="00AD7C2E">
        <w:rPr>
          <w:rFonts w:eastAsia="Times New Roman" w:cstheme="minorHAnsi"/>
          <w:sz w:val="18"/>
          <w:szCs w:val="18"/>
        </w:rPr>
        <w:t xml:space="preserve">Tablica 1. Izvršenje prihodovnih usluga za </w:t>
      </w:r>
      <w:r w:rsidRPr="00AD7C2E">
        <w:rPr>
          <w:rFonts w:eastAsiaTheme="minorEastAsia" w:cstheme="minorHAnsi"/>
          <w:sz w:val="18"/>
          <w:szCs w:val="18"/>
        </w:rPr>
        <w:t>202</w:t>
      </w:r>
      <w:r>
        <w:rPr>
          <w:rFonts w:eastAsiaTheme="minorEastAsia" w:cstheme="minorHAnsi"/>
          <w:sz w:val="18"/>
          <w:szCs w:val="18"/>
        </w:rPr>
        <w:t>3</w:t>
      </w:r>
      <w:r w:rsidRPr="00AD7C2E">
        <w:rPr>
          <w:rFonts w:eastAsiaTheme="minorEastAsia" w:cstheme="minorHAnsi"/>
          <w:sz w:val="18"/>
          <w:szCs w:val="18"/>
        </w:rPr>
        <w:t>. godine</w:t>
      </w:r>
    </w:p>
    <w:p w14:paraId="579170E0" w14:textId="77777777" w:rsidR="00D75B83" w:rsidRPr="00AD7C2E" w:rsidRDefault="00D75B83" w:rsidP="00D75B83">
      <w:pPr>
        <w:tabs>
          <w:tab w:val="left" w:pos="2300"/>
        </w:tabs>
        <w:spacing w:line="360" w:lineRule="auto"/>
        <w:jc w:val="both"/>
        <w:rPr>
          <w:sz w:val="18"/>
          <w:szCs w:val="18"/>
        </w:rPr>
      </w:pPr>
      <w:r w:rsidRPr="00AD7C2E">
        <w:rPr>
          <w:sz w:val="18"/>
          <w:szCs w:val="18"/>
        </w:rPr>
        <w:t xml:space="preserve">Tablica 2. </w:t>
      </w:r>
      <w:r w:rsidRPr="00AD7C2E">
        <w:rPr>
          <w:rFonts w:eastAsia="Times New Roman" w:cstheme="minorHAnsi"/>
          <w:bCs/>
          <w:color w:val="1D1B11"/>
          <w:sz w:val="18"/>
          <w:szCs w:val="18"/>
          <w:lang w:eastAsia="hr-HR"/>
        </w:rPr>
        <w:t>Izvršenje prihodovnih usluga davanja odobrenja za stavljanje lijeka u promet</w:t>
      </w:r>
    </w:p>
    <w:p w14:paraId="01A4160C" w14:textId="77777777" w:rsidR="00D75B83" w:rsidRPr="00AD7C2E" w:rsidRDefault="00D75B83" w:rsidP="00D75B83">
      <w:pPr>
        <w:tabs>
          <w:tab w:val="left" w:pos="2300"/>
        </w:tabs>
        <w:spacing w:line="360" w:lineRule="auto"/>
        <w:jc w:val="both"/>
        <w:rPr>
          <w:rFonts w:eastAsia="Times New Roman" w:cstheme="minorHAnsi"/>
          <w:bCs/>
          <w:color w:val="1D1B11"/>
          <w:sz w:val="18"/>
          <w:szCs w:val="18"/>
          <w:lang w:eastAsia="hr-HR"/>
        </w:rPr>
      </w:pPr>
      <w:r w:rsidRPr="00AD7C2E">
        <w:rPr>
          <w:sz w:val="18"/>
          <w:szCs w:val="18"/>
        </w:rPr>
        <w:t xml:space="preserve">Tablica 3. </w:t>
      </w:r>
      <w:r w:rsidRPr="00AD7C2E">
        <w:rPr>
          <w:rFonts w:eastAsia="Times New Roman" w:cstheme="minorHAnsi"/>
          <w:bCs/>
          <w:color w:val="1D1B11"/>
          <w:sz w:val="18"/>
          <w:szCs w:val="18"/>
          <w:lang w:eastAsia="hr-HR"/>
        </w:rPr>
        <w:t>Izvršenje prihodovnih usluga obnova odobrenja za stavljanje lijeka u promet</w:t>
      </w:r>
    </w:p>
    <w:p w14:paraId="0EEE8794" w14:textId="77777777" w:rsidR="00D75B83" w:rsidRPr="00AD7C2E" w:rsidRDefault="00D75B83" w:rsidP="00D75B83">
      <w:pPr>
        <w:tabs>
          <w:tab w:val="left" w:pos="2300"/>
        </w:tabs>
        <w:spacing w:line="360" w:lineRule="auto"/>
        <w:jc w:val="both"/>
        <w:rPr>
          <w:rFonts w:eastAsia="Times New Roman" w:cstheme="minorHAnsi"/>
          <w:b/>
          <w:bCs/>
          <w:color w:val="1D1B11"/>
          <w:sz w:val="18"/>
          <w:szCs w:val="18"/>
          <w:lang w:eastAsia="hr-HR"/>
        </w:rPr>
      </w:pPr>
      <w:r w:rsidRPr="00AD7C2E">
        <w:rPr>
          <w:sz w:val="18"/>
          <w:szCs w:val="18"/>
        </w:rPr>
        <w:t>Tablica 4. I</w:t>
      </w:r>
      <w:r w:rsidRPr="00AD7C2E">
        <w:rPr>
          <w:rFonts w:eastAsia="Times New Roman" w:cstheme="minorHAnsi"/>
          <w:bCs/>
          <w:color w:val="1D1B11"/>
          <w:sz w:val="18"/>
          <w:szCs w:val="18"/>
          <w:lang w:eastAsia="hr-HR"/>
        </w:rPr>
        <w:t>zvršenje prihodovnih usluga izmjena odobrenja</w:t>
      </w:r>
      <w:r w:rsidRPr="00AD7C2E">
        <w:rPr>
          <w:rFonts w:eastAsia="Times New Roman" w:cstheme="minorHAnsi"/>
          <w:b/>
          <w:bCs/>
          <w:color w:val="1D1B11"/>
          <w:sz w:val="18"/>
          <w:szCs w:val="18"/>
          <w:lang w:eastAsia="hr-HR"/>
        </w:rPr>
        <w:t xml:space="preserve"> </w:t>
      </w:r>
    </w:p>
    <w:p w14:paraId="6FD3FB9A" w14:textId="77777777" w:rsidR="00D75B83" w:rsidRPr="00AD7C2E" w:rsidRDefault="00D75B83" w:rsidP="00D75B83">
      <w:pPr>
        <w:tabs>
          <w:tab w:val="left" w:pos="2300"/>
        </w:tabs>
        <w:spacing w:line="360" w:lineRule="auto"/>
        <w:jc w:val="both"/>
        <w:rPr>
          <w:sz w:val="18"/>
          <w:szCs w:val="18"/>
        </w:rPr>
      </w:pPr>
      <w:r w:rsidRPr="00AD7C2E">
        <w:rPr>
          <w:sz w:val="18"/>
          <w:szCs w:val="18"/>
        </w:rPr>
        <w:t xml:space="preserve">Tablica 5. Sudjelovanja na radnim sastancima u europskim poslovima </w:t>
      </w:r>
      <w:r>
        <w:rPr>
          <w:sz w:val="18"/>
          <w:szCs w:val="18"/>
        </w:rPr>
        <w:t>stavljanja lijekova u promet</w:t>
      </w:r>
    </w:p>
    <w:p w14:paraId="32682930" w14:textId="77777777" w:rsidR="00D75B83" w:rsidRPr="00AD7C2E" w:rsidRDefault="00D75B83" w:rsidP="00D75B83">
      <w:pPr>
        <w:spacing w:line="360" w:lineRule="auto"/>
        <w:jc w:val="both"/>
        <w:rPr>
          <w:bCs/>
          <w:color w:val="000000"/>
          <w:sz w:val="18"/>
          <w:szCs w:val="18"/>
        </w:rPr>
      </w:pPr>
      <w:r w:rsidRPr="00AD7C2E">
        <w:rPr>
          <w:bCs/>
          <w:color w:val="1D1B11"/>
          <w:sz w:val="18"/>
          <w:szCs w:val="18"/>
          <w:lang w:eastAsia="hr-HR"/>
        </w:rPr>
        <w:t>Tablica 6.</w:t>
      </w:r>
      <w:r w:rsidRPr="00AD7C2E">
        <w:rPr>
          <w:color w:val="000000"/>
          <w:sz w:val="18"/>
          <w:szCs w:val="18"/>
        </w:rPr>
        <w:t xml:space="preserve"> </w:t>
      </w:r>
      <w:r w:rsidRPr="00AD7C2E">
        <w:rPr>
          <w:bCs/>
          <w:color w:val="000000"/>
          <w:sz w:val="18"/>
          <w:szCs w:val="18"/>
        </w:rPr>
        <w:t>Broj zaprimljenih i obrađenih prijava sumnji na nuspojave lijekova u RH</w:t>
      </w:r>
    </w:p>
    <w:p w14:paraId="6100D766" w14:textId="77777777" w:rsidR="00D75B83" w:rsidRPr="00AD7C2E" w:rsidRDefault="00D75B83" w:rsidP="00D75B83">
      <w:pPr>
        <w:spacing w:line="360" w:lineRule="auto"/>
        <w:rPr>
          <w:sz w:val="18"/>
          <w:szCs w:val="18"/>
        </w:rPr>
      </w:pPr>
      <w:r w:rsidRPr="00AD7C2E">
        <w:rPr>
          <w:bCs/>
          <w:color w:val="000000"/>
          <w:sz w:val="18"/>
          <w:szCs w:val="18"/>
        </w:rPr>
        <w:t xml:space="preserve">Tablica 7. Izvršenje prihodovnih </w:t>
      </w:r>
      <w:r w:rsidRPr="00AD7C2E">
        <w:rPr>
          <w:sz w:val="18"/>
          <w:szCs w:val="18"/>
        </w:rPr>
        <w:t xml:space="preserve">farmakovigilancijskih usluga </w:t>
      </w:r>
    </w:p>
    <w:p w14:paraId="78545066" w14:textId="77777777" w:rsidR="00D75B83" w:rsidRPr="00AD7C2E" w:rsidRDefault="00D75B83" w:rsidP="00D75B83">
      <w:pPr>
        <w:tabs>
          <w:tab w:val="center" w:pos="858"/>
          <w:tab w:val="center" w:pos="4320"/>
          <w:tab w:val="right" w:pos="8306"/>
          <w:tab w:val="right" w:pos="8640"/>
        </w:tabs>
        <w:spacing w:line="360" w:lineRule="auto"/>
        <w:jc w:val="both"/>
        <w:rPr>
          <w:rFonts w:eastAsia="Times New Roman" w:cstheme="minorHAnsi"/>
          <w:bCs/>
          <w:color w:val="1D1B11"/>
          <w:sz w:val="18"/>
          <w:szCs w:val="18"/>
          <w:lang w:eastAsia="hr-HR"/>
        </w:rPr>
      </w:pPr>
      <w:r w:rsidRPr="00AD7C2E">
        <w:rPr>
          <w:rFonts w:eastAsia="Times New Roman" w:cstheme="minorHAnsi"/>
          <w:bCs/>
          <w:color w:val="1D1B11"/>
          <w:sz w:val="18"/>
          <w:szCs w:val="18"/>
          <w:lang w:eastAsia="hr-HR"/>
        </w:rPr>
        <w:t xml:space="preserve">Tablica 8. Izvršenje neprihodovnih </w:t>
      </w:r>
      <w:r w:rsidRPr="00AD7C2E">
        <w:rPr>
          <w:sz w:val="18"/>
          <w:szCs w:val="18"/>
        </w:rPr>
        <w:t>farmakovigilancijskih</w:t>
      </w:r>
      <w:r w:rsidRPr="00AD7C2E">
        <w:rPr>
          <w:rFonts w:eastAsia="Times New Roman" w:cstheme="minorHAnsi"/>
          <w:bCs/>
          <w:color w:val="1D1B11"/>
          <w:sz w:val="18"/>
          <w:szCs w:val="18"/>
          <w:lang w:eastAsia="hr-HR"/>
        </w:rPr>
        <w:t xml:space="preserve"> usluga </w:t>
      </w:r>
    </w:p>
    <w:p w14:paraId="559D4BEB" w14:textId="77777777" w:rsidR="00D75B83" w:rsidRPr="00AD7C2E" w:rsidRDefault="00D75B83" w:rsidP="00D75B83">
      <w:pPr>
        <w:spacing w:line="360" w:lineRule="auto"/>
        <w:rPr>
          <w:rFonts w:eastAsia="Times New Roman" w:cstheme="minorHAnsi"/>
          <w:color w:val="000000"/>
          <w:sz w:val="18"/>
          <w:szCs w:val="18"/>
        </w:rPr>
      </w:pPr>
      <w:r w:rsidRPr="00AD7C2E">
        <w:rPr>
          <w:rFonts w:eastAsia="Times New Roman" w:cstheme="minorHAnsi"/>
          <w:bCs/>
          <w:color w:val="1D1B11"/>
          <w:sz w:val="18"/>
          <w:szCs w:val="18"/>
          <w:lang w:eastAsia="hr-HR"/>
        </w:rPr>
        <w:t>Tablica 9.</w:t>
      </w:r>
      <w:r w:rsidRPr="00AD7C2E">
        <w:rPr>
          <w:rFonts w:eastAsia="Times New Roman" w:cstheme="minorHAnsi"/>
          <w:color w:val="000000"/>
          <w:sz w:val="18"/>
          <w:szCs w:val="18"/>
        </w:rPr>
        <w:t xml:space="preserve"> Sudjelovanje </w:t>
      </w:r>
      <w:r w:rsidRPr="00AD7C2E">
        <w:rPr>
          <w:sz w:val="18"/>
          <w:szCs w:val="18"/>
        </w:rPr>
        <w:t xml:space="preserve">na radnim sastancima u europskim poslovima </w:t>
      </w:r>
      <w:r w:rsidRPr="00AD7C2E">
        <w:rPr>
          <w:rFonts w:eastAsia="Times New Roman" w:cstheme="minorHAnsi"/>
          <w:color w:val="000000"/>
          <w:sz w:val="18"/>
          <w:szCs w:val="18"/>
        </w:rPr>
        <w:t>farmakovigilancije</w:t>
      </w:r>
    </w:p>
    <w:p w14:paraId="0E7661BF" w14:textId="77777777" w:rsidR="00D75B83" w:rsidRPr="00AD7C2E" w:rsidRDefault="00D75B83" w:rsidP="00D75B83">
      <w:pPr>
        <w:tabs>
          <w:tab w:val="left" w:pos="2300"/>
        </w:tabs>
        <w:spacing w:line="360" w:lineRule="auto"/>
        <w:jc w:val="both"/>
        <w:rPr>
          <w:rFonts w:eastAsia="Times New Roman" w:cstheme="minorHAnsi"/>
          <w:bCs/>
          <w:color w:val="1D1B11"/>
          <w:sz w:val="18"/>
          <w:szCs w:val="18"/>
          <w:lang w:eastAsia="hr-HR"/>
        </w:rPr>
      </w:pPr>
      <w:r w:rsidRPr="00AD7C2E">
        <w:rPr>
          <w:sz w:val="18"/>
          <w:szCs w:val="18"/>
        </w:rPr>
        <w:t xml:space="preserve">Tablica 10. </w:t>
      </w:r>
      <w:r w:rsidRPr="00AD7C2E">
        <w:rPr>
          <w:rFonts w:eastAsia="Times New Roman" w:cstheme="minorHAnsi"/>
          <w:bCs/>
          <w:color w:val="1D1B11"/>
          <w:sz w:val="18"/>
          <w:szCs w:val="18"/>
          <w:lang w:eastAsia="hr-HR"/>
        </w:rPr>
        <w:t>Izvršenje prihodovnih usluga proizvodnje i nadzora</w:t>
      </w:r>
    </w:p>
    <w:p w14:paraId="6E909B06" w14:textId="77777777" w:rsidR="00D75B83" w:rsidRPr="00AD7C2E" w:rsidRDefault="00D75B83" w:rsidP="00D75B83">
      <w:pPr>
        <w:tabs>
          <w:tab w:val="left" w:pos="2300"/>
        </w:tabs>
        <w:spacing w:line="360" w:lineRule="auto"/>
        <w:jc w:val="both"/>
        <w:rPr>
          <w:sz w:val="18"/>
          <w:szCs w:val="18"/>
        </w:rPr>
      </w:pPr>
      <w:r w:rsidRPr="00AD7C2E">
        <w:rPr>
          <w:sz w:val="18"/>
          <w:szCs w:val="18"/>
        </w:rPr>
        <w:t xml:space="preserve">Tablica 10.a </w:t>
      </w:r>
      <w:r w:rsidRPr="00AD7C2E">
        <w:rPr>
          <w:rFonts w:eastAsia="Times New Roman" w:cstheme="minorHAnsi"/>
          <w:bCs/>
          <w:color w:val="1D1B11"/>
          <w:sz w:val="18"/>
          <w:szCs w:val="18"/>
          <w:lang w:eastAsia="hr-HR"/>
        </w:rPr>
        <w:t>Izvršenje prihodovnih usluga proizvodnje i nadzora VMP</w:t>
      </w:r>
    </w:p>
    <w:p w14:paraId="3C982FB0" w14:textId="77777777" w:rsidR="00D75B83" w:rsidRPr="00AD7C2E" w:rsidRDefault="00D75B83" w:rsidP="00D75B83">
      <w:pPr>
        <w:tabs>
          <w:tab w:val="left" w:pos="2300"/>
        </w:tabs>
        <w:spacing w:line="360" w:lineRule="auto"/>
        <w:jc w:val="both"/>
        <w:rPr>
          <w:rFonts w:eastAsia="Times New Roman" w:cstheme="minorHAnsi"/>
          <w:bCs/>
          <w:color w:val="1D1B11"/>
          <w:sz w:val="18"/>
          <w:szCs w:val="18"/>
          <w:lang w:eastAsia="hr-HR"/>
        </w:rPr>
      </w:pPr>
      <w:r w:rsidRPr="00AD7C2E">
        <w:rPr>
          <w:rFonts w:eastAsia="Times New Roman" w:cstheme="minorHAnsi"/>
          <w:color w:val="000000"/>
          <w:sz w:val="18"/>
          <w:szCs w:val="18"/>
        </w:rPr>
        <w:t xml:space="preserve">Tablica 11. </w:t>
      </w:r>
      <w:r w:rsidRPr="00AD7C2E">
        <w:rPr>
          <w:rFonts w:eastAsia="Times New Roman" w:cstheme="minorHAnsi"/>
          <w:bCs/>
          <w:color w:val="1D1B11"/>
          <w:sz w:val="18"/>
          <w:szCs w:val="18"/>
          <w:lang w:eastAsia="hr-HR"/>
        </w:rPr>
        <w:t>Izvršenje neprihodovnih usluga proizvodnje i nadzora</w:t>
      </w:r>
    </w:p>
    <w:p w14:paraId="356A4C2E" w14:textId="77777777" w:rsidR="00D75B83" w:rsidRPr="00AD7C2E" w:rsidRDefault="00D75B83" w:rsidP="00D75B83">
      <w:pPr>
        <w:tabs>
          <w:tab w:val="left" w:pos="2300"/>
        </w:tabs>
        <w:spacing w:line="360" w:lineRule="auto"/>
        <w:jc w:val="both"/>
        <w:rPr>
          <w:rFonts w:eastAsia="Times New Roman" w:cstheme="minorHAnsi"/>
          <w:bCs/>
          <w:color w:val="1D1B11"/>
          <w:sz w:val="18"/>
          <w:szCs w:val="18"/>
          <w:lang w:eastAsia="hr-HR"/>
        </w:rPr>
      </w:pPr>
      <w:r w:rsidRPr="00AD7C2E">
        <w:rPr>
          <w:rFonts w:eastAsia="Times New Roman" w:cstheme="minorHAnsi"/>
          <w:color w:val="000000"/>
          <w:sz w:val="18"/>
          <w:szCs w:val="18"/>
        </w:rPr>
        <w:t xml:space="preserve">Tablica 12. </w:t>
      </w:r>
      <w:r w:rsidRPr="00AD7C2E">
        <w:rPr>
          <w:rFonts w:eastAsia="Times New Roman" w:cstheme="minorHAnsi"/>
          <w:bCs/>
          <w:color w:val="1D1B11"/>
          <w:sz w:val="18"/>
          <w:szCs w:val="18"/>
          <w:lang w:eastAsia="hr-HR"/>
        </w:rPr>
        <w:t xml:space="preserve">Sudjelovanja </w:t>
      </w:r>
      <w:r w:rsidRPr="00AD7C2E">
        <w:rPr>
          <w:sz w:val="18"/>
          <w:szCs w:val="18"/>
        </w:rPr>
        <w:t xml:space="preserve">na radnim sastancima </w:t>
      </w:r>
      <w:r w:rsidRPr="00AD7C2E">
        <w:rPr>
          <w:rFonts w:eastAsia="Times New Roman" w:cstheme="minorHAnsi"/>
          <w:color w:val="000000"/>
          <w:sz w:val="18"/>
          <w:szCs w:val="18"/>
        </w:rPr>
        <w:t xml:space="preserve">u europskim poslovima </w:t>
      </w:r>
      <w:r w:rsidRPr="00AD7C2E">
        <w:rPr>
          <w:rFonts w:eastAsia="Times New Roman" w:cstheme="minorHAnsi"/>
          <w:bCs/>
          <w:color w:val="1D1B11"/>
          <w:sz w:val="18"/>
          <w:szCs w:val="18"/>
          <w:lang w:eastAsia="hr-HR"/>
        </w:rPr>
        <w:t>proizvodnje i nadzora</w:t>
      </w:r>
    </w:p>
    <w:p w14:paraId="49F94100" w14:textId="77777777" w:rsidR="00D75B83" w:rsidRPr="00AD7C2E" w:rsidRDefault="00D75B83" w:rsidP="00D75B83">
      <w:pPr>
        <w:tabs>
          <w:tab w:val="center" w:pos="858"/>
          <w:tab w:val="center" w:pos="4320"/>
          <w:tab w:val="right" w:pos="8306"/>
          <w:tab w:val="right" w:pos="8640"/>
        </w:tabs>
        <w:spacing w:line="360" w:lineRule="auto"/>
        <w:jc w:val="both"/>
        <w:rPr>
          <w:rFonts w:eastAsia="Times New Roman" w:cstheme="minorHAnsi"/>
          <w:color w:val="000000"/>
          <w:sz w:val="18"/>
          <w:szCs w:val="18"/>
        </w:rPr>
      </w:pPr>
      <w:r w:rsidRPr="00AD7C2E">
        <w:rPr>
          <w:rFonts w:eastAsia="Times New Roman" w:cstheme="minorHAnsi"/>
          <w:color w:val="000000"/>
          <w:sz w:val="18"/>
          <w:szCs w:val="18"/>
        </w:rPr>
        <w:t>Tablica 13. Broj zaprimljenih i obrađenih prijava sumnji na neispravnost u kakvoću lijekova u RH</w:t>
      </w:r>
    </w:p>
    <w:p w14:paraId="7A3F70FE" w14:textId="77777777" w:rsidR="00D75B83" w:rsidRPr="00AD7C2E" w:rsidRDefault="00D75B83" w:rsidP="00D75B83">
      <w:pPr>
        <w:tabs>
          <w:tab w:val="left" w:pos="2300"/>
        </w:tabs>
        <w:spacing w:line="360" w:lineRule="auto"/>
        <w:rPr>
          <w:rFonts w:eastAsia="Times New Roman" w:cstheme="minorHAnsi"/>
          <w:color w:val="000000"/>
          <w:sz w:val="18"/>
          <w:szCs w:val="18"/>
        </w:rPr>
      </w:pPr>
      <w:r w:rsidRPr="00AD7C2E">
        <w:rPr>
          <w:rFonts w:eastAsia="Times New Roman" w:cstheme="minorHAnsi"/>
          <w:color w:val="000000"/>
          <w:sz w:val="18"/>
          <w:szCs w:val="18"/>
        </w:rPr>
        <w:t xml:space="preserve">Tablica 14. </w:t>
      </w:r>
      <w:r w:rsidRPr="00AD7C2E">
        <w:rPr>
          <w:rFonts w:eastAsia="Times New Roman" w:cstheme="minorHAnsi"/>
          <w:bCs/>
          <w:color w:val="1D1B11"/>
          <w:sz w:val="18"/>
          <w:szCs w:val="18"/>
          <w:lang w:eastAsia="hr-HR"/>
        </w:rPr>
        <w:t xml:space="preserve">Izvršenje prihodovnih usluga </w:t>
      </w:r>
      <w:r>
        <w:rPr>
          <w:rFonts w:eastAsia="Times New Roman" w:cstheme="minorHAnsi"/>
          <w:bCs/>
          <w:color w:val="1D1B11"/>
          <w:sz w:val="18"/>
          <w:szCs w:val="18"/>
          <w:lang w:eastAsia="hr-HR"/>
        </w:rPr>
        <w:t>u području dostupnosti lijekova</w:t>
      </w:r>
    </w:p>
    <w:p w14:paraId="6EDEB1DD" w14:textId="77777777" w:rsidR="00D75B83" w:rsidRPr="00D24266" w:rsidRDefault="00D75B83" w:rsidP="00D75B83">
      <w:pPr>
        <w:tabs>
          <w:tab w:val="left" w:pos="2300"/>
        </w:tabs>
        <w:spacing w:line="360" w:lineRule="auto"/>
        <w:rPr>
          <w:rFonts w:eastAsia="Times New Roman" w:cstheme="minorHAnsi"/>
          <w:color w:val="000000"/>
          <w:sz w:val="18"/>
          <w:szCs w:val="18"/>
        </w:rPr>
      </w:pPr>
      <w:r w:rsidRPr="00AD7C2E">
        <w:rPr>
          <w:rFonts w:eastAsia="Times New Roman" w:cstheme="minorHAnsi"/>
          <w:color w:val="000000"/>
          <w:sz w:val="18"/>
          <w:szCs w:val="18"/>
        </w:rPr>
        <w:t xml:space="preserve">Tablica 15. </w:t>
      </w:r>
      <w:r w:rsidRPr="00AD7C2E">
        <w:rPr>
          <w:rFonts w:eastAsia="Times New Roman" w:cstheme="minorHAnsi"/>
          <w:bCs/>
          <w:color w:val="1D1B11"/>
          <w:sz w:val="18"/>
          <w:szCs w:val="18"/>
          <w:lang w:eastAsia="hr-HR"/>
        </w:rPr>
        <w:t xml:space="preserve">Izvršenje neprihodovnih usluga </w:t>
      </w:r>
      <w:r>
        <w:rPr>
          <w:rFonts w:eastAsia="Times New Roman" w:cstheme="minorHAnsi"/>
          <w:bCs/>
          <w:color w:val="1D1B11"/>
          <w:sz w:val="18"/>
          <w:szCs w:val="18"/>
          <w:lang w:eastAsia="hr-HR"/>
        </w:rPr>
        <w:t>u području dostupnosti lijekova</w:t>
      </w:r>
    </w:p>
    <w:p w14:paraId="705A5335" w14:textId="77777777" w:rsidR="00D75B83" w:rsidRDefault="00D75B83" w:rsidP="00D75B83">
      <w:pPr>
        <w:tabs>
          <w:tab w:val="left" w:pos="2300"/>
        </w:tabs>
        <w:spacing w:line="360" w:lineRule="auto"/>
        <w:rPr>
          <w:rFonts w:eastAsia="Times New Roman" w:cstheme="minorHAnsi"/>
          <w:color w:val="000000"/>
          <w:sz w:val="18"/>
          <w:szCs w:val="18"/>
        </w:rPr>
      </w:pPr>
      <w:r w:rsidRPr="00AD7C2E">
        <w:rPr>
          <w:rFonts w:eastAsia="Times New Roman" w:cstheme="minorHAnsi"/>
          <w:color w:val="000000"/>
          <w:sz w:val="18"/>
          <w:szCs w:val="18"/>
        </w:rPr>
        <w:t xml:space="preserve">Tablica 16. </w:t>
      </w:r>
      <w:r w:rsidRPr="00AD7C2E">
        <w:rPr>
          <w:rFonts w:eastAsia="Times New Roman" w:cstheme="minorHAnsi"/>
          <w:bCs/>
          <w:color w:val="1D1B11"/>
          <w:sz w:val="18"/>
          <w:szCs w:val="18"/>
          <w:lang w:eastAsia="hr-HR"/>
        </w:rPr>
        <w:t xml:space="preserve">Sudjelovanje na radnim sastancima u europskim poslovima </w:t>
      </w:r>
      <w:r>
        <w:rPr>
          <w:rFonts w:eastAsia="Times New Roman" w:cstheme="minorHAnsi"/>
          <w:bCs/>
          <w:color w:val="1D1B11"/>
          <w:sz w:val="18"/>
          <w:szCs w:val="18"/>
          <w:lang w:eastAsia="hr-HR"/>
        </w:rPr>
        <w:t>u području dostupnosti lijekova</w:t>
      </w:r>
    </w:p>
    <w:p w14:paraId="5437160F" w14:textId="77777777" w:rsidR="00D75B83" w:rsidRDefault="00D75B83" w:rsidP="00D75B83">
      <w:pPr>
        <w:tabs>
          <w:tab w:val="left" w:pos="2300"/>
        </w:tabs>
        <w:spacing w:line="360" w:lineRule="auto"/>
        <w:rPr>
          <w:rFonts w:eastAsia="Times New Roman" w:cstheme="minorHAnsi"/>
          <w:color w:val="000000"/>
          <w:sz w:val="18"/>
          <w:szCs w:val="18"/>
        </w:rPr>
      </w:pPr>
      <w:r>
        <w:rPr>
          <w:rFonts w:eastAsia="Times New Roman" w:cstheme="minorHAnsi"/>
          <w:color w:val="000000"/>
          <w:sz w:val="18"/>
          <w:szCs w:val="18"/>
        </w:rPr>
        <w:t>Tablica 17. Sudjelovanje na radnim sastancima u nacionalnim poslovima u području dostupnosti lijekova</w:t>
      </w:r>
    </w:p>
    <w:p w14:paraId="60561663" w14:textId="77777777" w:rsidR="00D75B83" w:rsidRDefault="00D75B83" w:rsidP="00D75B83">
      <w:pPr>
        <w:tabs>
          <w:tab w:val="left" w:pos="2300"/>
        </w:tabs>
        <w:spacing w:line="360" w:lineRule="auto"/>
        <w:rPr>
          <w:rFonts w:eastAsia="Times New Roman" w:cstheme="minorHAnsi"/>
          <w:color w:val="000000"/>
          <w:sz w:val="18"/>
          <w:szCs w:val="18"/>
        </w:rPr>
      </w:pPr>
      <w:r>
        <w:rPr>
          <w:rFonts w:eastAsia="Times New Roman" w:cstheme="minorHAnsi"/>
          <w:color w:val="000000"/>
          <w:sz w:val="18"/>
          <w:szCs w:val="18"/>
        </w:rPr>
        <w:t>Tablica 18. Izvršenje prihodovnih usluga potrošnje i cijena lijekova</w:t>
      </w:r>
    </w:p>
    <w:p w14:paraId="61A5C51B" w14:textId="77777777" w:rsidR="00D75B83" w:rsidRDefault="00D75B83" w:rsidP="00D75B83">
      <w:pPr>
        <w:tabs>
          <w:tab w:val="left" w:pos="2300"/>
        </w:tabs>
        <w:spacing w:line="360" w:lineRule="auto"/>
        <w:rPr>
          <w:rFonts w:eastAsia="Times New Roman" w:cstheme="minorHAnsi"/>
          <w:color w:val="000000"/>
          <w:sz w:val="18"/>
          <w:szCs w:val="18"/>
        </w:rPr>
      </w:pPr>
      <w:r>
        <w:rPr>
          <w:rFonts w:eastAsia="Times New Roman" w:cstheme="minorHAnsi"/>
          <w:color w:val="000000"/>
          <w:sz w:val="18"/>
          <w:szCs w:val="18"/>
        </w:rPr>
        <w:t>Tablica 19. Izvršanje neprihodovnih usluga potrošnje i cijena lijekova</w:t>
      </w:r>
    </w:p>
    <w:p w14:paraId="2F87814A" w14:textId="77777777" w:rsidR="00D75B83" w:rsidRDefault="00D75B83" w:rsidP="00D75B83">
      <w:pPr>
        <w:tabs>
          <w:tab w:val="left" w:pos="2300"/>
        </w:tabs>
        <w:spacing w:line="360" w:lineRule="auto"/>
        <w:rPr>
          <w:rFonts w:eastAsia="Times New Roman" w:cstheme="minorHAnsi"/>
          <w:color w:val="000000"/>
          <w:sz w:val="18"/>
          <w:szCs w:val="18"/>
        </w:rPr>
      </w:pPr>
      <w:r>
        <w:rPr>
          <w:rFonts w:eastAsia="Times New Roman" w:cstheme="minorHAnsi"/>
          <w:color w:val="000000"/>
          <w:sz w:val="18"/>
          <w:szCs w:val="18"/>
        </w:rPr>
        <w:t>Tablica 20. Sudjelovanje na radnim sastancima u europskim poslovima</w:t>
      </w:r>
    </w:p>
    <w:p w14:paraId="7C77BD9C" w14:textId="77777777" w:rsidR="00D75B83" w:rsidRPr="00D24266" w:rsidRDefault="00D75B83" w:rsidP="00D75B83">
      <w:pPr>
        <w:tabs>
          <w:tab w:val="left" w:pos="2300"/>
        </w:tabs>
        <w:spacing w:line="360" w:lineRule="auto"/>
        <w:rPr>
          <w:rFonts w:eastAsia="Times New Roman" w:cstheme="minorHAnsi"/>
          <w:color w:val="000000"/>
          <w:sz w:val="18"/>
          <w:szCs w:val="18"/>
        </w:rPr>
      </w:pPr>
      <w:r>
        <w:rPr>
          <w:rFonts w:eastAsia="Times New Roman" w:cstheme="minorHAnsi"/>
          <w:color w:val="000000"/>
          <w:sz w:val="18"/>
          <w:szCs w:val="18"/>
        </w:rPr>
        <w:t>Tablica 21. Sudjelovanje na radnim sastancima u nacionalnim poslovima</w:t>
      </w:r>
    </w:p>
    <w:p w14:paraId="18B1FFB0" w14:textId="77777777" w:rsidR="00D75B83" w:rsidRPr="00AD7C2E" w:rsidRDefault="00D75B83" w:rsidP="00D75B83">
      <w:pPr>
        <w:tabs>
          <w:tab w:val="left" w:pos="2300"/>
        </w:tabs>
        <w:spacing w:line="360" w:lineRule="auto"/>
        <w:rPr>
          <w:rFonts w:eastAsia="Times New Roman" w:cstheme="minorHAnsi"/>
          <w:bCs/>
          <w:color w:val="1D1B11"/>
          <w:sz w:val="18"/>
          <w:szCs w:val="18"/>
          <w:lang w:eastAsia="hr-HR"/>
        </w:rPr>
      </w:pPr>
      <w:r>
        <w:rPr>
          <w:rFonts w:eastAsia="Times New Roman" w:cstheme="minorHAnsi"/>
          <w:bCs/>
          <w:color w:val="1D1B11"/>
          <w:sz w:val="18"/>
          <w:szCs w:val="18"/>
          <w:lang w:eastAsia="hr-HR"/>
        </w:rPr>
        <w:t>Tablica 22</w:t>
      </w:r>
      <w:r w:rsidRPr="00AD7C2E">
        <w:rPr>
          <w:rFonts w:eastAsia="Times New Roman" w:cstheme="minorHAnsi"/>
          <w:bCs/>
          <w:color w:val="1D1B11"/>
          <w:sz w:val="18"/>
          <w:szCs w:val="18"/>
          <w:lang w:eastAsia="hr-HR"/>
        </w:rPr>
        <w:t>. Izvršenje prihodovnih usluga provjere kakvoće lijekova</w:t>
      </w:r>
    </w:p>
    <w:p w14:paraId="7FAAB9B5" w14:textId="77777777" w:rsidR="00D75B83" w:rsidRPr="00AD7C2E" w:rsidRDefault="00D75B83" w:rsidP="00D75B83">
      <w:pPr>
        <w:tabs>
          <w:tab w:val="left" w:pos="2300"/>
        </w:tabs>
        <w:spacing w:line="360" w:lineRule="auto"/>
        <w:rPr>
          <w:rFonts w:eastAsia="Times New Roman" w:cstheme="minorHAnsi"/>
          <w:bCs/>
          <w:color w:val="1D1B11"/>
          <w:sz w:val="18"/>
          <w:szCs w:val="18"/>
          <w:lang w:eastAsia="hr-HR"/>
        </w:rPr>
      </w:pPr>
      <w:r>
        <w:rPr>
          <w:rFonts w:eastAsia="Times New Roman" w:cstheme="minorHAnsi"/>
          <w:bCs/>
          <w:color w:val="1D1B11"/>
          <w:sz w:val="18"/>
          <w:szCs w:val="18"/>
          <w:lang w:eastAsia="hr-HR"/>
        </w:rPr>
        <w:t>Tablica 22</w:t>
      </w:r>
      <w:r w:rsidRPr="00AD7C2E">
        <w:rPr>
          <w:rFonts w:eastAsia="Times New Roman" w:cstheme="minorHAnsi"/>
          <w:bCs/>
          <w:color w:val="1D1B11"/>
          <w:sz w:val="18"/>
          <w:szCs w:val="18"/>
          <w:lang w:eastAsia="hr-HR"/>
        </w:rPr>
        <w:t>a. Izvršenje ostalih prihodovnih usluga provjere kakvoće</w:t>
      </w:r>
    </w:p>
    <w:p w14:paraId="53A34C7D" w14:textId="77777777" w:rsidR="00D75B83" w:rsidRPr="00AD7C2E" w:rsidRDefault="00D75B83" w:rsidP="00D75B83">
      <w:pPr>
        <w:tabs>
          <w:tab w:val="left" w:pos="2300"/>
        </w:tabs>
        <w:spacing w:line="360" w:lineRule="auto"/>
        <w:rPr>
          <w:rFonts w:eastAsia="Times New Roman" w:cstheme="minorHAnsi"/>
          <w:bCs/>
          <w:color w:val="1D1B11"/>
          <w:sz w:val="18"/>
          <w:szCs w:val="18"/>
          <w:lang w:eastAsia="hr-HR"/>
        </w:rPr>
      </w:pPr>
      <w:r>
        <w:rPr>
          <w:rFonts w:eastAsia="Times New Roman" w:cstheme="minorHAnsi"/>
          <w:bCs/>
          <w:color w:val="1D1B11"/>
          <w:sz w:val="18"/>
          <w:szCs w:val="18"/>
          <w:lang w:eastAsia="hr-HR"/>
        </w:rPr>
        <w:t>Tablica 23</w:t>
      </w:r>
      <w:r w:rsidRPr="00AD7C2E">
        <w:rPr>
          <w:rFonts w:eastAsia="Times New Roman" w:cstheme="minorHAnsi"/>
          <w:bCs/>
          <w:color w:val="1D1B11"/>
          <w:sz w:val="18"/>
          <w:szCs w:val="18"/>
          <w:lang w:eastAsia="hr-HR"/>
        </w:rPr>
        <w:t>. Izvršenje neprihodovnih usluga provjere kakvoće lijekova</w:t>
      </w:r>
    </w:p>
    <w:p w14:paraId="3ABA3B71" w14:textId="77777777" w:rsidR="00D75B83" w:rsidRPr="00AD7C2E" w:rsidRDefault="00D75B83" w:rsidP="00D75B83">
      <w:pPr>
        <w:tabs>
          <w:tab w:val="left" w:pos="2300"/>
        </w:tabs>
        <w:spacing w:line="360" w:lineRule="auto"/>
        <w:rPr>
          <w:rFonts w:eastAsia="Times New Roman" w:cstheme="minorHAnsi"/>
          <w:bCs/>
          <w:color w:val="1D1B11"/>
          <w:sz w:val="18"/>
          <w:szCs w:val="18"/>
          <w:lang w:eastAsia="hr-HR"/>
        </w:rPr>
      </w:pPr>
      <w:r>
        <w:rPr>
          <w:rFonts w:eastAsia="Times New Roman" w:cstheme="minorHAnsi"/>
          <w:bCs/>
          <w:color w:val="1D1B11"/>
          <w:sz w:val="18"/>
          <w:szCs w:val="18"/>
          <w:lang w:eastAsia="hr-HR"/>
        </w:rPr>
        <w:t>Tablica 24</w:t>
      </w:r>
      <w:r w:rsidRPr="00AD7C2E">
        <w:rPr>
          <w:rFonts w:eastAsia="Times New Roman" w:cstheme="minorHAnsi"/>
          <w:bCs/>
          <w:color w:val="1D1B11"/>
          <w:sz w:val="18"/>
          <w:szCs w:val="18"/>
          <w:lang w:eastAsia="hr-HR"/>
        </w:rPr>
        <w:t>. Sudjelovanja na radnim sastancima u europskim poslovima provjere kakvoće lijekova</w:t>
      </w:r>
    </w:p>
    <w:p w14:paraId="15872456" w14:textId="77777777" w:rsidR="00D75B83" w:rsidRPr="00AD7C2E" w:rsidRDefault="00D75B83" w:rsidP="00D75B83">
      <w:pPr>
        <w:tabs>
          <w:tab w:val="center" w:pos="858"/>
          <w:tab w:val="center" w:pos="4320"/>
          <w:tab w:val="right" w:pos="8306"/>
          <w:tab w:val="right" w:pos="8640"/>
        </w:tabs>
        <w:spacing w:line="360" w:lineRule="auto"/>
        <w:jc w:val="both"/>
        <w:rPr>
          <w:rFonts w:eastAsia="Times New Roman" w:cstheme="minorHAnsi"/>
          <w:bCs/>
          <w:color w:val="1D1B11"/>
          <w:sz w:val="18"/>
          <w:szCs w:val="18"/>
          <w:lang w:eastAsia="hr-HR"/>
        </w:rPr>
      </w:pPr>
      <w:r>
        <w:rPr>
          <w:rFonts w:eastAsia="Times New Roman" w:cstheme="minorHAnsi"/>
          <w:bCs/>
          <w:color w:val="1D1B11"/>
          <w:sz w:val="18"/>
          <w:szCs w:val="18"/>
          <w:lang w:eastAsia="hr-HR"/>
        </w:rPr>
        <w:t>Tablica 25</w:t>
      </w:r>
      <w:r w:rsidRPr="00AD7C2E">
        <w:rPr>
          <w:rFonts w:eastAsia="Times New Roman" w:cstheme="minorHAnsi"/>
          <w:bCs/>
          <w:color w:val="1D1B11"/>
          <w:sz w:val="18"/>
          <w:szCs w:val="18"/>
          <w:lang w:eastAsia="hr-HR"/>
        </w:rPr>
        <w:t>. Broj online pristupa Hrvatskoj farmakopeji</w:t>
      </w:r>
    </w:p>
    <w:p w14:paraId="7C89B940" w14:textId="77777777" w:rsidR="00D75B83" w:rsidRPr="00AD7C2E" w:rsidRDefault="00D75B83" w:rsidP="00D75B83">
      <w:pPr>
        <w:tabs>
          <w:tab w:val="center" w:pos="858"/>
          <w:tab w:val="center" w:pos="4320"/>
          <w:tab w:val="right" w:pos="8306"/>
          <w:tab w:val="right" w:pos="8640"/>
        </w:tabs>
        <w:spacing w:line="360" w:lineRule="auto"/>
        <w:jc w:val="both"/>
        <w:rPr>
          <w:rFonts w:eastAsia="Times New Roman" w:cstheme="minorHAnsi"/>
          <w:bCs/>
          <w:color w:val="1D1B11"/>
          <w:sz w:val="18"/>
          <w:szCs w:val="18"/>
          <w:lang w:eastAsia="hr-HR"/>
        </w:rPr>
      </w:pPr>
      <w:r>
        <w:rPr>
          <w:rFonts w:eastAsia="Times New Roman" w:cstheme="minorHAnsi"/>
          <w:bCs/>
          <w:color w:val="1D1B11"/>
          <w:sz w:val="18"/>
          <w:szCs w:val="18"/>
          <w:lang w:eastAsia="hr-HR"/>
        </w:rPr>
        <w:t>Tablica 26</w:t>
      </w:r>
      <w:r w:rsidRPr="00AD7C2E">
        <w:rPr>
          <w:rFonts w:eastAsia="Times New Roman" w:cstheme="minorHAnsi"/>
          <w:bCs/>
          <w:color w:val="1D1B11"/>
          <w:sz w:val="18"/>
          <w:szCs w:val="18"/>
          <w:lang w:eastAsia="hr-HR"/>
        </w:rPr>
        <w:t>. Izvršenje neprihodovnih usluga iz područja Hrvatske farmakopeje</w:t>
      </w:r>
    </w:p>
    <w:p w14:paraId="4A94CD6D" w14:textId="77777777" w:rsidR="00D75B83" w:rsidRPr="00AD7C2E" w:rsidRDefault="00D75B83" w:rsidP="00D75B83">
      <w:pPr>
        <w:tabs>
          <w:tab w:val="center" w:pos="858"/>
          <w:tab w:val="center" w:pos="4320"/>
          <w:tab w:val="right" w:pos="8306"/>
          <w:tab w:val="right" w:pos="8640"/>
        </w:tabs>
        <w:spacing w:line="360" w:lineRule="auto"/>
        <w:jc w:val="both"/>
        <w:rPr>
          <w:rFonts w:eastAsia="Times New Roman" w:cstheme="minorHAnsi"/>
          <w:bCs/>
          <w:color w:val="1D1B11"/>
          <w:sz w:val="18"/>
          <w:szCs w:val="18"/>
          <w:lang w:eastAsia="hr-HR"/>
        </w:rPr>
      </w:pPr>
      <w:r>
        <w:rPr>
          <w:rFonts w:eastAsia="Times New Roman" w:cstheme="minorHAnsi"/>
          <w:bCs/>
          <w:color w:val="1D1B11"/>
          <w:sz w:val="18"/>
          <w:szCs w:val="18"/>
          <w:lang w:eastAsia="hr-HR"/>
        </w:rPr>
        <w:t>Tablica 27</w:t>
      </w:r>
      <w:r w:rsidRPr="00AD7C2E">
        <w:rPr>
          <w:rFonts w:eastAsia="Times New Roman" w:cstheme="minorHAnsi"/>
          <w:bCs/>
          <w:color w:val="1D1B11"/>
          <w:sz w:val="18"/>
          <w:szCs w:val="18"/>
          <w:lang w:eastAsia="hr-HR"/>
        </w:rPr>
        <w:t xml:space="preserve">. </w:t>
      </w:r>
      <w:r w:rsidRPr="00AD7C2E">
        <w:rPr>
          <w:rFonts w:eastAsia="Times New Roman" w:cstheme="minorHAnsi"/>
          <w:color w:val="000000"/>
          <w:sz w:val="18"/>
          <w:szCs w:val="18"/>
        </w:rPr>
        <w:t>S</w:t>
      </w:r>
      <w:r w:rsidRPr="00AD7C2E">
        <w:rPr>
          <w:rFonts w:eastAsia="Times New Roman" w:cstheme="minorHAnsi"/>
          <w:bCs/>
          <w:color w:val="1D1B11"/>
          <w:sz w:val="18"/>
          <w:szCs w:val="18"/>
          <w:lang w:eastAsia="hr-HR"/>
        </w:rPr>
        <w:t xml:space="preserve">udjelovanje na radnim sastancima u europskim poslovima farmakopeje </w:t>
      </w:r>
    </w:p>
    <w:p w14:paraId="4999AE22" w14:textId="77777777" w:rsidR="00D75B83" w:rsidRPr="00AD7C2E" w:rsidRDefault="00D75B83" w:rsidP="00D75B83">
      <w:pPr>
        <w:spacing w:line="360" w:lineRule="auto"/>
        <w:jc w:val="both"/>
        <w:rPr>
          <w:rFonts w:eastAsiaTheme="minorEastAsia" w:cstheme="minorHAnsi"/>
          <w:bCs/>
          <w:sz w:val="18"/>
          <w:szCs w:val="18"/>
        </w:rPr>
      </w:pPr>
      <w:r w:rsidRPr="00AD7C2E">
        <w:rPr>
          <w:rFonts w:eastAsia="Times New Roman" w:cstheme="minorHAnsi"/>
          <w:sz w:val="18"/>
          <w:szCs w:val="18"/>
        </w:rPr>
        <w:t>Tablica 2</w:t>
      </w:r>
      <w:r>
        <w:rPr>
          <w:rFonts w:eastAsia="Times New Roman" w:cstheme="minorHAnsi"/>
          <w:sz w:val="18"/>
          <w:szCs w:val="18"/>
        </w:rPr>
        <w:t>8</w:t>
      </w:r>
      <w:r w:rsidRPr="00AD7C2E">
        <w:rPr>
          <w:rFonts w:eastAsia="Times New Roman" w:cstheme="minorHAnsi"/>
          <w:sz w:val="18"/>
          <w:szCs w:val="18"/>
        </w:rPr>
        <w:t xml:space="preserve">. </w:t>
      </w:r>
      <w:r w:rsidRPr="00AD7C2E">
        <w:rPr>
          <w:rFonts w:cstheme="minorHAnsi"/>
          <w:bCs/>
          <w:sz w:val="18"/>
          <w:szCs w:val="18"/>
        </w:rPr>
        <w:t xml:space="preserve">Broj zaprimljenih obavijesti o stavljanju u promet medicinskih proizvoda po klasama rizika </w:t>
      </w:r>
    </w:p>
    <w:p w14:paraId="27BA1888" w14:textId="77777777" w:rsidR="00D75B83" w:rsidRPr="00AD7C2E" w:rsidRDefault="00D75B83" w:rsidP="00D75B83">
      <w:pPr>
        <w:spacing w:line="360" w:lineRule="auto"/>
        <w:jc w:val="both"/>
        <w:rPr>
          <w:rFonts w:eastAsia="Times New Roman" w:cstheme="minorHAnsi"/>
          <w:sz w:val="18"/>
          <w:szCs w:val="18"/>
          <w:lang w:eastAsia="hr-HR"/>
        </w:rPr>
      </w:pPr>
      <w:r>
        <w:rPr>
          <w:rFonts w:eastAsia="Times New Roman" w:cstheme="minorHAnsi"/>
          <w:color w:val="000000"/>
          <w:sz w:val="18"/>
          <w:szCs w:val="18"/>
          <w:lang w:eastAsia="hr-HR"/>
        </w:rPr>
        <w:t>Tablica 29</w:t>
      </w:r>
      <w:r w:rsidRPr="00AD7C2E">
        <w:rPr>
          <w:rFonts w:eastAsia="Times New Roman" w:cstheme="minorHAnsi"/>
          <w:color w:val="000000"/>
          <w:sz w:val="18"/>
          <w:szCs w:val="18"/>
          <w:lang w:eastAsia="hr-HR"/>
        </w:rPr>
        <w:t xml:space="preserve">. </w:t>
      </w:r>
      <w:r w:rsidRPr="00AD7C2E">
        <w:rPr>
          <w:rFonts w:eastAsia="Times New Roman" w:cstheme="minorHAnsi"/>
          <w:sz w:val="18"/>
          <w:szCs w:val="18"/>
          <w:lang w:eastAsia="hr-HR"/>
        </w:rPr>
        <w:t>Broj obrađenih izvješća u sustavu vigilancije medicinskih proizvoda po vrstama izvješća/ izvoru/ vrsti proizvoda</w:t>
      </w:r>
    </w:p>
    <w:p w14:paraId="294BEC81" w14:textId="77777777" w:rsidR="00D75B83" w:rsidRPr="00AD7C2E" w:rsidRDefault="00D75B83" w:rsidP="00D75B83">
      <w:pPr>
        <w:tabs>
          <w:tab w:val="center" w:pos="858"/>
          <w:tab w:val="center" w:pos="4320"/>
          <w:tab w:val="right" w:pos="8306"/>
          <w:tab w:val="right" w:pos="8640"/>
        </w:tabs>
        <w:spacing w:line="360" w:lineRule="auto"/>
        <w:jc w:val="both"/>
        <w:rPr>
          <w:rFonts w:eastAsia="Times New Roman" w:cstheme="minorHAnsi"/>
          <w:bCs/>
          <w:color w:val="1D1B11"/>
          <w:sz w:val="18"/>
          <w:szCs w:val="18"/>
          <w:lang w:eastAsia="hr-HR"/>
        </w:rPr>
      </w:pPr>
      <w:r>
        <w:rPr>
          <w:rFonts w:eastAsia="Times New Roman" w:cstheme="minorHAnsi"/>
          <w:bCs/>
          <w:color w:val="1D1B11"/>
          <w:sz w:val="18"/>
          <w:szCs w:val="18"/>
          <w:lang w:eastAsia="hr-HR"/>
        </w:rPr>
        <w:t>Tablica 30</w:t>
      </w:r>
      <w:r w:rsidRPr="00AD7C2E">
        <w:rPr>
          <w:rFonts w:eastAsia="Times New Roman" w:cstheme="minorHAnsi"/>
          <w:bCs/>
          <w:color w:val="1D1B11"/>
          <w:sz w:val="18"/>
          <w:szCs w:val="18"/>
          <w:lang w:eastAsia="hr-HR"/>
        </w:rPr>
        <w:t>. Izvršenje prihodovnih usluga medicinskih proizvoda</w:t>
      </w:r>
    </w:p>
    <w:p w14:paraId="60BCD532" w14:textId="77777777" w:rsidR="00D75B83" w:rsidRPr="00AD7C2E" w:rsidRDefault="00D75B83" w:rsidP="00D75B83">
      <w:pPr>
        <w:tabs>
          <w:tab w:val="center" w:pos="858"/>
          <w:tab w:val="center" w:pos="4320"/>
          <w:tab w:val="right" w:pos="8306"/>
          <w:tab w:val="right" w:pos="8640"/>
        </w:tabs>
        <w:spacing w:line="360" w:lineRule="auto"/>
        <w:jc w:val="both"/>
        <w:rPr>
          <w:rFonts w:eastAsia="Times New Roman" w:cstheme="minorHAnsi"/>
          <w:bCs/>
          <w:color w:val="1D1B11"/>
          <w:sz w:val="18"/>
          <w:szCs w:val="18"/>
          <w:lang w:eastAsia="hr-HR"/>
        </w:rPr>
      </w:pPr>
      <w:r>
        <w:rPr>
          <w:rFonts w:eastAsia="Times New Roman" w:cstheme="minorHAnsi"/>
          <w:bCs/>
          <w:color w:val="1D1B11"/>
          <w:sz w:val="18"/>
          <w:szCs w:val="18"/>
          <w:lang w:eastAsia="hr-HR"/>
        </w:rPr>
        <w:t>Tablica 31</w:t>
      </w:r>
      <w:r w:rsidRPr="00AD7C2E">
        <w:rPr>
          <w:rFonts w:eastAsia="Times New Roman" w:cstheme="minorHAnsi"/>
          <w:bCs/>
          <w:color w:val="1D1B11"/>
          <w:sz w:val="18"/>
          <w:szCs w:val="18"/>
          <w:lang w:eastAsia="hr-HR"/>
        </w:rPr>
        <w:t>. Izvršenje neprihodovnih usluga medicinskih proizvoda (broj zaprimljenih obavijesti/izvješća)</w:t>
      </w:r>
    </w:p>
    <w:p w14:paraId="474BD22E" w14:textId="77777777" w:rsidR="00D75B83" w:rsidRPr="00AD7C2E" w:rsidRDefault="00D75B83" w:rsidP="00D75B83">
      <w:pPr>
        <w:tabs>
          <w:tab w:val="center" w:pos="858"/>
          <w:tab w:val="center" w:pos="4320"/>
          <w:tab w:val="right" w:pos="8306"/>
          <w:tab w:val="right" w:pos="8640"/>
        </w:tabs>
        <w:spacing w:line="360" w:lineRule="auto"/>
        <w:jc w:val="both"/>
        <w:rPr>
          <w:rFonts w:eastAsia="Times New Roman" w:cstheme="minorHAnsi"/>
          <w:bCs/>
          <w:color w:val="1D1B11"/>
          <w:sz w:val="18"/>
          <w:szCs w:val="18"/>
          <w:lang w:eastAsia="hr-HR"/>
        </w:rPr>
      </w:pPr>
      <w:r>
        <w:rPr>
          <w:rFonts w:eastAsia="Times New Roman" w:cstheme="minorHAnsi"/>
          <w:bCs/>
          <w:color w:val="1D1B11"/>
          <w:sz w:val="18"/>
          <w:szCs w:val="18"/>
          <w:lang w:eastAsia="hr-HR"/>
        </w:rPr>
        <w:t>Tablica 32</w:t>
      </w:r>
      <w:r w:rsidRPr="00AD7C2E">
        <w:rPr>
          <w:rFonts w:eastAsia="Times New Roman" w:cstheme="minorHAnsi"/>
          <w:bCs/>
          <w:color w:val="1D1B11"/>
          <w:sz w:val="18"/>
          <w:szCs w:val="18"/>
          <w:lang w:eastAsia="hr-HR"/>
        </w:rPr>
        <w:t xml:space="preserve">. Sudjelovanje na radnim sastancima u europskim poslovima medicinskih proizvoda </w:t>
      </w:r>
    </w:p>
    <w:p w14:paraId="42CB0195" w14:textId="77777777" w:rsidR="00D75B83" w:rsidRPr="00AD7C2E" w:rsidRDefault="00D75B83" w:rsidP="00D75B83">
      <w:pPr>
        <w:tabs>
          <w:tab w:val="center" w:pos="858"/>
          <w:tab w:val="center" w:pos="4320"/>
          <w:tab w:val="right" w:pos="8306"/>
          <w:tab w:val="right" w:pos="8640"/>
        </w:tabs>
        <w:spacing w:line="360" w:lineRule="auto"/>
        <w:jc w:val="both"/>
        <w:rPr>
          <w:rFonts w:eastAsia="Times New Roman" w:cstheme="minorHAnsi"/>
          <w:bCs/>
          <w:color w:val="1D1B11"/>
          <w:sz w:val="18"/>
          <w:szCs w:val="18"/>
          <w:lang w:eastAsia="hr-HR"/>
        </w:rPr>
      </w:pPr>
      <w:r>
        <w:rPr>
          <w:rFonts w:eastAsia="Times New Roman" w:cstheme="minorHAnsi"/>
          <w:bCs/>
          <w:color w:val="1D1B11"/>
          <w:sz w:val="18"/>
          <w:szCs w:val="18"/>
          <w:lang w:eastAsia="hr-HR"/>
        </w:rPr>
        <w:t>Tablica 33</w:t>
      </w:r>
      <w:r w:rsidRPr="00AD7C2E">
        <w:rPr>
          <w:rFonts w:eastAsia="Times New Roman" w:cstheme="minorHAnsi"/>
          <w:bCs/>
          <w:color w:val="1D1B11"/>
          <w:sz w:val="18"/>
          <w:szCs w:val="18"/>
          <w:lang w:eastAsia="hr-HR"/>
        </w:rPr>
        <w:t>. Izvršenje prihodovnih usluga Središnjeg etičkog povjerenstva (SEP)</w:t>
      </w:r>
    </w:p>
    <w:p w14:paraId="010886ED" w14:textId="77777777" w:rsidR="00D75B83" w:rsidRPr="00AD7C2E" w:rsidRDefault="00D75B83" w:rsidP="00D75B83">
      <w:pPr>
        <w:spacing w:line="360" w:lineRule="auto"/>
        <w:jc w:val="both"/>
        <w:rPr>
          <w:sz w:val="18"/>
          <w:szCs w:val="18"/>
          <w:lang w:eastAsia="hr-HR"/>
        </w:rPr>
      </w:pPr>
      <w:r>
        <w:rPr>
          <w:sz w:val="18"/>
          <w:szCs w:val="18"/>
          <w:lang w:eastAsia="hr-HR"/>
        </w:rPr>
        <w:t>Tablica 34</w:t>
      </w:r>
      <w:r w:rsidRPr="00AD7C2E">
        <w:rPr>
          <w:sz w:val="18"/>
          <w:szCs w:val="18"/>
          <w:lang w:eastAsia="hr-HR"/>
        </w:rPr>
        <w:t xml:space="preserve">. Izvršenje edukacijskih tečajeva i davanja stručnih savjeta </w:t>
      </w:r>
    </w:p>
    <w:p w14:paraId="3F2CE4C0" w14:textId="77777777" w:rsidR="00D75B83" w:rsidRPr="00AD7C2E" w:rsidRDefault="00D75B83" w:rsidP="00D75B83">
      <w:pPr>
        <w:tabs>
          <w:tab w:val="center" w:pos="858"/>
          <w:tab w:val="center" w:pos="4320"/>
          <w:tab w:val="right" w:pos="8306"/>
          <w:tab w:val="right" w:pos="8640"/>
        </w:tabs>
        <w:spacing w:line="360" w:lineRule="auto"/>
        <w:jc w:val="both"/>
        <w:rPr>
          <w:rFonts w:eastAsia="Times New Roman" w:cstheme="minorHAnsi"/>
          <w:bCs/>
          <w:color w:val="1D1B11"/>
          <w:sz w:val="18"/>
          <w:szCs w:val="18"/>
          <w:lang w:eastAsia="hr-HR"/>
        </w:rPr>
      </w:pPr>
      <w:r>
        <w:rPr>
          <w:rFonts w:eastAsia="Times New Roman" w:cstheme="minorHAnsi"/>
          <w:bCs/>
          <w:color w:val="1D1B11"/>
          <w:sz w:val="18"/>
          <w:szCs w:val="18"/>
          <w:lang w:eastAsia="hr-HR"/>
        </w:rPr>
        <w:t>Tablica 35</w:t>
      </w:r>
      <w:r w:rsidRPr="00AD7C2E">
        <w:rPr>
          <w:rFonts w:eastAsia="Times New Roman" w:cstheme="minorHAnsi"/>
          <w:bCs/>
          <w:color w:val="1D1B11"/>
          <w:sz w:val="18"/>
          <w:szCs w:val="18"/>
          <w:lang w:eastAsia="hr-HR"/>
        </w:rPr>
        <w:t>. Broj godišnjih pristojbi</w:t>
      </w:r>
    </w:p>
    <w:p w14:paraId="38506B80" w14:textId="3DB0FA87" w:rsidR="00D75B83" w:rsidRPr="00AD7C2E" w:rsidRDefault="00D75B83" w:rsidP="00D75B83">
      <w:pPr>
        <w:spacing w:line="360" w:lineRule="auto"/>
        <w:jc w:val="both"/>
        <w:rPr>
          <w:rFonts w:eastAsia="Times New Roman" w:cstheme="minorHAnsi"/>
          <w:sz w:val="18"/>
          <w:szCs w:val="18"/>
        </w:rPr>
      </w:pPr>
      <w:r>
        <w:rPr>
          <w:rFonts w:eastAsia="Times New Roman" w:cstheme="minorHAnsi"/>
          <w:sz w:val="18"/>
          <w:szCs w:val="18"/>
        </w:rPr>
        <w:t>Tablica 36</w:t>
      </w:r>
      <w:r w:rsidRPr="00AD7C2E">
        <w:rPr>
          <w:rFonts w:eastAsia="Times New Roman" w:cstheme="minorHAnsi"/>
          <w:sz w:val="18"/>
          <w:szCs w:val="18"/>
        </w:rPr>
        <w:t>. Ukupni prihodi po vrst</w:t>
      </w:r>
      <w:r>
        <w:rPr>
          <w:rFonts w:eastAsia="Times New Roman" w:cstheme="minorHAnsi"/>
          <w:sz w:val="18"/>
          <w:szCs w:val="18"/>
        </w:rPr>
        <w:t xml:space="preserve">ama prihoda za </w:t>
      </w:r>
      <w:r w:rsidRPr="00AD7C2E">
        <w:rPr>
          <w:rFonts w:eastAsia="Times New Roman" w:cstheme="minorHAnsi"/>
          <w:sz w:val="18"/>
          <w:szCs w:val="18"/>
        </w:rPr>
        <w:t>202</w:t>
      </w:r>
      <w:r>
        <w:rPr>
          <w:rFonts w:eastAsia="Times New Roman" w:cstheme="minorHAnsi"/>
          <w:sz w:val="18"/>
          <w:szCs w:val="18"/>
        </w:rPr>
        <w:t>3</w:t>
      </w:r>
      <w:r w:rsidRPr="00AD7C2E">
        <w:rPr>
          <w:rFonts w:eastAsia="Times New Roman" w:cstheme="minorHAnsi"/>
          <w:sz w:val="18"/>
          <w:szCs w:val="18"/>
        </w:rPr>
        <w:t>. godin</w:t>
      </w:r>
      <w:r w:rsidR="00F96BE0">
        <w:rPr>
          <w:rFonts w:eastAsia="Times New Roman" w:cstheme="minorHAnsi"/>
          <w:sz w:val="18"/>
          <w:szCs w:val="18"/>
        </w:rPr>
        <w:t>u</w:t>
      </w:r>
    </w:p>
    <w:p w14:paraId="0038D2F6" w14:textId="581480C3" w:rsidR="00D75B83" w:rsidRPr="00AD7C2E" w:rsidRDefault="00D75B83" w:rsidP="00D75B83">
      <w:pPr>
        <w:spacing w:line="360" w:lineRule="auto"/>
        <w:jc w:val="both"/>
        <w:rPr>
          <w:rFonts w:eastAsia="Times New Roman" w:cstheme="minorHAnsi"/>
          <w:sz w:val="18"/>
          <w:szCs w:val="18"/>
        </w:rPr>
      </w:pPr>
      <w:r>
        <w:rPr>
          <w:rFonts w:eastAsia="Times New Roman" w:cstheme="minorHAnsi"/>
          <w:sz w:val="18"/>
          <w:szCs w:val="18"/>
        </w:rPr>
        <w:t>Tablica 37</w:t>
      </w:r>
      <w:r w:rsidRPr="00AD7C2E">
        <w:rPr>
          <w:rFonts w:eastAsia="Times New Roman" w:cstheme="minorHAnsi"/>
          <w:sz w:val="18"/>
          <w:szCs w:val="18"/>
        </w:rPr>
        <w:t>. Ukupni rashodi po vrstama rash</w:t>
      </w:r>
      <w:r>
        <w:rPr>
          <w:rFonts w:eastAsia="Times New Roman" w:cstheme="minorHAnsi"/>
          <w:sz w:val="18"/>
          <w:szCs w:val="18"/>
        </w:rPr>
        <w:t>oda za</w:t>
      </w:r>
      <w:r w:rsidR="00F96BE0">
        <w:rPr>
          <w:rFonts w:eastAsia="Times New Roman" w:cstheme="minorHAnsi"/>
          <w:sz w:val="18"/>
          <w:szCs w:val="18"/>
        </w:rPr>
        <w:t xml:space="preserve"> </w:t>
      </w:r>
      <w:r w:rsidRPr="00AD7C2E">
        <w:rPr>
          <w:rFonts w:eastAsia="Times New Roman" w:cstheme="minorHAnsi"/>
          <w:sz w:val="18"/>
          <w:szCs w:val="18"/>
        </w:rPr>
        <w:t>202</w:t>
      </w:r>
      <w:r>
        <w:rPr>
          <w:rFonts w:eastAsia="Times New Roman" w:cstheme="minorHAnsi"/>
          <w:sz w:val="18"/>
          <w:szCs w:val="18"/>
        </w:rPr>
        <w:t>3</w:t>
      </w:r>
      <w:r w:rsidRPr="00AD7C2E">
        <w:rPr>
          <w:rFonts w:eastAsia="Times New Roman" w:cstheme="minorHAnsi"/>
          <w:sz w:val="18"/>
          <w:szCs w:val="18"/>
        </w:rPr>
        <w:t>. godin</w:t>
      </w:r>
      <w:r w:rsidR="00F96BE0">
        <w:rPr>
          <w:rFonts w:eastAsia="Times New Roman" w:cstheme="minorHAnsi"/>
          <w:sz w:val="18"/>
          <w:szCs w:val="18"/>
        </w:rPr>
        <w:t>u</w:t>
      </w:r>
    </w:p>
    <w:p w14:paraId="1F01E975" w14:textId="78D6C36B" w:rsidR="00D75B83" w:rsidRPr="00AD7C2E" w:rsidRDefault="00D75B83" w:rsidP="00D75B83">
      <w:pPr>
        <w:spacing w:line="360" w:lineRule="auto"/>
        <w:jc w:val="both"/>
        <w:rPr>
          <w:rFonts w:eastAsia="Times New Roman" w:cstheme="minorHAnsi"/>
          <w:sz w:val="18"/>
          <w:szCs w:val="18"/>
        </w:rPr>
      </w:pPr>
      <w:r>
        <w:rPr>
          <w:rFonts w:eastAsia="Times New Roman" w:cstheme="minorHAnsi"/>
          <w:sz w:val="18"/>
          <w:szCs w:val="18"/>
        </w:rPr>
        <w:lastRenderedPageBreak/>
        <w:t>Tablica 38</w:t>
      </w:r>
      <w:r w:rsidRPr="00AD7C2E">
        <w:rPr>
          <w:rFonts w:eastAsia="Times New Roman" w:cstheme="minorHAnsi"/>
          <w:sz w:val="18"/>
          <w:szCs w:val="18"/>
        </w:rPr>
        <w:t>. Prihod</w:t>
      </w:r>
      <w:r w:rsidR="00A459B5">
        <w:rPr>
          <w:rFonts w:eastAsia="Times New Roman" w:cstheme="minorHAnsi"/>
          <w:sz w:val="18"/>
          <w:szCs w:val="18"/>
        </w:rPr>
        <w:t>i</w:t>
      </w:r>
      <w:r w:rsidRPr="00AD7C2E">
        <w:rPr>
          <w:rFonts w:eastAsia="Times New Roman" w:cstheme="minorHAnsi"/>
          <w:sz w:val="18"/>
          <w:szCs w:val="18"/>
        </w:rPr>
        <w:t xml:space="preserve"> i rash</w:t>
      </w:r>
      <w:r>
        <w:rPr>
          <w:rFonts w:eastAsia="Times New Roman" w:cstheme="minorHAnsi"/>
          <w:sz w:val="18"/>
          <w:szCs w:val="18"/>
        </w:rPr>
        <w:t>od</w:t>
      </w:r>
      <w:r w:rsidR="00A459B5">
        <w:rPr>
          <w:rFonts w:eastAsia="Times New Roman" w:cstheme="minorHAnsi"/>
          <w:sz w:val="18"/>
          <w:szCs w:val="18"/>
        </w:rPr>
        <w:t>i u razdoblju od 01.01.2023. do 31.12.</w:t>
      </w:r>
      <w:r w:rsidRPr="00AD7C2E">
        <w:rPr>
          <w:rFonts w:eastAsia="Times New Roman" w:cstheme="minorHAnsi"/>
          <w:sz w:val="18"/>
          <w:szCs w:val="18"/>
        </w:rPr>
        <w:t>202</w:t>
      </w:r>
      <w:r>
        <w:rPr>
          <w:rFonts w:eastAsia="Times New Roman" w:cstheme="minorHAnsi"/>
          <w:sz w:val="18"/>
          <w:szCs w:val="18"/>
        </w:rPr>
        <w:t>3</w:t>
      </w:r>
      <w:r w:rsidRPr="00AD7C2E">
        <w:rPr>
          <w:rFonts w:eastAsia="Times New Roman" w:cstheme="minorHAnsi"/>
          <w:sz w:val="18"/>
          <w:szCs w:val="18"/>
        </w:rPr>
        <w:t>. godin</w:t>
      </w:r>
      <w:r w:rsidR="00F96BE0">
        <w:rPr>
          <w:rFonts w:eastAsia="Times New Roman" w:cstheme="minorHAnsi"/>
          <w:sz w:val="18"/>
          <w:szCs w:val="18"/>
        </w:rPr>
        <w:t>u</w:t>
      </w:r>
    </w:p>
    <w:p w14:paraId="2765E8ED" w14:textId="77777777" w:rsidR="00D75B83" w:rsidRPr="00AD7C2E" w:rsidRDefault="00D75B83" w:rsidP="00D75B83">
      <w:pPr>
        <w:spacing w:line="360" w:lineRule="auto"/>
        <w:jc w:val="both"/>
        <w:rPr>
          <w:rFonts w:eastAsia="Times New Roman" w:cstheme="minorHAnsi"/>
          <w:sz w:val="18"/>
          <w:szCs w:val="18"/>
        </w:rPr>
      </w:pPr>
      <w:r>
        <w:rPr>
          <w:rFonts w:eastAsia="Times New Roman" w:cstheme="minorHAnsi"/>
          <w:sz w:val="18"/>
          <w:szCs w:val="18"/>
        </w:rPr>
        <w:t>Tablica 39</w:t>
      </w:r>
      <w:r w:rsidRPr="00AD7C2E">
        <w:rPr>
          <w:rFonts w:eastAsia="Times New Roman" w:cstheme="minorHAnsi"/>
          <w:sz w:val="18"/>
          <w:szCs w:val="18"/>
        </w:rPr>
        <w:t>. Ukupna novč</w:t>
      </w:r>
      <w:r>
        <w:rPr>
          <w:rFonts w:eastAsia="Times New Roman" w:cstheme="minorHAnsi"/>
          <w:sz w:val="18"/>
          <w:szCs w:val="18"/>
        </w:rPr>
        <w:t>ana sredstava HALMED-a na dan 31.12</w:t>
      </w:r>
      <w:r w:rsidRPr="00AD7C2E">
        <w:rPr>
          <w:rFonts w:eastAsia="Times New Roman" w:cstheme="minorHAnsi"/>
          <w:sz w:val="18"/>
          <w:szCs w:val="18"/>
        </w:rPr>
        <w:t>.202</w:t>
      </w:r>
      <w:r>
        <w:rPr>
          <w:rFonts w:eastAsia="Times New Roman" w:cstheme="minorHAnsi"/>
          <w:sz w:val="18"/>
          <w:szCs w:val="18"/>
        </w:rPr>
        <w:t>3</w:t>
      </w:r>
      <w:r w:rsidRPr="00AD7C2E">
        <w:rPr>
          <w:rFonts w:eastAsia="Times New Roman" w:cstheme="minorHAnsi"/>
          <w:sz w:val="18"/>
          <w:szCs w:val="18"/>
        </w:rPr>
        <w:t>. godine</w:t>
      </w:r>
    </w:p>
    <w:p w14:paraId="0BA58F89" w14:textId="77777777" w:rsidR="00D75B83" w:rsidRDefault="00D75B83" w:rsidP="00D75B83">
      <w:pPr>
        <w:spacing w:line="360" w:lineRule="auto"/>
        <w:jc w:val="both"/>
        <w:rPr>
          <w:rFonts w:eastAsia="Times New Roman" w:cstheme="minorHAnsi"/>
          <w:sz w:val="18"/>
          <w:szCs w:val="18"/>
        </w:rPr>
      </w:pPr>
      <w:r>
        <w:rPr>
          <w:rFonts w:eastAsia="Times New Roman" w:cstheme="minorHAnsi"/>
          <w:sz w:val="18"/>
          <w:szCs w:val="18"/>
        </w:rPr>
        <w:t>Tablica 40</w:t>
      </w:r>
      <w:r w:rsidRPr="00AD7C2E">
        <w:rPr>
          <w:rFonts w:eastAsia="Times New Roman" w:cstheme="minorHAnsi"/>
          <w:sz w:val="18"/>
          <w:szCs w:val="18"/>
        </w:rPr>
        <w:t xml:space="preserve">. </w:t>
      </w:r>
      <w:r>
        <w:rPr>
          <w:rFonts w:eastAsia="Times New Roman" w:cstheme="minorHAnsi"/>
          <w:sz w:val="18"/>
          <w:szCs w:val="18"/>
        </w:rPr>
        <w:t>Potraživanja od kupaca na dan 31.12.</w:t>
      </w:r>
      <w:r w:rsidRPr="00AD7C2E">
        <w:rPr>
          <w:rFonts w:eastAsia="Times New Roman" w:cstheme="minorHAnsi"/>
          <w:sz w:val="18"/>
          <w:szCs w:val="18"/>
        </w:rPr>
        <w:t>202</w:t>
      </w:r>
      <w:r>
        <w:rPr>
          <w:rFonts w:eastAsia="Times New Roman" w:cstheme="minorHAnsi"/>
          <w:sz w:val="18"/>
          <w:szCs w:val="18"/>
        </w:rPr>
        <w:t>3</w:t>
      </w:r>
      <w:r w:rsidRPr="00AD7C2E">
        <w:rPr>
          <w:rFonts w:eastAsia="Times New Roman" w:cstheme="minorHAnsi"/>
          <w:sz w:val="18"/>
          <w:szCs w:val="18"/>
        </w:rPr>
        <w:t>. godine</w:t>
      </w:r>
    </w:p>
    <w:p w14:paraId="69804087" w14:textId="1056EABD" w:rsidR="00D75B83" w:rsidRDefault="00D75B83" w:rsidP="00D75B83">
      <w:pPr>
        <w:spacing w:line="360" w:lineRule="auto"/>
        <w:jc w:val="both"/>
        <w:rPr>
          <w:rFonts w:eastAsia="Times New Roman" w:cstheme="minorHAnsi"/>
          <w:sz w:val="18"/>
          <w:szCs w:val="18"/>
        </w:rPr>
      </w:pPr>
      <w:r>
        <w:rPr>
          <w:rFonts w:eastAsia="Times New Roman" w:cstheme="minorHAnsi"/>
          <w:sz w:val="18"/>
          <w:szCs w:val="18"/>
        </w:rPr>
        <w:t>Tablica 41</w:t>
      </w:r>
      <w:r w:rsidRPr="00AD7C2E">
        <w:rPr>
          <w:rFonts w:eastAsia="Times New Roman" w:cstheme="minorHAnsi"/>
          <w:sz w:val="18"/>
          <w:szCs w:val="18"/>
        </w:rPr>
        <w:t xml:space="preserve">. Izvršenje plana nabave po </w:t>
      </w:r>
      <w:r>
        <w:rPr>
          <w:rFonts w:eastAsia="Times New Roman" w:cstheme="minorHAnsi"/>
          <w:sz w:val="18"/>
          <w:szCs w:val="18"/>
        </w:rPr>
        <w:t xml:space="preserve">skupinama </w:t>
      </w:r>
      <w:r w:rsidRPr="00AD7C2E">
        <w:rPr>
          <w:rFonts w:eastAsia="Times New Roman" w:cstheme="minorHAnsi"/>
          <w:sz w:val="18"/>
          <w:szCs w:val="18"/>
        </w:rPr>
        <w:t>202</w:t>
      </w:r>
      <w:r>
        <w:rPr>
          <w:rFonts w:eastAsia="Times New Roman" w:cstheme="minorHAnsi"/>
          <w:sz w:val="18"/>
          <w:szCs w:val="18"/>
        </w:rPr>
        <w:t>3</w:t>
      </w:r>
      <w:r w:rsidRPr="00AD7C2E">
        <w:rPr>
          <w:rFonts w:eastAsia="Times New Roman" w:cstheme="minorHAnsi"/>
          <w:sz w:val="18"/>
          <w:szCs w:val="18"/>
        </w:rPr>
        <w:t>. godin</w:t>
      </w:r>
      <w:r w:rsidR="00F96BE0">
        <w:rPr>
          <w:rFonts w:eastAsia="Times New Roman" w:cstheme="minorHAnsi"/>
          <w:sz w:val="18"/>
          <w:szCs w:val="18"/>
        </w:rPr>
        <w:t>u</w:t>
      </w:r>
    </w:p>
    <w:p w14:paraId="6073CC96" w14:textId="511A8B47" w:rsidR="00644D08" w:rsidRDefault="00644D08">
      <w:pPr>
        <w:rPr>
          <w:rFonts w:eastAsia="Times New Roman" w:cstheme="minorHAnsi"/>
          <w:sz w:val="18"/>
          <w:szCs w:val="18"/>
        </w:rPr>
      </w:pPr>
      <w:r>
        <w:rPr>
          <w:rFonts w:eastAsia="Times New Roman" w:cstheme="minorHAnsi"/>
          <w:sz w:val="18"/>
          <w:szCs w:val="18"/>
        </w:rPr>
        <w:br w:type="page"/>
      </w:r>
    </w:p>
    <w:p w14:paraId="10271D7C" w14:textId="0BB12B55" w:rsidR="00AC375F" w:rsidRPr="00AC375F" w:rsidRDefault="00D75B83" w:rsidP="00991955">
      <w:pPr>
        <w:pStyle w:val="Heading2"/>
      </w:pPr>
      <w:bookmarkStart w:id="367" w:name="_Toc165035560"/>
      <w:bookmarkStart w:id="368" w:name="_Toc517184415"/>
      <w:r w:rsidRPr="00451234">
        <w:lastRenderedPageBreak/>
        <w:t xml:space="preserve">Privitak </w:t>
      </w:r>
      <w:r>
        <w:t>3</w:t>
      </w:r>
      <w:r w:rsidRPr="00451234">
        <w:t>.</w:t>
      </w:r>
      <w:r>
        <w:t xml:space="preserve"> </w:t>
      </w:r>
      <w:r w:rsidR="00400391">
        <w:br/>
      </w:r>
      <w:r>
        <w:t>Popis sudjelovanja na radnim sastancima izvan HALMED-a i virtualno u 2023. godini</w:t>
      </w:r>
      <w:bookmarkEnd w:id="367"/>
      <w:r>
        <w:t xml:space="preserve"> </w:t>
      </w:r>
    </w:p>
    <w:tbl>
      <w:tblPr>
        <w:tblW w:w="93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4390"/>
        <w:gridCol w:w="1417"/>
        <w:gridCol w:w="992"/>
        <w:gridCol w:w="993"/>
        <w:gridCol w:w="1563"/>
      </w:tblGrid>
      <w:tr w:rsidR="00AC375F" w:rsidRPr="00AC375F" w14:paraId="4FFF3EA6" w14:textId="77777777" w:rsidTr="00991955">
        <w:trPr>
          <w:trHeight w:val="325"/>
        </w:trPr>
        <w:tc>
          <w:tcPr>
            <w:tcW w:w="4390" w:type="dxa"/>
            <w:shd w:val="clear" w:color="auto" w:fill="A3E7FF"/>
            <w:noWrap/>
            <w:vAlign w:val="center"/>
            <w:hideMark/>
          </w:tcPr>
          <w:p w14:paraId="47A2D784" w14:textId="77777777" w:rsidR="00AC375F" w:rsidRPr="00AC375F" w:rsidRDefault="00AC375F" w:rsidP="00AC375F">
            <w:pPr>
              <w:jc w:val="both"/>
              <w:rPr>
                <w:rFonts w:eastAsia="Times New Roman" w:cstheme="minorHAnsi"/>
                <w:b/>
                <w:bCs/>
                <w:color w:val="000000"/>
                <w:sz w:val="18"/>
                <w:szCs w:val="18"/>
                <w:lang w:eastAsia="hr-HR"/>
              </w:rPr>
            </w:pPr>
            <w:bookmarkStart w:id="369" w:name="OLE_LINK1"/>
            <w:bookmarkStart w:id="370" w:name="OLE_LINK2"/>
            <w:bookmarkStart w:id="371" w:name="OLE_LINK3"/>
            <w:bookmarkStart w:id="372" w:name="OLE_LINK4"/>
            <w:bookmarkStart w:id="373" w:name="OLE_LINK5"/>
            <w:bookmarkStart w:id="374" w:name="OLE_LINK6"/>
            <w:bookmarkStart w:id="375" w:name="OLE_LINK7"/>
            <w:r w:rsidRPr="00AC375F">
              <w:rPr>
                <w:rFonts w:eastAsia="Times New Roman" w:cstheme="minorHAnsi"/>
                <w:b/>
                <w:bCs/>
                <w:color w:val="000000"/>
                <w:sz w:val="18"/>
                <w:szCs w:val="18"/>
                <w:lang w:eastAsia="hr-HR"/>
              </w:rPr>
              <w:t xml:space="preserve">EMA </w:t>
            </w:r>
          </w:p>
        </w:tc>
        <w:tc>
          <w:tcPr>
            <w:tcW w:w="1417" w:type="dxa"/>
            <w:shd w:val="clear" w:color="auto" w:fill="A3E7FF"/>
            <w:noWrap/>
            <w:vAlign w:val="center"/>
            <w:hideMark/>
          </w:tcPr>
          <w:p w14:paraId="4D32C901" w14:textId="77777777" w:rsidR="00AC375F" w:rsidRPr="00AC375F" w:rsidRDefault="00AC375F" w:rsidP="00AC375F">
            <w:pPr>
              <w:jc w:val="both"/>
              <w:rPr>
                <w:rFonts w:eastAsia="Times New Roman" w:cstheme="minorHAnsi"/>
                <w:b/>
                <w:bCs/>
                <w:color w:val="000000"/>
                <w:sz w:val="18"/>
                <w:szCs w:val="18"/>
                <w:lang w:eastAsia="hr-HR"/>
              </w:rPr>
            </w:pPr>
          </w:p>
        </w:tc>
        <w:tc>
          <w:tcPr>
            <w:tcW w:w="992" w:type="dxa"/>
            <w:shd w:val="clear" w:color="auto" w:fill="A3E7FF"/>
            <w:noWrap/>
            <w:vAlign w:val="center"/>
            <w:hideMark/>
          </w:tcPr>
          <w:p w14:paraId="30561457" w14:textId="77777777" w:rsidR="00AC375F" w:rsidRPr="00AC375F" w:rsidRDefault="00AC375F" w:rsidP="00AC375F">
            <w:pPr>
              <w:jc w:val="both"/>
              <w:rPr>
                <w:rFonts w:eastAsia="Times New Roman" w:cstheme="minorHAnsi"/>
                <w:b/>
                <w:bCs/>
                <w:color w:val="000000"/>
                <w:sz w:val="18"/>
                <w:szCs w:val="18"/>
                <w:lang w:eastAsia="hr-HR"/>
              </w:rPr>
            </w:pPr>
          </w:p>
        </w:tc>
        <w:tc>
          <w:tcPr>
            <w:tcW w:w="993" w:type="dxa"/>
            <w:shd w:val="clear" w:color="auto" w:fill="A3E7FF"/>
            <w:noWrap/>
            <w:vAlign w:val="center"/>
            <w:hideMark/>
          </w:tcPr>
          <w:p w14:paraId="71571370" w14:textId="77777777" w:rsidR="00AC375F" w:rsidRPr="00AC375F" w:rsidRDefault="00AC375F" w:rsidP="00AC375F">
            <w:pPr>
              <w:jc w:val="center"/>
              <w:rPr>
                <w:rFonts w:eastAsia="Times New Roman" w:cstheme="minorHAnsi"/>
                <w:b/>
                <w:bCs/>
                <w:color w:val="000000"/>
                <w:sz w:val="18"/>
                <w:szCs w:val="18"/>
                <w:lang w:eastAsia="hr-HR"/>
              </w:rPr>
            </w:pPr>
          </w:p>
        </w:tc>
        <w:tc>
          <w:tcPr>
            <w:tcW w:w="1563" w:type="dxa"/>
            <w:shd w:val="clear" w:color="auto" w:fill="A3E7FF"/>
            <w:noWrap/>
            <w:vAlign w:val="center"/>
            <w:hideMark/>
          </w:tcPr>
          <w:p w14:paraId="3491949E" w14:textId="77777777" w:rsidR="00AC375F" w:rsidRPr="00AC375F" w:rsidRDefault="00AC375F" w:rsidP="00AC375F">
            <w:pPr>
              <w:jc w:val="both"/>
              <w:rPr>
                <w:rFonts w:eastAsia="Times New Roman" w:cstheme="minorHAnsi"/>
                <w:b/>
                <w:bCs/>
                <w:color w:val="000000"/>
                <w:sz w:val="18"/>
                <w:szCs w:val="18"/>
                <w:lang w:eastAsia="hr-HR"/>
              </w:rPr>
            </w:pPr>
          </w:p>
        </w:tc>
      </w:tr>
      <w:tr w:rsidR="00AC375F" w:rsidRPr="00AC375F" w14:paraId="3352BFC1" w14:textId="77777777" w:rsidTr="00991955">
        <w:trPr>
          <w:trHeight w:val="490"/>
        </w:trPr>
        <w:tc>
          <w:tcPr>
            <w:tcW w:w="4390" w:type="dxa"/>
            <w:shd w:val="clear" w:color="auto" w:fill="auto"/>
            <w:noWrap/>
            <w:vAlign w:val="center"/>
            <w:hideMark/>
          </w:tcPr>
          <w:p w14:paraId="0E134A90" w14:textId="77777777" w:rsidR="00AC375F" w:rsidRPr="00AC375F" w:rsidRDefault="00AC375F" w:rsidP="00AC375F">
            <w:pPr>
              <w:rPr>
                <w:i/>
                <w:iCs/>
                <w:sz w:val="18"/>
                <w:szCs w:val="18"/>
              </w:rPr>
            </w:pPr>
            <w:r w:rsidRPr="00AC375F">
              <w:rPr>
                <w:i/>
                <w:iCs/>
                <w:sz w:val="18"/>
                <w:szCs w:val="18"/>
              </w:rPr>
              <w:t>naziv skupine</w:t>
            </w:r>
          </w:p>
        </w:tc>
        <w:tc>
          <w:tcPr>
            <w:tcW w:w="1417" w:type="dxa"/>
            <w:shd w:val="clear" w:color="auto" w:fill="auto"/>
            <w:noWrap/>
            <w:vAlign w:val="center"/>
            <w:hideMark/>
          </w:tcPr>
          <w:p w14:paraId="15202B24" w14:textId="77777777" w:rsidR="00AC375F" w:rsidRPr="00AC375F" w:rsidRDefault="00AC375F" w:rsidP="00AC375F">
            <w:pPr>
              <w:jc w:val="center"/>
              <w:rPr>
                <w:i/>
                <w:iCs/>
                <w:sz w:val="18"/>
                <w:szCs w:val="18"/>
              </w:rPr>
            </w:pPr>
            <w:r w:rsidRPr="00AC375F">
              <w:rPr>
                <w:i/>
                <w:iCs/>
                <w:sz w:val="18"/>
                <w:szCs w:val="18"/>
              </w:rPr>
              <w:t>mjesto/virtualno</w:t>
            </w:r>
          </w:p>
        </w:tc>
        <w:tc>
          <w:tcPr>
            <w:tcW w:w="992" w:type="dxa"/>
            <w:shd w:val="clear" w:color="auto" w:fill="auto"/>
            <w:vAlign w:val="center"/>
            <w:hideMark/>
          </w:tcPr>
          <w:p w14:paraId="0E23B9BB" w14:textId="77777777" w:rsidR="00AC375F" w:rsidRPr="00AC375F" w:rsidRDefault="00AC375F" w:rsidP="00AC375F">
            <w:pPr>
              <w:jc w:val="center"/>
              <w:rPr>
                <w:i/>
                <w:iCs/>
                <w:sz w:val="18"/>
                <w:szCs w:val="18"/>
              </w:rPr>
            </w:pPr>
            <w:r w:rsidRPr="00AC375F">
              <w:rPr>
                <w:i/>
                <w:iCs/>
                <w:sz w:val="18"/>
                <w:szCs w:val="18"/>
              </w:rPr>
              <w:t>broj</w:t>
            </w:r>
          </w:p>
          <w:p w14:paraId="0B98F083" w14:textId="77777777" w:rsidR="00AC375F" w:rsidRPr="00AC375F" w:rsidRDefault="00AC375F" w:rsidP="00AC375F">
            <w:pPr>
              <w:jc w:val="center"/>
              <w:rPr>
                <w:i/>
                <w:iCs/>
                <w:sz w:val="18"/>
                <w:szCs w:val="18"/>
              </w:rPr>
            </w:pPr>
            <w:r w:rsidRPr="00AC375F">
              <w:rPr>
                <w:i/>
                <w:iCs/>
                <w:sz w:val="18"/>
                <w:szCs w:val="18"/>
              </w:rPr>
              <w:t>djelatnika</w:t>
            </w:r>
          </w:p>
        </w:tc>
        <w:tc>
          <w:tcPr>
            <w:tcW w:w="993" w:type="dxa"/>
            <w:shd w:val="clear" w:color="auto" w:fill="auto"/>
            <w:noWrap/>
            <w:vAlign w:val="center"/>
            <w:hideMark/>
          </w:tcPr>
          <w:p w14:paraId="054F8033" w14:textId="77777777" w:rsidR="00AC375F" w:rsidRPr="00AC375F" w:rsidRDefault="00AC375F" w:rsidP="00AC375F">
            <w:pPr>
              <w:jc w:val="center"/>
              <w:rPr>
                <w:i/>
                <w:iCs/>
                <w:sz w:val="18"/>
                <w:szCs w:val="18"/>
              </w:rPr>
            </w:pPr>
            <w:r w:rsidRPr="00AC375F">
              <w:rPr>
                <w:i/>
                <w:iCs/>
                <w:sz w:val="18"/>
                <w:szCs w:val="18"/>
              </w:rPr>
              <w:t>mjesec</w:t>
            </w:r>
          </w:p>
        </w:tc>
        <w:tc>
          <w:tcPr>
            <w:tcW w:w="1563" w:type="dxa"/>
            <w:shd w:val="clear" w:color="auto" w:fill="auto"/>
            <w:vAlign w:val="center"/>
            <w:hideMark/>
          </w:tcPr>
          <w:p w14:paraId="55F5D741" w14:textId="77777777" w:rsidR="00AC375F" w:rsidRPr="00AC375F" w:rsidRDefault="00AC375F" w:rsidP="00AC375F">
            <w:pPr>
              <w:jc w:val="center"/>
              <w:rPr>
                <w:i/>
                <w:iCs/>
                <w:sz w:val="18"/>
                <w:szCs w:val="18"/>
              </w:rPr>
            </w:pPr>
            <w:r w:rsidRPr="00AC375F">
              <w:rPr>
                <w:i/>
                <w:iCs/>
                <w:sz w:val="18"/>
                <w:szCs w:val="18"/>
              </w:rPr>
              <w:t>broj dana/</w:t>
            </w:r>
          </w:p>
          <w:p w14:paraId="534FB154" w14:textId="77777777" w:rsidR="00AC375F" w:rsidRPr="00AC375F" w:rsidRDefault="00AC375F" w:rsidP="00AC375F">
            <w:pPr>
              <w:jc w:val="center"/>
              <w:rPr>
                <w:i/>
                <w:iCs/>
                <w:sz w:val="18"/>
                <w:szCs w:val="18"/>
              </w:rPr>
            </w:pPr>
            <w:r w:rsidRPr="00AC375F">
              <w:rPr>
                <w:i/>
                <w:iCs/>
                <w:sz w:val="18"/>
                <w:szCs w:val="18"/>
              </w:rPr>
              <w:t>sastanku</w:t>
            </w:r>
          </w:p>
        </w:tc>
      </w:tr>
      <w:tr w:rsidR="00AC375F" w:rsidRPr="00AC375F" w14:paraId="2FA07B14" w14:textId="77777777" w:rsidTr="00991955">
        <w:trPr>
          <w:trHeight w:val="237"/>
        </w:trPr>
        <w:tc>
          <w:tcPr>
            <w:tcW w:w="4390" w:type="dxa"/>
            <w:shd w:val="clear" w:color="auto" w:fill="auto"/>
            <w:noWrap/>
            <w:vAlign w:val="center"/>
            <w:hideMark/>
          </w:tcPr>
          <w:p w14:paraId="08931999" w14:textId="77777777" w:rsidR="00AC375F" w:rsidRPr="00AC375F" w:rsidRDefault="00AC375F" w:rsidP="00AC375F">
            <w:pPr>
              <w:rPr>
                <w:b/>
                <w:bCs/>
                <w:sz w:val="18"/>
                <w:szCs w:val="18"/>
              </w:rPr>
            </w:pPr>
            <w:r w:rsidRPr="00AC375F">
              <w:rPr>
                <w:b/>
                <w:bCs/>
                <w:sz w:val="18"/>
                <w:szCs w:val="18"/>
              </w:rPr>
              <w:t>Scientific Advice Working Party (SAWP)</w:t>
            </w:r>
          </w:p>
        </w:tc>
        <w:tc>
          <w:tcPr>
            <w:tcW w:w="1417" w:type="dxa"/>
            <w:shd w:val="clear" w:color="auto" w:fill="FFFFFF" w:themeFill="background1"/>
            <w:noWrap/>
            <w:vAlign w:val="center"/>
          </w:tcPr>
          <w:p w14:paraId="0E49A4D4" w14:textId="77777777" w:rsidR="00AC375F" w:rsidRPr="00AC375F" w:rsidRDefault="00AC375F" w:rsidP="00AC375F">
            <w:pPr>
              <w:jc w:val="center"/>
              <w:rPr>
                <w:sz w:val="18"/>
                <w:szCs w:val="18"/>
              </w:rPr>
            </w:pPr>
          </w:p>
        </w:tc>
        <w:tc>
          <w:tcPr>
            <w:tcW w:w="992" w:type="dxa"/>
            <w:shd w:val="clear" w:color="auto" w:fill="FFFFFF" w:themeFill="background1"/>
            <w:noWrap/>
            <w:vAlign w:val="center"/>
          </w:tcPr>
          <w:p w14:paraId="3A450CDE" w14:textId="77777777" w:rsidR="00AC375F" w:rsidRPr="00AC375F" w:rsidRDefault="00AC375F" w:rsidP="00AC375F">
            <w:pPr>
              <w:jc w:val="center"/>
              <w:rPr>
                <w:sz w:val="18"/>
                <w:szCs w:val="18"/>
              </w:rPr>
            </w:pPr>
          </w:p>
        </w:tc>
        <w:tc>
          <w:tcPr>
            <w:tcW w:w="993" w:type="dxa"/>
            <w:shd w:val="clear" w:color="auto" w:fill="FFFFFF" w:themeFill="background1"/>
            <w:noWrap/>
            <w:vAlign w:val="center"/>
          </w:tcPr>
          <w:p w14:paraId="060B6ECD" w14:textId="77777777" w:rsidR="00AC375F" w:rsidRPr="00AC375F" w:rsidRDefault="00AC375F" w:rsidP="00AC375F">
            <w:pPr>
              <w:jc w:val="center"/>
              <w:rPr>
                <w:sz w:val="18"/>
                <w:szCs w:val="18"/>
              </w:rPr>
            </w:pPr>
          </w:p>
        </w:tc>
        <w:tc>
          <w:tcPr>
            <w:tcW w:w="1563" w:type="dxa"/>
            <w:shd w:val="clear" w:color="auto" w:fill="FFFFFF" w:themeFill="background1"/>
            <w:noWrap/>
            <w:vAlign w:val="center"/>
          </w:tcPr>
          <w:p w14:paraId="7FA67341" w14:textId="77777777" w:rsidR="00AC375F" w:rsidRPr="00AC375F" w:rsidRDefault="00AC375F" w:rsidP="00AC375F">
            <w:pPr>
              <w:jc w:val="center"/>
              <w:rPr>
                <w:sz w:val="18"/>
                <w:szCs w:val="18"/>
              </w:rPr>
            </w:pPr>
          </w:p>
        </w:tc>
      </w:tr>
      <w:tr w:rsidR="00AC375F" w:rsidRPr="00AC375F" w14:paraId="12DB7F7C" w14:textId="77777777" w:rsidTr="00991955">
        <w:trPr>
          <w:trHeight w:val="237"/>
        </w:trPr>
        <w:tc>
          <w:tcPr>
            <w:tcW w:w="4390" w:type="dxa"/>
            <w:shd w:val="clear" w:color="auto" w:fill="auto"/>
            <w:noWrap/>
            <w:vAlign w:val="center"/>
          </w:tcPr>
          <w:p w14:paraId="3A9E687C" w14:textId="77777777" w:rsidR="00AC375F" w:rsidRPr="00AC375F" w:rsidRDefault="00AC375F" w:rsidP="00AC375F">
            <w:pPr>
              <w:rPr>
                <w:b/>
                <w:bCs/>
                <w:sz w:val="18"/>
                <w:szCs w:val="18"/>
              </w:rPr>
            </w:pPr>
          </w:p>
        </w:tc>
        <w:tc>
          <w:tcPr>
            <w:tcW w:w="1417" w:type="dxa"/>
            <w:shd w:val="clear" w:color="auto" w:fill="FFFFFF" w:themeFill="background1"/>
            <w:noWrap/>
            <w:vAlign w:val="center"/>
          </w:tcPr>
          <w:p w14:paraId="6A1B3C0E" w14:textId="77777777" w:rsidR="00AC375F" w:rsidRPr="00AC375F" w:rsidRDefault="00AC375F" w:rsidP="00AC375F">
            <w:pPr>
              <w:jc w:val="center"/>
              <w:rPr>
                <w:sz w:val="18"/>
                <w:szCs w:val="18"/>
              </w:rPr>
            </w:pPr>
            <w:r w:rsidRPr="00AC375F">
              <w:rPr>
                <w:sz w:val="18"/>
                <w:szCs w:val="18"/>
              </w:rPr>
              <w:t>Amsterdam</w:t>
            </w:r>
          </w:p>
        </w:tc>
        <w:tc>
          <w:tcPr>
            <w:tcW w:w="992" w:type="dxa"/>
            <w:shd w:val="clear" w:color="auto" w:fill="FFFFFF" w:themeFill="background1"/>
            <w:noWrap/>
            <w:vAlign w:val="center"/>
          </w:tcPr>
          <w:p w14:paraId="31DBCB37" w14:textId="77777777" w:rsidR="00AC375F" w:rsidRPr="00AC375F" w:rsidRDefault="00AC375F" w:rsidP="00AC375F">
            <w:pPr>
              <w:jc w:val="center"/>
              <w:rPr>
                <w:sz w:val="18"/>
                <w:szCs w:val="18"/>
              </w:rPr>
            </w:pPr>
            <w:r w:rsidRPr="00AC375F">
              <w:rPr>
                <w:sz w:val="18"/>
                <w:szCs w:val="18"/>
              </w:rPr>
              <w:t>1</w:t>
            </w:r>
          </w:p>
        </w:tc>
        <w:tc>
          <w:tcPr>
            <w:tcW w:w="993" w:type="dxa"/>
            <w:shd w:val="clear" w:color="auto" w:fill="FFFFFF" w:themeFill="background1"/>
            <w:noWrap/>
            <w:vAlign w:val="center"/>
          </w:tcPr>
          <w:p w14:paraId="580FC68F" w14:textId="77777777" w:rsidR="00AC375F" w:rsidRPr="00AC375F" w:rsidRDefault="00AC375F" w:rsidP="00AC375F">
            <w:pPr>
              <w:jc w:val="center"/>
              <w:rPr>
                <w:sz w:val="18"/>
                <w:szCs w:val="18"/>
              </w:rPr>
            </w:pPr>
            <w:r w:rsidRPr="00AC375F">
              <w:rPr>
                <w:sz w:val="18"/>
                <w:szCs w:val="18"/>
              </w:rPr>
              <w:t>siječanj</w:t>
            </w:r>
          </w:p>
        </w:tc>
        <w:tc>
          <w:tcPr>
            <w:tcW w:w="1563" w:type="dxa"/>
            <w:shd w:val="clear" w:color="auto" w:fill="FFFFFF" w:themeFill="background1"/>
            <w:noWrap/>
            <w:vAlign w:val="center"/>
          </w:tcPr>
          <w:p w14:paraId="70414406" w14:textId="77777777" w:rsidR="00AC375F" w:rsidRPr="00AC375F" w:rsidRDefault="00AC375F" w:rsidP="00AC375F">
            <w:pPr>
              <w:jc w:val="center"/>
              <w:rPr>
                <w:sz w:val="18"/>
                <w:szCs w:val="18"/>
              </w:rPr>
            </w:pPr>
            <w:r w:rsidRPr="00AC375F">
              <w:rPr>
                <w:sz w:val="18"/>
                <w:szCs w:val="18"/>
              </w:rPr>
              <w:t>4</w:t>
            </w:r>
          </w:p>
        </w:tc>
      </w:tr>
      <w:tr w:rsidR="00AC375F" w:rsidRPr="00AC375F" w14:paraId="2385445E" w14:textId="77777777" w:rsidTr="00991955">
        <w:trPr>
          <w:trHeight w:val="237"/>
        </w:trPr>
        <w:tc>
          <w:tcPr>
            <w:tcW w:w="4390" w:type="dxa"/>
            <w:shd w:val="clear" w:color="auto" w:fill="auto"/>
            <w:noWrap/>
            <w:vAlign w:val="center"/>
          </w:tcPr>
          <w:p w14:paraId="09B681B4" w14:textId="77777777" w:rsidR="00AC375F" w:rsidRPr="00AC375F" w:rsidRDefault="00AC375F" w:rsidP="00AC375F">
            <w:pPr>
              <w:rPr>
                <w:b/>
                <w:bCs/>
                <w:sz w:val="18"/>
                <w:szCs w:val="18"/>
              </w:rPr>
            </w:pPr>
          </w:p>
        </w:tc>
        <w:tc>
          <w:tcPr>
            <w:tcW w:w="1417" w:type="dxa"/>
            <w:shd w:val="clear" w:color="auto" w:fill="FFFFFF" w:themeFill="background1"/>
            <w:noWrap/>
            <w:vAlign w:val="center"/>
          </w:tcPr>
          <w:p w14:paraId="399A9F12"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FFFFFF" w:themeFill="background1"/>
            <w:noWrap/>
          </w:tcPr>
          <w:p w14:paraId="7BD556B8" w14:textId="77777777" w:rsidR="00AC375F" w:rsidRPr="00AC375F" w:rsidRDefault="00AC375F" w:rsidP="00AC375F">
            <w:pPr>
              <w:jc w:val="center"/>
              <w:rPr>
                <w:sz w:val="18"/>
                <w:szCs w:val="18"/>
              </w:rPr>
            </w:pPr>
            <w:r w:rsidRPr="00AC375F">
              <w:rPr>
                <w:sz w:val="18"/>
                <w:szCs w:val="18"/>
              </w:rPr>
              <w:t>1</w:t>
            </w:r>
          </w:p>
        </w:tc>
        <w:tc>
          <w:tcPr>
            <w:tcW w:w="993" w:type="dxa"/>
            <w:shd w:val="clear" w:color="auto" w:fill="FFFFFF" w:themeFill="background1"/>
            <w:noWrap/>
            <w:vAlign w:val="center"/>
          </w:tcPr>
          <w:p w14:paraId="426CC13D" w14:textId="77777777" w:rsidR="00AC375F" w:rsidRPr="00AC375F" w:rsidRDefault="00AC375F" w:rsidP="00AC375F">
            <w:pPr>
              <w:jc w:val="center"/>
              <w:rPr>
                <w:sz w:val="18"/>
                <w:szCs w:val="18"/>
              </w:rPr>
            </w:pPr>
            <w:r w:rsidRPr="00AC375F">
              <w:rPr>
                <w:sz w:val="18"/>
                <w:szCs w:val="18"/>
              </w:rPr>
              <w:t>veljača</w:t>
            </w:r>
          </w:p>
        </w:tc>
        <w:tc>
          <w:tcPr>
            <w:tcW w:w="1563" w:type="dxa"/>
            <w:shd w:val="clear" w:color="auto" w:fill="FFFFFF" w:themeFill="background1"/>
            <w:noWrap/>
          </w:tcPr>
          <w:p w14:paraId="613E0651" w14:textId="77777777" w:rsidR="00AC375F" w:rsidRPr="00AC375F" w:rsidRDefault="00AC375F" w:rsidP="00AC375F">
            <w:pPr>
              <w:jc w:val="center"/>
              <w:rPr>
                <w:sz w:val="18"/>
                <w:szCs w:val="18"/>
              </w:rPr>
            </w:pPr>
            <w:r w:rsidRPr="00AC375F">
              <w:rPr>
                <w:sz w:val="18"/>
                <w:szCs w:val="18"/>
              </w:rPr>
              <w:t>4</w:t>
            </w:r>
          </w:p>
        </w:tc>
      </w:tr>
      <w:tr w:rsidR="00AC375F" w:rsidRPr="00AC375F" w14:paraId="7FBD5F84" w14:textId="77777777" w:rsidTr="00991955">
        <w:trPr>
          <w:trHeight w:val="237"/>
        </w:trPr>
        <w:tc>
          <w:tcPr>
            <w:tcW w:w="4390" w:type="dxa"/>
            <w:shd w:val="clear" w:color="auto" w:fill="auto"/>
            <w:noWrap/>
            <w:vAlign w:val="center"/>
          </w:tcPr>
          <w:p w14:paraId="4A9C960D" w14:textId="77777777" w:rsidR="00AC375F" w:rsidRPr="00AC375F" w:rsidRDefault="00AC375F" w:rsidP="00AC375F">
            <w:pPr>
              <w:rPr>
                <w:b/>
                <w:bCs/>
                <w:sz w:val="18"/>
                <w:szCs w:val="18"/>
              </w:rPr>
            </w:pPr>
          </w:p>
        </w:tc>
        <w:tc>
          <w:tcPr>
            <w:tcW w:w="1417" w:type="dxa"/>
            <w:shd w:val="clear" w:color="auto" w:fill="FFFFFF" w:themeFill="background1"/>
            <w:noWrap/>
            <w:vAlign w:val="center"/>
          </w:tcPr>
          <w:p w14:paraId="74354AA2" w14:textId="77777777" w:rsidR="00AC375F" w:rsidRPr="00AC375F" w:rsidRDefault="00AC375F" w:rsidP="00AC375F">
            <w:pPr>
              <w:jc w:val="center"/>
              <w:rPr>
                <w:sz w:val="18"/>
                <w:szCs w:val="18"/>
              </w:rPr>
            </w:pPr>
            <w:r w:rsidRPr="00AC375F">
              <w:rPr>
                <w:sz w:val="18"/>
                <w:szCs w:val="18"/>
              </w:rPr>
              <w:t>Amsterdam</w:t>
            </w:r>
          </w:p>
        </w:tc>
        <w:tc>
          <w:tcPr>
            <w:tcW w:w="992" w:type="dxa"/>
            <w:shd w:val="clear" w:color="auto" w:fill="FFFFFF" w:themeFill="background1"/>
            <w:noWrap/>
          </w:tcPr>
          <w:p w14:paraId="3B7D27DB" w14:textId="77777777" w:rsidR="00AC375F" w:rsidRPr="00AC375F" w:rsidRDefault="00AC375F" w:rsidP="00AC375F">
            <w:pPr>
              <w:jc w:val="center"/>
              <w:rPr>
                <w:sz w:val="18"/>
                <w:szCs w:val="18"/>
              </w:rPr>
            </w:pPr>
            <w:r w:rsidRPr="00AC375F">
              <w:rPr>
                <w:sz w:val="18"/>
                <w:szCs w:val="18"/>
              </w:rPr>
              <w:t>1</w:t>
            </w:r>
          </w:p>
        </w:tc>
        <w:tc>
          <w:tcPr>
            <w:tcW w:w="993" w:type="dxa"/>
            <w:shd w:val="clear" w:color="auto" w:fill="FFFFFF" w:themeFill="background1"/>
            <w:noWrap/>
            <w:vAlign w:val="center"/>
          </w:tcPr>
          <w:p w14:paraId="4B6ED1E7" w14:textId="77777777" w:rsidR="00AC375F" w:rsidRPr="00AC375F" w:rsidRDefault="00AC375F" w:rsidP="00AC375F">
            <w:pPr>
              <w:jc w:val="center"/>
              <w:rPr>
                <w:sz w:val="18"/>
                <w:szCs w:val="18"/>
              </w:rPr>
            </w:pPr>
            <w:r w:rsidRPr="00AC375F">
              <w:rPr>
                <w:sz w:val="18"/>
                <w:szCs w:val="18"/>
              </w:rPr>
              <w:t>ožujak</w:t>
            </w:r>
          </w:p>
        </w:tc>
        <w:tc>
          <w:tcPr>
            <w:tcW w:w="1563" w:type="dxa"/>
            <w:shd w:val="clear" w:color="auto" w:fill="FFFFFF" w:themeFill="background1"/>
            <w:noWrap/>
          </w:tcPr>
          <w:p w14:paraId="7577607C" w14:textId="77777777" w:rsidR="00AC375F" w:rsidRPr="00AC375F" w:rsidRDefault="00AC375F" w:rsidP="00AC375F">
            <w:pPr>
              <w:jc w:val="center"/>
              <w:rPr>
                <w:sz w:val="18"/>
                <w:szCs w:val="18"/>
              </w:rPr>
            </w:pPr>
            <w:r w:rsidRPr="00AC375F">
              <w:rPr>
                <w:sz w:val="18"/>
                <w:szCs w:val="18"/>
              </w:rPr>
              <w:t>4</w:t>
            </w:r>
          </w:p>
        </w:tc>
      </w:tr>
      <w:tr w:rsidR="00AC375F" w:rsidRPr="00AC375F" w14:paraId="605CE8FA" w14:textId="77777777" w:rsidTr="00991955">
        <w:trPr>
          <w:trHeight w:val="237"/>
        </w:trPr>
        <w:tc>
          <w:tcPr>
            <w:tcW w:w="4390" w:type="dxa"/>
            <w:shd w:val="clear" w:color="auto" w:fill="auto"/>
            <w:noWrap/>
            <w:vAlign w:val="center"/>
          </w:tcPr>
          <w:p w14:paraId="1F064F81" w14:textId="77777777" w:rsidR="00AC375F" w:rsidRPr="00AC375F" w:rsidRDefault="00AC375F" w:rsidP="00AC375F">
            <w:pPr>
              <w:rPr>
                <w:b/>
                <w:bCs/>
                <w:sz w:val="18"/>
                <w:szCs w:val="18"/>
              </w:rPr>
            </w:pPr>
          </w:p>
        </w:tc>
        <w:tc>
          <w:tcPr>
            <w:tcW w:w="1417" w:type="dxa"/>
            <w:shd w:val="clear" w:color="auto" w:fill="FFFFFF" w:themeFill="background1"/>
            <w:noWrap/>
            <w:vAlign w:val="center"/>
          </w:tcPr>
          <w:p w14:paraId="5024C7C7" w14:textId="77777777" w:rsidR="00AC375F" w:rsidRPr="00AC375F" w:rsidRDefault="00AC375F" w:rsidP="00AC375F">
            <w:pPr>
              <w:jc w:val="center"/>
              <w:rPr>
                <w:sz w:val="18"/>
                <w:szCs w:val="18"/>
              </w:rPr>
            </w:pPr>
            <w:r w:rsidRPr="00AC375F">
              <w:rPr>
                <w:sz w:val="18"/>
                <w:szCs w:val="18"/>
              </w:rPr>
              <w:t>Amsterdam</w:t>
            </w:r>
          </w:p>
        </w:tc>
        <w:tc>
          <w:tcPr>
            <w:tcW w:w="992" w:type="dxa"/>
            <w:shd w:val="clear" w:color="auto" w:fill="FFFFFF" w:themeFill="background1"/>
            <w:noWrap/>
          </w:tcPr>
          <w:p w14:paraId="2E10F4D0" w14:textId="77777777" w:rsidR="00AC375F" w:rsidRPr="00AC375F" w:rsidRDefault="00AC375F" w:rsidP="00AC375F">
            <w:pPr>
              <w:jc w:val="center"/>
              <w:rPr>
                <w:sz w:val="18"/>
                <w:szCs w:val="18"/>
              </w:rPr>
            </w:pPr>
            <w:r w:rsidRPr="00AC375F">
              <w:rPr>
                <w:sz w:val="18"/>
                <w:szCs w:val="18"/>
              </w:rPr>
              <w:t>1</w:t>
            </w:r>
          </w:p>
        </w:tc>
        <w:tc>
          <w:tcPr>
            <w:tcW w:w="993" w:type="dxa"/>
            <w:shd w:val="clear" w:color="auto" w:fill="FFFFFF" w:themeFill="background1"/>
            <w:noWrap/>
            <w:vAlign w:val="center"/>
          </w:tcPr>
          <w:p w14:paraId="5B8C8908" w14:textId="77777777" w:rsidR="00AC375F" w:rsidRPr="00AC375F" w:rsidRDefault="00AC375F" w:rsidP="00AC375F">
            <w:pPr>
              <w:jc w:val="center"/>
              <w:rPr>
                <w:sz w:val="18"/>
                <w:szCs w:val="18"/>
              </w:rPr>
            </w:pPr>
            <w:r w:rsidRPr="00AC375F">
              <w:rPr>
                <w:sz w:val="18"/>
                <w:szCs w:val="18"/>
              </w:rPr>
              <w:t>travanj</w:t>
            </w:r>
          </w:p>
        </w:tc>
        <w:tc>
          <w:tcPr>
            <w:tcW w:w="1563" w:type="dxa"/>
            <w:shd w:val="clear" w:color="auto" w:fill="FFFFFF" w:themeFill="background1"/>
            <w:noWrap/>
          </w:tcPr>
          <w:p w14:paraId="3971DDF6" w14:textId="77777777" w:rsidR="00AC375F" w:rsidRPr="00AC375F" w:rsidRDefault="00AC375F" w:rsidP="00AC375F">
            <w:pPr>
              <w:jc w:val="center"/>
              <w:rPr>
                <w:sz w:val="18"/>
                <w:szCs w:val="18"/>
              </w:rPr>
            </w:pPr>
            <w:r w:rsidRPr="00AC375F">
              <w:rPr>
                <w:sz w:val="18"/>
                <w:szCs w:val="18"/>
              </w:rPr>
              <w:t>4</w:t>
            </w:r>
          </w:p>
        </w:tc>
      </w:tr>
      <w:tr w:rsidR="00AC375F" w:rsidRPr="00AC375F" w14:paraId="717B6D89" w14:textId="77777777" w:rsidTr="00991955">
        <w:trPr>
          <w:trHeight w:val="237"/>
        </w:trPr>
        <w:tc>
          <w:tcPr>
            <w:tcW w:w="4390" w:type="dxa"/>
            <w:shd w:val="clear" w:color="auto" w:fill="auto"/>
            <w:noWrap/>
            <w:vAlign w:val="center"/>
          </w:tcPr>
          <w:p w14:paraId="6762AB04" w14:textId="77777777" w:rsidR="00AC375F" w:rsidRPr="00AC375F" w:rsidRDefault="00AC375F" w:rsidP="00AC375F">
            <w:pPr>
              <w:rPr>
                <w:b/>
                <w:bCs/>
                <w:sz w:val="18"/>
                <w:szCs w:val="18"/>
              </w:rPr>
            </w:pPr>
          </w:p>
        </w:tc>
        <w:tc>
          <w:tcPr>
            <w:tcW w:w="1417" w:type="dxa"/>
            <w:shd w:val="clear" w:color="auto" w:fill="FFFFFF" w:themeFill="background1"/>
            <w:noWrap/>
            <w:vAlign w:val="center"/>
          </w:tcPr>
          <w:p w14:paraId="4F479D62"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FFFFFF" w:themeFill="background1"/>
            <w:noWrap/>
          </w:tcPr>
          <w:p w14:paraId="096D85C8" w14:textId="77777777" w:rsidR="00AC375F" w:rsidRPr="00AC375F" w:rsidRDefault="00AC375F" w:rsidP="00AC375F">
            <w:pPr>
              <w:jc w:val="center"/>
              <w:rPr>
                <w:sz w:val="18"/>
                <w:szCs w:val="18"/>
              </w:rPr>
            </w:pPr>
            <w:r w:rsidRPr="00AC375F">
              <w:rPr>
                <w:sz w:val="18"/>
                <w:szCs w:val="18"/>
              </w:rPr>
              <w:t>1</w:t>
            </w:r>
          </w:p>
        </w:tc>
        <w:tc>
          <w:tcPr>
            <w:tcW w:w="993" w:type="dxa"/>
            <w:shd w:val="clear" w:color="auto" w:fill="FFFFFF" w:themeFill="background1"/>
            <w:noWrap/>
            <w:vAlign w:val="center"/>
          </w:tcPr>
          <w:p w14:paraId="49B20094" w14:textId="77777777" w:rsidR="00AC375F" w:rsidRPr="00AC375F" w:rsidRDefault="00AC375F" w:rsidP="00AC375F">
            <w:pPr>
              <w:jc w:val="center"/>
              <w:rPr>
                <w:sz w:val="18"/>
                <w:szCs w:val="18"/>
              </w:rPr>
            </w:pPr>
            <w:r w:rsidRPr="00AC375F">
              <w:rPr>
                <w:sz w:val="18"/>
                <w:szCs w:val="18"/>
              </w:rPr>
              <w:t>svibanj</w:t>
            </w:r>
          </w:p>
        </w:tc>
        <w:tc>
          <w:tcPr>
            <w:tcW w:w="1563" w:type="dxa"/>
            <w:shd w:val="clear" w:color="auto" w:fill="FFFFFF" w:themeFill="background1"/>
            <w:noWrap/>
          </w:tcPr>
          <w:p w14:paraId="4CCD0D13" w14:textId="77777777" w:rsidR="00AC375F" w:rsidRPr="00AC375F" w:rsidRDefault="00AC375F" w:rsidP="00AC375F">
            <w:pPr>
              <w:jc w:val="center"/>
              <w:rPr>
                <w:sz w:val="18"/>
                <w:szCs w:val="18"/>
              </w:rPr>
            </w:pPr>
            <w:r w:rsidRPr="00AC375F">
              <w:rPr>
                <w:sz w:val="18"/>
                <w:szCs w:val="18"/>
              </w:rPr>
              <w:t>4</w:t>
            </w:r>
          </w:p>
        </w:tc>
      </w:tr>
      <w:tr w:rsidR="00AC375F" w:rsidRPr="00AC375F" w14:paraId="5DE453E5" w14:textId="77777777" w:rsidTr="00991955">
        <w:trPr>
          <w:trHeight w:val="237"/>
        </w:trPr>
        <w:tc>
          <w:tcPr>
            <w:tcW w:w="4390" w:type="dxa"/>
            <w:shd w:val="clear" w:color="auto" w:fill="auto"/>
            <w:noWrap/>
            <w:vAlign w:val="center"/>
          </w:tcPr>
          <w:p w14:paraId="27262698" w14:textId="77777777" w:rsidR="00AC375F" w:rsidRPr="00AC375F" w:rsidRDefault="00AC375F" w:rsidP="00AC375F">
            <w:pPr>
              <w:rPr>
                <w:b/>
                <w:bCs/>
                <w:sz w:val="18"/>
                <w:szCs w:val="18"/>
              </w:rPr>
            </w:pPr>
          </w:p>
        </w:tc>
        <w:tc>
          <w:tcPr>
            <w:tcW w:w="1417" w:type="dxa"/>
            <w:shd w:val="clear" w:color="auto" w:fill="FFFFFF" w:themeFill="background1"/>
            <w:noWrap/>
            <w:vAlign w:val="center"/>
          </w:tcPr>
          <w:p w14:paraId="7DA35893"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FFFFFF" w:themeFill="background1"/>
            <w:noWrap/>
          </w:tcPr>
          <w:p w14:paraId="7E8A0AEA" w14:textId="77777777" w:rsidR="00AC375F" w:rsidRPr="00AC375F" w:rsidRDefault="00AC375F" w:rsidP="00AC375F">
            <w:pPr>
              <w:jc w:val="center"/>
              <w:rPr>
                <w:sz w:val="18"/>
                <w:szCs w:val="18"/>
              </w:rPr>
            </w:pPr>
            <w:r w:rsidRPr="00AC375F">
              <w:rPr>
                <w:sz w:val="18"/>
                <w:szCs w:val="18"/>
              </w:rPr>
              <w:t>1</w:t>
            </w:r>
          </w:p>
        </w:tc>
        <w:tc>
          <w:tcPr>
            <w:tcW w:w="993" w:type="dxa"/>
            <w:shd w:val="clear" w:color="auto" w:fill="FFFFFF" w:themeFill="background1"/>
            <w:noWrap/>
            <w:vAlign w:val="center"/>
          </w:tcPr>
          <w:p w14:paraId="10D1BB9B" w14:textId="77777777" w:rsidR="00AC375F" w:rsidRPr="00AC375F" w:rsidRDefault="00AC375F" w:rsidP="00AC375F">
            <w:pPr>
              <w:jc w:val="center"/>
              <w:rPr>
                <w:sz w:val="18"/>
                <w:szCs w:val="18"/>
              </w:rPr>
            </w:pPr>
            <w:r w:rsidRPr="00AC375F">
              <w:rPr>
                <w:sz w:val="18"/>
                <w:szCs w:val="18"/>
              </w:rPr>
              <w:t>lipanj</w:t>
            </w:r>
          </w:p>
        </w:tc>
        <w:tc>
          <w:tcPr>
            <w:tcW w:w="1563" w:type="dxa"/>
            <w:shd w:val="clear" w:color="auto" w:fill="FFFFFF" w:themeFill="background1"/>
            <w:noWrap/>
          </w:tcPr>
          <w:p w14:paraId="5916E1E1" w14:textId="77777777" w:rsidR="00AC375F" w:rsidRPr="00AC375F" w:rsidRDefault="00AC375F" w:rsidP="00AC375F">
            <w:pPr>
              <w:jc w:val="center"/>
              <w:rPr>
                <w:sz w:val="18"/>
                <w:szCs w:val="18"/>
              </w:rPr>
            </w:pPr>
            <w:r w:rsidRPr="00AC375F">
              <w:rPr>
                <w:sz w:val="18"/>
                <w:szCs w:val="18"/>
              </w:rPr>
              <w:t>4</w:t>
            </w:r>
          </w:p>
        </w:tc>
      </w:tr>
      <w:tr w:rsidR="00AC375F" w:rsidRPr="00AC375F" w14:paraId="3C9C3FBE" w14:textId="77777777" w:rsidTr="00991955">
        <w:trPr>
          <w:trHeight w:val="237"/>
        </w:trPr>
        <w:tc>
          <w:tcPr>
            <w:tcW w:w="4390" w:type="dxa"/>
            <w:shd w:val="clear" w:color="auto" w:fill="auto"/>
            <w:noWrap/>
            <w:vAlign w:val="center"/>
          </w:tcPr>
          <w:p w14:paraId="1B736C42" w14:textId="77777777" w:rsidR="00AC375F" w:rsidRPr="00AC375F" w:rsidRDefault="00AC375F" w:rsidP="00AC375F">
            <w:pPr>
              <w:rPr>
                <w:b/>
                <w:bCs/>
                <w:sz w:val="18"/>
                <w:szCs w:val="18"/>
              </w:rPr>
            </w:pPr>
          </w:p>
        </w:tc>
        <w:tc>
          <w:tcPr>
            <w:tcW w:w="1417" w:type="dxa"/>
            <w:shd w:val="clear" w:color="auto" w:fill="FFFFFF" w:themeFill="background1"/>
            <w:noWrap/>
            <w:vAlign w:val="center"/>
          </w:tcPr>
          <w:p w14:paraId="360CE151" w14:textId="77777777" w:rsidR="00AC375F" w:rsidRPr="00AC375F" w:rsidRDefault="00AC375F" w:rsidP="00AC375F">
            <w:pPr>
              <w:jc w:val="center"/>
              <w:rPr>
                <w:sz w:val="18"/>
                <w:szCs w:val="18"/>
              </w:rPr>
            </w:pPr>
            <w:r w:rsidRPr="00AC375F">
              <w:rPr>
                <w:sz w:val="18"/>
                <w:szCs w:val="18"/>
              </w:rPr>
              <w:t>Amsterdam</w:t>
            </w:r>
          </w:p>
        </w:tc>
        <w:tc>
          <w:tcPr>
            <w:tcW w:w="992" w:type="dxa"/>
            <w:shd w:val="clear" w:color="auto" w:fill="FFFFFF" w:themeFill="background1"/>
            <w:noWrap/>
          </w:tcPr>
          <w:p w14:paraId="272CA2E4" w14:textId="77777777" w:rsidR="00AC375F" w:rsidRPr="00AC375F" w:rsidRDefault="00AC375F" w:rsidP="00AC375F">
            <w:pPr>
              <w:jc w:val="center"/>
              <w:rPr>
                <w:sz w:val="18"/>
                <w:szCs w:val="18"/>
              </w:rPr>
            </w:pPr>
            <w:r w:rsidRPr="00AC375F">
              <w:rPr>
                <w:sz w:val="18"/>
                <w:szCs w:val="18"/>
              </w:rPr>
              <w:t>1</w:t>
            </w:r>
          </w:p>
        </w:tc>
        <w:tc>
          <w:tcPr>
            <w:tcW w:w="993" w:type="dxa"/>
            <w:shd w:val="clear" w:color="auto" w:fill="FFFFFF" w:themeFill="background1"/>
            <w:noWrap/>
            <w:vAlign w:val="center"/>
          </w:tcPr>
          <w:p w14:paraId="7671BCB9" w14:textId="77777777" w:rsidR="00AC375F" w:rsidRPr="00AC375F" w:rsidRDefault="00AC375F" w:rsidP="00AC375F">
            <w:pPr>
              <w:jc w:val="center"/>
              <w:rPr>
                <w:sz w:val="18"/>
                <w:szCs w:val="18"/>
              </w:rPr>
            </w:pPr>
            <w:r w:rsidRPr="00AC375F">
              <w:rPr>
                <w:sz w:val="18"/>
                <w:szCs w:val="18"/>
              </w:rPr>
              <w:t>srpanj</w:t>
            </w:r>
          </w:p>
        </w:tc>
        <w:tc>
          <w:tcPr>
            <w:tcW w:w="1563" w:type="dxa"/>
            <w:shd w:val="clear" w:color="auto" w:fill="FFFFFF" w:themeFill="background1"/>
            <w:noWrap/>
          </w:tcPr>
          <w:p w14:paraId="0461F262" w14:textId="77777777" w:rsidR="00AC375F" w:rsidRPr="00AC375F" w:rsidRDefault="00AC375F" w:rsidP="00AC375F">
            <w:pPr>
              <w:jc w:val="center"/>
              <w:rPr>
                <w:sz w:val="18"/>
                <w:szCs w:val="18"/>
              </w:rPr>
            </w:pPr>
            <w:r w:rsidRPr="00AC375F">
              <w:rPr>
                <w:sz w:val="18"/>
                <w:szCs w:val="18"/>
              </w:rPr>
              <w:t>4</w:t>
            </w:r>
          </w:p>
        </w:tc>
      </w:tr>
      <w:tr w:rsidR="00AC375F" w:rsidRPr="00AC375F" w14:paraId="7CAD33B4" w14:textId="77777777" w:rsidTr="00991955">
        <w:trPr>
          <w:trHeight w:val="237"/>
        </w:trPr>
        <w:tc>
          <w:tcPr>
            <w:tcW w:w="4390" w:type="dxa"/>
            <w:shd w:val="clear" w:color="auto" w:fill="auto"/>
            <w:noWrap/>
            <w:vAlign w:val="center"/>
          </w:tcPr>
          <w:p w14:paraId="514620F5" w14:textId="77777777" w:rsidR="00AC375F" w:rsidRPr="00AC375F" w:rsidRDefault="00AC375F" w:rsidP="00AC375F">
            <w:pPr>
              <w:rPr>
                <w:b/>
                <w:bCs/>
                <w:sz w:val="18"/>
                <w:szCs w:val="18"/>
              </w:rPr>
            </w:pPr>
          </w:p>
        </w:tc>
        <w:tc>
          <w:tcPr>
            <w:tcW w:w="1417" w:type="dxa"/>
            <w:shd w:val="clear" w:color="auto" w:fill="FFFFFF" w:themeFill="background1"/>
            <w:noWrap/>
            <w:vAlign w:val="center"/>
          </w:tcPr>
          <w:p w14:paraId="0A6B350B"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FFFFFF" w:themeFill="background1"/>
            <w:noWrap/>
          </w:tcPr>
          <w:p w14:paraId="4DDE98E6" w14:textId="77777777" w:rsidR="00AC375F" w:rsidRPr="00AC375F" w:rsidRDefault="00AC375F" w:rsidP="00AC375F">
            <w:pPr>
              <w:jc w:val="center"/>
              <w:rPr>
                <w:sz w:val="18"/>
                <w:szCs w:val="18"/>
              </w:rPr>
            </w:pPr>
            <w:r w:rsidRPr="00AC375F">
              <w:rPr>
                <w:sz w:val="18"/>
                <w:szCs w:val="18"/>
              </w:rPr>
              <w:t>1</w:t>
            </w:r>
          </w:p>
        </w:tc>
        <w:tc>
          <w:tcPr>
            <w:tcW w:w="993" w:type="dxa"/>
            <w:shd w:val="clear" w:color="auto" w:fill="FFFFFF" w:themeFill="background1"/>
            <w:noWrap/>
            <w:vAlign w:val="center"/>
          </w:tcPr>
          <w:p w14:paraId="6F9C8858" w14:textId="77777777" w:rsidR="00AC375F" w:rsidRPr="00AC375F" w:rsidRDefault="00AC375F" w:rsidP="00AC375F">
            <w:pPr>
              <w:jc w:val="center"/>
              <w:rPr>
                <w:sz w:val="18"/>
                <w:szCs w:val="18"/>
              </w:rPr>
            </w:pPr>
            <w:r w:rsidRPr="00AC375F">
              <w:rPr>
                <w:sz w:val="18"/>
                <w:szCs w:val="18"/>
              </w:rPr>
              <w:t>kolovoz</w:t>
            </w:r>
          </w:p>
        </w:tc>
        <w:tc>
          <w:tcPr>
            <w:tcW w:w="1563" w:type="dxa"/>
            <w:shd w:val="clear" w:color="auto" w:fill="FFFFFF" w:themeFill="background1"/>
            <w:noWrap/>
          </w:tcPr>
          <w:p w14:paraId="63277B2C" w14:textId="77777777" w:rsidR="00AC375F" w:rsidRPr="00AC375F" w:rsidRDefault="00AC375F" w:rsidP="00AC375F">
            <w:pPr>
              <w:jc w:val="center"/>
              <w:rPr>
                <w:sz w:val="18"/>
                <w:szCs w:val="18"/>
              </w:rPr>
            </w:pPr>
            <w:r w:rsidRPr="00AC375F">
              <w:rPr>
                <w:sz w:val="18"/>
                <w:szCs w:val="18"/>
              </w:rPr>
              <w:t>4</w:t>
            </w:r>
          </w:p>
        </w:tc>
      </w:tr>
      <w:tr w:rsidR="00AC375F" w:rsidRPr="00AC375F" w14:paraId="6AB48283" w14:textId="77777777" w:rsidTr="00991955">
        <w:trPr>
          <w:trHeight w:val="237"/>
        </w:trPr>
        <w:tc>
          <w:tcPr>
            <w:tcW w:w="4390" w:type="dxa"/>
            <w:shd w:val="clear" w:color="auto" w:fill="auto"/>
            <w:noWrap/>
            <w:vAlign w:val="center"/>
          </w:tcPr>
          <w:p w14:paraId="1BA56FBD" w14:textId="77777777" w:rsidR="00AC375F" w:rsidRPr="00AC375F" w:rsidRDefault="00AC375F" w:rsidP="00AC375F">
            <w:pPr>
              <w:rPr>
                <w:b/>
                <w:bCs/>
                <w:sz w:val="18"/>
                <w:szCs w:val="18"/>
              </w:rPr>
            </w:pPr>
          </w:p>
        </w:tc>
        <w:tc>
          <w:tcPr>
            <w:tcW w:w="1417" w:type="dxa"/>
            <w:shd w:val="clear" w:color="auto" w:fill="FFFFFF" w:themeFill="background1"/>
            <w:noWrap/>
            <w:vAlign w:val="center"/>
          </w:tcPr>
          <w:p w14:paraId="34BC5624" w14:textId="77777777" w:rsidR="00AC375F" w:rsidRPr="00AC375F" w:rsidRDefault="00AC375F" w:rsidP="00AC375F">
            <w:pPr>
              <w:jc w:val="center"/>
              <w:rPr>
                <w:sz w:val="18"/>
                <w:szCs w:val="18"/>
              </w:rPr>
            </w:pPr>
            <w:r w:rsidRPr="00AC375F">
              <w:rPr>
                <w:sz w:val="18"/>
                <w:szCs w:val="18"/>
              </w:rPr>
              <w:t>Amsterdam</w:t>
            </w:r>
          </w:p>
        </w:tc>
        <w:tc>
          <w:tcPr>
            <w:tcW w:w="992" w:type="dxa"/>
            <w:shd w:val="clear" w:color="auto" w:fill="FFFFFF" w:themeFill="background1"/>
            <w:noWrap/>
          </w:tcPr>
          <w:p w14:paraId="38416A8F" w14:textId="77777777" w:rsidR="00AC375F" w:rsidRPr="00AC375F" w:rsidRDefault="00AC375F" w:rsidP="00AC375F">
            <w:pPr>
              <w:jc w:val="center"/>
              <w:rPr>
                <w:sz w:val="18"/>
                <w:szCs w:val="18"/>
              </w:rPr>
            </w:pPr>
            <w:r w:rsidRPr="00AC375F">
              <w:rPr>
                <w:sz w:val="18"/>
                <w:szCs w:val="18"/>
              </w:rPr>
              <w:t>1</w:t>
            </w:r>
          </w:p>
        </w:tc>
        <w:tc>
          <w:tcPr>
            <w:tcW w:w="993" w:type="dxa"/>
            <w:shd w:val="clear" w:color="auto" w:fill="FFFFFF" w:themeFill="background1"/>
            <w:noWrap/>
            <w:vAlign w:val="center"/>
          </w:tcPr>
          <w:p w14:paraId="40A1D4BA" w14:textId="77777777" w:rsidR="00AC375F" w:rsidRPr="00AC375F" w:rsidRDefault="00AC375F" w:rsidP="00AC375F">
            <w:pPr>
              <w:jc w:val="center"/>
              <w:rPr>
                <w:sz w:val="18"/>
                <w:szCs w:val="18"/>
              </w:rPr>
            </w:pPr>
            <w:r w:rsidRPr="00AC375F">
              <w:rPr>
                <w:sz w:val="18"/>
                <w:szCs w:val="18"/>
              </w:rPr>
              <w:t>rujan</w:t>
            </w:r>
          </w:p>
        </w:tc>
        <w:tc>
          <w:tcPr>
            <w:tcW w:w="1563" w:type="dxa"/>
            <w:shd w:val="clear" w:color="auto" w:fill="FFFFFF" w:themeFill="background1"/>
            <w:noWrap/>
          </w:tcPr>
          <w:p w14:paraId="1B6AC92D" w14:textId="77777777" w:rsidR="00AC375F" w:rsidRPr="00AC375F" w:rsidRDefault="00AC375F" w:rsidP="00AC375F">
            <w:pPr>
              <w:jc w:val="center"/>
              <w:rPr>
                <w:sz w:val="18"/>
                <w:szCs w:val="18"/>
              </w:rPr>
            </w:pPr>
            <w:r w:rsidRPr="00AC375F">
              <w:rPr>
                <w:sz w:val="18"/>
                <w:szCs w:val="18"/>
              </w:rPr>
              <w:t>4</w:t>
            </w:r>
          </w:p>
        </w:tc>
      </w:tr>
      <w:tr w:rsidR="00AC375F" w:rsidRPr="00AC375F" w14:paraId="18422B19" w14:textId="77777777" w:rsidTr="00991955">
        <w:trPr>
          <w:trHeight w:val="237"/>
        </w:trPr>
        <w:tc>
          <w:tcPr>
            <w:tcW w:w="4390" w:type="dxa"/>
            <w:shd w:val="clear" w:color="auto" w:fill="auto"/>
            <w:noWrap/>
            <w:vAlign w:val="center"/>
          </w:tcPr>
          <w:p w14:paraId="29FFBA27" w14:textId="77777777" w:rsidR="00AC375F" w:rsidRPr="00AC375F" w:rsidRDefault="00AC375F" w:rsidP="00AC375F">
            <w:pPr>
              <w:rPr>
                <w:b/>
                <w:bCs/>
                <w:sz w:val="18"/>
                <w:szCs w:val="18"/>
              </w:rPr>
            </w:pPr>
          </w:p>
        </w:tc>
        <w:tc>
          <w:tcPr>
            <w:tcW w:w="1417" w:type="dxa"/>
            <w:shd w:val="clear" w:color="auto" w:fill="FFFFFF" w:themeFill="background1"/>
            <w:noWrap/>
            <w:vAlign w:val="center"/>
          </w:tcPr>
          <w:p w14:paraId="5295267C"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FFFFFF" w:themeFill="background1"/>
            <w:noWrap/>
          </w:tcPr>
          <w:p w14:paraId="3EF2455A" w14:textId="77777777" w:rsidR="00AC375F" w:rsidRPr="00AC375F" w:rsidRDefault="00AC375F" w:rsidP="00AC375F">
            <w:pPr>
              <w:jc w:val="center"/>
              <w:rPr>
                <w:sz w:val="18"/>
                <w:szCs w:val="18"/>
              </w:rPr>
            </w:pPr>
            <w:r w:rsidRPr="00AC375F">
              <w:rPr>
                <w:sz w:val="18"/>
                <w:szCs w:val="18"/>
              </w:rPr>
              <w:t>1</w:t>
            </w:r>
          </w:p>
        </w:tc>
        <w:tc>
          <w:tcPr>
            <w:tcW w:w="993" w:type="dxa"/>
            <w:shd w:val="clear" w:color="auto" w:fill="FFFFFF" w:themeFill="background1"/>
            <w:noWrap/>
            <w:vAlign w:val="center"/>
          </w:tcPr>
          <w:p w14:paraId="6F5B7385" w14:textId="77777777" w:rsidR="00AC375F" w:rsidRPr="00AC375F" w:rsidRDefault="00AC375F" w:rsidP="00AC375F">
            <w:pPr>
              <w:jc w:val="center"/>
              <w:rPr>
                <w:sz w:val="18"/>
                <w:szCs w:val="18"/>
              </w:rPr>
            </w:pPr>
            <w:r w:rsidRPr="00AC375F">
              <w:rPr>
                <w:sz w:val="18"/>
                <w:szCs w:val="18"/>
              </w:rPr>
              <w:t>listopad</w:t>
            </w:r>
          </w:p>
        </w:tc>
        <w:tc>
          <w:tcPr>
            <w:tcW w:w="1563" w:type="dxa"/>
            <w:shd w:val="clear" w:color="auto" w:fill="FFFFFF" w:themeFill="background1"/>
            <w:noWrap/>
          </w:tcPr>
          <w:p w14:paraId="226BAFC0" w14:textId="77777777" w:rsidR="00AC375F" w:rsidRPr="00AC375F" w:rsidRDefault="00AC375F" w:rsidP="00AC375F">
            <w:pPr>
              <w:jc w:val="center"/>
              <w:rPr>
                <w:sz w:val="18"/>
                <w:szCs w:val="18"/>
              </w:rPr>
            </w:pPr>
            <w:r w:rsidRPr="00AC375F">
              <w:rPr>
                <w:sz w:val="18"/>
                <w:szCs w:val="18"/>
              </w:rPr>
              <w:t>4</w:t>
            </w:r>
          </w:p>
        </w:tc>
      </w:tr>
      <w:tr w:rsidR="00AC375F" w:rsidRPr="00AC375F" w14:paraId="5BBC998B" w14:textId="77777777" w:rsidTr="00991955">
        <w:trPr>
          <w:trHeight w:val="237"/>
        </w:trPr>
        <w:tc>
          <w:tcPr>
            <w:tcW w:w="4390" w:type="dxa"/>
            <w:shd w:val="clear" w:color="auto" w:fill="auto"/>
            <w:noWrap/>
            <w:vAlign w:val="center"/>
          </w:tcPr>
          <w:p w14:paraId="3D7C2976" w14:textId="77777777" w:rsidR="00AC375F" w:rsidRPr="00AC375F" w:rsidRDefault="00AC375F" w:rsidP="00AC375F">
            <w:pPr>
              <w:rPr>
                <w:b/>
                <w:bCs/>
                <w:sz w:val="18"/>
                <w:szCs w:val="18"/>
              </w:rPr>
            </w:pPr>
          </w:p>
        </w:tc>
        <w:tc>
          <w:tcPr>
            <w:tcW w:w="1417" w:type="dxa"/>
            <w:shd w:val="clear" w:color="auto" w:fill="FFFFFF" w:themeFill="background1"/>
            <w:noWrap/>
            <w:vAlign w:val="center"/>
          </w:tcPr>
          <w:p w14:paraId="5F4F635D"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FFFFFF" w:themeFill="background1"/>
            <w:noWrap/>
          </w:tcPr>
          <w:p w14:paraId="03A3DC47" w14:textId="77777777" w:rsidR="00AC375F" w:rsidRPr="00AC375F" w:rsidRDefault="00AC375F" w:rsidP="00AC375F">
            <w:pPr>
              <w:jc w:val="center"/>
              <w:rPr>
                <w:sz w:val="18"/>
                <w:szCs w:val="18"/>
              </w:rPr>
            </w:pPr>
            <w:r w:rsidRPr="00AC375F">
              <w:rPr>
                <w:sz w:val="18"/>
                <w:szCs w:val="18"/>
              </w:rPr>
              <w:t>1</w:t>
            </w:r>
          </w:p>
        </w:tc>
        <w:tc>
          <w:tcPr>
            <w:tcW w:w="993" w:type="dxa"/>
            <w:shd w:val="clear" w:color="auto" w:fill="FFFFFF" w:themeFill="background1"/>
            <w:noWrap/>
            <w:vAlign w:val="center"/>
          </w:tcPr>
          <w:p w14:paraId="40463C13" w14:textId="77777777" w:rsidR="00AC375F" w:rsidRPr="00AC375F" w:rsidRDefault="00AC375F" w:rsidP="00AC375F">
            <w:pPr>
              <w:jc w:val="center"/>
              <w:rPr>
                <w:sz w:val="18"/>
                <w:szCs w:val="18"/>
              </w:rPr>
            </w:pPr>
            <w:r w:rsidRPr="00AC375F">
              <w:rPr>
                <w:sz w:val="18"/>
                <w:szCs w:val="18"/>
              </w:rPr>
              <w:t>studeni</w:t>
            </w:r>
          </w:p>
        </w:tc>
        <w:tc>
          <w:tcPr>
            <w:tcW w:w="1563" w:type="dxa"/>
            <w:shd w:val="clear" w:color="auto" w:fill="FFFFFF" w:themeFill="background1"/>
            <w:noWrap/>
          </w:tcPr>
          <w:p w14:paraId="617B8C27" w14:textId="77777777" w:rsidR="00AC375F" w:rsidRPr="00AC375F" w:rsidRDefault="00AC375F" w:rsidP="00AC375F">
            <w:pPr>
              <w:jc w:val="center"/>
              <w:rPr>
                <w:sz w:val="18"/>
                <w:szCs w:val="18"/>
              </w:rPr>
            </w:pPr>
            <w:r w:rsidRPr="00AC375F">
              <w:rPr>
                <w:sz w:val="18"/>
                <w:szCs w:val="18"/>
              </w:rPr>
              <w:t>4</w:t>
            </w:r>
          </w:p>
        </w:tc>
      </w:tr>
      <w:tr w:rsidR="00AC375F" w:rsidRPr="00AC375F" w14:paraId="41706E6E" w14:textId="77777777" w:rsidTr="00991955">
        <w:trPr>
          <w:trHeight w:val="237"/>
        </w:trPr>
        <w:tc>
          <w:tcPr>
            <w:tcW w:w="4390" w:type="dxa"/>
            <w:shd w:val="clear" w:color="auto" w:fill="auto"/>
            <w:noWrap/>
            <w:vAlign w:val="center"/>
          </w:tcPr>
          <w:p w14:paraId="6D5B607B" w14:textId="77777777" w:rsidR="00AC375F" w:rsidRPr="00AC375F" w:rsidRDefault="00AC375F" w:rsidP="00AC375F">
            <w:pPr>
              <w:rPr>
                <w:b/>
                <w:bCs/>
                <w:sz w:val="18"/>
                <w:szCs w:val="18"/>
              </w:rPr>
            </w:pPr>
            <w:r w:rsidRPr="00AC375F">
              <w:rPr>
                <w:b/>
                <w:bCs/>
                <w:sz w:val="18"/>
                <w:szCs w:val="18"/>
              </w:rPr>
              <w:t>SAWP SRLM meeting</w:t>
            </w:r>
          </w:p>
        </w:tc>
        <w:tc>
          <w:tcPr>
            <w:tcW w:w="1417" w:type="dxa"/>
            <w:shd w:val="clear" w:color="auto" w:fill="FFFFFF" w:themeFill="background1"/>
            <w:noWrap/>
            <w:vAlign w:val="center"/>
          </w:tcPr>
          <w:p w14:paraId="6591399B" w14:textId="77777777" w:rsidR="00AC375F" w:rsidRPr="00AC375F" w:rsidRDefault="00AC375F" w:rsidP="00AC375F">
            <w:pPr>
              <w:jc w:val="center"/>
              <w:rPr>
                <w:sz w:val="18"/>
                <w:szCs w:val="18"/>
              </w:rPr>
            </w:pPr>
          </w:p>
        </w:tc>
        <w:tc>
          <w:tcPr>
            <w:tcW w:w="992" w:type="dxa"/>
            <w:shd w:val="clear" w:color="auto" w:fill="FFFFFF" w:themeFill="background1"/>
            <w:noWrap/>
          </w:tcPr>
          <w:p w14:paraId="0F5BD0F2" w14:textId="77777777" w:rsidR="00AC375F" w:rsidRPr="00AC375F" w:rsidRDefault="00AC375F" w:rsidP="00AC375F">
            <w:pPr>
              <w:jc w:val="center"/>
              <w:rPr>
                <w:sz w:val="18"/>
                <w:szCs w:val="18"/>
              </w:rPr>
            </w:pPr>
          </w:p>
        </w:tc>
        <w:tc>
          <w:tcPr>
            <w:tcW w:w="993" w:type="dxa"/>
            <w:shd w:val="clear" w:color="auto" w:fill="FFFFFF" w:themeFill="background1"/>
            <w:noWrap/>
            <w:vAlign w:val="center"/>
          </w:tcPr>
          <w:p w14:paraId="506B7B07" w14:textId="77777777" w:rsidR="00AC375F" w:rsidRPr="00AC375F" w:rsidRDefault="00AC375F" w:rsidP="00AC375F">
            <w:pPr>
              <w:jc w:val="center"/>
              <w:rPr>
                <w:sz w:val="18"/>
                <w:szCs w:val="18"/>
              </w:rPr>
            </w:pPr>
          </w:p>
        </w:tc>
        <w:tc>
          <w:tcPr>
            <w:tcW w:w="1563" w:type="dxa"/>
            <w:shd w:val="clear" w:color="auto" w:fill="FFFFFF" w:themeFill="background1"/>
            <w:noWrap/>
          </w:tcPr>
          <w:p w14:paraId="465B8E57" w14:textId="77777777" w:rsidR="00AC375F" w:rsidRPr="00AC375F" w:rsidRDefault="00AC375F" w:rsidP="00AC375F">
            <w:pPr>
              <w:jc w:val="center"/>
              <w:rPr>
                <w:sz w:val="18"/>
                <w:szCs w:val="18"/>
              </w:rPr>
            </w:pPr>
          </w:p>
        </w:tc>
      </w:tr>
      <w:tr w:rsidR="00AC375F" w:rsidRPr="00AC375F" w14:paraId="35CB2DAD" w14:textId="77777777" w:rsidTr="00991955">
        <w:trPr>
          <w:trHeight w:val="237"/>
        </w:trPr>
        <w:tc>
          <w:tcPr>
            <w:tcW w:w="4390" w:type="dxa"/>
            <w:shd w:val="clear" w:color="auto" w:fill="auto"/>
            <w:noWrap/>
            <w:vAlign w:val="center"/>
          </w:tcPr>
          <w:p w14:paraId="11494F1A" w14:textId="77777777" w:rsidR="00AC375F" w:rsidRPr="00AC375F" w:rsidRDefault="00AC375F" w:rsidP="00AC375F">
            <w:pPr>
              <w:rPr>
                <w:b/>
                <w:bCs/>
                <w:sz w:val="18"/>
                <w:szCs w:val="18"/>
              </w:rPr>
            </w:pPr>
          </w:p>
        </w:tc>
        <w:tc>
          <w:tcPr>
            <w:tcW w:w="1417" w:type="dxa"/>
            <w:shd w:val="clear" w:color="auto" w:fill="FFFFFF" w:themeFill="background1"/>
            <w:noWrap/>
            <w:vAlign w:val="center"/>
          </w:tcPr>
          <w:p w14:paraId="446C4374" w14:textId="77777777" w:rsidR="00AC375F" w:rsidRPr="00AC375F" w:rsidRDefault="00AC375F" w:rsidP="00AC375F">
            <w:pPr>
              <w:jc w:val="center"/>
              <w:rPr>
                <w:sz w:val="18"/>
                <w:szCs w:val="18"/>
              </w:rPr>
            </w:pPr>
            <w:r w:rsidRPr="00AC375F">
              <w:rPr>
                <w:sz w:val="18"/>
                <w:szCs w:val="18"/>
              </w:rPr>
              <w:t>Uppsala</w:t>
            </w:r>
          </w:p>
        </w:tc>
        <w:tc>
          <w:tcPr>
            <w:tcW w:w="992" w:type="dxa"/>
            <w:shd w:val="clear" w:color="auto" w:fill="FFFFFF" w:themeFill="background1"/>
            <w:noWrap/>
          </w:tcPr>
          <w:p w14:paraId="08649D06" w14:textId="77777777" w:rsidR="00AC375F" w:rsidRPr="00AC375F" w:rsidRDefault="00AC375F" w:rsidP="00AC375F">
            <w:pPr>
              <w:jc w:val="center"/>
              <w:rPr>
                <w:sz w:val="18"/>
                <w:szCs w:val="18"/>
              </w:rPr>
            </w:pPr>
            <w:r w:rsidRPr="00AC375F">
              <w:rPr>
                <w:sz w:val="18"/>
                <w:szCs w:val="18"/>
              </w:rPr>
              <w:t>1</w:t>
            </w:r>
          </w:p>
        </w:tc>
        <w:tc>
          <w:tcPr>
            <w:tcW w:w="993" w:type="dxa"/>
            <w:shd w:val="clear" w:color="auto" w:fill="FFFFFF" w:themeFill="background1"/>
            <w:noWrap/>
            <w:vAlign w:val="center"/>
          </w:tcPr>
          <w:p w14:paraId="16E8A787" w14:textId="77777777" w:rsidR="00AC375F" w:rsidRPr="00AC375F" w:rsidRDefault="00AC375F" w:rsidP="00AC375F">
            <w:pPr>
              <w:jc w:val="center"/>
              <w:rPr>
                <w:sz w:val="18"/>
                <w:szCs w:val="18"/>
              </w:rPr>
            </w:pPr>
            <w:r w:rsidRPr="00AC375F">
              <w:rPr>
                <w:sz w:val="18"/>
                <w:szCs w:val="18"/>
              </w:rPr>
              <w:t>lipanj</w:t>
            </w:r>
          </w:p>
        </w:tc>
        <w:tc>
          <w:tcPr>
            <w:tcW w:w="1563" w:type="dxa"/>
            <w:shd w:val="clear" w:color="auto" w:fill="FFFFFF" w:themeFill="background1"/>
            <w:noWrap/>
          </w:tcPr>
          <w:p w14:paraId="766FB04B" w14:textId="77777777" w:rsidR="00AC375F" w:rsidRPr="00AC375F" w:rsidRDefault="00AC375F" w:rsidP="00AC375F">
            <w:pPr>
              <w:jc w:val="center"/>
              <w:rPr>
                <w:sz w:val="18"/>
                <w:szCs w:val="18"/>
              </w:rPr>
            </w:pPr>
            <w:r w:rsidRPr="00AC375F">
              <w:rPr>
                <w:sz w:val="18"/>
                <w:szCs w:val="18"/>
              </w:rPr>
              <w:t>3</w:t>
            </w:r>
          </w:p>
        </w:tc>
      </w:tr>
      <w:tr w:rsidR="00AC375F" w:rsidRPr="00AC375F" w14:paraId="4461AEC1" w14:textId="77777777" w:rsidTr="00991955">
        <w:trPr>
          <w:trHeight w:val="237"/>
        </w:trPr>
        <w:tc>
          <w:tcPr>
            <w:tcW w:w="4390" w:type="dxa"/>
            <w:shd w:val="clear" w:color="auto" w:fill="auto"/>
            <w:noWrap/>
            <w:vAlign w:val="center"/>
          </w:tcPr>
          <w:p w14:paraId="4EA40636" w14:textId="77777777" w:rsidR="00AC375F" w:rsidRPr="00AC375F" w:rsidRDefault="00AC375F" w:rsidP="00AC375F">
            <w:pPr>
              <w:rPr>
                <w:b/>
                <w:bCs/>
                <w:sz w:val="18"/>
                <w:szCs w:val="18"/>
              </w:rPr>
            </w:pPr>
          </w:p>
        </w:tc>
        <w:tc>
          <w:tcPr>
            <w:tcW w:w="1417" w:type="dxa"/>
            <w:shd w:val="clear" w:color="auto" w:fill="FFFFFF" w:themeFill="background1"/>
            <w:noWrap/>
            <w:vAlign w:val="center"/>
          </w:tcPr>
          <w:p w14:paraId="058F2096" w14:textId="77777777" w:rsidR="00AC375F" w:rsidRPr="00AC375F" w:rsidRDefault="00AC375F" w:rsidP="00AC375F">
            <w:pPr>
              <w:jc w:val="center"/>
              <w:rPr>
                <w:sz w:val="18"/>
                <w:szCs w:val="18"/>
              </w:rPr>
            </w:pPr>
            <w:r w:rsidRPr="00AC375F">
              <w:rPr>
                <w:sz w:val="18"/>
                <w:szCs w:val="18"/>
              </w:rPr>
              <w:t>Madrid</w:t>
            </w:r>
          </w:p>
        </w:tc>
        <w:tc>
          <w:tcPr>
            <w:tcW w:w="992" w:type="dxa"/>
            <w:shd w:val="clear" w:color="auto" w:fill="FFFFFF" w:themeFill="background1"/>
            <w:noWrap/>
          </w:tcPr>
          <w:p w14:paraId="5EE1BB3C" w14:textId="77777777" w:rsidR="00AC375F" w:rsidRPr="00AC375F" w:rsidRDefault="00AC375F" w:rsidP="00AC375F">
            <w:pPr>
              <w:jc w:val="center"/>
              <w:rPr>
                <w:sz w:val="18"/>
                <w:szCs w:val="18"/>
              </w:rPr>
            </w:pPr>
            <w:r w:rsidRPr="00AC375F">
              <w:rPr>
                <w:sz w:val="18"/>
                <w:szCs w:val="18"/>
              </w:rPr>
              <w:t>1</w:t>
            </w:r>
          </w:p>
        </w:tc>
        <w:tc>
          <w:tcPr>
            <w:tcW w:w="993" w:type="dxa"/>
            <w:shd w:val="clear" w:color="auto" w:fill="FFFFFF" w:themeFill="background1"/>
            <w:noWrap/>
            <w:vAlign w:val="center"/>
          </w:tcPr>
          <w:p w14:paraId="14D8D51A" w14:textId="77777777" w:rsidR="00AC375F" w:rsidRPr="00AC375F" w:rsidRDefault="00AC375F" w:rsidP="00AC375F">
            <w:pPr>
              <w:jc w:val="center"/>
              <w:rPr>
                <w:sz w:val="18"/>
                <w:szCs w:val="18"/>
              </w:rPr>
            </w:pPr>
            <w:r w:rsidRPr="00AC375F">
              <w:rPr>
                <w:sz w:val="18"/>
                <w:szCs w:val="18"/>
              </w:rPr>
              <w:t>listopad</w:t>
            </w:r>
          </w:p>
        </w:tc>
        <w:tc>
          <w:tcPr>
            <w:tcW w:w="1563" w:type="dxa"/>
            <w:shd w:val="clear" w:color="auto" w:fill="FFFFFF" w:themeFill="background1"/>
            <w:noWrap/>
          </w:tcPr>
          <w:p w14:paraId="5D73F3ED" w14:textId="77777777" w:rsidR="00AC375F" w:rsidRPr="00AC375F" w:rsidRDefault="00AC375F" w:rsidP="00AC375F">
            <w:pPr>
              <w:jc w:val="center"/>
              <w:rPr>
                <w:sz w:val="18"/>
                <w:szCs w:val="18"/>
              </w:rPr>
            </w:pPr>
            <w:r w:rsidRPr="00AC375F">
              <w:rPr>
                <w:sz w:val="18"/>
                <w:szCs w:val="18"/>
              </w:rPr>
              <w:t>3</w:t>
            </w:r>
          </w:p>
        </w:tc>
      </w:tr>
      <w:tr w:rsidR="00AC375F" w:rsidRPr="00AC375F" w14:paraId="1BAD77EB" w14:textId="77777777" w:rsidTr="00991955">
        <w:trPr>
          <w:trHeight w:val="237"/>
        </w:trPr>
        <w:tc>
          <w:tcPr>
            <w:tcW w:w="4390" w:type="dxa"/>
            <w:shd w:val="clear" w:color="auto" w:fill="auto"/>
            <w:noWrap/>
            <w:vAlign w:val="center"/>
          </w:tcPr>
          <w:p w14:paraId="7279EBEA" w14:textId="77777777" w:rsidR="00AC375F" w:rsidRPr="00AC375F" w:rsidRDefault="00AC375F" w:rsidP="00AC375F">
            <w:pPr>
              <w:rPr>
                <w:b/>
                <w:bCs/>
                <w:sz w:val="18"/>
                <w:szCs w:val="18"/>
              </w:rPr>
            </w:pPr>
            <w:r w:rsidRPr="00AC375F">
              <w:rPr>
                <w:b/>
                <w:bCs/>
                <w:sz w:val="18"/>
                <w:szCs w:val="18"/>
              </w:rPr>
              <w:t>CHMP Plenary meeting</w:t>
            </w:r>
          </w:p>
        </w:tc>
        <w:tc>
          <w:tcPr>
            <w:tcW w:w="1417" w:type="dxa"/>
            <w:shd w:val="clear" w:color="auto" w:fill="FFFFFF" w:themeFill="background1"/>
            <w:noWrap/>
            <w:vAlign w:val="center"/>
          </w:tcPr>
          <w:p w14:paraId="4A5C6CFD" w14:textId="77777777" w:rsidR="00AC375F" w:rsidRPr="00AC375F" w:rsidRDefault="00AC375F" w:rsidP="00AC375F">
            <w:pPr>
              <w:jc w:val="center"/>
              <w:rPr>
                <w:sz w:val="18"/>
                <w:szCs w:val="18"/>
              </w:rPr>
            </w:pPr>
          </w:p>
        </w:tc>
        <w:tc>
          <w:tcPr>
            <w:tcW w:w="992" w:type="dxa"/>
            <w:shd w:val="clear" w:color="auto" w:fill="FFFFFF" w:themeFill="background1"/>
            <w:noWrap/>
            <w:vAlign w:val="center"/>
          </w:tcPr>
          <w:p w14:paraId="56CDFED9" w14:textId="77777777" w:rsidR="00AC375F" w:rsidRPr="00AC375F" w:rsidRDefault="00AC375F" w:rsidP="00AC375F">
            <w:pPr>
              <w:jc w:val="center"/>
              <w:rPr>
                <w:sz w:val="18"/>
                <w:szCs w:val="18"/>
              </w:rPr>
            </w:pPr>
          </w:p>
        </w:tc>
        <w:tc>
          <w:tcPr>
            <w:tcW w:w="993" w:type="dxa"/>
            <w:shd w:val="clear" w:color="auto" w:fill="FFFFFF" w:themeFill="background1"/>
            <w:noWrap/>
            <w:vAlign w:val="center"/>
          </w:tcPr>
          <w:p w14:paraId="37B6BBF9" w14:textId="77777777" w:rsidR="00AC375F" w:rsidRPr="00AC375F" w:rsidRDefault="00AC375F" w:rsidP="00AC375F">
            <w:pPr>
              <w:jc w:val="center"/>
              <w:rPr>
                <w:sz w:val="18"/>
                <w:szCs w:val="18"/>
              </w:rPr>
            </w:pPr>
          </w:p>
        </w:tc>
        <w:tc>
          <w:tcPr>
            <w:tcW w:w="1563" w:type="dxa"/>
            <w:shd w:val="clear" w:color="auto" w:fill="FFFFFF" w:themeFill="background1"/>
            <w:noWrap/>
            <w:vAlign w:val="center"/>
          </w:tcPr>
          <w:p w14:paraId="785623EF" w14:textId="77777777" w:rsidR="00AC375F" w:rsidRPr="00AC375F" w:rsidRDefault="00AC375F" w:rsidP="00AC375F">
            <w:pPr>
              <w:jc w:val="center"/>
              <w:rPr>
                <w:sz w:val="18"/>
                <w:szCs w:val="18"/>
              </w:rPr>
            </w:pPr>
          </w:p>
        </w:tc>
      </w:tr>
      <w:tr w:rsidR="00AC375F" w:rsidRPr="00AC375F" w14:paraId="3F809FB9" w14:textId="77777777" w:rsidTr="00991955">
        <w:trPr>
          <w:trHeight w:val="237"/>
        </w:trPr>
        <w:tc>
          <w:tcPr>
            <w:tcW w:w="4390" w:type="dxa"/>
            <w:shd w:val="clear" w:color="auto" w:fill="auto"/>
            <w:noWrap/>
            <w:vAlign w:val="center"/>
          </w:tcPr>
          <w:p w14:paraId="68DE4205" w14:textId="77777777" w:rsidR="00AC375F" w:rsidRPr="00AC375F" w:rsidRDefault="00AC375F" w:rsidP="00AC375F">
            <w:pPr>
              <w:rPr>
                <w:bCs/>
                <w:sz w:val="18"/>
                <w:szCs w:val="18"/>
              </w:rPr>
            </w:pPr>
          </w:p>
        </w:tc>
        <w:tc>
          <w:tcPr>
            <w:tcW w:w="1417" w:type="dxa"/>
            <w:shd w:val="clear" w:color="auto" w:fill="FFFFFF" w:themeFill="background1"/>
            <w:noWrap/>
            <w:vAlign w:val="center"/>
          </w:tcPr>
          <w:p w14:paraId="319796E1" w14:textId="77777777" w:rsidR="00AC375F" w:rsidRPr="00AC375F" w:rsidRDefault="00AC375F" w:rsidP="00AC375F">
            <w:pPr>
              <w:jc w:val="center"/>
              <w:rPr>
                <w:sz w:val="18"/>
                <w:szCs w:val="18"/>
              </w:rPr>
            </w:pPr>
            <w:r w:rsidRPr="00AC375F">
              <w:rPr>
                <w:sz w:val="18"/>
                <w:szCs w:val="18"/>
              </w:rPr>
              <w:t>Amsterdam</w:t>
            </w:r>
          </w:p>
        </w:tc>
        <w:tc>
          <w:tcPr>
            <w:tcW w:w="992" w:type="dxa"/>
            <w:shd w:val="clear" w:color="auto" w:fill="FFFFFF" w:themeFill="background1"/>
            <w:noWrap/>
            <w:vAlign w:val="center"/>
          </w:tcPr>
          <w:p w14:paraId="1F840025" w14:textId="77777777" w:rsidR="00AC375F" w:rsidRPr="00AC375F" w:rsidRDefault="00AC375F" w:rsidP="00AC375F">
            <w:pPr>
              <w:jc w:val="center"/>
              <w:rPr>
                <w:sz w:val="18"/>
                <w:szCs w:val="18"/>
              </w:rPr>
            </w:pPr>
            <w:r w:rsidRPr="00AC375F">
              <w:rPr>
                <w:sz w:val="18"/>
                <w:szCs w:val="18"/>
              </w:rPr>
              <w:t>2</w:t>
            </w:r>
          </w:p>
        </w:tc>
        <w:tc>
          <w:tcPr>
            <w:tcW w:w="993" w:type="dxa"/>
            <w:shd w:val="clear" w:color="auto" w:fill="FFFFFF" w:themeFill="background1"/>
            <w:noWrap/>
            <w:vAlign w:val="center"/>
          </w:tcPr>
          <w:p w14:paraId="26064D15" w14:textId="77777777" w:rsidR="00AC375F" w:rsidRPr="00AC375F" w:rsidRDefault="00AC375F" w:rsidP="00AC375F">
            <w:pPr>
              <w:jc w:val="center"/>
              <w:rPr>
                <w:sz w:val="18"/>
                <w:szCs w:val="18"/>
              </w:rPr>
            </w:pPr>
            <w:r w:rsidRPr="00AC375F">
              <w:rPr>
                <w:sz w:val="18"/>
                <w:szCs w:val="18"/>
              </w:rPr>
              <w:t>siječanj</w:t>
            </w:r>
          </w:p>
        </w:tc>
        <w:tc>
          <w:tcPr>
            <w:tcW w:w="1563" w:type="dxa"/>
            <w:shd w:val="clear" w:color="auto" w:fill="FFFFFF" w:themeFill="background1"/>
            <w:noWrap/>
            <w:vAlign w:val="center"/>
          </w:tcPr>
          <w:p w14:paraId="5AC7D699" w14:textId="77777777" w:rsidR="00AC375F" w:rsidRPr="00AC375F" w:rsidRDefault="00AC375F" w:rsidP="00AC375F">
            <w:pPr>
              <w:jc w:val="center"/>
              <w:rPr>
                <w:sz w:val="18"/>
                <w:szCs w:val="18"/>
              </w:rPr>
            </w:pPr>
            <w:r w:rsidRPr="00AC375F">
              <w:rPr>
                <w:sz w:val="18"/>
                <w:szCs w:val="18"/>
              </w:rPr>
              <w:t>4, 4</w:t>
            </w:r>
          </w:p>
        </w:tc>
      </w:tr>
      <w:tr w:rsidR="00AC375F" w:rsidRPr="00AC375F" w14:paraId="5C9DAFE5" w14:textId="77777777" w:rsidTr="00991955">
        <w:trPr>
          <w:trHeight w:val="237"/>
        </w:trPr>
        <w:tc>
          <w:tcPr>
            <w:tcW w:w="4390" w:type="dxa"/>
            <w:shd w:val="clear" w:color="auto" w:fill="auto"/>
            <w:noWrap/>
            <w:vAlign w:val="center"/>
          </w:tcPr>
          <w:p w14:paraId="447C4483" w14:textId="77777777" w:rsidR="00AC375F" w:rsidRPr="00AC375F" w:rsidRDefault="00AC375F" w:rsidP="00AC375F">
            <w:pPr>
              <w:rPr>
                <w:bCs/>
                <w:sz w:val="18"/>
                <w:szCs w:val="18"/>
              </w:rPr>
            </w:pPr>
          </w:p>
        </w:tc>
        <w:tc>
          <w:tcPr>
            <w:tcW w:w="1417" w:type="dxa"/>
            <w:shd w:val="clear" w:color="auto" w:fill="FFFFFF" w:themeFill="background1"/>
            <w:noWrap/>
            <w:vAlign w:val="center"/>
          </w:tcPr>
          <w:p w14:paraId="6E5D3A4A"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FFFFFF" w:themeFill="background1"/>
            <w:noWrap/>
            <w:vAlign w:val="center"/>
          </w:tcPr>
          <w:p w14:paraId="09922DE2" w14:textId="77777777" w:rsidR="00AC375F" w:rsidRPr="00AC375F" w:rsidRDefault="00AC375F" w:rsidP="00AC375F">
            <w:pPr>
              <w:jc w:val="center"/>
              <w:rPr>
                <w:sz w:val="18"/>
                <w:szCs w:val="18"/>
              </w:rPr>
            </w:pPr>
            <w:r w:rsidRPr="00AC375F">
              <w:rPr>
                <w:sz w:val="18"/>
                <w:szCs w:val="18"/>
              </w:rPr>
              <w:t>2</w:t>
            </w:r>
          </w:p>
        </w:tc>
        <w:tc>
          <w:tcPr>
            <w:tcW w:w="993" w:type="dxa"/>
            <w:shd w:val="clear" w:color="auto" w:fill="FFFFFF" w:themeFill="background1"/>
            <w:noWrap/>
            <w:vAlign w:val="center"/>
          </w:tcPr>
          <w:p w14:paraId="47F6FA76" w14:textId="77777777" w:rsidR="00AC375F" w:rsidRPr="00AC375F" w:rsidRDefault="00AC375F" w:rsidP="00AC375F">
            <w:pPr>
              <w:jc w:val="center"/>
              <w:rPr>
                <w:sz w:val="18"/>
                <w:szCs w:val="18"/>
              </w:rPr>
            </w:pPr>
            <w:r w:rsidRPr="00AC375F">
              <w:rPr>
                <w:sz w:val="18"/>
                <w:szCs w:val="18"/>
              </w:rPr>
              <w:t>veljača</w:t>
            </w:r>
          </w:p>
        </w:tc>
        <w:tc>
          <w:tcPr>
            <w:tcW w:w="1563" w:type="dxa"/>
            <w:shd w:val="clear" w:color="auto" w:fill="FFFFFF" w:themeFill="background1"/>
            <w:noWrap/>
            <w:vAlign w:val="center"/>
          </w:tcPr>
          <w:p w14:paraId="68F36605" w14:textId="77777777" w:rsidR="00AC375F" w:rsidRPr="00AC375F" w:rsidRDefault="00AC375F" w:rsidP="00AC375F">
            <w:pPr>
              <w:jc w:val="center"/>
              <w:rPr>
                <w:sz w:val="18"/>
                <w:szCs w:val="18"/>
              </w:rPr>
            </w:pPr>
            <w:r w:rsidRPr="00AC375F">
              <w:rPr>
                <w:sz w:val="18"/>
                <w:szCs w:val="18"/>
              </w:rPr>
              <w:t>4, 4</w:t>
            </w:r>
          </w:p>
        </w:tc>
      </w:tr>
      <w:tr w:rsidR="00AC375F" w:rsidRPr="00AC375F" w14:paraId="2CA378A5" w14:textId="77777777" w:rsidTr="00991955">
        <w:trPr>
          <w:trHeight w:val="237"/>
        </w:trPr>
        <w:tc>
          <w:tcPr>
            <w:tcW w:w="4390" w:type="dxa"/>
            <w:shd w:val="clear" w:color="auto" w:fill="auto"/>
            <w:noWrap/>
            <w:vAlign w:val="center"/>
          </w:tcPr>
          <w:p w14:paraId="2871DB7B" w14:textId="77777777" w:rsidR="00AC375F" w:rsidRPr="00AC375F" w:rsidRDefault="00AC375F" w:rsidP="00AC375F">
            <w:pPr>
              <w:rPr>
                <w:bCs/>
                <w:sz w:val="18"/>
                <w:szCs w:val="18"/>
              </w:rPr>
            </w:pPr>
          </w:p>
        </w:tc>
        <w:tc>
          <w:tcPr>
            <w:tcW w:w="1417" w:type="dxa"/>
            <w:shd w:val="clear" w:color="auto" w:fill="FFFFFF" w:themeFill="background1"/>
            <w:noWrap/>
            <w:vAlign w:val="center"/>
          </w:tcPr>
          <w:p w14:paraId="32FDB7C1" w14:textId="77777777" w:rsidR="00AC375F" w:rsidRPr="00AC375F" w:rsidRDefault="00AC375F" w:rsidP="00AC375F">
            <w:pPr>
              <w:jc w:val="center"/>
              <w:rPr>
                <w:sz w:val="18"/>
                <w:szCs w:val="18"/>
              </w:rPr>
            </w:pPr>
            <w:r w:rsidRPr="00AC375F">
              <w:rPr>
                <w:sz w:val="18"/>
                <w:szCs w:val="18"/>
              </w:rPr>
              <w:t>Amsterdam</w:t>
            </w:r>
          </w:p>
        </w:tc>
        <w:tc>
          <w:tcPr>
            <w:tcW w:w="992" w:type="dxa"/>
            <w:shd w:val="clear" w:color="auto" w:fill="FFFFFF" w:themeFill="background1"/>
            <w:noWrap/>
            <w:vAlign w:val="center"/>
          </w:tcPr>
          <w:p w14:paraId="4A7F382F" w14:textId="77777777" w:rsidR="00AC375F" w:rsidRPr="00AC375F" w:rsidRDefault="00AC375F" w:rsidP="00AC375F">
            <w:pPr>
              <w:jc w:val="center"/>
              <w:rPr>
                <w:sz w:val="18"/>
                <w:szCs w:val="18"/>
              </w:rPr>
            </w:pPr>
            <w:r w:rsidRPr="00AC375F">
              <w:rPr>
                <w:sz w:val="18"/>
                <w:szCs w:val="18"/>
              </w:rPr>
              <w:t>2</w:t>
            </w:r>
          </w:p>
        </w:tc>
        <w:tc>
          <w:tcPr>
            <w:tcW w:w="993" w:type="dxa"/>
            <w:shd w:val="clear" w:color="auto" w:fill="FFFFFF" w:themeFill="background1"/>
            <w:noWrap/>
            <w:vAlign w:val="center"/>
          </w:tcPr>
          <w:p w14:paraId="0D9B5172" w14:textId="77777777" w:rsidR="00AC375F" w:rsidRPr="00AC375F" w:rsidRDefault="00AC375F" w:rsidP="00AC375F">
            <w:pPr>
              <w:jc w:val="center"/>
              <w:rPr>
                <w:sz w:val="18"/>
                <w:szCs w:val="18"/>
              </w:rPr>
            </w:pPr>
            <w:r w:rsidRPr="00AC375F">
              <w:rPr>
                <w:sz w:val="18"/>
                <w:szCs w:val="18"/>
              </w:rPr>
              <w:t>ožujak</w:t>
            </w:r>
          </w:p>
        </w:tc>
        <w:tc>
          <w:tcPr>
            <w:tcW w:w="1563" w:type="dxa"/>
            <w:shd w:val="clear" w:color="auto" w:fill="FFFFFF" w:themeFill="background1"/>
            <w:noWrap/>
            <w:vAlign w:val="center"/>
          </w:tcPr>
          <w:p w14:paraId="1A904B3F" w14:textId="77777777" w:rsidR="00AC375F" w:rsidRPr="00AC375F" w:rsidRDefault="00AC375F" w:rsidP="00AC375F">
            <w:pPr>
              <w:jc w:val="center"/>
              <w:rPr>
                <w:sz w:val="18"/>
                <w:szCs w:val="18"/>
              </w:rPr>
            </w:pPr>
            <w:r w:rsidRPr="00AC375F">
              <w:rPr>
                <w:sz w:val="18"/>
                <w:szCs w:val="18"/>
              </w:rPr>
              <w:t>4, 4</w:t>
            </w:r>
          </w:p>
        </w:tc>
      </w:tr>
      <w:tr w:rsidR="00AC375F" w:rsidRPr="00AC375F" w14:paraId="0ED97859" w14:textId="77777777" w:rsidTr="00991955">
        <w:trPr>
          <w:trHeight w:val="237"/>
        </w:trPr>
        <w:tc>
          <w:tcPr>
            <w:tcW w:w="4390" w:type="dxa"/>
            <w:shd w:val="clear" w:color="auto" w:fill="auto"/>
            <w:noWrap/>
            <w:vAlign w:val="center"/>
          </w:tcPr>
          <w:p w14:paraId="165813BB" w14:textId="77777777" w:rsidR="00AC375F" w:rsidRPr="00AC375F" w:rsidRDefault="00AC375F" w:rsidP="00AC375F">
            <w:pPr>
              <w:rPr>
                <w:bCs/>
                <w:sz w:val="18"/>
                <w:szCs w:val="18"/>
              </w:rPr>
            </w:pPr>
          </w:p>
        </w:tc>
        <w:tc>
          <w:tcPr>
            <w:tcW w:w="1417" w:type="dxa"/>
            <w:shd w:val="clear" w:color="auto" w:fill="FFFFFF" w:themeFill="background1"/>
            <w:noWrap/>
            <w:vAlign w:val="center"/>
          </w:tcPr>
          <w:p w14:paraId="4BF9B2D7"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FFFFFF" w:themeFill="background1"/>
            <w:noWrap/>
            <w:vAlign w:val="center"/>
          </w:tcPr>
          <w:p w14:paraId="454ECE01" w14:textId="77777777" w:rsidR="00AC375F" w:rsidRPr="00AC375F" w:rsidRDefault="00AC375F" w:rsidP="00AC375F">
            <w:pPr>
              <w:jc w:val="center"/>
              <w:rPr>
                <w:sz w:val="18"/>
                <w:szCs w:val="18"/>
              </w:rPr>
            </w:pPr>
            <w:r w:rsidRPr="00AC375F">
              <w:rPr>
                <w:sz w:val="18"/>
                <w:szCs w:val="18"/>
              </w:rPr>
              <w:t>2</w:t>
            </w:r>
          </w:p>
        </w:tc>
        <w:tc>
          <w:tcPr>
            <w:tcW w:w="993" w:type="dxa"/>
            <w:shd w:val="clear" w:color="auto" w:fill="FFFFFF" w:themeFill="background1"/>
            <w:noWrap/>
            <w:vAlign w:val="center"/>
          </w:tcPr>
          <w:p w14:paraId="7B41C56A" w14:textId="77777777" w:rsidR="00AC375F" w:rsidRPr="00AC375F" w:rsidRDefault="00AC375F" w:rsidP="00AC375F">
            <w:pPr>
              <w:jc w:val="center"/>
              <w:rPr>
                <w:sz w:val="18"/>
                <w:szCs w:val="18"/>
              </w:rPr>
            </w:pPr>
            <w:r w:rsidRPr="00AC375F">
              <w:rPr>
                <w:sz w:val="18"/>
                <w:szCs w:val="18"/>
              </w:rPr>
              <w:t>travanj</w:t>
            </w:r>
          </w:p>
        </w:tc>
        <w:tc>
          <w:tcPr>
            <w:tcW w:w="1563" w:type="dxa"/>
            <w:shd w:val="clear" w:color="auto" w:fill="FFFFFF" w:themeFill="background1"/>
            <w:noWrap/>
            <w:vAlign w:val="center"/>
          </w:tcPr>
          <w:p w14:paraId="253F7789" w14:textId="77777777" w:rsidR="00AC375F" w:rsidRPr="00AC375F" w:rsidRDefault="00AC375F" w:rsidP="00AC375F">
            <w:pPr>
              <w:jc w:val="center"/>
              <w:rPr>
                <w:sz w:val="18"/>
                <w:szCs w:val="18"/>
              </w:rPr>
            </w:pPr>
            <w:r w:rsidRPr="00AC375F">
              <w:rPr>
                <w:sz w:val="18"/>
                <w:szCs w:val="18"/>
              </w:rPr>
              <w:t>3, 3</w:t>
            </w:r>
          </w:p>
        </w:tc>
      </w:tr>
      <w:tr w:rsidR="00AC375F" w:rsidRPr="00AC375F" w14:paraId="6822C8B8" w14:textId="77777777" w:rsidTr="00991955">
        <w:trPr>
          <w:trHeight w:val="237"/>
        </w:trPr>
        <w:tc>
          <w:tcPr>
            <w:tcW w:w="4390" w:type="dxa"/>
            <w:shd w:val="clear" w:color="auto" w:fill="auto"/>
            <w:noWrap/>
            <w:vAlign w:val="center"/>
          </w:tcPr>
          <w:p w14:paraId="47EA9CF0" w14:textId="77777777" w:rsidR="00AC375F" w:rsidRPr="00AC375F" w:rsidRDefault="00AC375F" w:rsidP="00AC375F">
            <w:pPr>
              <w:rPr>
                <w:bCs/>
                <w:sz w:val="18"/>
                <w:szCs w:val="18"/>
              </w:rPr>
            </w:pPr>
          </w:p>
        </w:tc>
        <w:tc>
          <w:tcPr>
            <w:tcW w:w="1417" w:type="dxa"/>
            <w:shd w:val="clear" w:color="auto" w:fill="FFFFFF" w:themeFill="background1"/>
            <w:noWrap/>
            <w:vAlign w:val="center"/>
          </w:tcPr>
          <w:p w14:paraId="0E937C48" w14:textId="77777777" w:rsidR="00AC375F" w:rsidRPr="00AC375F" w:rsidRDefault="00AC375F" w:rsidP="00AC375F">
            <w:pPr>
              <w:jc w:val="center"/>
              <w:rPr>
                <w:sz w:val="18"/>
                <w:szCs w:val="18"/>
              </w:rPr>
            </w:pPr>
            <w:r w:rsidRPr="00AC375F">
              <w:rPr>
                <w:sz w:val="18"/>
                <w:szCs w:val="18"/>
              </w:rPr>
              <w:t>Amsterdam/ virtualno</w:t>
            </w:r>
          </w:p>
        </w:tc>
        <w:tc>
          <w:tcPr>
            <w:tcW w:w="992" w:type="dxa"/>
            <w:shd w:val="clear" w:color="auto" w:fill="FFFFFF" w:themeFill="background1"/>
            <w:noWrap/>
            <w:vAlign w:val="center"/>
          </w:tcPr>
          <w:p w14:paraId="4B138882" w14:textId="77777777" w:rsidR="00AC375F" w:rsidRPr="00AC375F" w:rsidRDefault="00AC375F" w:rsidP="00AC375F">
            <w:pPr>
              <w:jc w:val="center"/>
              <w:rPr>
                <w:sz w:val="18"/>
                <w:szCs w:val="18"/>
              </w:rPr>
            </w:pPr>
            <w:r w:rsidRPr="00AC375F">
              <w:rPr>
                <w:sz w:val="18"/>
                <w:szCs w:val="18"/>
              </w:rPr>
              <w:t>2</w:t>
            </w:r>
          </w:p>
        </w:tc>
        <w:tc>
          <w:tcPr>
            <w:tcW w:w="993" w:type="dxa"/>
            <w:shd w:val="clear" w:color="auto" w:fill="FFFFFF" w:themeFill="background1"/>
            <w:noWrap/>
            <w:vAlign w:val="center"/>
          </w:tcPr>
          <w:p w14:paraId="4768BF77" w14:textId="77777777" w:rsidR="00AC375F" w:rsidRPr="00AC375F" w:rsidRDefault="00AC375F" w:rsidP="00AC375F">
            <w:pPr>
              <w:jc w:val="center"/>
              <w:rPr>
                <w:sz w:val="18"/>
                <w:szCs w:val="18"/>
              </w:rPr>
            </w:pPr>
            <w:r w:rsidRPr="00AC375F">
              <w:rPr>
                <w:sz w:val="18"/>
                <w:szCs w:val="18"/>
              </w:rPr>
              <w:t>svibanj</w:t>
            </w:r>
          </w:p>
        </w:tc>
        <w:tc>
          <w:tcPr>
            <w:tcW w:w="1563" w:type="dxa"/>
            <w:shd w:val="clear" w:color="auto" w:fill="FFFFFF" w:themeFill="background1"/>
            <w:noWrap/>
            <w:vAlign w:val="center"/>
          </w:tcPr>
          <w:p w14:paraId="188602B6" w14:textId="77777777" w:rsidR="00AC375F" w:rsidRPr="00AC375F" w:rsidRDefault="00AC375F" w:rsidP="00AC375F">
            <w:pPr>
              <w:jc w:val="center"/>
              <w:rPr>
                <w:sz w:val="18"/>
                <w:szCs w:val="18"/>
              </w:rPr>
            </w:pPr>
            <w:r w:rsidRPr="00AC375F">
              <w:rPr>
                <w:sz w:val="18"/>
                <w:szCs w:val="18"/>
              </w:rPr>
              <w:t>4, 4</w:t>
            </w:r>
          </w:p>
        </w:tc>
      </w:tr>
      <w:tr w:rsidR="00AC375F" w:rsidRPr="00AC375F" w14:paraId="0BF5BDA6" w14:textId="77777777" w:rsidTr="00991955">
        <w:trPr>
          <w:trHeight w:val="237"/>
        </w:trPr>
        <w:tc>
          <w:tcPr>
            <w:tcW w:w="4390" w:type="dxa"/>
            <w:shd w:val="clear" w:color="auto" w:fill="auto"/>
            <w:noWrap/>
            <w:vAlign w:val="center"/>
          </w:tcPr>
          <w:p w14:paraId="197B3B6C" w14:textId="77777777" w:rsidR="00AC375F" w:rsidRPr="00AC375F" w:rsidRDefault="00AC375F" w:rsidP="00AC375F">
            <w:pPr>
              <w:rPr>
                <w:bCs/>
                <w:sz w:val="18"/>
                <w:szCs w:val="18"/>
              </w:rPr>
            </w:pPr>
          </w:p>
        </w:tc>
        <w:tc>
          <w:tcPr>
            <w:tcW w:w="1417" w:type="dxa"/>
            <w:shd w:val="clear" w:color="auto" w:fill="FFFFFF" w:themeFill="background1"/>
            <w:noWrap/>
            <w:vAlign w:val="center"/>
          </w:tcPr>
          <w:p w14:paraId="27A36C63"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FFFFFF" w:themeFill="background1"/>
            <w:noWrap/>
            <w:vAlign w:val="center"/>
          </w:tcPr>
          <w:p w14:paraId="4381D6C0" w14:textId="77777777" w:rsidR="00AC375F" w:rsidRPr="00AC375F" w:rsidRDefault="00AC375F" w:rsidP="00AC375F">
            <w:pPr>
              <w:jc w:val="center"/>
              <w:rPr>
                <w:sz w:val="18"/>
                <w:szCs w:val="18"/>
              </w:rPr>
            </w:pPr>
            <w:r w:rsidRPr="00AC375F">
              <w:rPr>
                <w:sz w:val="18"/>
                <w:szCs w:val="18"/>
              </w:rPr>
              <w:t>2</w:t>
            </w:r>
          </w:p>
        </w:tc>
        <w:tc>
          <w:tcPr>
            <w:tcW w:w="993" w:type="dxa"/>
            <w:shd w:val="clear" w:color="auto" w:fill="FFFFFF" w:themeFill="background1"/>
            <w:noWrap/>
            <w:vAlign w:val="center"/>
          </w:tcPr>
          <w:p w14:paraId="671853D9" w14:textId="77777777" w:rsidR="00AC375F" w:rsidRPr="00AC375F" w:rsidRDefault="00AC375F" w:rsidP="00AC375F">
            <w:pPr>
              <w:jc w:val="center"/>
              <w:rPr>
                <w:sz w:val="18"/>
                <w:szCs w:val="18"/>
              </w:rPr>
            </w:pPr>
            <w:r w:rsidRPr="00AC375F">
              <w:rPr>
                <w:sz w:val="18"/>
                <w:szCs w:val="18"/>
              </w:rPr>
              <w:t>lipanj</w:t>
            </w:r>
          </w:p>
        </w:tc>
        <w:tc>
          <w:tcPr>
            <w:tcW w:w="1563" w:type="dxa"/>
            <w:shd w:val="clear" w:color="auto" w:fill="FFFFFF" w:themeFill="background1"/>
            <w:noWrap/>
            <w:vAlign w:val="center"/>
          </w:tcPr>
          <w:p w14:paraId="2B558C57" w14:textId="77777777" w:rsidR="00AC375F" w:rsidRPr="00AC375F" w:rsidRDefault="00AC375F" w:rsidP="00AC375F">
            <w:pPr>
              <w:jc w:val="center"/>
              <w:rPr>
                <w:sz w:val="18"/>
                <w:szCs w:val="18"/>
              </w:rPr>
            </w:pPr>
            <w:r w:rsidRPr="00AC375F">
              <w:rPr>
                <w:sz w:val="18"/>
                <w:szCs w:val="18"/>
              </w:rPr>
              <w:t>4, 4</w:t>
            </w:r>
          </w:p>
        </w:tc>
      </w:tr>
      <w:tr w:rsidR="00AC375F" w:rsidRPr="00AC375F" w14:paraId="49F3A6F3" w14:textId="77777777" w:rsidTr="00991955">
        <w:trPr>
          <w:trHeight w:val="237"/>
        </w:trPr>
        <w:tc>
          <w:tcPr>
            <w:tcW w:w="4390" w:type="dxa"/>
            <w:shd w:val="clear" w:color="auto" w:fill="auto"/>
            <w:noWrap/>
            <w:vAlign w:val="center"/>
          </w:tcPr>
          <w:p w14:paraId="6D794D30" w14:textId="77777777" w:rsidR="00AC375F" w:rsidRPr="00AC375F" w:rsidRDefault="00AC375F" w:rsidP="00AC375F">
            <w:pPr>
              <w:rPr>
                <w:bCs/>
                <w:sz w:val="18"/>
                <w:szCs w:val="18"/>
              </w:rPr>
            </w:pPr>
          </w:p>
        </w:tc>
        <w:tc>
          <w:tcPr>
            <w:tcW w:w="1417" w:type="dxa"/>
            <w:shd w:val="clear" w:color="auto" w:fill="FFFFFF" w:themeFill="background1"/>
            <w:noWrap/>
            <w:vAlign w:val="center"/>
          </w:tcPr>
          <w:p w14:paraId="61931A01" w14:textId="77777777" w:rsidR="00AC375F" w:rsidRPr="00AC375F" w:rsidRDefault="00AC375F" w:rsidP="00AC375F">
            <w:pPr>
              <w:jc w:val="center"/>
              <w:rPr>
                <w:sz w:val="18"/>
                <w:szCs w:val="18"/>
              </w:rPr>
            </w:pPr>
            <w:r w:rsidRPr="00AC375F">
              <w:rPr>
                <w:sz w:val="18"/>
                <w:szCs w:val="18"/>
              </w:rPr>
              <w:t>Amsterdam</w:t>
            </w:r>
          </w:p>
        </w:tc>
        <w:tc>
          <w:tcPr>
            <w:tcW w:w="992" w:type="dxa"/>
            <w:shd w:val="clear" w:color="auto" w:fill="FFFFFF" w:themeFill="background1"/>
            <w:noWrap/>
            <w:vAlign w:val="center"/>
          </w:tcPr>
          <w:p w14:paraId="63598409" w14:textId="77777777" w:rsidR="00AC375F" w:rsidRPr="00AC375F" w:rsidRDefault="00AC375F" w:rsidP="00AC375F">
            <w:pPr>
              <w:jc w:val="center"/>
              <w:rPr>
                <w:sz w:val="18"/>
                <w:szCs w:val="18"/>
              </w:rPr>
            </w:pPr>
            <w:r w:rsidRPr="00AC375F">
              <w:rPr>
                <w:sz w:val="18"/>
                <w:szCs w:val="18"/>
              </w:rPr>
              <w:t>2</w:t>
            </w:r>
          </w:p>
        </w:tc>
        <w:tc>
          <w:tcPr>
            <w:tcW w:w="993" w:type="dxa"/>
            <w:shd w:val="clear" w:color="auto" w:fill="FFFFFF" w:themeFill="background1"/>
            <w:noWrap/>
            <w:vAlign w:val="center"/>
          </w:tcPr>
          <w:p w14:paraId="7C2B27C8" w14:textId="77777777" w:rsidR="00AC375F" w:rsidRPr="00AC375F" w:rsidRDefault="00AC375F" w:rsidP="00AC375F">
            <w:pPr>
              <w:jc w:val="center"/>
              <w:rPr>
                <w:sz w:val="18"/>
                <w:szCs w:val="18"/>
              </w:rPr>
            </w:pPr>
            <w:r w:rsidRPr="00AC375F">
              <w:rPr>
                <w:sz w:val="18"/>
                <w:szCs w:val="18"/>
              </w:rPr>
              <w:t>srpanj</w:t>
            </w:r>
          </w:p>
        </w:tc>
        <w:tc>
          <w:tcPr>
            <w:tcW w:w="1563" w:type="dxa"/>
            <w:shd w:val="clear" w:color="auto" w:fill="FFFFFF" w:themeFill="background1"/>
            <w:noWrap/>
            <w:vAlign w:val="center"/>
          </w:tcPr>
          <w:p w14:paraId="1EA20DAF" w14:textId="77777777" w:rsidR="00AC375F" w:rsidRPr="00AC375F" w:rsidRDefault="00AC375F" w:rsidP="00AC375F">
            <w:pPr>
              <w:jc w:val="center"/>
              <w:rPr>
                <w:sz w:val="18"/>
                <w:szCs w:val="18"/>
              </w:rPr>
            </w:pPr>
            <w:r w:rsidRPr="00AC375F">
              <w:rPr>
                <w:sz w:val="18"/>
                <w:szCs w:val="18"/>
              </w:rPr>
              <w:t>4, 4</w:t>
            </w:r>
          </w:p>
        </w:tc>
      </w:tr>
      <w:tr w:rsidR="00AC375F" w:rsidRPr="00AC375F" w14:paraId="4142D15E" w14:textId="77777777" w:rsidTr="00991955">
        <w:trPr>
          <w:trHeight w:val="310"/>
        </w:trPr>
        <w:tc>
          <w:tcPr>
            <w:tcW w:w="4390" w:type="dxa"/>
            <w:shd w:val="clear" w:color="auto" w:fill="auto"/>
            <w:vAlign w:val="center"/>
          </w:tcPr>
          <w:p w14:paraId="235890D8" w14:textId="77777777" w:rsidR="00AC375F" w:rsidRPr="00AC375F" w:rsidRDefault="00AC375F" w:rsidP="00AC375F">
            <w:pPr>
              <w:rPr>
                <w:b/>
                <w:bCs/>
                <w:sz w:val="18"/>
                <w:szCs w:val="18"/>
              </w:rPr>
            </w:pPr>
          </w:p>
        </w:tc>
        <w:tc>
          <w:tcPr>
            <w:tcW w:w="1417" w:type="dxa"/>
            <w:shd w:val="clear" w:color="auto" w:fill="auto"/>
            <w:noWrap/>
            <w:vAlign w:val="center"/>
          </w:tcPr>
          <w:p w14:paraId="17B97CC6" w14:textId="77777777" w:rsidR="00AC375F" w:rsidRPr="00AC375F" w:rsidRDefault="00AC375F" w:rsidP="00AC375F">
            <w:pPr>
              <w:jc w:val="center"/>
              <w:rPr>
                <w:sz w:val="18"/>
                <w:szCs w:val="18"/>
              </w:rPr>
            </w:pPr>
            <w:r w:rsidRPr="00AC375F">
              <w:rPr>
                <w:sz w:val="18"/>
                <w:szCs w:val="18"/>
              </w:rPr>
              <w:t>Amsterdam</w:t>
            </w:r>
          </w:p>
        </w:tc>
        <w:tc>
          <w:tcPr>
            <w:tcW w:w="992" w:type="dxa"/>
            <w:shd w:val="clear" w:color="auto" w:fill="auto"/>
            <w:noWrap/>
            <w:vAlign w:val="center"/>
          </w:tcPr>
          <w:p w14:paraId="41F4644A" w14:textId="77777777" w:rsidR="00AC375F" w:rsidRPr="00AC375F" w:rsidRDefault="00AC375F" w:rsidP="00AC375F">
            <w:pPr>
              <w:jc w:val="center"/>
              <w:rPr>
                <w:sz w:val="18"/>
                <w:szCs w:val="18"/>
              </w:rPr>
            </w:pPr>
            <w:r w:rsidRPr="00AC375F">
              <w:rPr>
                <w:sz w:val="18"/>
                <w:szCs w:val="18"/>
              </w:rPr>
              <w:t>2</w:t>
            </w:r>
          </w:p>
        </w:tc>
        <w:tc>
          <w:tcPr>
            <w:tcW w:w="993" w:type="dxa"/>
            <w:shd w:val="clear" w:color="auto" w:fill="auto"/>
            <w:noWrap/>
            <w:vAlign w:val="center"/>
          </w:tcPr>
          <w:p w14:paraId="57B832BD" w14:textId="77777777" w:rsidR="00AC375F" w:rsidRPr="00AC375F" w:rsidRDefault="00AC375F" w:rsidP="00AC375F">
            <w:pPr>
              <w:jc w:val="center"/>
              <w:rPr>
                <w:sz w:val="18"/>
                <w:szCs w:val="18"/>
              </w:rPr>
            </w:pPr>
            <w:r w:rsidRPr="00AC375F">
              <w:rPr>
                <w:sz w:val="18"/>
                <w:szCs w:val="18"/>
              </w:rPr>
              <w:t>rujan</w:t>
            </w:r>
          </w:p>
        </w:tc>
        <w:tc>
          <w:tcPr>
            <w:tcW w:w="1563" w:type="dxa"/>
            <w:shd w:val="clear" w:color="auto" w:fill="auto"/>
            <w:noWrap/>
            <w:vAlign w:val="center"/>
          </w:tcPr>
          <w:p w14:paraId="507F5DEB" w14:textId="77777777" w:rsidR="00AC375F" w:rsidRPr="00AC375F" w:rsidRDefault="00AC375F" w:rsidP="00AC375F">
            <w:pPr>
              <w:jc w:val="center"/>
              <w:rPr>
                <w:sz w:val="18"/>
                <w:szCs w:val="18"/>
              </w:rPr>
            </w:pPr>
            <w:r w:rsidRPr="00AC375F">
              <w:rPr>
                <w:sz w:val="18"/>
                <w:szCs w:val="18"/>
              </w:rPr>
              <w:t>4, 4</w:t>
            </w:r>
          </w:p>
        </w:tc>
      </w:tr>
      <w:tr w:rsidR="00AC375F" w:rsidRPr="00AC375F" w14:paraId="63B07913" w14:textId="77777777" w:rsidTr="00991955">
        <w:trPr>
          <w:trHeight w:val="310"/>
        </w:trPr>
        <w:tc>
          <w:tcPr>
            <w:tcW w:w="4390" w:type="dxa"/>
            <w:shd w:val="clear" w:color="auto" w:fill="auto"/>
            <w:vAlign w:val="center"/>
          </w:tcPr>
          <w:p w14:paraId="3B66EA8D" w14:textId="77777777" w:rsidR="00AC375F" w:rsidRPr="00AC375F" w:rsidRDefault="00AC375F" w:rsidP="00AC375F">
            <w:pPr>
              <w:rPr>
                <w:b/>
                <w:bCs/>
                <w:sz w:val="18"/>
                <w:szCs w:val="18"/>
              </w:rPr>
            </w:pPr>
          </w:p>
        </w:tc>
        <w:tc>
          <w:tcPr>
            <w:tcW w:w="1417" w:type="dxa"/>
            <w:shd w:val="clear" w:color="auto" w:fill="auto"/>
            <w:noWrap/>
            <w:vAlign w:val="center"/>
          </w:tcPr>
          <w:p w14:paraId="7640F02C"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auto"/>
            <w:noWrap/>
            <w:vAlign w:val="center"/>
          </w:tcPr>
          <w:p w14:paraId="344AB6BB" w14:textId="77777777" w:rsidR="00AC375F" w:rsidRPr="00AC375F" w:rsidRDefault="00AC375F" w:rsidP="00AC375F">
            <w:pPr>
              <w:jc w:val="center"/>
              <w:rPr>
                <w:sz w:val="18"/>
                <w:szCs w:val="18"/>
              </w:rPr>
            </w:pPr>
            <w:r w:rsidRPr="00AC375F">
              <w:rPr>
                <w:sz w:val="18"/>
                <w:szCs w:val="18"/>
              </w:rPr>
              <w:t>1</w:t>
            </w:r>
          </w:p>
        </w:tc>
        <w:tc>
          <w:tcPr>
            <w:tcW w:w="993" w:type="dxa"/>
            <w:shd w:val="clear" w:color="auto" w:fill="auto"/>
            <w:noWrap/>
            <w:vAlign w:val="center"/>
          </w:tcPr>
          <w:p w14:paraId="3150E965" w14:textId="77777777" w:rsidR="00AC375F" w:rsidRPr="00AC375F" w:rsidRDefault="00AC375F" w:rsidP="00AC375F">
            <w:pPr>
              <w:jc w:val="center"/>
              <w:rPr>
                <w:sz w:val="18"/>
                <w:szCs w:val="18"/>
              </w:rPr>
            </w:pPr>
            <w:r w:rsidRPr="00AC375F">
              <w:rPr>
                <w:sz w:val="18"/>
                <w:szCs w:val="18"/>
              </w:rPr>
              <w:t>listopad</w:t>
            </w:r>
          </w:p>
        </w:tc>
        <w:tc>
          <w:tcPr>
            <w:tcW w:w="1563" w:type="dxa"/>
            <w:shd w:val="clear" w:color="auto" w:fill="auto"/>
            <w:noWrap/>
            <w:vAlign w:val="center"/>
          </w:tcPr>
          <w:p w14:paraId="081689C8" w14:textId="77777777" w:rsidR="00AC375F" w:rsidRPr="00AC375F" w:rsidRDefault="00AC375F" w:rsidP="00AC375F">
            <w:pPr>
              <w:jc w:val="center"/>
              <w:rPr>
                <w:sz w:val="18"/>
                <w:szCs w:val="18"/>
              </w:rPr>
            </w:pPr>
            <w:r w:rsidRPr="00AC375F">
              <w:rPr>
                <w:sz w:val="18"/>
                <w:szCs w:val="18"/>
              </w:rPr>
              <w:t>4</w:t>
            </w:r>
          </w:p>
        </w:tc>
      </w:tr>
      <w:tr w:rsidR="00AC375F" w:rsidRPr="00AC375F" w14:paraId="193B44F1" w14:textId="77777777" w:rsidTr="00991955">
        <w:trPr>
          <w:trHeight w:val="310"/>
        </w:trPr>
        <w:tc>
          <w:tcPr>
            <w:tcW w:w="4390" w:type="dxa"/>
            <w:shd w:val="clear" w:color="auto" w:fill="auto"/>
            <w:vAlign w:val="center"/>
          </w:tcPr>
          <w:p w14:paraId="0421A952" w14:textId="77777777" w:rsidR="00AC375F" w:rsidRPr="00AC375F" w:rsidRDefault="00AC375F" w:rsidP="00AC375F">
            <w:pPr>
              <w:rPr>
                <w:b/>
                <w:bCs/>
                <w:sz w:val="18"/>
                <w:szCs w:val="18"/>
              </w:rPr>
            </w:pPr>
          </w:p>
        </w:tc>
        <w:tc>
          <w:tcPr>
            <w:tcW w:w="1417" w:type="dxa"/>
            <w:shd w:val="clear" w:color="auto" w:fill="auto"/>
            <w:noWrap/>
            <w:vAlign w:val="center"/>
          </w:tcPr>
          <w:p w14:paraId="1A6952FB" w14:textId="77777777" w:rsidR="00AC375F" w:rsidRPr="00AC375F" w:rsidRDefault="00AC375F" w:rsidP="00AC375F">
            <w:pPr>
              <w:jc w:val="center"/>
              <w:rPr>
                <w:sz w:val="18"/>
                <w:szCs w:val="18"/>
              </w:rPr>
            </w:pPr>
            <w:r w:rsidRPr="00AC375F">
              <w:rPr>
                <w:sz w:val="18"/>
                <w:szCs w:val="18"/>
              </w:rPr>
              <w:t>Amsterdam</w:t>
            </w:r>
          </w:p>
        </w:tc>
        <w:tc>
          <w:tcPr>
            <w:tcW w:w="992" w:type="dxa"/>
            <w:shd w:val="clear" w:color="auto" w:fill="auto"/>
            <w:noWrap/>
            <w:vAlign w:val="center"/>
          </w:tcPr>
          <w:p w14:paraId="55A136C2" w14:textId="77777777" w:rsidR="00AC375F" w:rsidRPr="00AC375F" w:rsidRDefault="00AC375F" w:rsidP="00AC375F">
            <w:pPr>
              <w:jc w:val="center"/>
              <w:rPr>
                <w:sz w:val="18"/>
                <w:szCs w:val="18"/>
              </w:rPr>
            </w:pPr>
            <w:r w:rsidRPr="00AC375F">
              <w:rPr>
                <w:sz w:val="18"/>
                <w:szCs w:val="18"/>
              </w:rPr>
              <w:t>2</w:t>
            </w:r>
          </w:p>
        </w:tc>
        <w:tc>
          <w:tcPr>
            <w:tcW w:w="993" w:type="dxa"/>
            <w:shd w:val="clear" w:color="auto" w:fill="auto"/>
            <w:noWrap/>
            <w:vAlign w:val="center"/>
          </w:tcPr>
          <w:p w14:paraId="24BE8692" w14:textId="77777777" w:rsidR="00AC375F" w:rsidRPr="00AC375F" w:rsidRDefault="00AC375F" w:rsidP="00AC375F">
            <w:pPr>
              <w:jc w:val="center"/>
              <w:rPr>
                <w:sz w:val="18"/>
                <w:szCs w:val="18"/>
              </w:rPr>
            </w:pPr>
            <w:r w:rsidRPr="00AC375F">
              <w:rPr>
                <w:sz w:val="18"/>
                <w:szCs w:val="18"/>
              </w:rPr>
              <w:t>studeni</w:t>
            </w:r>
          </w:p>
        </w:tc>
        <w:tc>
          <w:tcPr>
            <w:tcW w:w="1563" w:type="dxa"/>
            <w:shd w:val="clear" w:color="auto" w:fill="auto"/>
            <w:noWrap/>
            <w:vAlign w:val="center"/>
          </w:tcPr>
          <w:p w14:paraId="3C3D5D91" w14:textId="77777777" w:rsidR="00AC375F" w:rsidRPr="00AC375F" w:rsidRDefault="00AC375F" w:rsidP="00AC375F">
            <w:pPr>
              <w:jc w:val="center"/>
              <w:rPr>
                <w:sz w:val="18"/>
                <w:szCs w:val="18"/>
              </w:rPr>
            </w:pPr>
            <w:r w:rsidRPr="00AC375F">
              <w:rPr>
                <w:sz w:val="18"/>
                <w:szCs w:val="18"/>
              </w:rPr>
              <w:t>4, 4</w:t>
            </w:r>
          </w:p>
        </w:tc>
      </w:tr>
      <w:tr w:rsidR="00AC375F" w:rsidRPr="00AC375F" w14:paraId="7198379F" w14:textId="77777777" w:rsidTr="00991955">
        <w:trPr>
          <w:trHeight w:val="310"/>
        </w:trPr>
        <w:tc>
          <w:tcPr>
            <w:tcW w:w="4390" w:type="dxa"/>
            <w:shd w:val="clear" w:color="auto" w:fill="auto"/>
            <w:vAlign w:val="center"/>
          </w:tcPr>
          <w:p w14:paraId="11D08D0C" w14:textId="77777777" w:rsidR="00AC375F" w:rsidRPr="00AC375F" w:rsidRDefault="00AC375F" w:rsidP="00AC375F">
            <w:pPr>
              <w:rPr>
                <w:b/>
                <w:bCs/>
                <w:sz w:val="18"/>
                <w:szCs w:val="18"/>
              </w:rPr>
            </w:pPr>
          </w:p>
        </w:tc>
        <w:tc>
          <w:tcPr>
            <w:tcW w:w="1417" w:type="dxa"/>
            <w:shd w:val="clear" w:color="auto" w:fill="auto"/>
            <w:noWrap/>
            <w:vAlign w:val="center"/>
          </w:tcPr>
          <w:p w14:paraId="08BFC161"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auto"/>
            <w:noWrap/>
            <w:vAlign w:val="center"/>
          </w:tcPr>
          <w:p w14:paraId="3F6A6CAC" w14:textId="77777777" w:rsidR="00AC375F" w:rsidRPr="00AC375F" w:rsidRDefault="00AC375F" w:rsidP="00AC375F">
            <w:pPr>
              <w:jc w:val="center"/>
              <w:rPr>
                <w:sz w:val="18"/>
                <w:szCs w:val="18"/>
              </w:rPr>
            </w:pPr>
            <w:r w:rsidRPr="00AC375F">
              <w:rPr>
                <w:sz w:val="18"/>
                <w:szCs w:val="18"/>
              </w:rPr>
              <w:t>2</w:t>
            </w:r>
          </w:p>
        </w:tc>
        <w:tc>
          <w:tcPr>
            <w:tcW w:w="993" w:type="dxa"/>
            <w:shd w:val="clear" w:color="auto" w:fill="auto"/>
            <w:noWrap/>
            <w:vAlign w:val="center"/>
          </w:tcPr>
          <w:p w14:paraId="70D7D26E" w14:textId="77777777" w:rsidR="00AC375F" w:rsidRPr="00AC375F" w:rsidRDefault="00AC375F" w:rsidP="00AC375F">
            <w:pPr>
              <w:jc w:val="center"/>
              <w:rPr>
                <w:sz w:val="18"/>
                <w:szCs w:val="18"/>
              </w:rPr>
            </w:pPr>
            <w:r w:rsidRPr="00AC375F">
              <w:rPr>
                <w:sz w:val="18"/>
                <w:szCs w:val="18"/>
              </w:rPr>
              <w:t>prosinac</w:t>
            </w:r>
          </w:p>
        </w:tc>
        <w:tc>
          <w:tcPr>
            <w:tcW w:w="1563" w:type="dxa"/>
            <w:shd w:val="clear" w:color="auto" w:fill="auto"/>
            <w:noWrap/>
            <w:vAlign w:val="center"/>
          </w:tcPr>
          <w:p w14:paraId="22B0BEE6" w14:textId="77777777" w:rsidR="00AC375F" w:rsidRPr="00AC375F" w:rsidRDefault="00AC375F" w:rsidP="00AC375F">
            <w:pPr>
              <w:jc w:val="center"/>
              <w:rPr>
                <w:sz w:val="18"/>
                <w:szCs w:val="18"/>
              </w:rPr>
            </w:pPr>
            <w:r w:rsidRPr="00AC375F">
              <w:rPr>
                <w:sz w:val="18"/>
                <w:szCs w:val="18"/>
              </w:rPr>
              <w:t>4, 4</w:t>
            </w:r>
          </w:p>
        </w:tc>
      </w:tr>
      <w:tr w:rsidR="00AC375F" w:rsidRPr="00AC375F" w14:paraId="245E5E90" w14:textId="77777777" w:rsidTr="00991955">
        <w:trPr>
          <w:trHeight w:val="310"/>
        </w:trPr>
        <w:tc>
          <w:tcPr>
            <w:tcW w:w="4390" w:type="dxa"/>
            <w:shd w:val="clear" w:color="auto" w:fill="auto"/>
            <w:vAlign w:val="center"/>
          </w:tcPr>
          <w:p w14:paraId="779AC632" w14:textId="77777777" w:rsidR="00AC375F" w:rsidRPr="00AC375F" w:rsidRDefault="00AC375F" w:rsidP="00AC375F">
            <w:pPr>
              <w:rPr>
                <w:b/>
                <w:bCs/>
                <w:sz w:val="18"/>
                <w:szCs w:val="18"/>
              </w:rPr>
            </w:pPr>
            <w:r w:rsidRPr="00AC375F">
              <w:rPr>
                <w:b/>
                <w:bCs/>
                <w:sz w:val="18"/>
                <w:szCs w:val="18"/>
              </w:rPr>
              <w:t>CHMP PROM meeting</w:t>
            </w:r>
          </w:p>
        </w:tc>
        <w:tc>
          <w:tcPr>
            <w:tcW w:w="1417" w:type="dxa"/>
            <w:shd w:val="clear" w:color="auto" w:fill="auto"/>
            <w:noWrap/>
            <w:vAlign w:val="center"/>
          </w:tcPr>
          <w:p w14:paraId="07B25AB0" w14:textId="77777777" w:rsidR="00AC375F" w:rsidRPr="00AC375F" w:rsidRDefault="00AC375F" w:rsidP="00AC375F">
            <w:pPr>
              <w:jc w:val="center"/>
              <w:rPr>
                <w:sz w:val="18"/>
                <w:szCs w:val="18"/>
              </w:rPr>
            </w:pPr>
          </w:p>
        </w:tc>
        <w:tc>
          <w:tcPr>
            <w:tcW w:w="992" w:type="dxa"/>
            <w:shd w:val="clear" w:color="auto" w:fill="auto"/>
            <w:noWrap/>
            <w:vAlign w:val="center"/>
          </w:tcPr>
          <w:p w14:paraId="604DC26A" w14:textId="77777777" w:rsidR="00AC375F" w:rsidRPr="00AC375F" w:rsidRDefault="00AC375F" w:rsidP="00AC375F">
            <w:pPr>
              <w:jc w:val="center"/>
              <w:rPr>
                <w:sz w:val="18"/>
                <w:szCs w:val="18"/>
              </w:rPr>
            </w:pPr>
          </w:p>
        </w:tc>
        <w:tc>
          <w:tcPr>
            <w:tcW w:w="993" w:type="dxa"/>
            <w:shd w:val="clear" w:color="auto" w:fill="auto"/>
            <w:noWrap/>
            <w:vAlign w:val="center"/>
          </w:tcPr>
          <w:p w14:paraId="22284A5B" w14:textId="77777777" w:rsidR="00AC375F" w:rsidRPr="00AC375F" w:rsidRDefault="00AC375F" w:rsidP="00AC375F">
            <w:pPr>
              <w:jc w:val="center"/>
              <w:rPr>
                <w:sz w:val="18"/>
                <w:szCs w:val="18"/>
              </w:rPr>
            </w:pPr>
          </w:p>
        </w:tc>
        <w:tc>
          <w:tcPr>
            <w:tcW w:w="1563" w:type="dxa"/>
            <w:shd w:val="clear" w:color="auto" w:fill="auto"/>
            <w:noWrap/>
            <w:vAlign w:val="center"/>
          </w:tcPr>
          <w:p w14:paraId="7EB94378" w14:textId="77777777" w:rsidR="00AC375F" w:rsidRPr="00AC375F" w:rsidRDefault="00AC375F" w:rsidP="00AC375F">
            <w:pPr>
              <w:jc w:val="center"/>
              <w:rPr>
                <w:sz w:val="18"/>
                <w:szCs w:val="18"/>
              </w:rPr>
            </w:pPr>
          </w:p>
        </w:tc>
      </w:tr>
      <w:tr w:rsidR="00AC375F" w:rsidRPr="00AC375F" w14:paraId="6C04B66A" w14:textId="77777777" w:rsidTr="00991955">
        <w:trPr>
          <w:trHeight w:val="310"/>
        </w:trPr>
        <w:tc>
          <w:tcPr>
            <w:tcW w:w="4390" w:type="dxa"/>
            <w:shd w:val="clear" w:color="auto" w:fill="auto"/>
            <w:vAlign w:val="center"/>
          </w:tcPr>
          <w:p w14:paraId="535E797A" w14:textId="77777777" w:rsidR="00AC375F" w:rsidRPr="00AC375F" w:rsidRDefault="00AC375F" w:rsidP="00AC375F">
            <w:pPr>
              <w:rPr>
                <w:bCs/>
                <w:sz w:val="18"/>
                <w:szCs w:val="18"/>
              </w:rPr>
            </w:pPr>
          </w:p>
        </w:tc>
        <w:tc>
          <w:tcPr>
            <w:tcW w:w="1417" w:type="dxa"/>
            <w:shd w:val="clear" w:color="auto" w:fill="auto"/>
            <w:noWrap/>
            <w:vAlign w:val="center"/>
          </w:tcPr>
          <w:p w14:paraId="6A671BE1"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auto"/>
            <w:noWrap/>
            <w:vAlign w:val="center"/>
          </w:tcPr>
          <w:p w14:paraId="10A5696C" w14:textId="77777777" w:rsidR="00AC375F" w:rsidRPr="00AC375F" w:rsidRDefault="00AC375F" w:rsidP="00AC375F">
            <w:pPr>
              <w:jc w:val="center"/>
              <w:rPr>
                <w:sz w:val="18"/>
                <w:szCs w:val="18"/>
              </w:rPr>
            </w:pPr>
            <w:r w:rsidRPr="00AC375F">
              <w:rPr>
                <w:sz w:val="18"/>
                <w:szCs w:val="18"/>
              </w:rPr>
              <w:t>2</w:t>
            </w:r>
          </w:p>
        </w:tc>
        <w:tc>
          <w:tcPr>
            <w:tcW w:w="993" w:type="dxa"/>
            <w:shd w:val="clear" w:color="auto" w:fill="auto"/>
            <w:noWrap/>
            <w:vAlign w:val="center"/>
          </w:tcPr>
          <w:p w14:paraId="34CA102E" w14:textId="77777777" w:rsidR="00AC375F" w:rsidRPr="00AC375F" w:rsidRDefault="00AC375F" w:rsidP="00AC375F">
            <w:pPr>
              <w:jc w:val="center"/>
              <w:rPr>
                <w:sz w:val="18"/>
                <w:szCs w:val="18"/>
              </w:rPr>
            </w:pPr>
            <w:r w:rsidRPr="00AC375F">
              <w:rPr>
                <w:sz w:val="18"/>
                <w:szCs w:val="18"/>
              </w:rPr>
              <w:t>siječanj</w:t>
            </w:r>
          </w:p>
        </w:tc>
        <w:tc>
          <w:tcPr>
            <w:tcW w:w="1563" w:type="dxa"/>
            <w:shd w:val="clear" w:color="auto" w:fill="auto"/>
            <w:noWrap/>
            <w:vAlign w:val="center"/>
          </w:tcPr>
          <w:p w14:paraId="46DB742D" w14:textId="77777777" w:rsidR="00AC375F" w:rsidRPr="00AC375F" w:rsidRDefault="00AC375F" w:rsidP="00AC375F">
            <w:pPr>
              <w:jc w:val="center"/>
              <w:rPr>
                <w:sz w:val="18"/>
                <w:szCs w:val="18"/>
              </w:rPr>
            </w:pPr>
            <w:r w:rsidRPr="00AC375F">
              <w:rPr>
                <w:sz w:val="18"/>
                <w:szCs w:val="18"/>
              </w:rPr>
              <w:t>1, 1</w:t>
            </w:r>
          </w:p>
        </w:tc>
      </w:tr>
      <w:tr w:rsidR="00AC375F" w:rsidRPr="00AC375F" w14:paraId="17838B6A" w14:textId="77777777" w:rsidTr="00991955">
        <w:trPr>
          <w:trHeight w:val="310"/>
        </w:trPr>
        <w:tc>
          <w:tcPr>
            <w:tcW w:w="4390" w:type="dxa"/>
            <w:shd w:val="clear" w:color="auto" w:fill="auto"/>
            <w:vAlign w:val="center"/>
          </w:tcPr>
          <w:p w14:paraId="0BD6F912" w14:textId="77777777" w:rsidR="00AC375F" w:rsidRPr="00AC375F" w:rsidRDefault="00AC375F" w:rsidP="00AC375F">
            <w:pPr>
              <w:rPr>
                <w:bCs/>
                <w:sz w:val="18"/>
                <w:szCs w:val="18"/>
              </w:rPr>
            </w:pPr>
          </w:p>
        </w:tc>
        <w:tc>
          <w:tcPr>
            <w:tcW w:w="1417" w:type="dxa"/>
            <w:shd w:val="clear" w:color="auto" w:fill="auto"/>
            <w:noWrap/>
            <w:vAlign w:val="center"/>
          </w:tcPr>
          <w:p w14:paraId="511DE50E"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auto"/>
            <w:noWrap/>
            <w:vAlign w:val="center"/>
          </w:tcPr>
          <w:p w14:paraId="02E928CD" w14:textId="77777777" w:rsidR="00AC375F" w:rsidRPr="00AC375F" w:rsidRDefault="00AC375F" w:rsidP="00AC375F">
            <w:pPr>
              <w:jc w:val="center"/>
              <w:rPr>
                <w:sz w:val="18"/>
                <w:szCs w:val="18"/>
              </w:rPr>
            </w:pPr>
            <w:r w:rsidRPr="00AC375F">
              <w:rPr>
                <w:sz w:val="18"/>
                <w:szCs w:val="18"/>
              </w:rPr>
              <w:t>1</w:t>
            </w:r>
          </w:p>
        </w:tc>
        <w:tc>
          <w:tcPr>
            <w:tcW w:w="993" w:type="dxa"/>
            <w:shd w:val="clear" w:color="auto" w:fill="auto"/>
            <w:noWrap/>
            <w:vAlign w:val="center"/>
          </w:tcPr>
          <w:p w14:paraId="45CEE45D" w14:textId="77777777" w:rsidR="00AC375F" w:rsidRPr="00AC375F" w:rsidRDefault="00AC375F" w:rsidP="00AC375F">
            <w:pPr>
              <w:jc w:val="center"/>
              <w:rPr>
                <w:sz w:val="18"/>
                <w:szCs w:val="18"/>
              </w:rPr>
            </w:pPr>
            <w:r w:rsidRPr="00AC375F">
              <w:rPr>
                <w:sz w:val="18"/>
                <w:szCs w:val="18"/>
              </w:rPr>
              <w:t>veljača</w:t>
            </w:r>
          </w:p>
        </w:tc>
        <w:tc>
          <w:tcPr>
            <w:tcW w:w="1563" w:type="dxa"/>
            <w:shd w:val="clear" w:color="auto" w:fill="auto"/>
            <w:noWrap/>
            <w:vAlign w:val="center"/>
          </w:tcPr>
          <w:p w14:paraId="2D1B9DDA" w14:textId="77777777" w:rsidR="00AC375F" w:rsidRPr="00AC375F" w:rsidRDefault="00AC375F" w:rsidP="00AC375F">
            <w:pPr>
              <w:jc w:val="center"/>
              <w:rPr>
                <w:sz w:val="18"/>
                <w:szCs w:val="18"/>
              </w:rPr>
            </w:pPr>
            <w:r w:rsidRPr="00AC375F">
              <w:rPr>
                <w:sz w:val="18"/>
                <w:szCs w:val="18"/>
              </w:rPr>
              <w:t>0,8</w:t>
            </w:r>
          </w:p>
        </w:tc>
      </w:tr>
      <w:tr w:rsidR="00AC375F" w:rsidRPr="00AC375F" w14:paraId="6C305B9B" w14:textId="77777777" w:rsidTr="00991955">
        <w:trPr>
          <w:trHeight w:val="310"/>
        </w:trPr>
        <w:tc>
          <w:tcPr>
            <w:tcW w:w="4390" w:type="dxa"/>
            <w:shd w:val="clear" w:color="auto" w:fill="auto"/>
            <w:vAlign w:val="center"/>
          </w:tcPr>
          <w:p w14:paraId="2C882578" w14:textId="77777777" w:rsidR="00AC375F" w:rsidRPr="00AC375F" w:rsidRDefault="00AC375F" w:rsidP="00AC375F">
            <w:pPr>
              <w:rPr>
                <w:bCs/>
                <w:sz w:val="18"/>
                <w:szCs w:val="18"/>
              </w:rPr>
            </w:pPr>
          </w:p>
        </w:tc>
        <w:tc>
          <w:tcPr>
            <w:tcW w:w="1417" w:type="dxa"/>
            <w:shd w:val="clear" w:color="auto" w:fill="auto"/>
            <w:noWrap/>
            <w:vAlign w:val="center"/>
          </w:tcPr>
          <w:p w14:paraId="7E123CC3"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auto"/>
            <w:noWrap/>
            <w:vAlign w:val="center"/>
          </w:tcPr>
          <w:p w14:paraId="1CB212AE" w14:textId="77777777" w:rsidR="00AC375F" w:rsidRPr="00AC375F" w:rsidRDefault="00AC375F" w:rsidP="00AC375F">
            <w:pPr>
              <w:jc w:val="center"/>
              <w:rPr>
                <w:sz w:val="18"/>
                <w:szCs w:val="18"/>
              </w:rPr>
            </w:pPr>
            <w:r w:rsidRPr="00AC375F">
              <w:rPr>
                <w:sz w:val="18"/>
                <w:szCs w:val="18"/>
              </w:rPr>
              <w:t>2</w:t>
            </w:r>
          </w:p>
        </w:tc>
        <w:tc>
          <w:tcPr>
            <w:tcW w:w="993" w:type="dxa"/>
            <w:shd w:val="clear" w:color="auto" w:fill="auto"/>
            <w:noWrap/>
            <w:vAlign w:val="center"/>
          </w:tcPr>
          <w:p w14:paraId="76837134" w14:textId="77777777" w:rsidR="00AC375F" w:rsidRPr="00AC375F" w:rsidRDefault="00AC375F" w:rsidP="00AC375F">
            <w:pPr>
              <w:jc w:val="center"/>
              <w:rPr>
                <w:sz w:val="18"/>
                <w:szCs w:val="18"/>
              </w:rPr>
            </w:pPr>
            <w:r w:rsidRPr="00AC375F">
              <w:rPr>
                <w:sz w:val="18"/>
                <w:szCs w:val="18"/>
              </w:rPr>
              <w:t>ožujak</w:t>
            </w:r>
          </w:p>
        </w:tc>
        <w:tc>
          <w:tcPr>
            <w:tcW w:w="1563" w:type="dxa"/>
            <w:shd w:val="clear" w:color="auto" w:fill="auto"/>
            <w:noWrap/>
            <w:vAlign w:val="center"/>
          </w:tcPr>
          <w:p w14:paraId="2B9AC97C" w14:textId="77777777" w:rsidR="00AC375F" w:rsidRPr="00AC375F" w:rsidRDefault="00AC375F" w:rsidP="00AC375F">
            <w:pPr>
              <w:jc w:val="center"/>
              <w:rPr>
                <w:sz w:val="18"/>
                <w:szCs w:val="18"/>
              </w:rPr>
            </w:pPr>
            <w:r w:rsidRPr="00AC375F">
              <w:rPr>
                <w:sz w:val="18"/>
                <w:szCs w:val="18"/>
              </w:rPr>
              <w:t>0,8, 0,8</w:t>
            </w:r>
          </w:p>
        </w:tc>
      </w:tr>
      <w:tr w:rsidR="00AC375F" w:rsidRPr="00AC375F" w14:paraId="7AA4461B" w14:textId="77777777" w:rsidTr="00991955">
        <w:trPr>
          <w:trHeight w:val="310"/>
        </w:trPr>
        <w:tc>
          <w:tcPr>
            <w:tcW w:w="4390" w:type="dxa"/>
            <w:shd w:val="clear" w:color="auto" w:fill="auto"/>
            <w:vAlign w:val="center"/>
          </w:tcPr>
          <w:p w14:paraId="1637470B" w14:textId="77777777" w:rsidR="00AC375F" w:rsidRPr="00AC375F" w:rsidRDefault="00AC375F" w:rsidP="00AC375F">
            <w:pPr>
              <w:rPr>
                <w:bCs/>
                <w:sz w:val="18"/>
                <w:szCs w:val="18"/>
              </w:rPr>
            </w:pPr>
          </w:p>
        </w:tc>
        <w:tc>
          <w:tcPr>
            <w:tcW w:w="1417" w:type="dxa"/>
            <w:shd w:val="clear" w:color="auto" w:fill="auto"/>
            <w:noWrap/>
            <w:vAlign w:val="center"/>
          </w:tcPr>
          <w:p w14:paraId="61AD1CAD"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auto"/>
            <w:noWrap/>
            <w:vAlign w:val="center"/>
          </w:tcPr>
          <w:p w14:paraId="49321514" w14:textId="77777777" w:rsidR="00AC375F" w:rsidRPr="00AC375F" w:rsidRDefault="00AC375F" w:rsidP="00AC375F">
            <w:pPr>
              <w:jc w:val="center"/>
              <w:rPr>
                <w:sz w:val="18"/>
                <w:szCs w:val="18"/>
              </w:rPr>
            </w:pPr>
            <w:r w:rsidRPr="00AC375F">
              <w:rPr>
                <w:sz w:val="18"/>
                <w:szCs w:val="18"/>
              </w:rPr>
              <w:t>2</w:t>
            </w:r>
          </w:p>
        </w:tc>
        <w:tc>
          <w:tcPr>
            <w:tcW w:w="993" w:type="dxa"/>
            <w:shd w:val="clear" w:color="auto" w:fill="auto"/>
            <w:noWrap/>
            <w:vAlign w:val="center"/>
          </w:tcPr>
          <w:p w14:paraId="215F8040" w14:textId="77777777" w:rsidR="00AC375F" w:rsidRPr="00AC375F" w:rsidRDefault="00AC375F" w:rsidP="00AC375F">
            <w:pPr>
              <w:jc w:val="center"/>
              <w:rPr>
                <w:sz w:val="18"/>
                <w:szCs w:val="18"/>
              </w:rPr>
            </w:pPr>
            <w:r w:rsidRPr="00AC375F">
              <w:rPr>
                <w:sz w:val="18"/>
                <w:szCs w:val="18"/>
              </w:rPr>
              <w:t>travanj</w:t>
            </w:r>
          </w:p>
        </w:tc>
        <w:tc>
          <w:tcPr>
            <w:tcW w:w="1563" w:type="dxa"/>
            <w:shd w:val="clear" w:color="auto" w:fill="auto"/>
            <w:noWrap/>
            <w:vAlign w:val="center"/>
          </w:tcPr>
          <w:p w14:paraId="67C7E4E0" w14:textId="77777777" w:rsidR="00AC375F" w:rsidRPr="00AC375F" w:rsidRDefault="00AC375F" w:rsidP="00AC375F">
            <w:pPr>
              <w:jc w:val="center"/>
              <w:rPr>
                <w:sz w:val="18"/>
                <w:szCs w:val="18"/>
              </w:rPr>
            </w:pPr>
            <w:r w:rsidRPr="00AC375F">
              <w:rPr>
                <w:sz w:val="18"/>
                <w:szCs w:val="18"/>
              </w:rPr>
              <w:t>1; 0,6</w:t>
            </w:r>
          </w:p>
        </w:tc>
      </w:tr>
      <w:tr w:rsidR="00AC375F" w:rsidRPr="00AC375F" w14:paraId="0D83A191" w14:textId="77777777" w:rsidTr="00991955">
        <w:trPr>
          <w:trHeight w:val="310"/>
        </w:trPr>
        <w:tc>
          <w:tcPr>
            <w:tcW w:w="4390" w:type="dxa"/>
            <w:shd w:val="clear" w:color="auto" w:fill="auto"/>
            <w:vAlign w:val="center"/>
          </w:tcPr>
          <w:p w14:paraId="0B2266C2" w14:textId="77777777" w:rsidR="00AC375F" w:rsidRPr="00AC375F" w:rsidRDefault="00AC375F" w:rsidP="00AC375F">
            <w:pPr>
              <w:rPr>
                <w:bCs/>
                <w:sz w:val="18"/>
                <w:szCs w:val="18"/>
              </w:rPr>
            </w:pPr>
          </w:p>
        </w:tc>
        <w:tc>
          <w:tcPr>
            <w:tcW w:w="1417" w:type="dxa"/>
            <w:shd w:val="clear" w:color="auto" w:fill="auto"/>
            <w:noWrap/>
            <w:vAlign w:val="center"/>
          </w:tcPr>
          <w:p w14:paraId="41CCD826"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auto"/>
            <w:noWrap/>
            <w:vAlign w:val="center"/>
          </w:tcPr>
          <w:p w14:paraId="6A8D0211" w14:textId="77777777" w:rsidR="00AC375F" w:rsidRPr="00AC375F" w:rsidRDefault="00AC375F" w:rsidP="00AC375F">
            <w:pPr>
              <w:jc w:val="center"/>
              <w:rPr>
                <w:sz w:val="18"/>
                <w:szCs w:val="18"/>
              </w:rPr>
            </w:pPr>
            <w:r w:rsidRPr="00AC375F">
              <w:rPr>
                <w:sz w:val="18"/>
                <w:szCs w:val="18"/>
              </w:rPr>
              <w:t>1</w:t>
            </w:r>
          </w:p>
        </w:tc>
        <w:tc>
          <w:tcPr>
            <w:tcW w:w="993" w:type="dxa"/>
            <w:shd w:val="clear" w:color="auto" w:fill="auto"/>
            <w:noWrap/>
            <w:vAlign w:val="center"/>
          </w:tcPr>
          <w:p w14:paraId="3E954554" w14:textId="77777777" w:rsidR="00AC375F" w:rsidRPr="00AC375F" w:rsidRDefault="00AC375F" w:rsidP="00AC375F">
            <w:pPr>
              <w:jc w:val="center"/>
              <w:rPr>
                <w:sz w:val="18"/>
                <w:szCs w:val="18"/>
              </w:rPr>
            </w:pPr>
            <w:r w:rsidRPr="00AC375F">
              <w:rPr>
                <w:sz w:val="18"/>
                <w:szCs w:val="18"/>
              </w:rPr>
              <w:t>svibanj</w:t>
            </w:r>
          </w:p>
        </w:tc>
        <w:tc>
          <w:tcPr>
            <w:tcW w:w="1563" w:type="dxa"/>
            <w:shd w:val="clear" w:color="auto" w:fill="auto"/>
            <w:noWrap/>
            <w:vAlign w:val="center"/>
          </w:tcPr>
          <w:p w14:paraId="7F918AB8" w14:textId="77777777" w:rsidR="00AC375F" w:rsidRPr="00AC375F" w:rsidRDefault="00AC375F" w:rsidP="00AC375F">
            <w:pPr>
              <w:jc w:val="center"/>
              <w:rPr>
                <w:sz w:val="18"/>
                <w:szCs w:val="18"/>
              </w:rPr>
            </w:pPr>
            <w:r w:rsidRPr="00AC375F">
              <w:rPr>
                <w:sz w:val="18"/>
                <w:szCs w:val="18"/>
              </w:rPr>
              <w:t>1</w:t>
            </w:r>
          </w:p>
        </w:tc>
      </w:tr>
      <w:tr w:rsidR="00AC375F" w:rsidRPr="00AC375F" w14:paraId="559EFB0E" w14:textId="77777777" w:rsidTr="00991955">
        <w:trPr>
          <w:trHeight w:val="310"/>
        </w:trPr>
        <w:tc>
          <w:tcPr>
            <w:tcW w:w="4390" w:type="dxa"/>
            <w:shd w:val="clear" w:color="auto" w:fill="auto"/>
            <w:vAlign w:val="center"/>
          </w:tcPr>
          <w:p w14:paraId="0DDA00BC" w14:textId="77777777" w:rsidR="00AC375F" w:rsidRPr="00AC375F" w:rsidRDefault="00AC375F" w:rsidP="00AC375F">
            <w:pPr>
              <w:rPr>
                <w:bCs/>
                <w:sz w:val="18"/>
                <w:szCs w:val="18"/>
              </w:rPr>
            </w:pPr>
          </w:p>
        </w:tc>
        <w:tc>
          <w:tcPr>
            <w:tcW w:w="1417" w:type="dxa"/>
            <w:shd w:val="clear" w:color="auto" w:fill="auto"/>
            <w:noWrap/>
            <w:vAlign w:val="center"/>
          </w:tcPr>
          <w:p w14:paraId="7F5AE397"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auto"/>
            <w:noWrap/>
            <w:vAlign w:val="center"/>
          </w:tcPr>
          <w:p w14:paraId="5CDA1A01" w14:textId="77777777" w:rsidR="00AC375F" w:rsidRPr="00AC375F" w:rsidRDefault="00AC375F" w:rsidP="00AC375F">
            <w:pPr>
              <w:jc w:val="center"/>
              <w:rPr>
                <w:sz w:val="18"/>
                <w:szCs w:val="18"/>
              </w:rPr>
            </w:pPr>
            <w:r w:rsidRPr="00AC375F">
              <w:rPr>
                <w:sz w:val="18"/>
                <w:szCs w:val="18"/>
              </w:rPr>
              <w:t>1</w:t>
            </w:r>
          </w:p>
        </w:tc>
        <w:tc>
          <w:tcPr>
            <w:tcW w:w="993" w:type="dxa"/>
            <w:shd w:val="clear" w:color="auto" w:fill="auto"/>
            <w:noWrap/>
            <w:vAlign w:val="center"/>
          </w:tcPr>
          <w:p w14:paraId="362485D6" w14:textId="77777777" w:rsidR="00AC375F" w:rsidRPr="00AC375F" w:rsidRDefault="00AC375F" w:rsidP="00AC375F">
            <w:pPr>
              <w:jc w:val="center"/>
              <w:rPr>
                <w:sz w:val="18"/>
                <w:szCs w:val="18"/>
              </w:rPr>
            </w:pPr>
            <w:r w:rsidRPr="00AC375F">
              <w:rPr>
                <w:sz w:val="18"/>
                <w:szCs w:val="18"/>
              </w:rPr>
              <w:t>lipanj</w:t>
            </w:r>
          </w:p>
        </w:tc>
        <w:tc>
          <w:tcPr>
            <w:tcW w:w="1563" w:type="dxa"/>
            <w:shd w:val="clear" w:color="auto" w:fill="auto"/>
            <w:noWrap/>
            <w:vAlign w:val="center"/>
          </w:tcPr>
          <w:p w14:paraId="322F24AE" w14:textId="77777777" w:rsidR="00AC375F" w:rsidRPr="00AC375F" w:rsidRDefault="00AC375F" w:rsidP="00AC375F">
            <w:pPr>
              <w:jc w:val="center"/>
              <w:rPr>
                <w:sz w:val="18"/>
                <w:szCs w:val="18"/>
              </w:rPr>
            </w:pPr>
            <w:r w:rsidRPr="00AC375F">
              <w:rPr>
                <w:sz w:val="18"/>
                <w:szCs w:val="18"/>
              </w:rPr>
              <w:t>1</w:t>
            </w:r>
          </w:p>
        </w:tc>
      </w:tr>
      <w:tr w:rsidR="00AC375F" w:rsidRPr="00AC375F" w14:paraId="2A79A629" w14:textId="77777777" w:rsidTr="00991955">
        <w:trPr>
          <w:trHeight w:val="310"/>
        </w:trPr>
        <w:tc>
          <w:tcPr>
            <w:tcW w:w="4390" w:type="dxa"/>
            <w:shd w:val="clear" w:color="auto" w:fill="auto"/>
            <w:vAlign w:val="center"/>
          </w:tcPr>
          <w:p w14:paraId="4F122BBD" w14:textId="77777777" w:rsidR="00AC375F" w:rsidRPr="00AC375F" w:rsidRDefault="00AC375F" w:rsidP="00AC375F">
            <w:pPr>
              <w:rPr>
                <w:bCs/>
                <w:sz w:val="18"/>
                <w:szCs w:val="18"/>
              </w:rPr>
            </w:pPr>
          </w:p>
        </w:tc>
        <w:tc>
          <w:tcPr>
            <w:tcW w:w="1417" w:type="dxa"/>
            <w:shd w:val="clear" w:color="auto" w:fill="auto"/>
            <w:noWrap/>
            <w:vAlign w:val="center"/>
          </w:tcPr>
          <w:p w14:paraId="0724E1D5"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auto"/>
            <w:noWrap/>
            <w:vAlign w:val="center"/>
          </w:tcPr>
          <w:p w14:paraId="2CF858A2" w14:textId="77777777" w:rsidR="00AC375F" w:rsidRPr="00AC375F" w:rsidRDefault="00AC375F" w:rsidP="00AC375F">
            <w:pPr>
              <w:jc w:val="center"/>
              <w:rPr>
                <w:sz w:val="18"/>
                <w:szCs w:val="18"/>
              </w:rPr>
            </w:pPr>
            <w:r w:rsidRPr="00AC375F">
              <w:rPr>
                <w:sz w:val="18"/>
                <w:szCs w:val="18"/>
              </w:rPr>
              <w:t>1</w:t>
            </w:r>
          </w:p>
        </w:tc>
        <w:tc>
          <w:tcPr>
            <w:tcW w:w="993" w:type="dxa"/>
            <w:shd w:val="clear" w:color="auto" w:fill="auto"/>
            <w:noWrap/>
            <w:vAlign w:val="center"/>
          </w:tcPr>
          <w:p w14:paraId="4E6D17CA" w14:textId="77777777" w:rsidR="00AC375F" w:rsidRPr="00AC375F" w:rsidRDefault="00AC375F" w:rsidP="00AC375F">
            <w:pPr>
              <w:jc w:val="center"/>
              <w:rPr>
                <w:sz w:val="18"/>
                <w:szCs w:val="18"/>
              </w:rPr>
            </w:pPr>
            <w:r w:rsidRPr="00AC375F">
              <w:rPr>
                <w:sz w:val="18"/>
                <w:szCs w:val="18"/>
              </w:rPr>
              <w:t>srpanj</w:t>
            </w:r>
          </w:p>
        </w:tc>
        <w:tc>
          <w:tcPr>
            <w:tcW w:w="1563" w:type="dxa"/>
            <w:shd w:val="clear" w:color="auto" w:fill="auto"/>
            <w:noWrap/>
            <w:vAlign w:val="center"/>
          </w:tcPr>
          <w:p w14:paraId="4A369186" w14:textId="77777777" w:rsidR="00AC375F" w:rsidRPr="00AC375F" w:rsidRDefault="00AC375F" w:rsidP="00AC375F">
            <w:pPr>
              <w:jc w:val="center"/>
              <w:rPr>
                <w:sz w:val="18"/>
                <w:szCs w:val="18"/>
              </w:rPr>
            </w:pPr>
            <w:r w:rsidRPr="00AC375F">
              <w:rPr>
                <w:sz w:val="18"/>
                <w:szCs w:val="18"/>
              </w:rPr>
              <w:t>1</w:t>
            </w:r>
          </w:p>
        </w:tc>
      </w:tr>
      <w:tr w:rsidR="00AC375F" w:rsidRPr="00AC375F" w14:paraId="2DADBE0A" w14:textId="77777777" w:rsidTr="00991955">
        <w:trPr>
          <w:trHeight w:val="310"/>
        </w:trPr>
        <w:tc>
          <w:tcPr>
            <w:tcW w:w="4390" w:type="dxa"/>
            <w:shd w:val="clear" w:color="auto" w:fill="auto"/>
            <w:vAlign w:val="center"/>
          </w:tcPr>
          <w:p w14:paraId="17E83CA0" w14:textId="77777777" w:rsidR="00AC375F" w:rsidRPr="00AC375F" w:rsidRDefault="00AC375F" w:rsidP="00AC375F">
            <w:pPr>
              <w:rPr>
                <w:b/>
                <w:bCs/>
                <w:sz w:val="18"/>
                <w:szCs w:val="18"/>
              </w:rPr>
            </w:pPr>
          </w:p>
        </w:tc>
        <w:tc>
          <w:tcPr>
            <w:tcW w:w="1417" w:type="dxa"/>
            <w:shd w:val="clear" w:color="auto" w:fill="auto"/>
            <w:noWrap/>
            <w:vAlign w:val="center"/>
          </w:tcPr>
          <w:p w14:paraId="436A95C6"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auto"/>
            <w:noWrap/>
            <w:vAlign w:val="center"/>
          </w:tcPr>
          <w:p w14:paraId="6B00A9FD" w14:textId="77777777" w:rsidR="00AC375F" w:rsidRPr="00AC375F" w:rsidRDefault="00AC375F" w:rsidP="00AC375F">
            <w:pPr>
              <w:jc w:val="center"/>
              <w:rPr>
                <w:sz w:val="18"/>
                <w:szCs w:val="18"/>
              </w:rPr>
            </w:pPr>
            <w:r w:rsidRPr="00AC375F">
              <w:rPr>
                <w:sz w:val="18"/>
                <w:szCs w:val="18"/>
              </w:rPr>
              <w:t>1</w:t>
            </w:r>
          </w:p>
        </w:tc>
        <w:tc>
          <w:tcPr>
            <w:tcW w:w="993" w:type="dxa"/>
            <w:shd w:val="clear" w:color="auto" w:fill="auto"/>
            <w:noWrap/>
            <w:vAlign w:val="center"/>
          </w:tcPr>
          <w:p w14:paraId="13863FAE" w14:textId="77777777" w:rsidR="00AC375F" w:rsidRPr="00AC375F" w:rsidRDefault="00AC375F" w:rsidP="00AC375F">
            <w:pPr>
              <w:jc w:val="center"/>
              <w:rPr>
                <w:sz w:val="18"/>
                <w:szCs w:val="18"/>
              </w:rPr>
            </w:pPr>
            <w:r w:rsidRPr="00AC375F">
              <w:rPr>
                <w:sz w:val="18"/>
                <w:szCs w:val="18"/>
              </w:rPr>
              <w:t>rujan</w:t>
            </w:r>
          </w:p>
        </w:tc>
        <w:tc>
          <w:tcPr>
            <w:tcW w:w="1563" w:type="dxa"/>
            <w:shd w:val="clear" w:color="auto" w:fill="auto"/>
            <w:noWrap/>
            <w:vAlign w:val="center"/>
          </w:tcPr>
          <w:p w14:paraId="2045B7ED" w14:textId="77777777" w:rsidR="00AC375F" w:rsidRPr="00AC375F" w:rsidRDefault="00AC375F" w:rsidP="00AC375F">
            <w:pPr>
              <w:jc w:val="center"/>
              <w:rPr>
                <w:sz w:val="18"/>
                <w:szCs w:val="18"/>
              </w:rPr>
            </w:pPr>
            <w:r w:rsidRPr="00AC375F">
              <w:rPr>
                <w:sz w:val="18"/>
                <w:szCs w:val="18"/>
              </w:rPr>
              <w:t>1</w:t>
            </w:r>
          </w:p>
        </w:tc>
      </w:tr>
      <w:tr w:rsidR="00AC375F" w:rsidRPr="00AC375F" w14:paraId="3188AA67" w14:textId="77777777" w:rsidTr="00991955">
        <w:trPr>
          <w:trHeight w:val="310"/>
        </w:trPr>
        <w:tc>
          <w:tcPr>
            <w:tcW w:w="4390" w:type="dxa"/>
            <w:shd w:val="clear" w:color="auto" w:fill="auto"/>
            <w:vAlign w:val="center"/>
          </w:tcPr>
          <w:p w14:paraId="7D604F49" w14:textId="77777777" w:rsidR="00AC375F" w:rsidRPr="00AC375F" w:rsidRDefault="00AC375F" w:rsidP="00AC375F">
            <w:pPr>
              <w:rPr>
                <w:b/>
                <w:bCs/>
                <w:sz w:val="18"/>
                <w:szCs w:val="18"/>
              </w:rPr>
            </w:pPr>
          </w:p>
        </w:tc>
        <w:tc>
          <w:tcPr>
            <w:tcW w:w="1417" w:type="dxa"/>
            <w:shd w:val="clear" w:color="auto" w:fill="auto"/>
            <w:noWrap/>
            <w:vAlign w:val="center"/>
          </w:tcPr>
          <w:p w14:paraId="72CE928F"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auto"/>
            <w:noWrap/>
            <w:vAlign w:val="center"/>
          </w:tcPr>
          <w:p w14:paraId="79D97FA4" w14:textId="77777777" w:rsidR="00AC375F" w:rsidRPr="00AC375F" w:rsidRDefault="00AC375F" w:rsidP="00AC375F">
            <w:pPr>
              <w:jc w:val="center"/>
              <w:rPr>
                <w:sz w:val="18"/>
                <w:szCs w:val="18"/>
              </w:rPr>
            </w:pPr>
            <w:r w:rsidRPr="00AC375F">
              <w:rPr>
                <w:sz w:val="18"/>
                <w:szCs w:val="18"/>
              </w:rPr>
              <w:t>1</w:t>
            </w:r>
          </w:p>
        </w:tc>
        <w:tc>
          <w:tcPr>
            <w:tcW w:w="993" w:type="dxa"/>
            <w:shd w:val="clear" w:color="auto" w:fill="auto"/>
            <w:noWrap/>
            <w:vAlign w:val="center"/>
          </w:tcPr>
          <w:p w14:paraId="2802B4FC" w14:textId="77777777" w:rsidR="00AC375F" w:rsidRPr="00AC375F" w:rsidRDefault="00AC375F" w:rsidP="00AC375F">
            <w:pPr>
              <w:jc w:val="center"/>
              <w:rPr>
                <w:sz w:val="18"/>
                <w:szCs w:val="18"/>
              </w:rPr>
            </w:pPr>
            <w:r w:rsidRPr="00AC375F">
              <w:rPr>
                <w:sz w:val="18"/>
                <w:szCs w:val="18"/>
              </w:rPr>
              <w:t>listopad</w:t>
            </w:r>
          </w:p>
        </w:tc>
        <w:tc>
          <w:tcPr>
            <w:tcW w:w="1563" w:type="dxa"/>
            <w:shd w:val="clear" w:color="auto" w:fill="auto"/>
            <w:noWrap/>
            <w:vAlign w:val="center"/>
          </w:tcPr>
          <w:p w14:paraId="0AE5EB83" w14:textId="77777777" w:rsidR="00AC375F" w:rsidRPr="00AC375F" w:rsidRDefault="00AC375F" w:rsidP="00AC375F">
            <w:pPr>
              <w:jc w:val="center"/>
              <w:rPr>
                <w:sz w:val="18"/>
                <w:szCs w:val="18"/>
              </w:rPr>
            </w:pPr>
            <w:r w:rsidRPr="00AC375F">
              <w:rPr>
                <w:sz w:val="18"/>
                <w:szCs w:val="18"/>
              </w:rPr>
              <w:t>1</w:t>
            </w:r>
          </w:p>
        </w:tc>
      </w:tr>
      <w:tr w:rsidR="00AC375F" w:rsidRPr="00AC375F" w14:paraId="27DA99FC" w14:textId="77777777" w:rsidTr="00991955">
        <w:trPr>
          <w:trHeight w:val="310"/>
        </w:trPr>
        <w:tc>
          <w:tcPr>
            <w:tcW w:w="4390" w:type="dxa"/>
            <w:shd w:val="clear" w:color="auto" w:fill="auto"/>
            <w:vAlign w:val="center"/>
          </w:tcPr>
          <w:p w14:paraId="62FDF287" w14:textId="77777777" w:rsidR="00AC375F" w:rsidRPr="00AC375F" w:rsidRDefault="00AC375F" w:rsidP="00AC375F">
            <w:pPr>
              <w:rPr>
                <w:b/>
                <w:bCs/>
                <w:sz w:val="18"/>
                <w:szCs w:val="18"/>
              </w:rPr>
            </w:pPr>
          </w:p>
        </w:tc>
        <w:tc>
          <w:tcPr>
            <w:tcW w:w="1417" w:type="dxa"/>
            <w:shd w:val="clear" w:color="auto" w:fill="auto"/>
            <w:noWrap/>
            <w:vAlign w:val="center"/>
          </w:tcPr>
          <w:p w14:paraId="434E1F53"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auto"/>
            <w:noWrap/>
            <w:vAlign w:val="center"/>
          </w:tcPr>
          <w:p w14:paraId="27149DC7" w14:textId="77777777" w:rsidR="00AC375F" w:rsidRPr="00AC375F" w:rsidRDefault="00AC375F" w:rsidP="00AC375F">
            <w:pPr>
              <w:jc w:val="center"/>
              <w:rPr>
                <w:sz w:val="18"/>
                <w:szCs w:val="18"/>
              </w:rPr>
            </w:pPr>
            <w:r w:rsidRPr="00AC375F">
              <w:rPr>
                <w:sz w:val="18"/>
                <w:szCs w:val="18"/>
              </w:rPr>
              <w:t>1</w:t>
            </w:r>
          </w:p>
        </w:tc>
        <w:tc>
          <w:tcPr>
            <w:tcW w:w="993" w:type="dxa"/>
            <w:shd w:val="clear" w:color="auto" w:fill="auto"/>
            <w:noWrap/>
            <w:vAlign w:val="center"/>
          </w:tcPr>
          <w:p w14:paraId="5CF5A0FA" w14:textId="77777777" w:rsidR="00AC375F" w:rsidRPr="00AC375F" w:rsidRDefault="00AC375F" w:rsidP="00AC375F">
            <w:pPr>
              <w:jc w:val="center"/>
              <w:rPr>
                <w:sz w:val="18"/>
                <w:szCs w:val="18"/>
              </w:rPr>
            </w:pPr>
            <w:r w:rsidRPr="00AC375F">
              <w:rPr>
                <w:sz w:val="18"/>
                <w:szCs w:val="18"/>
              </w:rPr>
              <w:t>studeni</w:t>
            </w:r>
          </w:p>
        </w:tc>
        <w:tc>
          <w:tcPr>
            <w:tcW w:w="1563" w:type="dxa"/>
            <w:shd w:val="clear" w:color="auto" w:fill="auto"/>
            <w:noWrap/>
            <w:vAlign w:val="center"/>
          </w:tcPr>
          <w:p w14:paraId="562D6DD0" w14:textId="77777777" w:rsidR="00AC375F" w:rsidRPr="00AC375F" w:rsidRDefault="00AC375F" w:rsidP="00AC375F">
            <w:pPr>
              <w:jc w:val="center"/>
              <w:rPr>
                <w:sz w:val="18"/>
                <w:szCs w:val="18"/>
              </w:rPr>
            </w:pPr>
            <w:r w:rsidRPr="00AC375F">
              <w:rPr>
                <w:sz w:val="18"/>
                <w:szCs w:val="18"/>
              </w:rPr>
              <w:t>1</w:t>
            </w:r>
          </w:p>
        </w:tc>
      </w:tr>
      <w:tr w:rsidR="00AC375F" w:rsidRPr="00AC375F" w14:paraId="329AE731" w14:textId="77777777" w:rsidTr="00991955">
        <w:trPr>
          <w:trHeight w:val="310"/>
        </w:trPr>
        <w:tc>
          <w:tcPr>
            <w:tcW w:w="4390" w:type="dxa"/>
            <w:shd w:val="clear" w:color="auto" w:fill="auto"/>
            <w:vAlign w:val="center"/>
          </w:tcPr>
          <w:p w14:paraId="08520EB9" w14:textId="77777777" w:rsidR="00AC375F" w:rsidRPr="00AC375F" w:rsidRDefault="00AC375F" w:rsidP="00AC375F">
            <w:pPr>
              <w:rPr>
                <w:b/>
                <w:bCs/>
                <w:sz w:val="18"/>
                <w:szCs w:val="18"/>
              </w:rPr>
            </w:pPr>
          </w:p>
        </w:tc>
        <w:tc>
          <w:tcPr>
            <w:tcW w:w="1417" w:type="dxa"/>
            <w:shd w:val="clear" w:color="auto" w:fill="auto"/>
            <w:noWrap/>
            <w:vAlign w:val="center"/>
          </w:tcPr>
          <w:p w14:paraId="4F0B8F32"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auto"/>
            <w:noWrap/>
            <w:vAlign w:val="center"/>
          </w:tcPr>
          <w:p w14:paraId="09814FA7" w14:textId="77777777" w:rsidR="00AC375F" w:rsidRPr="00AC375F" w:rsidRDefault="00AC375F" w:rsidP="00AC375F">
            <w:pPr>
              <w:jc w:val="center"/>
              <w:rPr>
                <w:sz w:val="18"/>
                <w:szCs w:val="18"/>
              </w:rPr>
            </w:pPr>
            <w:r w:rsidRPr="00AC375F">
              <w:rPr>
                <w:sz w:val="18"/>
                <w:szCs w:val="18"/>
              </w:rPr>
              <w:t>2</w:t>
            </w:r>
          </w:p>
        </w:tc>
        <w:tc>
          <w:tcPr>
            <w:tcW w:w="993" w:type="dxa"/>
            <w:shd w:val="clear" w:color="auto" w:fill="auto"/>
            <w:noWrap/>
            <w:vAlign w:val="center"/>
          </w:tcPr>
          <w:p w14:paraId="40D96F04" w14:textId="77777777" w:rsidR="00AC375F" w:rsidRPr="00AC375F" w:rsidRDefault="00AC375F" w:rsidP="00AC375F">
            <w:pPr>
              <w:jc w:val="center"/>
              <w:rPr>
                <w:sz w:val="18"/>
                <w:szCs w:val="18"/>
              </w:rPr>
            </w:pPr>
            <w:r w:rsidRPr="00AC375F">
              <w:rPr>
                <w:sz w:val="18"/>
                <w:szCs w:val="18"/>
              </w:rPr>
              <w:t>prosinac</w:t>
            </w:r>
          </w:p>
        </w:tc>
        <w:tc>
          <w:tcPr>
            <w:tcW w:w="1563" w:type="dxa"/>
            <w:shd w:val="clear" w:color="auto" w:fill="auto"/>
            <w:noWrap/>
            <w:vAlign w:val="center"/>
          </w:tcPr>
          <w:p w14:paraId="7084D2E1" w14:textId="77777777" w:rsidR="00AC375F" w:rsidRPr="00AC375F" w:rsidRDefault="00AC375F" w:rsidP="00AC375F">
            <w:pPr>
              <w:jc w:val="center"/>
              <w:rPr>
                <w:sz w:val="18"/>
                <w:szCs w:val="18"/>
              </w:rPr>
            </w:pPr>
            <w:r w:rsidRPr="00AC375F">
              <w:rPr>
                <w:sz w:val="18"/>
                <w:szCs w:val="18"/>
              </w:rPr>
              <w:t>1, 1</w:t>
            </w:r>
          </w:p>
        </w:tc>
      </w:tr>
      <w:tr w:rsidR="00AC375F" w:rsidRPr="00AC375F" w14:paraId="103437DC" w14:textId="77777777" w:rsidTr="00991955">
        <w:trPr>
          <w:trHeight w:val="310"/>
        </w:trPr>
        <w:tc>
          <w:tcPr>
            <w:tcW w:w="4390" w:type="dxa"/>
            <w:shd w:val="clear" w:color="auto" w:fill="auto"/>
            <w:vAlign w:val="center"/>
          </w:tcPr>
          <w:p w14:paraId="7BA41A8A" w14:textId="77777777" w:rsidR="00AC375F" w:rsidRPr="00AC375F" w:rsidRDefault="00AC375F" w:rsidP="00AC375F">
            <w:pPr>
              <w:rPr>
                <w:b/>
                <w:bCs/>
                <w:sz w:val="18"/>
                <w:szCs w:val="18"/>
              </w:rPr>
            </w:pPr>
            <w:r w:rsidRPr="00AC375F">
              <w:rPr>
                <w:b/>
                <w:bCs/>
                <w:sz w:val="18"/>
                <w:szCs w:val="18"/>
              </w:rPr>
              <w:lastRenderedPageBreak/>
              <w:t>CHMP SRLM meeting</w:t>
            </w:r>
          </w:p>
        </w:tc>
        <w:tc>
          <w:tcPr>
            <w:tcW w:w="1417" w:type="dxa"/>
            <w:shd w:val="clear" w:color="auto" w:fill="auto"/>
            <w:noWrap/>
            <w:vAlign w:val="center"/>
          </w:tcPr>
          <w:p w14:paraId="619B14DF" w14:textId="77777777" w:rsidR="00AC375F" w:rsidRPr="00AC375F" w:rsidRDefault="00AC375F" w:rsidP="00AC375F">
            <w:pPr>
              <w:jc w:val="center"/>
              <w:rPr>
                <w:sz w:val="18"/>
                <w:szCs w:val="18"/>
              </w:rPr>
            </w:pPr>
          </w:p>
        </w:tc>
        <w:tc>
          <w:tcPr>
            <w:tcW w:w="992" w:type="dxa"/>
            <w:shd w:val="clear" w:color="auto" w:fill="auto"/>
            <w:noWrap/>
            <w:vAlign w:val="center"/>
          </w:tcPr>
          <w:p w14:paraId="157C88DB" w14:textId="77777777" w:rsidR="00AC375F" w:rsidRPr="00AC375F" w:rsidRDefault="00AC375F" w:rsidP="00AC375F">
            <w:pPr>
              <w:jc w:val="center"/>
              <w:rPr>
                <w:sz w:val="18"/>
                <w:szCs w:val="18"/>
              </w:rPr>
            </w:pPr>
          </w:p>
        </w:tc>
        <w:tc>
          <w:tcPr>
            <w:tcW w:w="993" w:type="dxa"/>
            <w:shd w:val="clear" w:color="auto" w:fill="auto"/>
            <w:noWrap/>
            <w:vAlign w:val="center"/>
          </w:tcPr>
          <w:p w14:paraId="659AE4DD" w14:textId="77777777" w:rsidR="00AC375F" w:rsidRPr="00AC375F" w:rsidRDefault="00AC375F" w:rsidP="00AC375F">
            <w:pPr>
              <w:jc w:val="center"/>
              <w:rPr>
                <w:sz w:val="18"/>
                <w:szCs w:val="18"/>
              </w:rPr>
            </w:pPr>
          </w:p>
        </w:tc>
        <w:tc>
          <w:tcPr>
            <w:tcW w:w="1563" w:type="dxa"/>
            <w:shd w:val="clear" w:color="auto" w:fill="auto"/>
            <w:noWrap/>
            <w:vAlign w:val="center"/>
          </w:tcPr>
          <w:p w14:paraId="024AF20B" w14:textId="77777777" w:rsidR="00AC375F" w:rsidRPr="00AC375F" w:rsidRDefault="00AC375F" w:rsidP="00AC375F">
            <w:pPr>
              <w:jc w:val="center"/>
              <w:rPr>
                <w:sz w:val="18"/>
                <w:szCs w:val="18"/>
              </w:rPr>
            </w:pPr>
          </w:p>
        </w:tc>
      </w:tr>
      <w:tr w:rsidR="00AC375F" w:rsidRPr="00AC375F" w14:paraId="1EEEDD68" w14:textId="77777777" w:rsidTr="00991955">
        <w:trPr>
          <w:trHeight w:val="310"/>
        </w:trPr>
        <w:tc>
          <w:tcPr>
            <w:tcW w:w="4390" w:type="dxa"/>
            <w:shd w:val="clear" w:color="auto" w:fill="auto"/>
            <w:vAlign w:val="center"/>
          </w:tcPr>
          <w:p w14:paraId="3E4FBEAD" w14:textId="77777777" w:rsidR="00AC375F" w:rsidRPr="00AC375F" w:rsidRDefault="00AC375F" w:rsidP="00AC375F">
            <w:pPr>
              <w:rPr>
                <w:b/>
                <w:bCs/>
                <w:sz w:val="18"/>
                <w:szCs w:val="18"/>
              </w:rPr>
            </w:pPr>
          </w:p>
        </w:tc>
        <w:tc>
          <w:tcPr>
            <w:tcW w:w="1417" w:type="dxa"/>
            <w:shd w:val="clear" w:color="auto" w:fill="auto"/>
            <w:noWrap/>
            <w:vAlign w:val="center"/>
          </w:tcPr>
          <w:p w14:paraId="1452D5D5" w14:textId="77777777" w:rsidR="00AC375F" w:rsidRPr="00AC375F" w:rsidRDefault="00AC375F" w:rsidP="00AC375F">
            <w:pPr>
              <w:jc w:val="center"/>
              <w:rPr>
                <w:sz w:val="18"/>
                <w:szCs w:val="18"/>
              </w:rPr>
            </w:pPr>
            <w:r w:rsidRPr="00AC375F">
              <w:rPr>
                <w:sz w:val="18"/>
                <w:szCs w:val="18"/>
              </w:rPr>
              <w:t>Uppsala</w:t>
            </w:r>
          </w:p>
        </w:tc>
        <w:tc>
          <w:tcPr>
            <w:tcW w:w="992" w:type="dxa"/>
            <w:shd w:val="clear" w:color="auto" w:fill="auto"/>
            <w:noWrap/>
            <w:vAlign w:val="center"/>
          </w:tcPr>
          <w:p w14:paraId="48E1FDD5" w14:textId="77777777" w:rsidR="00AC375F" w:rsidRPr="00AC375F" w:rsidRDefault="00AC375F" w:rsidP="00AC375F">
            <w:pPr>
              <w:jc w:val="center"/>
              <w:rPr>
                <w:sz w:val="18"/>
                <w:szCs w:val="18"/>
              </w:rPr>
            </w:pPr>
            <w:r w:rsidRPr="00AC375F">
              <w:rPr>
                <w:sz w:val="18"/>
                <w:szCs w:val="18"/>
              </w:rPr>
              <w:t>2</w:t>
            </w:r>
          </w:p>
        </w:tc>
        <w:tc>
          <w:tcPr>
            <w:tcW w:w="993" w:type="dxa"/>
            <w:shd w:val="clear" w:color="auto" w:fill="auto"/>
            <w:noWrap/>
            <w:vAlign w:val="center"/>
          </w:tcPr>
          <w:p w14:paraId="20D3A9B9" w14:textId="77777777" w:rsidR="00AC375F" w:rsidRPr="00AC375F" w:rsidRDefault="00AC375F" w:rsidP="00AC375F">
            <w:pPr>
              <w:jc w:val="center"/>
              <w:rPr>
                <w:sz w:val="18"/>
                <w:szCs w:val="18"/>
              </w:rPr>
            </w:pPr>
            <w:r w:rsidRPr="00AC375F">
              <w:rPr>
                <w:sz w:val="18"/>
                <w:szCs w:val="18"/>
              </w:rPr>
              <w:t>svibanj</w:t>
            </w:r>
          </w:p>
        </w:tc>
        <w:tc>
          <w:tcPr>
            <w:tcW w:w="1563" w:type="dxa"/>
            <w:shd w:val="clear" w:color="auto" w:fill="auto"/>
            <w:noWrap/>
            <w:vAlign w:val="center"/>
          </w:tcPr>
          <w:p w14:paraId="7322F3C6" w14:textId="77777777" w:rsidR="00AC375F" w:rsidRPr="00AC375F" w:rsidRDefault="00AC375F" w:rsidP="00AC375F">
            <w:pPr>
              <w:jc w:val="center"/>
              <w:rPr>
                <w:sz w:val="18"/>
                <w:szCs w:val="18"/>
              </w:rPr>
            </w:pPr>
            <w:r w:rsidRPr="00AC375F">
              <w:rPr>
                <w:sz w:val="18"/>
                <w:szCs w:val="18"/>
              </w:rPr>
              <w:t>2, 2</w:t>
            </w:r>
          </w:p>
        </w:tc>
      </w:tr>
      <w:tr w:rsidR="00AC375F" w:rsidRPr="00AC375F" w14:paraId="1A42FCAF" w14:textId="77777777" w:rsidTr="00991955">
        <w:trPr>
          <w:trHeight w:val="310"/>
        </w:trPr>
        <w:tc>
          <w:tcPr>
            <w:tcW w:w="4390" w:type="dxa"/>
            <w:shd w:val="clear" w:color="auto" w:fill="auto"/>
            <w:vAlign w:val="center"/>
          </w:tcPr>
          <w:p w14:paraId="4CB0969A" w14:textId="77777777" w:rsidR="00AC375F" w:rsidRPr="00AC375F" w:rsidRDefault="00AC375F" w:rsidP="00AC375F">
            <w:pPr>
              <w:rPr>
                <w:b/>
                <w:bCs/>
                <w:sz w:val="18"/>
                <w:szCs w:val="18"/>
              </w:rPr>
            </w:pPr>
          </w:p>
        </w:tc>
        <w:tc>
          <w:tcPr>
            <w:tcW w:w="1417" w:type="dxa"/>
            <w:shd w:val="clear" w:color="auto" w:fill="auto"/>
            <w:noWrap/>
            <w:vAlign w:val="center"/>
          </w:tcPr>
          <w:p w14:paraId="2D8E7826" w14:textId="77777777" w:rsidR="00AC375F" w:rsidRPr="00AC375F" w:rsidRDefault="00AC375F" w:rsidP="00AC375F">
            <w:pPr>
              <w:jc w:val="center"/>
              <w:rPr>
                <w:sz w:val="18"/>
                <w:szCs w:val="18"/>
              </w:rPr>
            </w:pPr>
            <w:r w:rsidRPr="00AC375F">
              <w:rPr>
                <w:sz w:val="18"/>
                <w:szCs w:val="18"/>
              </w:rPr>
              <w:t>Madrid</w:t>
            </w:r>
          </w:p>
        </w:tc>
        <w:tc>
          <w:tcPr>
            <w:tcW w:w="992" w:type="dxa"/>
            <w:shd w:val="clear" w:color="auto" w:fill="auto"/>
            <w:noWrap/>
            <w:vAlign w:val="center"/>
          </w:tcPr>
          <w:p w14:paraId="4DA41A5A" w14:textId="77777777" w:rsidR="00AC375F" w:rsidRPr="00AC375F" w:rsidRDefault="00AC375F" w:rsidP="00AC375F">
            <w:pPr>
              <w:jc w:val="center"/>
              <w:rPr>
                <w:sz w:val="18"/>
                <w:szCs w:val="18"/>
              </w:rPr>
            </w:pPr>
            <w:r w:rsidRPr="00AC375F">
              <w:rPr>
                <w:sz w:val="18"/>
                <w:szCs w:val="18"/>
              </w:rPr>
              <w:t>2</w:t>
            </w:r>
          </w:p>
        </w:tc>
        <w:tc>
          <w:tcPr>
            <w:tcW w:w="993" w:type="dxa"/>
            <w:shd w:val="clear" w:color="auto" w:fill="auto"/>
            <w:noWrap/>
            <w:vAlign w:val="center"/>
          </w:tcPr>
          <w:p w14:paraId="2B93D2A7" w14:textId="77777777" w:rsidR="00AC375F" w:rsidRPr="00AC375F" w:rsidRDefault="00AC375F" w:rsidP="00AC375F">
            <w:pPr>
              <w:jc w:val="center"/>
              <w:rPr>
                <w:sz w:val="18"/>
                <w:szCs w:val="18"/>
              </w:rPr>
            </w:pPr>
            <w:r w:rsidRPr="00AC375F">
              <w:rPr>
                <w:sz w:val="18"/>
                <w:szCs w:val="18"/>
              </w:rPr>
              <w:t>listopad</w:t>
            </w:r>
          </w:p>
        </w:tc>
        <w:tc>
          <w:tcPr>
            <w:tcW w:w="1563" w:type="dxa"/>
            <w:shd w:val="clear" w:color="auto" w:fill="auto"/>
            <w:noWrap/>
            <w:vAlign w:val="center"/>
          </w:tcPr>
          <w:p w14:paraId="61050FFB" w14:textId="77777777" w:rsidR="00AC375F" w:rsidRPr="00AC375F" w:rsidRDefault="00AC375F" w:rsidP="00AC375F">
            <w:pPr>
              <w:jc w:val="center"/>
              <w:rPr>
                <w:sz w:val="18"/>
                <w:szCs w:val="18"/>
              </w:rPr>
            </w:pPr>
            <w:r w:rsidRPr="00AC375F">
              <w:rPr>
                <w:sz w:val="18"/>
                <w:szCs w:val="18"/>
              </w:rPr>
              <w:t>2, 2</w:t>
            </w:r>
          </w:p>
        </w:tc>
      </w:tr>
      <w:tr w:rsidR="00AC375F" w:rsidRPr="00AC375F" w14:paraId="2ECDB4C2" w14:textId="77777777" w:rsidTr="00991955">
        <w:trPr>
          <w:trHeight w:val="310"/>
        </w:trPr>
        <w:tc>
          <w:tcPr>
            <w:tcW w:w="4390" w:type="dxa"/>
            <w:shd w:val="clear" w:color="auto" w:fill="auto"/>
            <w:vAlign w:val="center"/>
          </w:tcPr>
          <w:p w14:paraId="16E479A7" w14:textId="77777777" w:rsidR="00AC375F" w:rsidRPr="00AC375F" w:rsidRDefault="00AC375F" w:rsidP="00AC375F">
            <w:pPr>
              <w:rPr>
                <w:b/>
                <w:bCs/>
                <w:sz w:val="18"/>
                <w:szCs w:val="18"/>
              </w:rPr>
            </w:pPr>
            <w:r w:rsidRPr="00AC375F">
              <w:rPr>
                <w:b/>
                <w:bCs/>
                <w:sz w:val="18"/>
                <w:szCs w:val="18"/>
              </w:rPr>
              <w:t>Biologics Working Party</w:t>
            </w:r>
          </w:p>
        </w:tc>
        <w:tc>
          <w:tcPr>
            <w:tcW w:w="1417" w:type="dxa"/>
            <w:shd w:val="clear" w:color="auto" w:fill="FFFFFF" w:themeFill="background1"/>
            <w:noWrap/>
            <w:vAlign w:val="center"/>
          </w:tcPr>
          <w:p w14:paraId="561BB85C" w14:textId="77777777" w:rsidR="00AC375F" w:rsidRPr="00AC375F" w:rsidRDefault="00AC375F" w:rsidP="00AC375F">
            <w:pPr>
              <w:jc w:val="center"/>
              <w:rPr>
                <w:sz w:val="18"/>
                <w:szCs w:val="18"/>
              </w:rPr>
            </w:pPr>
          </w:p>
        </w:tc>
        <w:tc>
          <w:tcPr>
            <w:tcW w:w="992" w:type="dxa"/>
            <w:shd w:val="clear" w:color="auto" w:fill="FFFFFF" w:themeFill="background1"/>
            <w:noWrap/>
            <w:vAlign w:val="center"/>
          </w:tcPr>
          <w:p w14:paraId="007C8036" w14:textId="77777777" w:rsidR="00AC375F" w:rsidRPr="00AC375F" w:rsidRDefault="00AC375F" w:rsidP="00AC375F">
            <w:pPr>
              <w:jc w:val="center"/>
              <w:rPr>
                <w:sz w:val="18"/>
                <w:szCs w:val="18"/>
              </w:rPr>
            </w:pPr>
          </w:p>
        </w:tc>
        <w:tc>
          <w:tcPr>
            <w:tcW w:w="993" w:type="dxa"/>
            <w:shd w:val="clear" w:color="auto" w:fill="FFFFFF" w:themeFill="background1"/>
            <w:noWrap/>
            <w:vAlign w:val="center"/>
          </w:tcPr>
          <w:p w14:paraId="434F427A" w14:textId="77777777" w:rsidR="00AC375F" w:rsidRPr="00AC375F" w:rsidRDefault="00AC375F" w:rsidP="00AC375F">
            <w:pPr>
              <w:jc w:val="center"/>
              <w:rPr>
                <w:sz w:val="18"/>
                <w:szCs w:val="18"/>
              </w:rPr>
            </w:pPr>
          </w:p>
        </w:tc>
        <w:tc>
          <w:tcPr>
            <w:tcW w:w="1563" w:type="dxa"/>
            <w:shd w:val="clear" w:color="auto" w:fill="FFFFFF" w:themeFill="background1"/>
            <w:noWrap/>
            <w:vAlign w:val="center"/>
          </w:tcPr>
          <w:p w14:paraId="52B61843" w14:textId="77777777" w:rsidR="00AC375F" w:rsidRPr="00AC375F" w:rsidRDefault="00AC375F" w:rsidP="00AC375F">
            <w:pPr>
              <w:jc w:val="center"/>
              <w:rPr>
                <w:sz w:val="18"/>
                <w:szCs w:val="18"/>
              </w:rPr>
            </w:pPr>
          </w:p>
        </w:tc>
      </w:tr>
      <w:tr w:rsidR="00AC375F" w:rsidRPr="00AC375F" w14:paraId="4B4BBB58" w14:textId="77777777" w:rsidTr="00991955">
        <w:trPr>
          <w:trHeight w:val="310"/>
        </w:trPr>
        <w:tc>
          <w:tcPr>
            <w:tcW w:w="4390" w:type="dxa"/>
            <w:shd w:val="clear" w:color="auto" w:fill="auto"/>
            <w:vAlign w:val="center"/>
          </w:tcPr>
          <w:p w14:paraId="249C37F7" w14:textId="77777777" w:rsidR="00AC375F" w:rsidRPr="00AC375F" w:rsidRDefault="00AC375F" w:rsidP="00AC375F">
            <w:pPr>
              <w:rPr>
                <w:sz w:val="18"/>
                <w:szCs w:val="18"/>
              </w:rPr>
            </w:pPr>
            <w:r w:rsidRPr="00AC375F">
              <w:rPr>
                <w:sz w:val="18"/>
                <w:szCs w:val="18"/>
              </w:rPr>
              <w:t>Ad hoc BWP meeting on HPRA, PHH1V vaccine</w:t>
            </w:r>
          </w:p>
        </w:tc>
        <w:tc>
          <w:tcPr>
            <w:tcW w:w="1417" w:type="dxa"/>
            <w:shd w:val="clear" w:color="auto" w:fill="FFFFFF" w:themeFill="background1"/>
            <w:noWrap/>
            <w:vAlign w:val="center"/>
          </w:tcPr>
          <w:p w14:paraId="181BCF22"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FFFFFF" w:themeFill="background1"/>
            <w:noWrap/>
            <w:vAlign w:val="center"/>
          </w:tcPr>
          <w:p w14:paraId="7DE5FB01" w14:textId="77777777" w:rsidR="00AC375F" w:rsidRPr="00AC375F" w:rsidRDefault="00AC375F" w:rsidP="00AC375F">
            <w:pPr>
              <w:jc w:val="center"/>
              <w:rPr>
                <w:sz w:val="18"/>
                <w:szCs w:val="18"/>
              </w:rPr>
            </w:pPr>
            <w:r w:rsidRPr="00AC375F">
              <w:rPr>
                <w:sz w:val="18"/>
                <w:szCs w:val="18"/>
              </w:rPr>
              <w:t>1</w:t>
            </w:r>
          </w:p>
        </w:tc>
        <w:tc>
          <w:tcPr>
            <w:tcW w:w="993" w:type="dxa"/>
            <w:shd w:val="clear" w:color="auto" w:fill="FFFFFF" w:themeFill="background1"/>
            <w:noWrap/>
            <w:vAlign w:val="center"/>
          </w:tcPr>
          <w:p w14:paraId="7ADB4348" w14:textId="77777777" w:rsidR="00AC375F" w:rsidRPr="00AC375F" w:rsidRDefault="00AC375F" w:rsidP="00AC375F">
            <w:pPr>
              <w:spacing w:before="200" w:after="200" w:line="276" w:lineRule="auto"/>
              <w:ind w:left="36"/>
              <w:contextualSpacing/>
              <w:jc w:val="center"/>
              <w:rPr>
                <w:rFonts w:eastAsiaTheme="minorEastAsia"/>
                <w:sz w:val="18"/>
                <w:szCs w:val="18"/>
              </w:rPr>
            </w:pPr>
            <w:r w:rsidRPr="00AC375F">
              <w:rPr>
                <w:rFonts w:eastAsiaTheme="minorEastAsia"/>
                <w:sz w:val="18"/>
                <w:szCs w:val="18"/>
              </w:rPr>
              <w:t>siječanj</w:t>
            </w:r>
          </w:p>
        </w:tc>
        <w:tc>
          <w:tcPr>
            <w:tcW w:w="1563" w:type="dxa"/>
            <w:shd w:val="clear" w:color="auto" w:fill="FFFFFF" w:themeFill="background1"/>
            <w:noWrap/>
            <w:vAlign w:val="center"/>
          </w:tcPr>
          <w:p w14:paraId="48B10CFA" w14:textId="77777777" w:rsidR="00AC375F" w:rsidRPr="00AC375F" w:rsidRDefault="00AC375F" w:rsidP="00AC375F">
            <w:pPr>
              <w:jc w:val="center"/>
              <w:rPr>
                <w:sz w:val="18"/>
                <w:szCs w:val="18"/>
              </w:rPr>
            </w:pPr>
            <w:r w:rsidRPr="00AC375F">
              <w:rPr>
                <w:sz w:val="18"/>
                <w:szCs w:val="18"/>
              </w:rPr>
              <w:t>0,5</w:t>
            </w:r>
          </w:p>
        </w:tc>
      </w:tr>
      <w:tr w:rsidR="00AC375F" w:rsidRPr="00AC375F" w14:paraId="1E305307" w14:textId="77777777" w:rsidTr="00991955">
        <w:trPr>
          <w:trHeight w:val="310"/>
        </w:trPr>
        <w:tc>
          <w:tcPr>
            <w:tcW w:w="4390" w:type="dxa"/>
            <w:shd w:val="clear" w:color="auto" w:fill="auto"/>
            <w:vAlign w:val="center"/>
          </w:tcPr>
          <w:p w14:paraId="335F07B8" w14:textId="77777777" w:rsidR="00AC375F" w:rsidRPr="00AC375F" w:rsidRDefault="00AC375F" w:rsidP="00AC375F">
            <w:pPr>
              <w:rPr>
                <w:b/>
                <w:bCs/>
                <w:sz w:val="18"/>
                <w:szCs w:val="18"/>
              </w:rPr>
            </w:pPr>
            <w:r w:rsidRPr="00AC375F">
              <w:rPr>
                <w:sz w:val="18"/>
                <w:szCs w:val="18"/>
              </w:rPr>
              <w:t>Sastanak Post Marketing Group RA Tool HMA</w:t>
            </w:r>
          </w:p>
        </w:tc>
        <w:tc>
          <w:tcPr>
            <w:tcW w:w="1417" w:type="dxa"/>
            <w:shd w:val="clear" w:color="auto" w:fill="FFFFFF" w:themeFill="background1"/>
            <w:noWrap/>
            <w:vAlign w:val="center"/>
          </w:tcPr>
          <w:p w14:paraId="5FB7F522"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FFFFFF" w:themeFill="background1"/>
            <w:noWrap/>
            <w:vAlign w:val="center"/>
          </w:tcPr>
          <w:p w14:paraId="2F440AA5" w14:textId="77777777" w:rsidR="00AC375F" w:rsidRPr="00AC375F" w:rsidRDefault="00AC375F" w:rsidP="00AC375F">
            <w:pPr>
              <w:jc w:val="center"/>
              <w:rPr>
                <w:sz w:val="18"/>
                <w:szCs w:val="18"/>
              </w:rPr>
            </w:pPr>
            <w:r w:rsidRPr="00AC375F">
              <w:rPr>
                <w:sz w:val="18"/>
                <w:szCs w:val="18"/>
              </w:rPr>
              <w:t>1</w:t>
            </w:r>
          </w:p>
        </w:tc>
        <w:tc>
          <w:tcPr>
            <w:tcW w:w="993" w:type="dxa"/>
            <w:shd w:val="clear" w:color="auto" w:fill="FFFFFF" w:themeFill="background1"/>
            <w:noWrap/>
            <w:vAlign w:val="center"/>
          </w:tcPr>
          <w:p w14:paraId="605927FE" w14:textId="77777777" w:rsidR="00AC375F" w:rsidRPr="00AC375F" w:rsidRDefault="00AC375F" w:rsidP="00AC375F">
            <w:pPr>
              <w:jc w:val="center"/>
              <w:rPr>
                <w:sz w:val="18"/>
                <w:szCs w:val="18"/>
              </w:rPr>
            </w:pPr>
            <w:r w:rsidRPr="00AC375F">
              <w:rPr>
                <w:sz w:val="18"/>
                <w:szCs w:val="18"/>
              </w:rPr>
              <w:t>siječanj</w:t>
            </w:r>
          </w:p>
        </w:tc>
        <w:tc>
          <w:tcPr>
            <w:tcW w:w="1563" w:type="dxa"/>
            <w:shd w:val="clear" w:color="auto" w:fill="FFFFFF" w:themeFill="background1"/>
            <w:noWrap/>
            <w:vAlign w:val="center"/>
          </w:tcPr>
          <w:p w14:paraId="5760231F" w14:textId="77777777" w:rsidR="00AC375F" w:rsidRPr="00AC375F" w:rsidRDefault="00AC375F" w:rsidP="00AC375F">
            <w:pPr>
              <w:jc w:val="center"/>
              <w:rPr>
                <w:sz w:val="18"/>
                <w:szCs w:val="18"/>
              </w:rPr>
            </w:pPr>
            <w:r w:rsidRPr="00AC375F">
              <w:rPr>
                <w:sz w:val="18"/>
                <w:szCs w:val="18"/>
              </w:rPr>
              <w:t>0,5</w:t>
            </w:r>
          </w:p>
        </w:tc>
      </w:tr>
      <w:tr w:rsidR="00AC375F" w:rsidRPr="00AC375F" w14:paraId="33492C68" w14:textId="77777777" w:rsidTr="00991955">
        <w:trPr>
          <w:trHeight w:val="310"/>
        </w:trPr>
        <w:tc>
          <w:tcPr>
            <w:tcW w:w="4390" w:type="dxa"/>
            <w:shd w:val="clear" w:color="auto" w:fill="auto"/>
            <w:vAlign w:val="center"/>
          </w:tcPr>
          <w:p w14:paraId="3EEDE333" w14:textId="77777777" w:rsidR="00AC375F" w:rsidRPr="00AC375F" w:rsidRDefault="00AC375F" w:rsidP="00AC375F">
            <w:pPr>
              <w:rPr>
                <w:sz w:val="18"/>
                <w:szCs w:val="18"/>
              </w:rPr>
            </w:pPr>
            <w:r w:rsidRPr="00AC375F">
              <w:rPr>
                <w:sz w:val="18"/>
                <w:szCs w:val="18"/>
              </w:rPr>
              <w:t>Redovna sjednica</w:t>
            </w:r>
          </w:p>
        </w:tc>
        <w:tc>
          <w:tcPr>
            <w:tcW w:w="1417" w:type="dxa"/>
            <w:shd w:val="clear" w:color="auto" w:fill="FFFFFF" w:themeFill="background1"/>
            <w:noWrap/>
            <w:vAlign w:val="center"/>
          </w:tcPr>
          <w:p w14:paraId="4731E315"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FFFFFF" w:themeFill="background1"/>
            <w:noWrap/>
            <w:vAlign w:val="center"/>
          </w:tcPr>
          <w:p w14:paraId="5FE18860" w14:textId="77777777" w:rsidR="00AC375F" w:rsidRPr="00AC375F" w:rsidRDefault="00AC375F" w:rsidP="00AC375F">
            <w:pPr>
              <w:jc w:val="center"/>
              <w:rPr>
                <w:sz w:val="18"/>
                <w:szCs w:val="18"/>
              </w:rPr>
            </w:pPr>
            <w:r w:rsidRPr="00AC375F">
              <w:rPr>
                <w:sz w:val="18"/>
                <w:szCs w:val="18"/>
              </w:rPr>
              <w:t>1</w:t>
            </w:r>
          </w:p>
        </w:tc>
        <w:tc>
          <w:tcPr>
            <w:tcW w:w="993" w:type="dxa"/>
            <w:shd w:val="clear" w:color="auto" w:fill="FFFFFF" w:themeFill="background1"/>
            <w:noWrap/>
            <w:vAlign w:val="center"/>
          </w:tcPr>
          <w:p w14:paraId="6A39AC5B" w14:textId="77777777" w:rsidR="00AC375F" w:rsidRPr="00AC375F" w:rsidRDefault="00AC375F" w:rsidP="00AC375F">
            <w:pPr>
              <w:jc w:val="center"/>
              <w:rPr>
                <w:sz w:val="18"/>
                <w:szCs w:val="18"/>
              </w:rPr>
            </w:pPr>
            <w:r w:rsidRPr="00AC375F">
              <w:rPr>
                <w:sz w:val="18"/>
                <w:szCs w:val="18"/>
              </w:rPr>
              <w:t>siječanj</w:t>
            </w:r>
          </w:p>
        </w:tc>
        <w:tc>
          <w:tcPr>
            <w:tcW w:w="1563" w:type="dxa"/>
            <w:shd w:val="clear" w:color="auto" w:fill="FFFFFF" w:themeFill="background1"/>
            <w:noWrap/>
            <w:vAlign w:val="center"/>
          </w:tcPr>
          <w:p w14:paraId="419604F6" w14:textId="77777777" w:rsidR="00AC375F" w:rsidRPr="00AC375F" w:rsidRDefault="00AC375F" w:rsidP="00AC375F">
            <w:pPr>
              <w:jc w:val="center"/>
              <w:rPr>
                <w:sz w:val="18"/>
                <w:szCs w:val="18"/>
              </w:rPr>
            </w:pPr>
            <w:r w:rsidRPr="00AC375F">
              <w:rPr>
                <w:sz w:val="18"/>
                <w:szCs w:val="18"/>
              </w:rPr>
              <w:t>3</w:t>
            </w:r>
          </w:p>
        </w:tc>
      </w:tr>
      <w:tr w:rsidR="00AC375F" w:rsidRPr="00AC375F" w14:paraId="00E852E6" w14:textId="77777777" w:rsidTr="00991955">
        <w:trPr>
          <w:trHeight w:val="310"/>
        </w:trPr>
        <w:tc>
          <w:tcPr>
            <w:tcW w:w="4390" w:type="dxa"/>
            <w:shd w:val="clear" w:color="auto" w:fill="auto"/>
            <w:vAlign w:val="center"/>
          </w:tcPr>
          <w:p w14:paraId="19395FDC" w14:textId="77777777" w:rsidR="00AC375F" w:rsidRPr="00AC375F" w:rsidRDefault="00AC375F" w:rsidP="00AC375F">
            <w:pPr>
              <w:rPr>
                <w:sz w:val="18"/>
                <w:szCs w:val="18"/>
              </w:rPr>
            </w:pPr>
            <w:r w:rsidRPr="00AC375F">
              <w:rPr>
                <w:sz w:val="18"/>
                <w:szCs w:val="18"/>
              </w:rPr>
              <w:t>Redovna sjednica</w:t>
            </w:r>
          </w:p>
        </w:tc>
        <w:tc>
          <w:tcPr>
            <w:tcW w:w="1417" w:type="dxa"/>
            <w:shd w:val="clear" w:color="auto" w:fill="FFFFFF" w:themeFill="background1"/>
            <w:noWrap/>
            <w:vAlign w:val="center"/>
          </w:tcPr>
          <w:p w14:paraId="491F38BD" w14:textId="77777777" w:rsidR="00AC375F" w:rsidRPr="00AC375F" w:rsidRDefault="00AC375F" w:rsidP="00AC375F">
            <w:pPr>
              <w:jc w:val="center"/>
              <w:rPr>
                <w:sz w:val="18"/>
                <w:szCs w:val="18"/>
              </w:rPr>
            </w:pPr>
            <w:r w:rsidRPr="00AC375F">
              <w:rPr>
                <w:sz w:val="18"/>
                <w:szCs w:val="18"/>
              </w:rPr>
              <w:t>Amsterdam</w:t>
            </w:r>
          </w:p>
        </w:tc>
        <w:tc>
          <w:tcPr>
            <w:tcW w:w="992" w:type="dxa"/>
            <w:shd w:val="clear" w:color="auto" w:fill="FFFFFF" w:themeFill="background1"/>
            <w:noWrap/>
            <w:vAlign w:val="center"/>
          </w:tcPr>
          <w:p w14:paraId="4DD07EE1" w14:textId="77777777" w:rsidR="00AC375F" w:rsidRPr="00AC375F" w:rsidRDefault="00AC375F" w:rsidP="00AC375F">
            <w:pPr>
              <w:jc w:val="center"/>
              <w:rPr>
                <w:sz w:val="18"/>
                <w:szCs w:val="18"/>
              </w:rPr>
            </w:pPr>
            <w:r w:rsidRPr="00AC375F">
              <w:rPr>
                <w:sz w:val="18"/>
                <w:szCs w:val="18"/>
              </w:rPr>
              <w:t>2</w:t>
            </w:r>
          </w:p>
        </w:tc>
        <w:tc>
          <w:tcPr>
            <w:tcW w:w="993" w:type="dxa"/>
            <w:shd w:val="clear" w:color="auto" w:fill="FFFFFF" w:themeFill="background1"/>
            <w:noWrap/>
            <w:vAlign w:val="center"/>
          </w:tcPr>
          <w:p w14:paraId="52A05DDF" w14:textId="77777777" w:rsidR="00AC375F" w:rsidRPr="00AC375F" w:rsidRDefault="00AC375F" w:rsidP="00AC375F">
            <w:pPr>
              <w:jc w:val="center"/>
              <w:rPr>
                <w:sz w:val="18"/>
                <w:szCs w:val="18"/>
              </w:rPr>
            </w:pPr>
            <w:r w:rsidRPr="00AC375F">
              <w:rPr>
                <w:sz w:val="18"/>
                <w:szCs w:val="18"/>
              </w:rPr>
              <w:t>veljača</w:t>
            </w:r>
          </w:p>
        </w:tc>
        <w:tc>
          <w:tcPr>
            <w:tcW w:w="1563" w:type="dxa"/>
            <w:shd w:val="clear" w:color="auto" w:fill="FFFFFF" w:themeFill="background1"/>
            <w:noWrap/>
            <w:vAlign w:val="center"/>
          </w:tcPr>
          <w:p w14:paraId="6D3E0F92" w14:textId="77777777" w:rsidR="00AC375F" w:rsidRPr="00AC375F" w:rsidRDefault="00AC375F" w:rsidP="00AC375F">
            <w:pPr>
              <w:jc w:val="center"/>
              <w:rPr>
                <w:sz w:val="18"/>
                <w:szCs w:val="18"/>
              </w:rPr>
            </w:pPr>
            <w:r w:rsidRPr="00AC375F">
              <w:rPr>
                <w:sz w:val="18"/>
                <w:szCs w:val="18"/>
              </w:rPr>
              <w:t>3</w:t>
            </w:r>
          </w:p>
        </w:tc>
      </w:tr>
      <w:tr w:rsidR="00AC375F" w:rsidRPr="00AC375F" w14:paraId="5004A1A7" w14:textId="77777777" w:rsidTr="00991955">
        <w:trPr>
          <w:trHeight w:val="310"/>
        </w:trPr>
        <w:tc>
          <w:tcPr>
            <w:tcW w:w="4390" w:type="dxa"/>
            <w:shd w:val="clear" w:color="auto" w:fill="auto"/>
            <w:vAlign w:val="center"/>
          </w:tcPr>
          <w:p w14:paraId="6BC0E299" w14:textId="77777777" w:rsidR="00AC375F" w:rsidRPr="00AC375F" w:rsidRDefault="00AC375F" w:rsidP="00AC375F">
            <w:pPr>
              <w:rPr>
                <w:bCs/>
                <w:sz w:val="18"/>
                <w:szCs w:val="18"/>
              </w:rPr>
            </w:pPr>
            <w:r w:rsidRPr="00AC375F">
              <w:rPr>
                <w:sz w:val="18"/>
                <w:szCs w:val="18"/>
              </w:rPr>
              <w:t>Ad hoc BWP meeting on HPRA, PHH1V vaccine, Bimervax</w:t>
            </w:r>
          </w:p>
        </w:tc>
        <w:tc>
          <w:tcPr>
            <w:tcW w:w="1417" w:type="dxa"/>
            <w:shd w:val="clear" w:color="auto" w:fill="FFFFFF" w:themeFill="background1"/>
            <w:noWrap/>
            <w:vAlign w:val="center"/>
          </w:tcPr>
          <w:p w14:paraId="61C1E564"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FFFFFF" w:themeFill="background1"/>
            <w:noWrap/>
            <w:vAlign w:val="center"/>
          </w:tcPr>
          <w:p w14:paraId="668A2297" w14:textId="77777777" w:rsidR="00AC375F" w:rsidRPr="00AC375F" w:rsidRDefault="00AC375F" w:rsidP="00AC375F">
            <w:pPr>
              <w:jc w:val="center"/>
              <w:rPr>
                <w:sz w:val="18"/>
                <w:szCs w:val="18"/>
              </w:rPr>
            </w:pPr>
            <w:r w:rsidRPr="00AC375F">
              <w:rPr>
                <w:sz w:val="18"/>
                <w:szCs w:val="18"/>
              </w:rPr>
              <w:t>2</w:t>
            </w:r>
          </w:p>
        </w:tc>
        <w:tc>
          <w:tcPr>
            <w:tcW w:w="993" w:type="dxa"/>
            <w:shd w:val="clear" w:color="auto" w:fill="FFFFFF" w:themeFill="background1"/>
            <w:noWrap/>
            <w:vAlign w:val="center"/>
          </w:tcPr>
          <w:p w14:paraId="5C5DDEF5" w14:textId="77777777" w:rsidR="00AC375F" w:rsidRPr="00AC375F" w:rsidRDefault="00AC375F" w:rsidP="00AC375F">
            <w:pPr>
              <w:jc w:val="center"/>
              <w:rPr>
                <w:sz w:val="18"/>
                <w:szCs w:val="18"/>
              </w:rPr>
            </w:pPr>
            <w:r w:rsidRPr="00AC375F">
              <w:rPr>
                <w:sz w:val="18"/>
                <w:szCs w:val="18"/>
              </w:rPr>
              <w:t>ožujak</w:t>
            </w:r>
          </w:p>
        </w:tc>
        <w:tc>
          <w:tcPr>
            <w:tcW w:w="1563" w:type="dxa"/>
            <w:shd w:val="clear" w:color="auto" w:fill="FFFFFF" w:themeFill="background1"/>
            <w:noWrap/>
            <w:vAlign w:val="center"/>
          </w:tcPr>
          <w:p w14:paraId="183F509F" w14:textId="77777777" w:rsidR="00AC375F" w:rsidRPr="00AC375F" w:rsidRDefault="00AC375F" w:rsidP="00AC375F">
            <w:pPr>
              <w:jc w:val="center"/>
              <w:rPr>
                <w:sz w:val="18"/>
                <w:szCs w:val="18"/>
              </w:rPr>
            </w:pPr>
            <w:r w:rsidRPr="00AC375F">
              <w:rPr>
                <w:sz w:val="18"/>
                <w:szCs w:val="18"/>
              </w:rPr>
              <w:t>0,5</w:t>
            </w:r>
          </w:p>
        </w:tc>
      </w:tr>
      <w:tr w:rsidR="00AC375F" w:rsidRPr="00AC375F" w14:paraId="28631C91" w14:textId="77777777" w:rsidTr="00991955">
        <w:trPr>
          <w:trHeight w:val="310"/>
        </w:trPr>
        <w:tc>
          <w:tcPr>
            <w:tcW w:w="4390" w:type="dxa"/>
            <w:shd w:val="clear" w:color="auto" w:fill="auto"/>
            <w:vAlign w:val="center"/>
          </w:tcPr>
          <w:p w14:paraId="5CBA5EDB" w14:textId="77777777" w:rsidR="00AC375F" w:rsidRPr="00AC375F" w:rsidRDefault="00AC375F" w:rsidP="00AC375F">
            <w:pPr>
              <w:rPr>
                <w:b/>
                <w:bCs/>
                <w:sz w:val="18"/>
                <w:szCs w:val="18"/>
              </w:rPr>
            </w:pPr>
            <w:r w:rsidRPr="00AC375F">
              <w:rPr>
                <w:bCs/>
                <w:sz w:val="18"/>
                <w:szCs w:val="18"/>
              </w:rPr>
              <w:t>Ad hoc Influenza Group</w:t>
            </w:r>
          </w:p>
        </w:tc>
        <w:tc>
          <w:tcPr>
            <w:tcW w:w="1417" w:type="dxa"/>
            <w:shd w:val="clear" w:color="auto" w:fill="FFFFFF" w:themeFill="background1"/>
            <w:noWrap/>
            <w:vAlign w:val="center"/>
          </w:tcPr>
          <w:p w14:paraId="74D5D391"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FFFFFF" w:themeFill="background1"/>
            <w:noWrap/>
            <w:vAlign w:val="center"/>
          </w:tcPr>
          <w:p w14:paraId="4A2263FA" w14:textId="77777777" w:rsidR="00AC375F" w:rsidRPr="00AC375F" w:rsidRDefault="00AC375F" w:rsidP="00AC375F">
            <w:pPr>
              <w:jc w:val="center"/>
              <w:rPr>
                <w:sz w:val="18"/>
                <w:szCs w:val="18"/>
              </w:rPr>
            </w:pPr>
            <w:r w:rsidRPr="00AC375F">
              <w:rPr>
                <w:sz w:val="18"/>
                <w:szCs w:val="18"/>
              </w:rPr>
              <w:t>1</w:t>
            </w:r>
          </w:p>
        </w:tc>
        <w:tc>
          <w:tcPr>
            <w:tcW w:w="993" w:type="dxa"/>
            <w:shd w:val="clear" w:color="auto" w:fill="FFFFFF" w:themeFill="background1"/>
            <w:noWrap/>
            <w:vAlign w:val="center"/>
          </w:tcPr>
          <w:p w14:paraId="246242DE" w14:textId="77777777" w:rsidR="00AC375F" w:rsidRPr="00AC375F" w:rsidRDefault="00AC375F" w:rsidP="00AC375F">
            <w:pPr>
              <w:jc w:val="center"/>
              <w:rPr>
                <w:sz w:val="18"/>
                <w:szCs w:val="18"/>
              </w:rPr>
            </w:pPr>
            <w:r w:rsidRPr="00AC375F">
              <w:rPr>
                <w:sz w:val="18"/>
                <w:szCs w:val="18"/>
              </w:rPr>
              <w:t>ožujak</w:t>
            </w:r>
          </w:p>
        </w:tc>
        <w:tc>
          <w:tcPr>
            <w:tcW w:w="1563" w:type="dxa"/>
            <w:shd w:val="clear" w:color="auto" w:fill="FFFFFF" w:themeFill="background1"/>
            <w:noWrap/>
            <w:vAlign w:val="center"/>
          </w:tcPr>
          <w:p w14:paraId="68ABF857" w14:textId="77777777" w:rsidR="00AC375F" w:rsidRPr="00AC375F" w:rsidRDefault="00AC375F" w:rsidP="00AC375F">
            <w:pPr>
              <w:jc w:val="center"/>
              <w:rPr>
                <w:sz w:val="18"/>
                <w:szCs w:val="18"/>
              </w:rPr>
            </w:pPr>
            <w:r w:rsidRPr="00AC375F">
              <w:rPr>
                <w:sz w:val="18"/>
                <w:szCs w:val="18"/>
              </w:rPr>
              <w:t>0,5</w:t>
            </w:r>
          </w:p>
        </w:tc>
      </w:tr>
      <w:tr w:rsidR="00AC375F" w:rsidRPr="00AC375F" w14:paraId="09244ADB" w14:textId="77777777" w:rsidTr="00991955">
        <w:trPr>
          <w:trHeight w:val="310"/>
        </w:trPr>
        <w:tc>
          <w:tcPr>
            <w:tcW w:w="4390" w:type="dxa"/>
            <w:shd w:val="clear" w:color="auto" w:fill="auto"/>
            <w:vAlign w:val="center"/>
          </w:tcPr>
          <w:p w14:paraId="7D4B9CEC" w14:textId="77777777" w:rsidR="00AC375F" w:rsidRPr="00AC375F" w:rsidRDefault="00AC375F" w:rsidP="00AC375F">
            <w:pPr>
              <w:rPr>
                <w:bCs/>
                <w:sz w:val="18"/>
                <w:szCs w:val="18"/>
              </w:rPr>
            </w:pPr>
            <w:r w:rsidRPr="00AC375F">
              <w:rPr>
                <w:bCs/>
                <w:sz w:val="18"/>
                <w:szCs w:val="18"/>
              </w:rPr>
              <w:t>Redovna sjednica</w:t>
            </w:r>
          </w:p>
        </w:tc>
        <w:tc>
          <w:tcPr>
            <w:tcW w:w="1417" w:type="dxa"/>
            <w:shd w:val="clear" w:color="auto" w:fill="FFFFFF" w:themeFill="background1"/>
            <w:noWrap/>
            <w:vAlign w:val="center"/>
          </w:tcPr>
          <w:p w14:paraId="58CFF70E"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FFFFFF" w:themeFill="background1"/>
            <w:noWrap/>
            <w:vAlign w:val="center"/>
          </w:tcPr>
          <w:p w14:paraId="3D45AE86" w14:textId="77777777" w:rsidR="00AC375F" w:rsidRPr="00AC375F" w:rsidRDefault="00AC375F" w:rsidP="00AC375F">
            <w:pPr>
              <w:jc w:val="center"/>
              <w:rPr>
                <w:sz w:val="18"/>
                <w:szCs w:val="18"/>
              </w:rPr>
            </w:pPr>
            <w:r w:rsidRPr="00AC375F">
              <w:rPr>
                <w:sz w:val="18"/>
                <w:szCs w:val="18"/>
              </w:rPr>
              <w:t>1</w:t>
            </w:r>
          </w:p>
        </w:tc>
        <w:tc>
          <w:tcPr>
            <w:tcW w:w="993" w:type="dxa"/>
            <w:shd w:val="clear" w:color="auto" w:fill="FFFFFF" w:themeFill="background1"/>
            <w:noWrap/>
            <w:vAlign w:val="center"/>
          </w:tcPr>
          <w:p w14:paraId="35452DBC" w14:textId="77777777" w:rsidR="00AC375F" w:rsidRPr="00AC375F" w:rsidRDefault="00AC375F" w:rsidP="00AC375F">
            <w:pPr>
              <w:jc w:val="center"/>
              <w:rPr>
                <w:sz w:val="18"/>
                <w:szCs w:val="18"/>
              </w:rPr>
            </w:pPr>
            <w:r w:rsidRPr="00AC375F">
              <w:rPr>
                <w:sz w:val="18"/>
                <w:szCs w:val="18"/>
              </w:rPr>
              <w:t>ožujak</w:t>
            </w:r>
          </w:p>
        </w:tc>
        <w:tc>
          <w:tcPr>
            <w:tcW w:w="1563" w:type="dxa"/>
            <w:shd w:val="clear" w:color="auto" w:fill="FFFFFF" w:themeFill="background1"/>
            <w:noWrap/>
            <w:vAlign w:val="center"/>
          </w:tcPr>
          <w:p w14:paraId="39F86415" w14:textId="77777777" w:rsidR="00AC375F" w:rsidRPr="00AC375F" w:rsidRDefault="00AC375F" w:rsidP="00AC375F">
            <w:pPr>
              <w:jc w:val="center"/>
              <w:rPr>
                <w:sz w:val="18"/>
                <w:szCs w:val="18"/>
              </w:rPr>
            </w:pPr>
            <w:r w:rsidRPr="00AC375F">
              <w:rPr>
                <w:sz w:val="18"/>
                <w:szCs w:val="18"/>
              </w:rPr>
              <w:t>3</w:t>
            </w:r>
          </w:p>
        </w:tc>
      </w:tr>
      <w:tr w:rsidR="00AC375F" w:rsidRPr="00AC375F" w14:paraId="47365D34" w14:textId="77777777" w:rsidTr="00991955">
        <w:trPr>
          <w:trHeight w:val="310"/>
        </w:trPr>
        <w:tc>
          <w:tcPr>
            <w:tcW w:w="4390" w:type="dxa"/>
            <w:shd w:val="clear" w:color="auto" w:fill="auto"/>
            <w:vAlign w:val="center"/>
          </w:tcPr>
          <w:p w14:paraId="50586323" w14:textId="77777777" w:rsidR="00AC375F" w:rsidRPr="00AC375F" w:rsidRDefault="00AC375F" w:rsidP="00AC375F">
            <w:pPr>
              <w:rPr>
                <w:bCs/>
                <w:sz w:val="18"/>
                <w:szCs w:val="18"/>
              </w:rPr>
            </w:pPr>
            <w:r w:rsidRPr="00AC375F">
              <w:rPr>
                <w:bCs/>
                <w:sz w:val="18"/>
                <w:szCs w:val="18"/>
              </w:rPr>
              <w:t>Sastank Drafting Group - NfG maximum shelf life for sterile products for human use after first opening or following reconstitution</w:t>
            </w:r>
          </w:p>
        </w:tc>
        <w:tc>
          <w:tcPr>
            <w:tcW w:w="1417" w:type="dxa"/>
            <w:shd w:val="clear" w:color="auto" w:fill="FFFFFF" w:themeFill="background1"/>
            <w:noWrap/>
            <w:vAlign w:val="center"/>
          </w:tcPr>
          <w:p w14:paraId="69E01CAA"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FFFFFF" w:themeFill="background1"/>
            <w:noWrap/>
            <w:vAlign w:val="center"/>
          </w:tcPr>
          <w:p w14:paraId="55B895A0" w14:textId="77777777" w:rsidR="00AC375F" w:rsidRPr="00AC375F" w:rsidRDefault="00AC375F" w:rsidP="00AC375F">
            <w:pPr>
              <w:jc w:val="center"/>
              <w:rPr>
                <w:sz w:val="18"/>
                <w:szCs w:val="18"/>
              </w:rPr>
            </w:pPr>
            <w:r w:rsidRPr="00AC375F">
              <w:rPr>
                <w:sz w:val="18"/>
                <w:szCs w:val="18"/>
              </w:rPr>
              <w:t>1</w:t>
            </w:r>
          </w:p>
        </w:tc>
        <w:tc>
          <w:tcPr>
            <w:tcW w:w="993" w:type="dxa"/>
            <w:shd w:val="clear" w:color="auto" w:fill="FFFFFF" w:themeFill="background1"/>
            <w:noWrap/>
            <w:vAlign w:val="center"/>
          </w:tcPr>
          <w:p w14:paraId="2550FC3C" w14:textId="77777777" w:rsidR="00AC375F" w:rsidRPr="00AC375F" w:rsidRDefault="00AC375F" w:rsidP="00AC375F">
            <w:pPr>
              <w:jc w:val="center"/>
              <w:rPr>
                <w:sz w:val="18"/>
                <w:szCs w:val="18"/>
              </w:rPr>
            </w:pPr>
            <w:r w:rsidRPr="00AC375F">
              <w:rPr>
                <w:sz w:val="18"/>
                <w:szCs w:val="18"/>
              </w:rPr>
              <w:t>travanj</w:t>
            </w:r>
          </w:p>
        </w:tc>
        <w:tc>
          <w:tcPr>
            <w:tcW w:w="1563" w:type="dxa"/>
            <w:shd w:val="clear" w:color="auto" w:fill="FFFFFF" w:themeFill="background1"/>
            <w:noWrap/>
            <w:vAlign w:val="center"/>
          </w:tcPr>
          <w:p w14:paraId="2EE94CDC" w14:textId="77777777" w:rsidR="00AC375F" w:rsidRPr="00AC375F" w:rsidRDefault="00AC375F" w:rsidP="00AC375F">
            <w:pPr>
              <w:jc w:val="center"/>
              <w:rPr>
                <w:sz w:val="18"/>
                <w:szCs w:val="18"/>
              </w:rPr>
            </w:pPr>
            <w:r w:rsidRPr="00AC375F">
              <w:rPr>
                <w:sz w:val="18"/>
                <w:szCs w:val="18"/>
              </w:rPr>
              <w:t>0,5</w:t>
            </w:r>
          </w:p>
        </w:tc>
      </w:tr>
      <w:tr w:rsidR="00AC375F" w:rsidRPr="00AC375F" w14:paraId="70FDCF0B" w14:textId="77777777" w:rsidTr="00991955">
        <w:trPr>
          <w:trHeight w:val="310"/>
        </w:trPr>
        <w:tc>
          <w:tcPr>
            <w:tcW w:w="4390" w:type="dxa"/>
            <w:shd w:val="clear" w:color="auto" w:fill="auto"/>
            <w:vAlign w:val="center"/>
          </w:tcPr>
          <w:p w14:paraId="0BA26019" w14:textId="77777777" w:rsidR="00AC375F" w:rsidRPr="00AC375F" w:rsidRDefault="00AC375F" w:rsidP="00AC375F">
            <w:pPr>
              <w:rPr>
                <w:bCs/>
                <w:sz w:val="18"/>
                <w:szCs w:val="18"/>
              </w:rPr>
            </w:pPr>
            <w:r w:rsidRPr="00AC375F">
              <w:rPr>
                <w:bCs/>
                <w:sz w:val="18"/>
                <w:szCs w:val="18"/>
              </w:rPr>
              <w:t>Redovna sjednica</w:t>
            </w:r>
          </w:p>
        </w:tc>
        <w:tc>
          <w:tcPr>
            <w:tcW w:w="1417" w:type="dxa"/>
            <w:shd w:val="clear" w:color="auto" w:fill="FFFFFF" w:themeFill="background1"/>
            <w:noWrap/>
            <w:vAlign w:val="center"/>
          </w:tcPr>
          <w:p w14:paraId="6F4D4824" w14:textId="77777777" w:rsidR="00AC375F" w:rsidRPr="00AC375F" w:rsidRDefault="00AC375F" w:rsidP="00AC375F">
            <w:pPr>
              <w:jc w:val="center"/>
              <w:rPr>
                <w:sz w:val="18"/>
                <w:szCs w:val="18"/>
              </w:rPr>
            </w:pPr>
            <w:r w:rsidRPr="00AC375F">
              <w:rPr>
                <w:sz w:val="18"/>
                <w:szCs w:val="18"/>
              </w:rPr>
              <w:t>Amsterdam</w:t>
            </w:r>
          </w:p>
        </w:tc>
        <w:tc>
          <w:tcPr>
            <w:tcW w:w="992" w:type="dxa"/>
            <w:shd w:val="clear" w:color="auto" w:fill="FFFFFF" w:themeFill="background1"/>
            <w:noWrap/>
            <w:vAlign w:val="center"/>
          </w:tcPr>
          <w:p w14:paraId="02D57B9A" w14:textId="77777777" w:rsidR="00AC375F" w:rsidRPr="00AC375F" w:rsidRDefault="00AC375F" w:rsidP="00AC375F">
            <w:pPr>
              <w:jc w:val="center"/>
              <w:rPr>
                <w:sz w:val="18"/>
                <w:szCs w:val="18"/>
              </w:rPr>
            </w:pPr>
            <w:r w:rsidRPr="00AC375F">
              <w:rPr>
                <w:sz w:val="18"/>
                <w:szCs w:val="18"/>
              </w:rPr>
              <w:t>2</w:t>
            </w:r>
          </w:p>
        </w:tc>
        <w:tc>
          <w:tcPr>
            <w:tcW w:w="993" w:type="dxa"/>
            <w:shd w:val="clear" w:color="auto" w:fill="FFFFFF" w:themeFill="background1"/>
            <w:noWrap/>
            <w:vAlign w:val="center"/>
          </w:tcPr>
          <w:p w14:paraId="52F3736C" w14:textId="77777777" w:rsidR="00AC375F" w:rsidRPr="00AC375F" w:rsidRDefault="00AC375F" w:rsidP="00AC375F">
            <w:pPr>
              <w:jc w:val="center"/>
              <w:rPr>
                <w:sz w:val="18"/>
                <w:szCs w:val="18"/>
              </w:rPr>
            </w:pPr>
            <w:r w:rsidRPr="00AC375F">
              <w:rPr>
                <w:sz w:val="18"/>
                <w:szCs w:val="18"/>
              </w:rPr>
              <w:t>travanj</w:t>
            </w:r>
          </w:p>
        </w:tc>
        <w:tc>
          <w:tcPr>
            <w:tcW w:w="1563" w:type="dxa"/>
            <w:shd w:val="clear" w:color="auto" w:fill="FFFFFF" w:themeFill="background1"/>
            <w:noWrap/>
            <w:vAlign w:val="center"/>
          </w:tcPr>
          <w:p w14:paraId="609FE414" w14:textId="77777777" w:rsidR="00AC375F" w:rsidRPr="00AC375F" w:rsidRDefault="00AC375F" w:rsidP="00AC375F">
            <w:pPr>
              <w:jc w:val="center"/>
              <w:rPr>
                <w:sz w:val="18"/>
                <w:szCs w:val="18"/>
              </w:rPr>
            </w:pPr>
            <w:r w:rsidRPr="00AC375F">
              <w:rPr>
                <w:sz w:val="18"/>
                <w:szCs w:val="18"/>
              </w:rPr>
              <w:t>3</w:t>
            </w:r>
          </w:p>
        </w:tc>
      </w:tr>
      <w:tr w:rsidR="00AC375F" w:rsidRPr="00AC375F" w14:paraId="169ED43A" w14:textId="77777777" w:rsidTr="00991955">
        <w:trPr>
          <w:trHeight w:val="310"/>
        </w:trPr>
        <w:tc>
          <w:tcPr>
            <w:tcW w:w="4390" w:type="dxa"/>
            <w:shd w:val="clear" w:color="auto" w:fill="auto"/>
            <w:vAlign w:val="center"/>
          </w:tcPr>
          <w:p w14:paraId="53FCDBE5" w14:textId="77777777" w:rsidR="00AC375F" w:rsidRPr="00AC375F" w:rsidRDefault="00AC375F" w:rsidP="00AC375F">
            <w:pPr>
              <w:rPr>
                <w:bCs/>
                <w:sz w:val="18"/>
                <w:szCs w:val="18"/>
              </w:rPr>
            </w:pPr>
            <w:r w:rsidRPr="00AC375F">
              <w:rPr>
                <w:sz w:val="18"/>
                <w:szCs w:val="18"/>
              </w:rPr>
              <w:t>Sastanak Post Marketing Group RA Tool HMA</w:t>
            </w:r>
          </w:p>
        </w:tc>
        <w:tc>
          <w:tcPr>
            <w:tcW w:w="1417" w:type="dxa"/>
            <w:shd w:val="clear" w:color="auto" w:fill="FFFFFF" w:themeFill="background1"/>
            <w:noWrap/>
            <w:vAlign w:val="center"/>
          </w:tcPr>
          <w:p w14:paraId="268CC69F"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FFFFFF" w:themeFill="background1"/>
            <w:noWrap/>
            <w:vAlign w:val="center"/>
          </w:tcPr>
          <w:p w14:paraId="01AC80DB" w14:textId="77777777" w:rsidR="00AC375F" w:rsidRPr="00AC375F" w:rsidRDefault="00AC375F" w:rsidP="00AC375F">
            <w:pPr>
              <w:jc w:val="center"/>
              <w:rPr>
                <w:sz w:val="18"/>
                <w:szCs w:val="18"/>
              </w:rPr>
            </w:pPr>
            <w:r w:rsidRPr="00AC375F">
              <w:rPr>
                <w:sz w:val="18"/>
                <w:szCs w:val="18"/>
              </w:rPr>
              <w:t>1</w:t>
            </w:r>
          </w:p>
        </w:tc>
        <w:tc>
          <w:tcPr>
            <w:tcW w:w="993" w:type="dxa"/>
            <w:shd w:val="clear" w:color="auto" w:fill="FFFFFF" w:themeFill="background1"/>
            <w:noWrap/>
            <w:vAlign w:val="center"/>
          </w:tcPr>
          <w:p w14:paraId="51D802C9" w14:textId="77777777" w:rsidR="00AC375F" w:rsidRPr="00AC375F" w:rsidRDefault="00AC375F" w:rsidP="00AC375F">
            <w:pPr>
              <w:jc w:val="center"/>
              <w:rPr>
                <w:sz w:val="18"/>
                <w:szCs w:val="18"/>
              </w:rPr>
            </w:pPr>
            <w:r w:rsidRPr="00AC375F">
              <w:rPr>
                <w:sz w:val="18"/>
                <w:szCs w:val="18"/>
              </w:rPr>
              <w:t>svibanj</w:t>
            </w:r>
          </w:p>
        </w:tc>
        <w:tc>
          <w:tcPr>
            <w:tcW w:w="1563" w:type="dxa"/>
            <w:shd w:val="clear" w:color="auto" w:fill="FFFFFF" w:themeFill="background1"/>
            <w:noWrap/>
            <w:vAlign w:val="center"/>
          </w:tcPr>
          <w:p w14:paraId="66EFBFD2" w14:textId="77777777" w:rsidR="00AC375F" w:rsidRPr="00AC375F" w:rsidRDefault="00AC375F" w:rsidP="00AC375F">
            <w:pPr>
              <w:jc w:val="center"/>
              <w:rPr>
                <w:sz w:val="18"/>
                <w:szCs w:val="18"/>
              </w:rPr>
            </w:pPr>
            <w:r w:rsidRPr="00AC375F">
              <w:rPr>
                <w:sz w:val="18"/>
                <w:szCs w:val="18"/>
              </w:rPr>
              <w:t>0,5</w:t>
            </w:r>
          </w:p>
        </w:tc>
      </w:tr>
      <w:tr w:rsidR="00AC375F" w:rsidRPr="00AC375F" w14:paraId="414BC862" w14:textId="77777777" w:rsidTr="00991955">
        <w:trPr>
          <w:trHeight w:val="310"/>
        </w:trPr>
        <w:tc>
          <w:tcPr>
            <w:tcW w:w="4390" w:type="dxa"/>
            <w:shd w:val="clear" w:color="auto" w:fill="auto"/>
            <w:vAlign w:val="center"/>
          </w:tcPr>
          <w:p w14:paraId="66406EFD" w14:textId="77777777" w:rsidR="00AC375F" w:rsidRPr="00AC375F" w:rsidRDefault="00AC375F" w:rsidP="00AC375F">
            <w:pPr>
              <w:rPr>
                <w:sz w:val="18"/>
                <w:szCs w:val="18"/>
              </w:rPr>
            </w:pPr>
            <w:r w:rsidRPr="00AC375F">
              <w:rPr>
                <w:bCs/>
                <w:sz w:val="18"/>
                <w:szCs w:val="18"/>
              </w:rPr>
              <w:t>Sastank Drafting Group - NfG maximum shelf life for sterile products for human use after first opening or following reconstitution</w:t>
            </w:r>
          </w:p>
        </w:tc>
        <w:tc>
          <w:tcPr>
            <w:tcW w:w="1417" w:type="dxa"/>
            <w:shd w:val="clear" w:color="auto" w:fill="FFFFFF" w:themeFill="background1"/>
            <w:noWrap/>
            <w:vAlign w:val="center"/>
          </w:tcPr>
          <w:p w14:paraId="50EEC969"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FFFFFF" w:themeFill="background1"/>
            <w:noWrap/>
            <w:vAlign w:val="center"/>
          </w:tcPr>
          <w:p w14:paraId="73B19164" w14:textId="77777777" w:rsidR="00AC375F" w:rsidRPr="00AC375F" w:rsidRDefault="00AC375F" w:rsidP="00AC375F">
            <w:pPr>
              <w:jc w:val="center"/>
              <w:rPr>
                <w:sz w:val="18"/>
                <w:szCs w:val="18"/>
              </w:rPr>
            </w:pPr>
            <w:r w:rsidRPr="00AC375F">
              <w:rPr>
                <w:sz w:val="18"/>
                <w:szCs w:val="18"/>
              </w:rPr>
              <w:t>1</w:t>
            </w:r>
          </w:p>
        </w:tc>
        <w:tc>
          <w:tcPr>
            <w:tcW w:w="993" w:type="dxa"/>
            <w:shd w:val="clear" w:color="auto" w:fill="FFFFFF" w:themeFill="background1"/>
            <w:noWrap/>
            <w:vAlign w:val="center"/>
          </w:tcPr>
          <w:p w14:paraId="7E2397C5" w14:textId="77777777" w:rsidR="00AC375F" w:rsidRPr="00AC375F" w:rsidRDefault="00AC375F" w:rsidP="00AC375F">
            <w:pPr>
              <w:jc w:val="center"/>
              <w:rPr>
                <w:sz w:val="18"/>
                <w:szCs w:val="18"/>
              </w:rPr>
            </w:pPr>
            <w:r w:rsidRPr="00AC375F">
              <w:rPr>
                <w:sz w:val="18"/>
                <w:szCs w:val="18"/>
              </w:rPr>
              <w:t>svibanj</w:t>
            </w:r>
          </w:p>
        </w:tc>
        <w:tc>
          <w:tcPr>
            <w:tcW w:w="1563" w:type="dxa"/>
            <w:shd w:val="clear" w:color="auto" w:fill="FFFFFF" w:themeFill="background1"/>
            <w:noWrap/>
            <w:vAlign w:val="center"/>
          </w:tcPr>
          <w:p w14:paraId="368256E1" w14:textId="77777777" w:rsidR="00AC375F" w:rsidRPr="00AC375F" w:rsidRDefault="00AC375F" w:rsidP="00AC375F">
            <w:pPr>
              <w:jc w:val="center"/>
              <w:rPr>
                <w:sz w:val="18"/>
                <w:szCs w:val="18"/>
              </w:rPr>
            </w:pPr>
            <w:r w:rsidRPr="00AC375F">
              <w:rPr>
                <w:sz w:val="18"/>
                <w:szCs w:val="18"/>
              </w:rPr>
              <w:t>0,5</w:t>
            </w:r>
          </w:p>
        </w:tc>
      </w:tr>
      <w:tr w:rsidR="00AC375F" w:rsidRPr="00AC375F" w14:paraId="44FE7EDF" w14:textId="77777777" w:rsidTr="00991955">
        <w:trPr>
          <w:trHeight w:val="310"/>
        </w:trPr>
        <w:tc>
          <w:tcPr>
            <w:tcW w:w="4390" w:type="dxa"/>
            <w:shd w:val="clear" w:color="auto" w:fill="auto"/>
            <w:vAlign w:val="center"/>
          </w:tcPr>
          <w:p w14:paraId="13533EDB" w14:textId="77777777" w:rsidR="00AC375F" w:rsidRPr="00AC375F" w:rsidRDefault="00AC375F" w:rsidP="00AC375F">
            <w:pPr>
              <w:rPr>
                <w:sz w:val="18"/>
                <w:szCs w:val="18"/>
              </w:rPr>
            </w:pPr>
            <w:r w:rsidRPr="00AC375F">
              <w:rPr>
                <w:sz w:val="18"/>
                <w:szCs w:val="18"/>
              </w:rPr>
              <w:t>Redovna sjednica</w:t>
            </w:r>
          </w:p>
        </w:tc>
        <w:tc>
          <w:tcPr>
            <w:tcW w:w="1417" w:type="dxa"/>
            <w:shd w:val="clear" w:color="auto" w:fill="FFFFFF" w:themeFill="background1"/>
            <w:noWrap/>
            <w:vAlign w:val="center"/>
          </w:tcPr>
          <w:p w14:paraId="7B9F1692"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FFFFFF" w:themeFill="background1"/>
            <w:noWrap/>
            <w:vAlign w:val="center"/>
          </w:tcPr>
          <w:p w14:paraId="2131D607" w14:textId="77777777" w:rsidR="00AC375F" w:rsidRPr="00AC375F" w:rsidRDefault="00AC375F" w:rsidP="00AC375F">
            <w:pPr>
              <w:jc w:val="center"/>
              <w:rPr>
                <w:sz w:val="18"/>
                <w:szCs w:val="18"/>
              </w:rPr>
            </w:pPr>
            <w:r w:rsidRPr="00AC375F">
              <w:rPr>
                <w:sz w:val="18"/>
                <w:szCs w:val="18"/>
              </w:rPr>
              <w:t>1</w:t>
            </w:r>
          </w:p>
        </w:tc>
        <w:tc>
          <w:tcPr>
            <w:tcW w:w="993" w:type="dxa"/>
            <w:shd w:val="clear" w:color="auto" w:fill="FFFFFF" w:themeFill="background1"/>
            <w:noWrap/>
            <w:vAlign w:val="center"/>
          </w:tcPr>
          <w:p w14:paraId="0FEC8F1B" w14:textId="77777777" w:rsidR="00AC375F" w:rsidRPr="00AC375F" w:rsidRDefault="00AC375F" w:rsidP="00AC375F">
            <w:pPr>
              <w:jc w:val="center"/>
              <w:rPr>
                <w:sz w:val="18"/>
                <w:szCs w:val="18"/>
              </w:rPr>
            </w:pPr>
            <w:r w:rsidRPr="00AC375F">
              <w:rPr>
                <w:sz w:val="18"/>
                <w:szCs w:val="18"/>
              </w:rPr>
              <w:t>svibanj</w:t>
            </w:r>
          </w:p>
        </w:tc>
        <w:tc>
          <w:tcPr>
            <w:tcW w:w="1563" w:type="dxa"/>
            <w:shd w:val="clear" w:color="auto" w:fill="FFFFFF" w:themeFill="background1"/>
            <w:noWrap/>
            <w:vAlign w:val="center"/>
          </w:tcPr>
          <w:p w14:paraId="013ABA02" w14:textId="77777777" w:rsidR="00AC375F" w:rsidRPr="00AC375F" w:rsidRDefault="00AC375F" w:rsidP="00AC375F">
            <w:pPr>
              <w:jc w:val="center"/>
              <w:rPr>
                <w:sz w:val="18"/>
                <w:szCs w:val="18"/>
              </w:rPr>
            </w:pPr>
            <w:r w:rsidRPr="00AC375F">
              <w:rPr>
                <w:sz w:val="18"/>
                <w:szCs w:val="18"/>
              </w:rPr>
              <w:t>3</w:t>
            </w:r>
          </w:p>
        </w:tc>
      </w:tr>
      <w:tr w:rsidR="00AC375F" w:rsidRPr="00AC375F" w14:paraId="0FB49EEF" w14:textId="77777777" w:rsidTr="00991955">
        <w:trPr>
          <w:trHeight w:val="310"/>
        </w:trPr>
        <w:tc>
          <w:tcPr>
            <w:tcW w:w="4390" w:type="dxa"/>
            <w:shd w:val="clear" w:color="auto" w:fill="auto"/>
            <w:vAlign w:val="center"/>
          </w:tcPr>
          <w:p w14:paraId="725607ED" w14:textId="77777777" w:rsidR="00AC375F" w:rsidRPr="00AC375F" w:rsidRDefault="00AC375F" w:rsidP="00AC375F">
            <w:pPr>
              <w:rPr>
                <w:sz w:val="18"/>
                <w:szCs w:val="18"/>
              </w:rPr>
            </w:pPr>
            <w:r w:rsidRPr="00AC375F">
              <w:rPr>
                <w:sz w:val="18"/>
                <w:szCs w:val="18"/>
              </w:rPr>
              <w:t>Redovna sjednica</w:t>
            </w:r>
          </w:p>
        </w:tc>
        <w:tc>
          <w:tcPr>
            <w:tcW w:w="1417" w:type="dxa"/>
            <w:shd w:val="clear" w:color="auto" w:fill="FFFFFF" w:themeFill="background1"/>
            <w:noWrap/>
            <w:vAlign w:val="center"/>
          </w:tcPr>
          <w:p w14:paraId="697B0F5F" w14:textId="77777777" w:rsidR="00AC375F" w:rsidRPr="00AC375F" w:rsidRDefault="00AC375F" w:rsidP="00AC375F">
            <w:pPr>
              <w:jc w:val="center"/>
              <w:rPr>
                <w:sz w:val="18"/>
                <w:szCs w:val="18"/>
              </w:rPr>
            </w:pPr>
            <w:r w:rsidRPr="00AC375F">
              <w:rPr>
                <w:sz w:val="18"/>
                <w:szCs w:val="18"/>
              </w:rPr>
              <w:t>Amsterdam</w:t>
            </w:r>
          </w:p>
        </w:tc>
        <w:tc>
          <w:tcPr>
            <w:tcW w:w="992" w:type="dxa"/>
            <w:shd w:val="clear" w:color="auto" w:fill="FFFFFF" w:themeFill="background1"/>
            <w:noWrap/>
            <w:vAlign w:val="center"/>
          </w:tcPr>
          <w:p w14:paraId="3109AE84" w14:textId="77777777" w:rsidR="00AC375F" w:rsidRPr="00AC375F" w:rsidRDefault="00AC375F" w:rsidP="00AC375F">
            <w:pPr>
              <w:jc w:val="center"/>
              <w:rPr>
                <w:sz w:val="18"/>
                <w:szCs w:val="18"/>
              </w:rPr>
            </w:pPr>
            <w:r w:rsidRPr="00AC375F">
              <w:rPr>
                <w:sz w:val="18"/>
                <w:szCs w:val="18"/>
              </w:rPr>
              <w:t>2</w:t>
            </w:r>
          </w:p>
        </w:tc>
        <w:tc>
          <w:tcPr>
            <w:tcW w:w="993" w:type="dxa"/>
            <w:shd w:val="clear" w:color="auto" w:fill="FFFFFF" w:themeFill="background1"/>
            <w:noWrap/>
            <w:vAlign w:val="center"/>
          </w:tcPr>
          <w:p w14:paraId="5B78D338" w14:textId="77777777" w:rsidR="00AC375F" w:rsidRPr="00AC375F" w:rsidRDefault="00AC375F" w:rsidP="00AC375F">
            <w:pPr>
              <w:jc w:val="center"/>
              <w:rPr>
                <w:sz w:val="18"/>
                <w:szCs w:val="18"/>
              </w:rPr>
            </w:pPr>
            <w:r w:rsidRPr="00AC375F">
              <w:rPr>
                <w:sz w:val="18"/>
                <w:szCs w:val="18"/>
              </w:rPr>
              <w:t>lipanj</w:t>
            </w:r>
          </w:p>
        </w:tc>
        <w:tc>
          <w:tcPr>
            <w:tcW w:w="1563" w:type="dxa"/>
            <w:shd w:val="clear" w:color="auto" w:fill="FFFFFF" w:themeFill="background1"/>
            <w:noWrap/>
            <w:vAlign w:val="center"/>
          </w:tcPr>
          <w:p w14:paraId="454C004F" w14:textId="77777777" w:rsidR="00AC375F" w:rsidRPr="00AC375F" w:rsidRDefault="00AC375F" w:rsidP="00AC375F">
            <w:pPr>
              <w:jc w:val="center"/>
              <w:rPr>
                <w:sz w:val="18"/>
                <w:szCs w:val="18"/>
              </w:rPr>
            </w:pPr>
            <w:r w:rsidRPr="00AC375F">
              <w:rPr>
                <w:sz w:val="18"/>
                <w:szCs w:val="18"/>
              </w:rPr>
              <w:t>3</w:t>
            </w:r>
          </w:p>
        </w:tc>
      </w:tr>
      <w:tr w:rsidR="00AC375F" w:rsidRPr="00AC375F" w14:paraId="378E016D" w14:textId="77777777" w:rsidTr="00991955">
        <w:trPr>
          <w:trHeight w:val="310"/>
        </w:trPr>
        <w:tc>
          <w:tcPr>
            <w:tcW w:w="4390" w:type="dxa"/>
            <w:shd w:val="clear" w:color="auto" w:fill="auto"/>
            <w:vAlign w:val="center"/>
          </w:tcPr>
          <w:p w14:paraId="1F41EE33" w14:textId="77777777" w:rsidR="00AC375F" w:rsidRPr="00AC375F" w:rsidRDefault="00AC375F" w:rsidP="00AC375F">
            <w:pPr>
              <w:rPr>
                <w:sz w:val="18"/>
                <w:szCs w:val="18"/>
              </w:rPr>
            </w:pPr>
            <w:r w:rsidRPr="00AC375F">
              <w:rPr>
                <w:sz w:val="18"/>
                <w:szCs w:val="18"/>
              </w:rPr>
              <w:t>Redovna sjednica</w:t>
            </w:r>
          </w:p>
        </w:tc>
        <w:tc>
          <w:tcPr>
            <w:tcW w:w="1417" w:type="dxa"/>
            <w:shd w:val="clear" w:color="auto" w:fill="FFFFFF" w:themeFill="background1"/>
            <w:noWrap/>
            <w:vAlign w:val="center"/>
          </w:tcPr>
          <w:p w14:paraId="3F5BD6EB"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FFFFFF" w:themeFill="background1"/>
            <w:noWrap/>
            <w:vAlign w:val="center"/>
          </w:tcPr>
          <w:p w14:paraId="4150DEA5" w14:textId="77777777" w:rsidR="00AC375F" w:rsidRPr="00AC375F" w:rsidRDefault="00AC375F" w:rsidP="00AC375F">
            <w:pPr>
              <w:jc w:val="center"/>
              <w:rPr>
                <w:sz w:val="18"/>
                <w:szCs w:val="18"/>
              </w:rPr>
            </w:pPr>
            <w:r w:rsidRPr="00AC375F">
              <w:rPr>
                <w:sz w:val="18"/>
                <w:szCs w:val="18"/>
              </w:rPr>
              <w:t>1</w:t>
            </w:r>
          </w:p>
        </w:tc>
        <w:tc>
          <w:tcPr>
            <w:tcW w:w="993" w:type="dxa"/>
            <w:shd w:val="clear" w:color="auto" w:fill="FFFFFF" w:themeFill="background1"/>
            <w:noWrap/>
            <w:vAlign w:val="center"/>
          </w:tcPr>
          <w:p w14:paraId="567A41A6" w14:textId="77777777" w:rsidR="00AC375F" w:rsidRPr="00AC375F" w:rsidRDefault="00AC375F" w:rsidP="00AC375F">
            <w:pPr>
              <w:jc w:val="center"/>
              <w:rPr>
                <w:sz w:val="18"/>
                <w:szCs w:val="18"/>
              </w:rPr>
            </w:pPr>
            <w:r w:rsidRPr="00AC375F">
              <w:rPr>
                <w:sz w:val="18"/>
                <w:szCs w:val="18"/>
              </w:rPr>
              <w:t>srpanj</w:t>
            </w:r>
          </w:p>
        </w:tc>
        <w:tc>
          <w:tcPr>
            <w:tcW w:w="1563" w:type="dxa"/>
            <w:shd w:val="clear" w:color="auto" w:fill="FFFFFF" w:themeFill="background1"/>
            <w:noWrap/>
            <w:vAlign w:val="center"/>
          </w:tcPr>
          <w:p w14:paraId="2B3551C0" w14:textId="77777777" w:rsidR="00AC375F" w:rsidRPr="00AC375F" w:rsidRDefault="00AC375F" w:rsidP="00AC375F">
            <w:pPr>
              <w:jc w:val="center"/>
              <w:rPr>
                <w:sz w:val="18"/>
                <w:szCs w:val="18"/>
              </w:rPr>
            </w:pPr>
            <w:r w:rsidRPr="00AC375F">
              <w:rPr>
                <w:sz w:val="18"/>
                <w:szCs w:val="18"/>
              </w:rPr>
              <w:t>3</w:t>
            </w:r>
          </w:p>
        </w:tc>
      </w:tr>
      <w:tr w:rsidR="00AC375F" w:rsidRPr="00AC375F" w14:paraId="2C9565BE" w14:textId="77777777" w:rsidTr="00991955">
        <w:trPr>
          <w:trHeight w:val="310"/>
        </w:trPr>
        <w:tc>
          <w:tcPr>
            <w:tcW w:w="4390" w:type="dxa"/>
            <w:shd w:val="clear" w:color="auto" w:fill="auto"/>
            <w:vAlign w:val="center"/>
          </w:tcPr>
          <w:p w14:paraId="5DD981CC" w14:textId="77777777" w:rsidR="00AC375F" w:rsidRPr="00AC375F" w:rsidRDefault="00AC375F" w:rsidP="00AC375F">
            <w:pPr>
              <w:rPr>
                <w:sz w:val="18"/>
                <w:szCs w:val="18"/>
              </w:rPr>
            </w:pPr>
            <w:r w:rsidRPr="00AC375F">
              <w:rPr>
                <w:sz w:val="18"/>
                <w:szCs w:val="18"/>
              </w:rPr>
              <w:t>Redovna sjednica</w:t>
            </w:r>
            <w:r w:rsidRPr="00AC375F">
              <w:rPr>
                <w:bCs/>
                <w:sz w:val="18"/>
                <w:szCs w:val="18"/>
              </w:rPr>
              <w:t xml:space="preserve"> + BWP Interested Parties Meeting</w:t>
            </w:r>
          </w:p>
        </w:tc>
        <w:tc>
          <w:tcPr>
            <w:tcW w:w="1417" w:type="dxa"/>
            <w:shd w:val="clear" w:color="auto" w:fill="FFFFFF" w:themeFill="background1"/>
            <w:noWrap/>
            <w:vAlign w:val="center"/>
          </w:tcPr>
          <w:p w14:paraId="7C5548B8"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FFFFFF" w:themeFill="background1"/>
            <w:noWrap/>
            <w:vAlign w:val="center"/>
          </w:tcPr>
          <w:p w14:paraId="6ED3C456" w14:textId="77777777" w:rsidR="00AC375F" w:rsidRPr="00AC375F" w:rsidRDefault="00AC375F" w:rsidP="00AC375F">
            <w:pPr>
              <w:jc w:val="center"/>
              <w:rPr>
                <w:sz w:val="18"/>
                <w:szCs w:val="18"/>
              </w:rPr>
            </w:pPr>
            <w:r w:rsidRPr="00AC375F">
              <w:rPr>
                <w:sz w:val="18"/>
                <w:szCs w:val="18"/>
              </w:rPr>
              <w:t>1</w:t>
            </w:r>
          </w:p>
        </w:tc>
        <w:tc>
          <w:tcPr>
            <w:tcW w:w="993" w:type="dxa"/>
            <w:shd w:val="clear" w:color="auto" w:fill="FFFFFF" w:themeFill="background1"/>
            <w:noWrap/>
            <w:vAlign w:val="center"/>
          </w:tcPr>
          <w:p w14:paraId="4D1FFD12" w14:textId="77777777" w:rsidR="00AC375F" w:rsidRPr="00AC375F" w:rsidRDefault="00AC375F" w:rsidP="00AC375F">
            <w:pPr>
              <w:jc w:val="center"/>
              <w:rPr>
                <w:sz w:val="18"/>
                <w:szCs w:val="18"/>
              </w:rPr>
            </w:pPr>
            <w:r w:rsidRPr="00AC375F">
              <w:rPr>
                <w:sz w:val="18"/>
                <w:szCs w:val="18"/>
              </w:rPr>
              <w:t>rujan</w:t>
            </w:r>
          </w:p>
        </w:tc>
        <w:tc>
          <w:tcPr>
            <w:tcW w:w="1563" w:type="dxa"/>
            <w:shd w:val="clear" w:color="auto" w:fill="FFFFFF" w:themeFill="background1"/>
            <w:noWrap/>
            <w:vAlign w:val="center"/>
          </w:tcPr>
          <w:p w14:paraId="5F3C6FAF" w14:textId="77777777" w:rsidR="00AC375F" w:rsidRPr="00AC375F" w:rsidRDefault="00AC375F" w:rsidP="00AC375F">
            <w:pPr>
              <w:jc w:val="center"/>
              <w:rPr>
                <w:sz w:val="18"/>
                <w:szCs w:val="18"/>
              </w:rPr>
            </w:pPr>
            <w:r w:rsidRPr="00AC375F">
              <w:rPr>
                <w:sz w:val="18"/>
                <w:szCs w:val="18"/>
              </w:rPr>
              <w:t>3</w:t>
            </w:r>
          </w:p>
        </w:tc>
      </w:tr>
      <w:tr w:rsidR="00AC375F" w:rsidRPr="00AC375F" w14:paraId="42F76735" w14:textId="77777777" w:rsidTr="00991955">
        <w:trPr>
          <w:trHeight w:val="310"/>
        </w:trPr>
        <w:tc>
          <w:tcPr>
            <w:tcW w:w="4390" w:type="dxa"/>
            <w:shd w:val="clear" w:color="auto" w:fill="auto"/>
            <w:vAlign w:val="center"/>
          </w:tcPr>
          <w:p w14:paraId="7A6CE357" w14:textId="77777777" w:rsidR="00AC375F" w:rsidRPr="00AC375F" w:rsidRDefault="00AC375F" w:rsidP="00AC375F">
            <w:pPr>
              <w:rPr>
                <w:sz w:val="18"/>
                <w:szCs w:val="18"/>
              </w:rPr>
            </w:pPr>
            <w:r w:rsidRPr="00AC375F">
              <w:rPr>
                <w:sz w:val="18"/>
                <w:szCs w:val="18"/>
              </w:rPr>
              <w:t>Sastanak Post Marketing Group RA Tool HMA</w:t>
            </w:r>
          </w:p>
        </w:tc>
        <w:tc>
          <w:tcPr>
            <w:tcW w:w="1417" w:type="dxa"/>
            <w:shd w:val="clear" w:color="auto" w:fill="FFFFFF" w:themeFill="background1"/>
            <w:noWrap/>
            <w:vAlign w:val="center"/>
          </w:tcPr>
          <w:p w14:paraId="3E5A7F16"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FFFFFF" w:themeFill="background1"/>
            <w:noWrap/>
            <w:vAlign w:val="center"/>
          </w:tcPr>
          <w:p w14:paraId="30CA39D9" w14:textId="77777777" w:rsidR="00AC375F" w:rsidRPr="00AC375F" w:rsidRDefault="00AC375F" w:rsidP="00AC375F">
            <w:pPr>
              <w:jc w:val="center"/>
              <w:rPr>
                <w:sz w:val="18"/>
                <w:szCs w:val="18"/>
              </w:rPr>
            </w:pPr>
            <w:r w:rsidRPr="00AC375F">
              <w:rPr>
                <w:sz w:val="18"/>
                <w:szCs w:val="18"/>
              </w:rPr>
              <w:t>1</w:t>
            </w:r>
          </w:p>
        </w:tc>
        <w:tc>
          <w:tcPr>
            <w:tcW w:w="993" w:type="dxa"/>
            <w:shd w:val="clear" w:color="auto" w:fill="FFFFFF" w:themeFill="background1"/>
            <w:noWrap/>
            <w:vAlign w:val="center"/>
          </w:tcPr>
          <w:p w14:paraId="5919FEEA" w14:textId="77777777" w:rsidR="00AC375F" w:rsidRPr="00AC375F" w:rsidRDefault="00AC375F" w:rsidP="00AC375F">
            <w:pPr>
              <w:jc w:val="center"/>
              <w:rPr>
                <w:sz w:val="18"/>
                <w:szCs w:val="18"/>
              </w:rPr>
            </w:pPr>
            <w:r w:rsidRPr="00AC375F">
              <w:rPr>
                <w:sz w:val="18"/>
                <w:szCs w:val="18"/>
              </w:rPr>
              <w:t>rujan</w:t>
            </w:r>
          </w:p>
        </w:tc>
        <w:tc>
          <w:tcPr>
            <w:tcW w:w="1563" w:type="dxa"/>
            <w:shd w:val="clear" w:color="auto" w:fill="FFFFFF" w:themeFill="background1"/>
            <w:noWrap/>
            <w:vAlign w:val="center"/>
          </w:tcPr>
          <w:p w14:paraId="555542FA" w14:textId="77777777" w:rsidR="00AC375F" w:rsidRPr="00AC375F" w:rsidRDefault="00AC375F" w:rsidP="00AC375F">
            <w:pPr>
              <w:jc w:val="center"/>
              <w:rPr>
                <w:sz w:val="18"/>
                <w:szCs w:val="18"/>
              </w:rPr>
            </w:pPr>
            <w:r w:rsidRPr="00AC375F">
              <w:rPr>
                <w:sz w:val="18"/>
                <w:szCs w:val="18"/>
              </w:rPr>
              <w:t>0,5</w:t>
            </w:r>
          </w:p>
        </w:tc>
      </w:tr>
      <w:tr w:rsidR="00AC375F" w:rsidRPr="00AC375F" w14:paraId="46519D99" w14:textId="77777777" w:rsidTr="00991955">
        <w:trPr>
          <w:trHeight w:val="310"/>
        </w:trPr>
        <w:tc>
          <w:tcPr>
            <w:tcW w:w="4390" w:type="dxa"/>
            <w:shd w:val="clear" w:color="auto" w:fill="auto"/>
            <w:vAlign w:val="center"/>
          </w:tcPr>
          <w:p w14:paraId="283F35CC" w14:textId="77777777" w:rsidR="00AC375F" w:rsidRPr="00AC375F" w:rsidRDefault="00AC375F" w:rsidP="00AC375F">
            <w:pPr>
              <w:rPr>
                <w:sz w:val="18"/>
                <w:szCs w:val="18"/>
              </w:rPr>
            </w:pPr>
            <w:r w:rsidRPr="00AC375F">
              <w:rPr>
                <w:sz w:val="18"/>
                <w:szCs w:val="18"/>
              </w:rPr>
              <w:t>Training on HMA Risk Assessment tool of Human &amp; Veterinary Medicinal Products 02-03 October 2023 - Tallinn Estonia</w:t>
            </w:r>
          </w:p>
        </w:tc>
        <w:tc>
          <w:tcPr>
            <w:tcW w:w="1417" w:type="dxa"/>
            <w:shd w:val="clear" w:color="auto" w:fill="FFFFFF" w:themeFill="background1"/>
            <w:noWrap/>
            <w:vAlign w:val="center"/>
          </w:tcPr>
          <w:p w14:paraId="1BFF88E9" w14:textId="77777777" w:rsidR="00AC375F" w:rsidRPr="00AC375F" w:rsidRDefault="00AC375F" w:rsidP="00AC375F">
            <w:pPr>
              <w:jc w:val="center"/>
              <w:rPr>
                <w:sz w:val="18"/>
                <w:szCs w:val="18"/>
              </w:rPr>
            </w:pPr>
            <w:r w:rsidRPr="00AC375F">
              <w:rPr>
                <w:sz w:val="18"/>
                <w:szCs w:val="18"/>
              </w:rPr>
              <w:t>Tallinn</w:t>
            </w:r>
          </w:p>
        </w:tc>
        <w:tc>
          <w:tcPr>
            <w:tcW w:w="992" w:type="dxa"/>
            <w:shd w:val="clear" w:color="auto" w:fill="FFFFFF" w:themeFill="background1"/>
            <w:noWrap/>
            <w:vAlign w:val="center"/>
          </w:tcPr>
          <w:p w14:paraId="35341628" w14:textId="77777777" w:rsidR="00AC375F" w:rsidRPr="00AC375F" w:rsidRDefault="00AC375F" w:rsidP="00AC375F">
            <w:pPr>
              <w:jc w:val="center"/>
              <w:rPr>
                <w:sz w:val="18"/>
                <w:szCs w:val="18"/>
              </w:rPr>
            </w:pPr>
            <w:r w:rsidRPr="00AC375F">
              <w:rPr>
                <w:sz w:val="18"/>
                <w:szCs w:val="18"/>
              </w:rPr>
              <w:t>1</w:t>
            </w:r>
          </w:p>
        </w:tc>
        <w:tc>
          <w:tcPr>
            <w:tcW w:w="993" w:type="dxa"/>
            <w:shd w:val="clear" w:color="auto" w:fill="FFFFFF" w:themeFill="background1"/>
            <w:noWrap/>
            <w:vAlign w:val="center"/>
          </w:tcPr>
          <w:p w14:paraId="2A42C942" w14:textId="77777777" w:rsidR="00AC375F" w:rsidRPr="00AC375F" w:rsidRDefault="00AC375F" w:rsidP="00AC375F">
            <w:pPr>
              <w:jc w:val="center"/>
              <w:rPr>
                <w:sz w:val="18"/>
                <w:szCs w:val="18"/>
              </w:rPr>
            </w:pPr>
            <w:r w:rsidRPr="00AC375F">
              <w:rPr>
                <w:sz w:val="18"/>
                <w:szCs w:val="18"/>
              </w:rPr>
              <w:t>listopad</w:t>
            </w:r>
          </w:p>
        </w:tc>
        <w:tc>
          <w:tcPr>
            <w:tcW w:w="1563" w:type="dxa"/>
            <w:shd w:val="clear" w:color="auto" w:fill="FFFFFF" w:themeFill="background1"/>
            <w:noWrap/>
            <w:vAlign w:val="center"/>
          </w:tcPr>
          <w:p w14:paraId="5F2FC2D0" w14:textId="77777777" w:rsidR="00AC375F" w:rsidRPr="00AC375F" w:rsidRDefault="00AC375F" w:rsidP="00AC375F">
            <w:pPr>
              <w:jc w:val="center"/>
              <w:rPr>
                <w:sz w:val="18"/>
                <w:szCs w:val="18"/>
              </w:rPr>
            </w:pPr>
            <w:r w:rsidRPr="00AC375F">
              <w:rPr>
                <w:sz w:val="18"/>
                <w:szCs w:val="18"/>
              </w:rPr>
              <w:t>2</w:t>
            </w:r>
          </w:p>
        </w:tc>
      </w:tr>
      <w:tr w:rsidR="00AC375F" w:rsidRPr="00AC375F" w14:paraId="4779A78D" w14:textId="77777777" w:rsidTr="00991955">
        <w:trPr>
          <w:trHeight w:val="310"/>
        </w:trPr>
        <w:tc>
          <w:tcPr>
            <w:tcW w:w="4390" w:type="dxa"/>
            <w:shd w:val="clear" w:color="auto" w:fill="auto"/>
            <w:vAlign w:val="center"/>
          </w:tcPr>
          <w:p w14:paraId="4417CFF9" w14:textId="77777777" w:rsidR="00AC375F" w:rsidRPr="00AC375F" w:rsidRDefault="00AC375F" w:rsidP="00AC375F">
            <w:pPr>
              <w:rPr>
                <w:sz w:val="18"/>
                <w:szCs w:val="18"/>
              </w:rPr>
            </w:pPr>
            <w:r w:rsidRPr="00AC375F">
              <w:rPr>
                <w:sz w:val="18"/>
                <w:szCs w:val="18"/>
              </w:rPr>
              <w:t>Redovna sjednica</w:t>
            </w:r>
          </w:p>
        </w:tc>
        <w:tc>
          <w:tcPr>
            <w:tcW w:w="1417" w:type="dxa"/>
            <w:shd w:val="clear" w:color="auto" w:fill="FFFFFF" w:themeFill="background1"/>
            <w:noWrap/>
            <w:vAlign w:val="center"/>
          </w:tcPr>
          <w:p w14:paraId="609251AE"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FFFFFF" w:themeFill="background1"/>
            <w:noWrap/>
            <w:vAlign w:val="center"/>
          </w:tcPr>
          <w:p w14:paraId="68547253" w14:textId="77777777" w:rsidR="00AC375F" w:rsidRPr="00AC375F" w:rsidRDefault="00AC375F" w:rsidP="00AC375F">
            <w:pPr>
              <w:jc w:val="center"/>
              <w:rPr>
                <w:sz w:val="18"/>
                <w:szCs w:val="18"/>
              </w:rPr>
            </w:pPr>
            <w:r w:rsidRPr="00AC375F">
              <w:rPr>
                <w:sz w:val="18"/>
                <w:szCs w:val="18"/>
              </w:rPr>
              <w:t>1</w:t>
            </w:r>
          </w:p>
        </w:tc>
        <w:tc>
          <w:tcPr>
            <w:tcW w:w="993" w:type="dxa"/>
            <w:shd w:val="clear" w:color="auto" w:fill="FFFFFF" w:themeFill="background1"/>
            <w:noWrap/>
            <w:vAlign w:val="center"/>
          </w:tcPr>
          <w:p w14:paraId="0AB2CC7F" w14:textId="77777777" w:rsidR="00AC375F" w:rsidRPr="00AC375F" w:rsidRDefault="00AC375F" w:rsidP="00AC375F">
            <w:pPr>
              <w:jc w:val="center"/>
              <w:rPr>
                <w:sz w:val="18"/>
                <w:szCs w:val="18"/>
              </w:rPr>
            </w:pPr>
            <w:r w:rsidRPr="00AC375F">
              <w:rPr>
                <w:sz w:val="18"/>
                <w:szCs w:val="18"/>
              </w:rPr>
              <w:t>listopad</w:t>
            </w:r>
          </w:p>
        </w:tc>
        <w:tc>
          <w:tcPr>
            <w:tcW w:w="1563" w:type="dxa"/>
            <w:shd w:val="clear" w:color="auto" w:fill="FFFFFF" w:themeFill="background1"/>
            <w:noWrap/>
            <w:vAlign w:val="center"/>
          </w:tcPr>
          <w:p w14:paraId="085BDEA9" w14:textId="77777777" w:rsidR="00AC375F" w:rsidRPr="00AC375F" w:rsidRDefault="00AC375F" w:rsidP="00AC375F">
            <w:pPr>
              <w:jc w:val="center"/>
              <w:rPr>
                <w:sz w:val="18"/>
                <w:szCs w:val="18"/>
              </w:rPr>
            </w:pPr>
            <w:r w:rsidRPr="00AC375F">
              <w:rPr>
                <w:sz w:val="18"/>
                <w:szCs w:val="18"/>
              </w:rPr>
              <w:t>3</w:t>
            </w:r>
          </w:p>
        </w:tc>
      </w:tr>
      <w:tr w:rsidR="00AC375F" w:rsidRPr="00AC375F" w14:paraId="6443CF0E" w14:textId="77777777" w:rsidTr="00991955">
        <w:trPr>
          <w:trHeight w:val="310"/>
        </w:trPr>
        <w:tc>
          <w:tcPr>
            <w:tcW w:w="4390" w:type="dxa"/>
            <w:shd w:val="clear" w:color="auto" w:fill="auto"/>
            <w:vAlign w:val="center"/>
          </w:tcPr>
          <w:p w14:paraId="211DA1DE" w14:textId="77777777" w:rsidR="00AC375F" w:rsidRPr="00AC375F" w:rsidRDefault="00AC375F" w:rsidP="00AC375F">
            <w:pPr>
              <w:rPr>
                <w:sz w:val="18"/>
                <w:szCs w:val="18"/>
              </w:rPr>
            </w:pPr>
            <w:r w:rsidRPr="00AC375F">
              <w:rPr>
                <w:sz w:val="18"/>
                <w:szCs w:val="18"/>
              </w:rPr>
              <w:t>Redovna sjednica</w:t>
            </w:r>
          </w:p>
        </w:tc>
        <w:tc>
          <w:tcPr>
            <w:tcW w:w="1417" w:type="dxa"/>
            <w:shd w:val="clear" w:color="auto" w:fill="FFFFFF" w:themeFill="background1"/>
            <w:noWrap/>
            <w:vAlign w:val="center"/>
          </w:tcPr>
          <w:p w14:paraId="08D78CBB"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FFFFFF" w:themeFill="background1"/>
            <w:noWrap/>
            <w:vAlign w:val="center"/>
          </w:tcPr>
          <w:p w14:paraId="503E958F" w14:textId="77777777" w:rsidR="00AC375F" w:rsidRPr="00AC375F" w:rsidRDefault="00AC375F" w:rsidP="00AC375F">
            <w:pPr>
              <w:jc w:val="center"/>
              <w:rPr>
                <w:sz w:val="18"/>
                <w:szCs w:val="18"/>
              </w:rPr>
            </w:pPr>
            <w:r w:rsidRPr="00AC375F">
              <w:rPr>
                <w:sz w:val="18"/>
                <w:szCs w:val="18"/>
              </w:rPr>
              <w:t>1</w:t>
            </w:r>
          </w:p>
        </w:tc>
        <w:tc>
          <w:tcPr>
            <w:tcW w:w="993" w:type="dxa"/>
            <w:shd w:val="clear" w:color="auto" w:fill="FFFFFF" w:themeFill="background1"/>
            <w:noWrap/>
            <w:vAlign w:val="center"/>
          </w:tcPr>
          <w:p w14:paraId="0BFC6E90" w14:textId="1847DD7A" w:rsidR="00AC375F" w:rsidRPr="00AC375F" w:rsidRDefault="00AC375F" w:rsidP="00AC375F">
            <w:pPr>
              <w:jc w:val="center"/>
              <w:rPr>
                <w:sz w:val="18"/>
                <w:szCs w:val="18"/>
              </w:rPr>
            </w:pPr>
            <w:r w:rsidRPr="00AC375F">
              <w:rPr>
                <w:sz w:val="18"/>
                <w:szCs w:val="18"/>
              </w:rPr>
              <w:t>studeni (održana 30.</w:t>
            </w:r>
            <w:r w:rsidR="00991955">
              <w:rPr>
                <w:sz w:val="18"/>
                <w:szCs w:val="18"/>
              </w:rPr>
              <w:t xml:space="preserve"> </w:t>
            </w:r>
            <w:r w:rsidRPr="00AC375F">
              <w:rPr>
                <w:sz w:val="18"/>
                <w:szCs w:val="18"/>
              </w:rPr>
              <w:t>i 31.10.)</w:t>
            </w:r>
          </w:p>
        </w:tc>
        <w:tc>
          <w:tcPr>
            <w:tcW w:w="1563" w:type="dxa"/>
            <w:shd w:val="clear" w:color="auto" w:fill="FFFFFF" w:themeFill="background1"/>
            <w:noWrap/>
            <w:vAlign w:val="center"/>
          </w:tcPr>
          <w:p w14:paraId="6E2A3518" w14:textId="77777777" w:rsidR="00AC375F" w:rsidRPr="00AC375F" w:rsidRDefault="00AC375F" w:rsidP="00AC375F">
            <w:pPr>
              <w:jc w:val="center"/>
              <w:rPr>
                <w:sz w:val="18"/>
                <w:szCs w:val="18"/>
              </w:rPr>
            </w:pPr>
            <w:r w:rsidRPr="00AC375F">
              <w:rPr>
                <w:sz w:val="18"/>
                <w:szCs w:val="18"/>
              </w:rPr>
              <w:t>2</w:t>
            </w:r>
          </w:p>
        </w:tc>
      </w:tr>
      <w:tr w:rsidR="00AC375F" w:rsidRPr="00AC375F" w14:paraId="392ABFB6" w14:textId="77777777" w:rsidTr="00991955">
        <w:trPr>
          <w:trHeight w:val="310"/>
        </w:trPr>
        <w:tc>
          <w:tcPr>
            <w:tcW w:w="4390" w:type="dxa"/>
            <w:shd w:val="clear" w:color="auto" w:fill="auto"/>
            <w:vAlign w:val="center"/>
          </w:tcPr>
          <w:p w14:paraId="186B3750" w14:textId="77777777" w:rsidR="00AC375F" w:rsidRPr="00AC375F" w:rsidRDefault="00AC375F" w:rsidP="00AC375F">
            <w:pPr>
              <w:rPr>
                <w:sz w:val="18"/>
                <w:szCs w:val="18"/>
              </w:rPr>
            </w:pPr>
            <w:r w:rsidRPr="00AC375F">
              <w:rPr>
                <w:sz w:val="18"/>
                <w:szCs w:val="18"/>
              </w:rPr>
              <w:t>Sastanak Post Marketing Group RA Tool HMA</w:t>
            </w:r>
          </w:p>
        </w:tc>
        <w:tc>
          <w:tcPr>
            <w:tcW w:w="1417" w:type="dxa"/>
            <w:shd w:val="clear" w:color="auto" w:fill="FFFFFF" w:themeFill="background1"/>
            <w:noWrap/>
            <w:vAlign w:val="center"/>
          </w:tcPr>
          <w:p w14:paraId="6435A8C4"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FFFFFF" w:themeFill="background1"/>
            <w:noWrap/>
            <w:vAlign w:val="center"/>
          </w:tcPr>
          <w:p w14:paraId="79984396" w14:textId="77777777" w:rsidR="00AC375F" w:rsidRPr="00AC375F" w:rsidRDefault="00AC375F" w:rsidP="00AC375F">
            <w:pPr>
              <w:jc w:val="center"/>
              <w:rPr>
                <w:sz w:val="18"/>
                <w:szCs w:val="18"/>
              </w:rPr>
            </w:pPr>
            <w:r w:rsidRPr="00AC375F">
              <w:rPr>
                <w:sz w:val="18"/>
                <w:szCs w:val="18"/>
              </w:rPr>
              <w:t>1</w:t>
            </w:r>
          </w:p>
        </w:tc>
        <w:tc>
          <w:tcPr>
            <w:tcW w:w="993" w:type="dxa"/>
            <w:shd w:val="clear" w:color="auto" w:fill="FFFFFF" w:themeFill="background1"/>
            <w:noWrap/>
            <w:vAlign w:val="center"/>
          </w:tcPr>
          <w:p w14:paraId="6165D045" w14:textId="77777777" w:rsidR="00AC375F" w:rsidRPr="00AC375F" w:rsidRDefault="00AC375F" w:rsidP="00AC375F">
            <w:pPr>
              <w:jc w:val="center"/>
              <w:rPr>
                <w:sz w:val="18"/>
                <w:szCs w:val="18"/>
              </w:rPr>
            </w:pPr>
            <w:r w:rsidRPr="00AC375F">
              <w:rPr>
                <w:sz w:val="18"/>
                <w:szCs w:val="18"/>
              </w:rPr>
              <w:t>studeni</w:t>
            </w:r>
          </w:p>
        </w:tc>
        <w:tc>
          <w:tcPr>
            <w:tcW w:w="1563" w:type="dxa"/>
            <w:shd w:val="clear" w:color="auto" w:fill="FFFFFF" w:themeFill="background1"/>
            <w:noWrap/>
            <w:vAlign w:val="center"/>
          </w:tcPr>
          <w:p w14:paraId="19F3CDCC" w14:textId="77777777" w:rsidR="00AC375F" w:rsidRPr="00AC375F" w:rsidRDefault="00AC375F" w:rsidP="00AC375F">
            <w:pPr>
              <w:jc w:val="center"/>
              <w:rPr>
                <w:sz w:val="18"/>
                <w:szCs w:val="18"/>
              </w:rPr>
            </w:pPr>
            <w:r w:rsidRPr="00AC375F">
              <w:rPr>
                <w:sz w:val="18"/>
                <w:szCs w:val="18"/>
              </w:rPr>
              <w:t>0,5</w:t>
            </w:r>
          </w:p>
        </w:tc>
      </w:tr>
      <w:tr w:rsidR="00AC375F" w:rsidRPr="00AC375F" w14:paraId="3DFEC736" w14:textId="77777777" w:rsidTr="00991955">
        <w:trPr>
          <w:trHeight w:val="310"/>
        </w:trPr>
        <w:tc>
          <w:tcPr>
            <w:tcW w:w="4390" w:type="dxa"/>
            <w:shd w:val="clear" w:color="auto" w:fill="auto"/>
            <w:vAlign w:val="center"/>
          </w:tcPr>
          <w:p w14:paraId="3809703A" w14:textId="77777777" w:rsidR="00AC375F" w:rsidRPr="00AC375F" w:rsidRDefault="00AC375F" w:rsidP="00AC375F">
            <w:pPr>
              <w:rPr>
                <w:sz w:val="18"/>
                <w:szCs w:val="18"/>
              </w:rPr>
            </w:pPr>
            <w:r w:rsidRPr="00AC375F">
              <w:rPr>
                <w:sz w:val="18"/>
                <w:szCs w:val="18"/>
              </w:rPr>
              <w:t>Redovna sjednica</w:t>
            </w:r>
          </w:p>
        </w:tc>
        <w:tc>
          <w:tcPr>
            <w:tcW w:w="1417" w:type="dxa"/>
            <w:shd w:val="clear" w:color="auto" w:fill="FFFFFF" w:themeFill="background1"/>
            <w:noWrap/>
            <w:vAlign w:val="center"/>
          </w:tcPr>
          <w:p w14:paraId="5D232301"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FFFFFF" w:themeFill="background1"/>
            <w:noWrap/>
            <w:vAlign w:val="center"/>
          </w:tcPr>
          <w:p w14:paraId="2802D793" w14:textId="77777777" w:rsidR="00AC375F" w:rsidRPr="00AC375F" w:rsidRDefault="00AC375F" w:rsidP="00AC375F">
            <w:pPr>
              <w:jc w:val="center"/>
              <w:rPr>
                <w:sz w:val="18"/>
                <w:szCs w:val="18"/>
              </w:rPr>
            </w:pPr>
            <w:r w:rsidRPr="00AC375F">
              <w:rPr>
                <w:sz w:val="18"/>
                <w:szCs w:val="18"/>
              </w:rPr>
              <w:t>1</w:t>
            </w:r>
          </w:p>
        </w:tc>
        <w:tc>
          <w:tcPr>
            <w:tcW w:w="993" w:type="dxa"/>
            <w:shd w:val="clear" w:color="auto" w:fill="FFFFFF" w:themeFill="background1"/>
            <w:noWrap/>
            <w:vAlign w:val="center"/>
          </w:tcPr>
          <w:p w14:paraId="1014DFB2" w14:textId="77777777" w:rsidR="00AC375F" w:rsidRPr="00AC375F" w:rsidRDefault="00AC375F" w:rsidP="00AC375F">
            <w:pPr>
              <w:jc w:val="center"/>
              <w:rPr>
                <w:sz w:val="18"/>
                <w:szCs w:val="18"/>
              </w:rPr>
            </w:pPr>
            <w:r w:rsidRPr="00AC375F">
              <w:rPr>
                <w:sz w:val="18"/>
                <w:szCs w:val="18"/>
              </w:rPr>
              <w:t>prosinac</w:t>
            </w:r>
          </w:p>
        </w:tc>
        <w:tc>
          <w:tcPr>
            <w:tcW w:w="1563" w:type="dxa"/>
            <w:shd w:val="clear" w:color="auto" w:fill="FFFFFF" w:themeFill="background1"/>
            <w:noWrap/>
            <w:vAlign w:val="center"/>
          </w:tcPr>
          <w:p w14:paraId="0BD67979" w14:textId="77777777" w:rsidR="00AC375F" w:rsidRPr="00AC375F" w:rsidRDefault="00AC375F" w:rsidP="00AC375F">
            <w:pPr>
              <w:jc w:val="center"/>
              <w:rPr>
                <w:sz w:val="18"/>
                <w:szCs w:val="18"/>
              </w:rPr>
            </w:pPr>
            <w:r w:rsidRPr="00AC375F">
              <w:rPr>
                <w:sz w:val="18"/>
                <w:szCs w:val="18"/>
              </w:rPr>
              <w:t>3</w:t>
            </w:r>
          </w:p>
        </w:tc>
      </w:tr>
      <w:tr w:rsidR="00AC375F" w:rsidRPr="00AC375F" w14:paraId="37F656DA" w14:textId="77777777" w:rsidTr="00991955">
        <w:trPr>
          <w:trHeight w:val="310"/>
        </w:trPr>
        <w:tc>
          <w:tcPr>
            <w:tcW w:w="4390" w:type="dxa"/>
            <w:shd w:val="clear" w:color="auto" w:fill="auto"/>
            <w:vAlign w:val="center"/>
          </w:tcPr>
          <w:p w14:paraId="722D3B8E" w14:textId="77777777" w:rsidR="00AC375F" w:rsidRPr="00AC375F" w:rsidRDefault="00AC375F" w:rsidP="00AC375F">
            <w:pPr>
              <w:rPr>
                <w:b/>
                <w:bCs/>
                <w:sz w:val="18"/>
                <w:szCs w:val="18"/>
              </w:rPr>
            </w:pPr>
            <w:r w:rsidRPr="00AC375F">
              <w:rPr>
                <w:b/>
                <w:bCs/>
                <w:sz w:val="18"/>
                <w:szCs w:val="18"/>
              </w:rPr>
              <w:t>Quality working party</w:t>
            </w:r>
          </w:p>
        </w:tc>
        <w:tc>
          <w:tcPr>
            <w:tcW w:w="1417" w:type="dxa"/>
            <w:shd w:val="clear" w:color="auto" w:fill="FFFFFF" w:themeFill="background1"/>
            <w:noWrap/>
            <w:vAlign w:val="center"/>
          </w:tcPr>
          <w:p w14:paraId="4C52A7BA" w14:textId="77777777" w:rsidR="00AC375F" w:rsidRPr="00AC375F" w:rsidRDefault="00AC375F" w:rsidP="00AC375F">
            <w:pPr>
              <w:jc w:val="center"/>
              <w:rPr>
                <w:sz w:val="18"/>
                <w:szCs w:val="18"/>
              </w:rPr>
            </w:pPr>
          </w:p>
        </w:tc>
        <w:tc>
          <w:tcPr>
            <w:tcW w:w="992" w:type="dxa"/>
            <w:shd w:val="clear" w:color="auto" w:fill="FFFFFF" w:themeFill="background1"/>
            <w:noWrap/>
            <w:vAlign w:val="center"/>
          </w:tcPr>
          <w:p w14:paraId="19F96F34" w14:textId="77777777" w:rsidR="00AC375F" w:rsidRPr="00AC375F" w:rsidRDefault="00AC375F" w:rsidP="00AC375F">
            <w:pPr>
              <w:jc w:val="center"/>
              <w:rPr>
                <w:sz w:val="18"/>
                <w:szCs w:val="18"/>
              </w:rPr>
            </w:pPr>
          </w:p>
        </w:tc>
        <w:tc>
          <w:tcPr>
            <w:tcW w:w="993" w:type="dxa"/>
            <w:shd w:val="clear" w:color="auto" w:fill="FFFFFF" w:themeFill="background1"/>
            <w:noWrap/>
            <w:vAlign w:val="center"/>
          </w:tcPr>
          <w:p w14:paraId="112BCF32" w14:textId="77777777" w:rsidR="00AC375F" w:rsidRPr="00AC375F" w:rsidRDefault="00AC375F" w:rsidP="00AC375F">
            <w:pPr>
              <w:jc w:val="center"/>
              <w:rPr>
                <w:sz w:val="18"/>
                <w:szCs w:val="18"/>
              </w:rPr>
            </w:pPr>
          </w:p>
        </w:tc>
        <w:tc>
          <w:tcPr>
            <w:tcW w:w="1563" w:type="dxa"/>
            <w:shd w:val="clear" w:color="auto" w:fill="FFFFFF" w:themeFill="background1"/>
            <w:noWrap/>
            <w:vAlign w:val="center"/>
          </w:tcPr>
          <w:p w14:paraId="58B87892" w14:textId="77777777" w:rsidR="00AC375F" w:rsidRPr="00AC375F" w:rsidRDefault="00AC375F" w:rsidP="00AC375F">
            <w:pPr>
              <w:jc w:val="center"/>
              <w:rPr>
                <w:sz w:val="18"/>
                <w:szCs w:val="18"/>
              </w:rPr>
            </w:pPr>
          </w:p>
        </w:tc>
      </w:tr>
      <w:tr w:rsidR="00AC375F" w:rsidRPr="00AC375F" w14:paraId="3B9FC6B0" w14:textId="77777777" w:rsidTr="00991955">
        <w:trPr>
          <w:trHeight w:val="310"/>
        </w:trPr>
        <w:tc>
          <w:tcPr>
            <w:tcW w:w="4390" w:type="dxa"/>
            <w:shd w:val="clear" w:color="auto" w:fill="auto"/>
            <w:vAlign w:val="center"/>
          </w:tcPr>
          <w:p w14:paraId="006EAC8F" w14:textId="77777777" w:rsidR="00AC375F" w:rsidRPr="00AC375F" w:rsidRDefault="00AC375F" w:rsidP="00AC375F">
            <w:pPr>
              <w:rPr>
                <w:b/>
                <w:bCs/>
                <w:sz w:val="18"/>
                <w:szCs w:val="18"/>
              </w:rPr>
            </w:pPr>
          </w:p>
        </w:tc>
        <w:tc>
          <w:tcPr>
            <w:tcW w:w="1417" w:type="dxa"/>
            <w:shd w:val="clear" w:color="auto" w:fill="FFFFFF" w:themeFill="background1"/>
            <w:noWrap/>
            <w:vAlign w:val="center"/>
          </w:tcPr>
          <w:p w14:paraId="30DEA8BE" w14:textId="77777777" w:rsidR="00AC375F" w:rsidRPr="00AC375F" w:rsidRDefault="00AC375F" w:rsidP="00AC375F">
            <w:pPr>
              <w:jc w:val="center"/>
              <w:rPr>
                <w:sz w:val="18"/>
                <w:szCs w:val="18"/>
              </w:rPr>
            </w:pPr>
            <w:r w:rsidRPr="00AC375F">
              <w:rPr>
                <w:sz w:val="18"/>
                <w:szCs w:val="18"/>
              </w:rPr>
              <w:t>Amsterdam</w:t>
            </w:r>
          </w:p>
        </w:tc>
        <w:tc>
          <w:tcPr>
            <w:tcW w:w="992" w:type="dxa"/>
            <w:shd w:val="clear" w:color="auto" w:fill="FFFFFF" w:themeFill="background1"/>
            <w:noWrap/>
            <w:vAlign w:val="center"/>
          </w:tcPr>
          <w:p w14:paraId="68FC3CBE" w14:textId="77777777" w:rsidR="00AC375F" w:rsidRPr="00AC375F" w:rsidRDefault="00AC375F" w:rsidP="00AC375F">
            <w:pPr>
              <w:jc w:val="center"/>
              <w:rPr>
                <w:sz w:val="18"/>
                <w:szCs w:val="18"/>
              </w:rPr>
            </w:pPr>
            <w:r w:rsidRPr="00AC375F">
              <w:rPr>
                <w:sz w:val="18"/>
                <w:szCs w:val="18"/>
              </w:rPr>
              <w:t>2</w:t>
            </w:r>
          </w:p>
        </w:tc>
        <w:tc>
          <w:tcPr>
            <w:tcW w:w="993" w:type="dxa"/>
            <w:shd w:val="clear" w:color="auto" w:fill="FFFFFF" w:themeFill="background1"/>
            <w:noWrap/>
            <w:vAlign w:val="center"/>
          </w:tcPr>
          <w:p w14:paraId="2FB32173" w14:textId="77777777" w:rsidR="00AC375F" w:rsidRPr="00AC375F" w:rsidRDefault="00AC375F" w:rsidP="00AC375F">
            <w:pPr>
              <w:jc w:val="center"/>
              <w:rPr>
                <w:sz w:val="18"/>
                <w:szCs w:val="18"/>
              </w:rPr>
            </w:pPr>
            <w:r w:rsidRPr="00AC375F">
              <w:rPr>
                <w:sz w:val="18"/>
                <w:szCs w:val="18"/>
              </w:rPr>
              <w:t>ožujak</w:t>
            </w:r>
          </w:p>
        </w:tc>
        <w:tc>
          <w:tcPr>
            <w:tcW w:w="1563" w:type="dxa"/>
            <w:shd w:val="clear" w:color="auto" w:fill="FFFFFF" w:themeFill="background1"/>
            <w:noWrap/>
            <w:vAlign w:val="center"/>
          </w:tcPr>
          <w:p w14:paraId="06170176" w14:textId="77777777" w:rsidR="00AC375F" w:rsidRPr="00AC375F" w:rsidRDefault="00AC375F" w:rsidP="00AC375F">
            <w:pPr>
              <w:jc w:val="center"/>
              <w:rPr>
                <w:sz w:val="18"/>
                <w:szCs w:val="18"/>
              </w:rPr>
            </w:pPr>
            <w:r w:rsidRPr="00AC375F">
              <w:rPr>
                <w:sz w:val="18"/>
                <w:szCs w:val="18"/>
              </w:rPr>
              <w:t>3; 3</w:t>
            </w:r>
          </w:p>
        </w:tc>
      </w:tr>
      <w:tr w:rsidR="00AC375F" w:rsidRPr="00AC375F" w14:paraId="73DA1740" w14:textId="77777777" w:rsidTr="00991955">
        <w:trPr>
          <w:trHeight w:val="310"/>
        </w:trPr>
        <w:tc>
          <w:tcPr>
            <w:tcW w:w="4390" w:type="dxa"/>
            <w:shd w:val="clear" w:color="auto" w:fill="auto"/>
            <w:vAlign w:val="center"/>
          </w:tcPr>
          <w:p w14:paraId="7B9617F7" w14:textId="77777777" w:rsidR="00AC375F" w:rsidRPr="00AC375F" w:rsidRDefault="00AC375F" w:rsidP="00AC375F">
            <w:pPr>
              <w:rPr>
                <w:b/>
                <w:bCs/>
                <w:sz w:val="18"/>
                <w:szCs w:val="18"/>
              </w:rPr>
            </w:pPr>
          </w:p>
        </w:tc>
        <w:tc>
          <w:tcPr>
            <w:tcW w:w="1417" w:type="dxa"/>
            <w:shd w:val="clear" w:color="auto" w:fill="FFFFFF" w:themeFill="background1"/>
            <w:noWrap/>
            <w:vAlign w:val="center"/>
          </w:tcPr>
          <w:p w14:paraId="48224A41"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FFFFFF" w:themeFill="background1"/>
            <w:noWrap/>
            <w:vAlign w:val="center"/>
          </w:tcPr>
          <w:p w14:paraId="66876C43" w14:textId="77777777" w:rsidR="00AC375F" w:rsidRPr="00AC375F" w:rsidRDefault="00AC375F" w:rsidP="00AC375F">
            <w:pPr>
              <w:jc w:val="center"/>
              <w:rPr>
                <w:sz w:val="18"/>
                <w:szCs w:val="18"/>
              </w:rPr>
            </w:pPr>
            <w:r w:rsidRPr="00AC375F">
              <w:rPr>
                <w:sz w:val="18"/>
                <w:szCs w:val="18"/>
              </w:rPr>
              <w:t>2</w:t>
            </w:r>
          </w:p>
        </w:tc>
        <w:tc>
          <w:tcPr>
            <w:tcW w:w="993" w:type="dxa"/>
            <w:shd w:val="clear" w:color="auto" w:fill="FFFFFF" w:themeFill="background1"/>
            <w:noWrap/>
            <w:vAlign w:val="center"/>
          </w:tcPr>
          <w:p w14:paraId="74513F92" w14:textId="77777777" w:rsidR="00AC375F" w:rsidRPr="00AC375F" w:rsidRDefault="00AC375F" w:rsidP="00AC375F">
            <w:pPr>
              <w:jc w:val="center"/>
              <w:rPr>
                <w:sz w:val="18"/>
                <w:szCs w:val="18"/>
              </w:rPr>
            </w:pPr>
            <w:r w:rsidRPr="00AC375F">
              <w:rPr>
                <w:sz w:val="18"/>
                <w:szCs w:val="18"/>
              </w:rPr>
              <w:t>lipanj</w:t>
            </w:r>
          </w:p>
        </w:tc>
        <w:tc>
          <w:tcPr>
            <w:tcW w:w="1563" w:type="dxa"/>
            <w:shd w:val="clear" w:color="auto" w:fill="FFFFFF" w:themeFill="background1"/>
            <w:noWrap/>
            <w:vAlign w:val="center"/>
          </w:tcPr>
          <w:p w14:paraId="6C00C031" w14:textId="77777777" w:rsidR="00AC375F" w:rsidRPr="00AC375F" w:rsidRDefault="00AC375F" w:rsidP="00AC375F">
            <w:pPr>
              <w:jc w:val="center"/>
              <w:rPr>
                <w:sz w:val="18"/>
                <w:szCs w:val="18"/>
              </w:rPr>
            </w:pPr>
            <w:r w:rsidRPr="00AC375F">
              <w:rPr>
                <w:sz w:val="18"/>
                <w:szCs w:val="18"/>
              </w:rPr>
              <w:t>3; 3</w:t>
            </w:r>
          </w:p>
        </w:tc>
      </w:tr>
      <w:tr w:rsidR="00AC375F" w:rsidRPr="00AC375F" w14:paraId="745CC912" w14:textId="77777777" w:rsidTr="00991955">
        <w:trPr>
          <w:trHeight w:val="310"/>
        </w:trPr>
        <w:tc>
          <w:tcPr>
            <w:tcW w:w="4390" w:type="dxa"/>
            <w:shd w:val="clear" w:color="auto" w:fill="auto"/>
            <w:vAlign w:val="center"/>
          </w:tcPr>
          <w:p w14:paraId="10BAF168" w14:textId="77777777" w:rsidR="00AC375F" w:rsidRPr="00AC375F" w:rsidRDefault="00AC375F" w:rsidP="00AC375F">
            <w:pPr>
              <w:rPr>
                <w:b/>
                <w:bCs/>
                <w:sz w:val="18"/>
                <w:szCs w:val="18"/>
              </w:rPr>
            </w:pPr>
          </w:p>
        </w:tc>
        <w:tc>
          <w:tcPr>
            <w:tcW w:w="1417" w:type="dxa"/>
            <w:shd w:val="clear" w:color="auto" w:fill="FFFFFF" w:themeFill="background1"/>
            <w:noWrap/>
            <w:vAlign w:val="center"/>
          </w:tcPr>
          <w:p w14:paraId="6ECBDFB2"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FFFFFF" w:themeFill="background1"/>
            <w:noWrap/>
            <w:vAlign w:val="center"/>
          </w:tcPr>
          <w:p w14:paraId="1E51A35B" w14:textId="77777777" w:rsidR="00AC375F" w:rsidRPr="00AC375F" w:rsidRDefault="00AC375F" w:rsidP="00AC375F">
            <w:pPr>
              <w:jc w:val="center"/>
              <w:rPr>
                <w:sz w:val="18"/>
                <w:szCs w:val="18"/>
              </w:rPr>
            </w:pPr>
            <w:r w:rsidRPr="00AC375F">
              <w:rPr>
                <w:sz w:val="18"/>
                <w:szCs w:val="18"/>
              </w:rPr>
              <w:t>1</w:t>
            </w:r>
          </w:p>
        </w:tc>
        <w:tc>
          <w:tcPr>
            <w:tcW w:w="993" w:type="dxa"/>
            <w:shd w:val="clear" w:color="auto" w:fill="FFFFFF" w:themeFill="background1"/>
            <w:noWrap/>
            <w:vAlign w:val="center"/>
          </w:tcPr>
          <w:p w14:paraId="3CF49EEB" w14:textId="77777777" w:rsidR="00AC375F" w:rsidRPr="00AC375F" w:rsidRDefault="00AC375F" w:rsidP="00AC375F">
            <w:pPr>
              <w:jc w:val="center"/>
              <w:rPr>
                <w:sz w:val="18"/>
                <w:szCs w:val="18"/>
              </w:rPr>
            </w:pPr>
            <w:r w:rsidRPr="00AC375F">
              <w:rPr>
                <w:sz w:val="18"/>
                <w:szCs w:val="18"/>
              </w:rPr>
              <w:t>rujan</w:t>
            </w:r>
          </w:p>
        </w:tc>
        <w:tc>
          <w:tcPr>
            <w:tcW w:w="1563" w:type="dxa"/>
            <w:shd w:val="clear" w:color="auto" w:fill="FFFFFF" w:themeFill="background1"/>
            <w:noWrap/>
            <w:vAlign w:val="center"/>
          </w:tcPr>
          <w:p w14:paraId="0F817471" w14:textId="77777777" w:rsidR="00AC375F" w:rsidRPr="00AC375F" w:rsidRDefault="00AC375F" w:rsidP="00AC375F">
            <w:pPr>
              <w:jc w:val="center"/>
              <w:rPr>
                <w:sz w:val="18"/>
                <w:szCs w:val="18"/>
              </w:rPr>
            </w:pPr>
            <w:r w:rsidRPr="00AC375F">
              <w:rPr>
                <w:sz w:val="18"/>
                <w:szCs w:val="18"/>
              </w:rPr>
              <w:t>1,5</w:t>
            </w:r>
          </w:p>
        </w:tc>
      </w:tr>
      <w:tr w:rsidR="00AC375F" w:rsidRPr="00AC375F" w14:paraId="7B17808C" w14:textId="77777777" w:rsidTr="00991955">
        <w:trPr>
          <w:trHeight w:val="310"/>
        </w:trPr>
        <w:tc>
          <w:tcPr>
            <w:tcW w:w="4390" w:type="dxa"/>
            <w:shd w:val="clear" w:color="auto" w:fill="auto"/>
            <w:vAlign w:val="center"/>
          </w:tcPr>
          <w:p w14:paraId="269AB652" w14:textId="77777777" w:rsidR="00AC375F" w:rsidRPr="00AC375F" w:rsidRDefault="00AC375F" w:rsidP="00AC375F">
            <w:pPr>
              <w:rPr>
                <w:b/>
                <w:bCs/>
                <w:sz w:val="18"/>
                <w:szCs w:val="18"/>
              </w:rPr>
            </w:pPr>
          </w:p>
        </w:tc>
        <w:tc>
          <w:tcPr>
            <w:tcW w:w="1417" w:type="dxa"/>
            <w:shd w:val="clear" w:color="auto" w:fill="FFFFFF" w:themeFill="background1"/>
            <w:noWrap/>
            <w:vAlign w:val="center"/>
          </w:tcPr>
          <w:p w14:paraId="18512828"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FFFFFF" w:themeFill="background1"/>
            <w:noWrap/>
            <w:vAlign w:val="center"/>
          </w:tcPr>
          <w:p w14:paraId="7C7E3B21" w14:textId="77777777" w:rsidR="00AC375F" w:rsidRPr="00AC375F" w:rsidRDefault="00AC375F" w:rsidP="00AC375F">
            <w:pPr>
              <w:jc w:val="center"/>
              <w:rPr>
                <w:sz w:val="18"/>
                <w:szCs w:val="18"/>
              </w:rPr>
            </w:pPr>
            <w:r w:rsidRPr="00AC375F">
              <w:rPr>
                <w:sz w:val="18"/>
                <w:szCs w:val="18"/>
              </w:rPr>
              <w:t>1</w:t>
            </w:r>
          </w:p>
        </w:tc>
        <w:tc>
          <w:tcPr>
            <w:tcW w:w="993" w:type="dxa"/>
            <w:shd w:val="clear" w:color="auto" w:fill="FFFFFF" w:themeFill="background1"/>
            <w:noWrap/>
            <w:vAlign w:val="center"/>
          </w:tcPr>
          <w:p w14:paraId="11AF4E76" w14:textId="77777777" w:rsidR="00AC375F" w:rsidRPr="00AC375F" w:rsidRDefault="00AC375F" w:rsidP="00AC375F">
            <w:pPr>
              <w:jc w:val="center"/>
              <w:rPr>
                <w:sz w:val="18"/>
                <w:szCs w:val="18"/>
              </w:rPr>
            </w:pPr>
            <w:r w:rsidRPr="00AC375F">
              <w:rPr>
                <w:sz w:val="18"/>
                <w:szCs w:val="18"/>
              </w:rPr>
              <w:t>listopad</w:t>
            </w:r>
          </w:p>
        </w:tc>
        <w:tc>
          <w:tcPr>
            <w:tcW w:w="1563" w:type="dxa"/>
            <w:shd w:val="clear" w:color="auto" w:fill="FFFFFF" w:themeFill="background1"/>
            <w:noWrap/>
            <w:vAlign w:val="center"/>
          </w:tcPr>
          <w:p w14:paraId="0D61C6E2" w14:textId="77777777" w:rsidR="00AC375F" w:rsidRPr="00AC375F" w:rsidRDefault="00AC375F" w:rsidP="00AC375F">
            <w:pPr>
              <w:jc w:val="center"/>
              <w:rPr>
                <w:sz w:val="18"/>
                <w:szCs w:val="18"/>
              </w:rPr>
            </w:pPr>
            <w:r w:rsidRPr="00AC375F">
              <w:rPr>
                <w:sz w:val="18"/>
                <w:szCs w:val="18"/>
              </w:rPr>
              <w:t>2</w:t>
            </w:r>
          </w:p>
        </w:tc>
      </w:tr>
      <w:tr w:rsidR="00AC375F" w:rsidRPr="00AC375F" w14:paraId="4911235D" w14:textId="77777777" w:rsidTr="00991955">
        <w:trPr>
          <w:trHeight w:val="310"/>
        </w:trPr>
        <w:tc>
          <w:tcPr>
            <w:tcW w:w="4390" w:type="dxa"/>
            <w:shd w:val="clear" w:color="auto" w:fill="auto"/>
            <w:vAlign w:val="center"/>
          </w:tcPr>
          <w:p w14:paraId="4FAB80C1" w14:textId="77777777" w:rsidR="00AC375F" w:rsidRPr="00AC375F" w:rsidRDefault="00AC375F" w:rsidP="00AC375F">
            <w:pPr>
              <w:rPr>
                <w:b/>
                <w:bCs/>
                <w:sz w:val="18"/>
                <w:szCs w:val="18"/>
              </w:rPr>
            </w:pPr>
          </w:p>
        </w:tc>
        <w:tc>
          <w:tcPr>
            <w:tcW w:w="1417" w:type="dxa"/>
            <w:shd w:val="clear" w:color="auto" w:fill="FFFFFF" w:themeFill="background1"/>
            <w:noWrap/>
            <w:vAlign w:val="center"/>
          </w:tcPr>
          <w:p w14:paraId="01775CBC"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FFFFFF" w:themeFill="background1"/>
            <w:noWrap/>
            <w:vAlign w:val="center"/>
          </w:tcPr>
          <w:p w14:paraId="5B2D4BFF" w14:textId="77777777" w:rsidR="00AC375F" w:rsidRPr="00AC375F" w:rsidRDefault="00AC375F" w:rsidP="00AC375F">
            <w:pPr>
              <w:jc w:val="center"/>
              <w:rPr>
                <w:sz w:val="18"/>
                <w:szCs w:val="18"/>
              </w:rPr>
            </w:pPr>
            <w:r w:rsidRPr="00AC375F">
              <w:rPr>
                <w:sz w:val="18"/>
                <w:szCs w:val="18"/>
              </w:rPr>
              <w:t>1</w:t>
            </w:r>
          </w:p>
        </w:tc>
        <w:tc>
          <w:tcPr>
            <w:tcW w:w="993" w:type="dxa"/>
            <w:shd w:val="clear" w:color="auto" w:fill="FFFFFF" w:themeFill="background1"/>
            <w:noWrap/>
            <w:vAlign w:val="center"/>
          </w:tcPr>
          <w:p w14:paraId="73C95C36" w14:textId="77777777" w:rsidR="00AC375F" w:rsidRPr="00AC375F" w:rsidRDefault="00AC375F" w:rsidP="00AC375F">
            <w:pPr>
              <w:jc w:val="center"/>
              <w:rPr>
                <w:sz w:val="18"/>
                <w:szCs w:val="18"/>
              </w:rPr>
            </w:pPr>
            <w:r w:rsidRPr="00AC375F">
              <w:rPr>
                <w:sz w:val="18"/>
                <w:szCs w:val="18"/>
              </w:rPr>
              <w:t>studeni</w:t>
            </w:r>
          </w:p>
        </w:tc>
        <w:tc>
          <w:tcPr>
            <w:tcW w:w="1563" w:type="dxa"/>
            <w:shd w:val="clear" w:color="auto" w:fill="FFFFFF" w:themeFill="background1"/>
            <w:noWrap/>
            <w:vAlign w:val="center"/>
          </w:tcPr>
          <w:p w14:paraId="0EE38279" w14:textId="77777777" w:rsidR="00AC375F" w:rsidRPr="00AC375F" w:rsidRDefault="00AC375F" w:rsidP="00AC375F">
            <w:pPr>
              <w:jc w:val="center"/>
              <w:rPr>
                <w:sz w:val="18"/>
                <w:szCs w:val="18"/>
              </w:rPr>
            </w:pPr>
            <w:r w:rsidRPr="00AC375F">
              <w:rPr>
                <w:sz w:val="18"/>
                <w:szCs w:val="18"/>
              </w:rPr>
              <w:t>1,5</w:t>
            </w:r>
          </w:p>
        </w:tc>
      </w:tr>
      <w:tr w:rsidR="00AC375F" w:rsidRPr="00AC375F" w14:paraId="0745430C" w14:textId="77777777" w:rsidTr="00991955">
        <w:trPr>
          <w:trHeight w:val="310"/>
        </w:trPr>
        <w:tc>
          <w:tcPr>
            <w:tcW w:w="4390" w:type="dxa"/>
            <w:shd w:val="clear" w:color="auto" w:fill="auto"/>
            <w:vAlign w:val="center"/>
          </w:tcPr>
          <w:p w14:paraId="31868499" w14:textId="77777777" w:rsidR="00AC375F" w:rsidRPr="00AC375F" w:rsidRDefault="00AC375F" w:rsidP="00AC375F">
            <w:pPr>
              <w:rPr>
                <w:b/>
                <w:bCs/>
                <w:sz w:val="18"/>
                <w:szCs w:val="18"/>
              </w:rPr>
            </w:pPr>
          </w:p>
        </w:tc>
        <w:tc>
          <w:tcPr>
            <w:tcW w:w="1417" w:type="dxa"/>
            <w:shd w:val="clear" w:color="auto" w:fill="FFFFFF" w:themeFill="background1"/>
            <w:noWrap/>
            <w:vAlign w:val="center"/>
          </w:tcPr>
          <w:p w14:paraId="1099A4F2" w14:textId="77777777" w:rsidR="00AC375F" w:rsidRPr="00AC375F" w:rsidRDefault="00AC375F" w:rsidP="00AC375F">
            <w:pPr>
              <w:jc w:val="center"/>
              <w:rPr>
                <w:sz w:val="18"/>
                <w:szCs w:val="18"/>
              </w:rPr>
            </w:pPr>
            <w:r w:rsidRPr="00AC375F">
              <w:rPr>
                <w:sz w:val="18"/>
                <w:szCs w:val="18"/>
              </w:rPr>
              <w:t>Amsterdam</w:t>
            </w:r>
          </w:p>
        </w:tc>
        <w:tc>
          <w:tcPr>
            <w:tcW w:w="992" w:type="dxa"/>
            <w:shd w:val="clear" w:color="auto" w:fill="FFFFFF" w:themeFill="background1"/>
            <w:noWrap/>
            <w:vAlign w:val="center"/>
          </w:tcPr>
          <w:p w14:paraId="715996B4" w14:textId="77777777" w:rsidR="00AC375F" w:rsidRPr="00AC375F" w:rsidRDefault="00AC375F" w:rsidP="00AC375F">
            <w:pPr>
              <w:jc w:val="center"/>
              <w:rPr>
                <w:sz w:val="18"/>
                <w:szCs w:val="18"/>
              </w:rPr>
            </w:pPr>
            <w:r w:rsidRPr="00AC375F">
              <w:rPr>
                <w:sz w:val="18"/>
                <w:szCs w:val="18"/>
              </w:rPr>
              <w:t>1</w:t>
            </w:r>
          </w:p>
        </w:tc>
        <w:tc>
          <w:tcPr>
            <w:tcW w:w="993" w:type="dxa"/>
            <w:shd w:val="clear" w:color="auto" w:fill="FFFFFF" w:themeFill="background1"/>
            <w:noWrap/>
            <w:vAlign w:val="center"/>
          </w:tcPr>
          <w:p w14:paraId="14F7597A" w14:textId="77777777" w:rsidR="00AC375F" w:rsidRPr="00AC375F" w:rsidRDefault="00AC375F" w:rsidP="00AC375F">
            <w:pPr>
              <w:jc w:val="center"/>
              <w:rPr>
                <w:sz w:val="18"/>
                <w:szCs w:val="18"/>
              </w:rPr>
            </w:pPr>
            <w:r w:rsidRPr="00AC375F">
              <w:rPr>
                <w:sz w:val="18"/>
                <w:szCs w:val="18"/>
              </w:rPr>
              <w:t>prosinac</w:t>
            </w:r>
          </w:p>
        </w:tc>
        <w:tc>
          <w:tcPr>
            <w:tcW w:w="1563" w:type="dxa"/>
            <w:shd w:val="clear" w:color="auto" w:fill="FFFFFF" w:themeFill="background1"/>
            <w:noWrap/>
            <w:vAlign w:val="center"/>
          </w:tcPr>
          <w:p w14:paraId="703047F4" w14:textId="77777777" w:rsidR="00AC375F" w:rsidRPr="00AC375F" w:rsidRDefault="00AC375F" w:rsidP="00AC375F">
            <w:pPr>
              <w:jc w:val="center"/>
              <w:rPr>
                <w:sz w:val="18"/>
                <w:szCs w:val="18"/>
              </w:rPr>
            </w:pPr>
            <w:r w:rsidRPr="00AC375F">
              <w:rPr>
                <w:sz w:val="18"/>
                <w:szCs w:val="18"/>
              </w:rPr>
              <w:t>2</w:t>
            </w:r>
          </w:p>
        </w:tc>
      </w:tr>
      <w:tr w:rsidR="00AC375F" w:rsidRPr="00AC375F" w14:paraId="6F9C0D36" w14:textId="77777777" w:rsidTr="00991955">
        <w:trPr>
          <w:trHeight w:val="388"/>
        </w:trPr>
        <w:tc>
          <w:tcPr>
            <w:tcW w:w="4390" w:type="dxa"/>
            <w:shd w:val="clear" w:color="auto" w:fill="auto"/>
            <w:noWrap/>
            <w:vAlign w:val="center"/>
          </w:tcPr>
          <w:p w14:paraId="0729C9F4" w14:textId="77777777" w:rsidR="00AC375F" w:rsidRPr="00AC375F" w:rsidRDefault="00AC375F" w:rsidP="00AC375F">
            <w:pPr>
              <w:rPr>
                <w:b/>
                <w:bCs/>
                <w:sz w:val="18"/>
                <w:szCs w:val="18"/>
              </w:rPr>
            </w:pPr>
            <w:r w:rsidRPr="00AC375F">
              <w:rPr>
                <w:b/>
                <w:bCs/>
                <w:sz w:val="18"/>
                <w:szCs w:val="18"/>
              </w:rPr>
              <w:t xml:space="preserve">Working Party on Quality Review of Documents </w:t>
            </w:r>
          </w:p>
        </w:tc>
        <w:tc>
          <w:tcPr>
            <w:tcW w:w="1417" w:type="dxa"/>
            <w:shd w:val="clear" w:color="auto" w:fill="auto"/>
            <w:noWrap/>
            <w:vAlign w:val="center"/>
          </w:tcPr>
          <w:p w14:paraId="693537A8"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auto"/>
            <w:noWrap/>
            <w:vAlign w:val="center"/>
          </w:tcPr>
          <w:p w14:paraId="39A513B4" w14:textId="77777777" w:rsidR="00AC375F" w:rsidRPr="00AC375F" w:rsidRDefault="00AC375F" w:rsidP="00AC375F">
            <w:pPr>
              <w:jc w:val="center"/>
              <w:rPr>
                <w:sz w:val="18"/>
                <w:szCs w:val="18"/>
              </w:rPr>
            </w:pPr>
            <w:r w:rsidRPr="00AC375F">
              <w:rPr>
                <w:sz w:val="18"/>
                <w:szCs w:val="18"/>
              </w:rPr>
              <w:t>1</w:t>
            </w:r>
          </w:p>
        </w:tc>
        <w:tc>
          <w:tcPr>
            <w:tcW w:w="993" w:type="dxa"/>
            <w:shd w:val="clear" w:color="auto" w:fill="auto"/>
            <w:noWrap/>
            <w:vAlign w:val="center"/>
          </w:tcPr>
          <w:p w14:paraId="0CF1BAE8" w14:textId="77777777" w:rsidR="00AC375F" w:rsidRPr="00AC375F" w:rsidRDefault="00AC375F" w:rsidP="00AC375F">
            <w:pPr>
              <w:jc w:val="center"/>
              <w:rPr>
                <w:sz w:val="18"/>
                <w:szCs w:val="18"/>
              </w:rPr>
            </w:pPr>
            <w:r w:rsidRPr="00AC375F">
              <w:rPr>
                <w:sz w:val="18"/>
                <w:szCs w:val="18"/>
              </w:rPr>
              <w:t>ožujak</w:t>
            </w:r>
          </w:p>
        </w:tc>
        <w:tc>
          <w:tcPr>
            <w:tcW w:w="1563" w:type="dxa"/>
            <w:shd w:val="clear" w:color="auto" w:fill="auto"/>
            <w:noWrap/>
            <w:vAlign w:val="center"/>
          </w:tcPr>
          <w:p w14:paraId="309C19F1" w14:textId="77777777" w:rsidR="00AC375F" w:rsidRPr="00AC375F" w:rsidRDefault="00AC375F" w:rsidP="00AC375F">
            <w:pPr>
              <w:jc w:val="center"/>
              <w:rPr>
                <w:sz w:val="18"/>
                <w:szCs w:val="18"/>
              </w:rPr>
            </w:pPr>
            <w:r w:rsidRPr="00AC375F">
              <w:rPr>
                <w:sz w:val="18"/>
                <w:szCs w:val="18"/>
              </w:rPr>
              <w:t>1</w:t>
            </w:r>
          </w:p>
        </w:tc>
      </w:tr>
      <w:tr w:rsidR="00AC375F" w:rsidRPr="00AC375F" w14:paraId="4C9D76F3" w14:textId="77777777" w:rsidTr="00991955">
        <w:trPr>
          <w:trHeight w:val="310"/>
        </w:trPr>
        <w:tc>
          <w:tcPr>
            <w:tcW w:w="4390" w:type="dxa"/>
            <w:shd w:val="clear" w:color="auto" w:fill="auto"/>
            <w:vAlign w:val="center"/>
          </w:tcPr>
          <w:p w14:paraId="50B3C894" w14:textId="77777777" w:rsidR="00AC375F" w:rsidRPr="00AC375F" w:rsidRDefault="00AC375F" w:rsidP="00AC375F">
            <w:pPr>
              <w:rPr>
                <w:b/>
                <w:bCs/>
                <w:sz w:val="18"/>
                <w:szCs w:val="18"/>
              </w:rPr>
            </w:pPr>
          </w:p>
        </w:tc>
        <w:tc>
          <w:tcPr>
            <w:tcW w:w="1417" w:type="dxa"/>
            <w:shd w:val="clear" w:color="auto" w:fill="FFFFFF" w:themeFill="background1"/>
            <w:noWrap/>
            <w:vAlign w:val="center"/>
          </w:tcPr>
          <w:p w14:paraId="1C22A844" w14:textId="77777777" w:rsidR="00AC375F" w:rsidRPr="00AC375F" w:rsidRDefault="00AC375F" w:rsidP="00AC375F">
            <w:pPr>
              <w:jc w:val="center"/>
              <w:rPr>
                <w:sz w:val="18"/>
                <w:szCs w:val="18"/>
              </w:rPr>
            </w:pPr>
            <w:r w:rsidRPr="00AC375F">
              <w:rPr>
                <w:sz w:val="18"/>
                <w:szCs w:val="18"/>
              </w:rPr>
              <w:t>Amsterdam</w:t>
            </w:r>
          </w:p>
        </w:tc>
        <w:tc>
          <w:tcPr>
            <w:tcW w:w="992" w:type="dxa"/>
            <w:shd w:val="clear" w:color="auto" w:fill="FFFFFF" w:themeFill="background1"/>
            <w:noWrap/>
            <w:vAlign w:val="center"/>
          </w:tcPr>
          <w:p w14:paraId="789DEBA7" w14:textId="77777777" w:rsidR="00AC375F" w:rsidRPr="00AC375F" w:rsidRDefault="00AC375F" w:rsidP="00AC375F">
            <w:pPr>
              <w:jc w:val="center"/>
              <w:rPr>
                <w:sz w:val="18"/>
                <w:szCs w:val="18"/>
              </w:rPr>
            </w:pPr>
            <w:r w:rsidRPr="00AC375F">
              <w:rPr>
                <w:sz w:val="18"/>
                <w:szCs w:val="18"/>
              </w:rPr>
              <w:t>1</w:t>
            </w:r>
          </w:p>
        </w:tc>
        <w:tc>
          <w:tcPr>
            <w:tcW w:w="993" w:type="dxa"/>
            <w:shd w:val="clear" w:color="auto" w:fill="FFFFFF" w:themeFill="background1"/>
            <w:noWrap/>
            <w:vAlign w:val="center"/>
          </w:tcPr>
          <w:p w14:paraId="5D665349" w14:textId="77777777" w:rsidR="00AC375F" w:rsidRPr="00AC375F" w:rsidRDefault="00AC375F" w:rsidP="00AC375F">
            <w:pPr>
              <w:jc w:val="center"/>
              <w:rPr>
                <w:sz w:val="18"/>
                <w:szCs w:val="18"/>
              </w:rPr>
            </w:pPr>
            <w:r w:rsidRPr="00AC375F">
              <w:rPr>
                <w:sz w:val="18"/>
                <w:szCs w:val="18"/>
              </w:rPr>
              <w:t>lipanj</w:t>
            </w:r>
          </w:p>
        </w:tc>
        <w:tc>
          <w:tcPr>
            <w:tcW w:w="1563" w:type="dxa"/>
            <w:shd w:val="clear" w:color="auto" w:fill="FFFFFF" w:themeFill="background1"/>
            <w:noWrap/>
            <w:vAlign w:val="center"/>
          </w:tcPr>
          <w:p w14:paraId="39960DD5" w14:textId="77777777" w:rsidR="00AC375F" w:rsidRPr="00AC375F" w:rsidRDefault="00AC375F" w:rsidP="00AC375F">
            <w:pPr>
              <w:jc w:val="center"/>
              <w:rPr>
                <w:sz w:val="18"/>
                <w:szCs w:val="18"/>
              </w:rPr>
            </w:pPr>
            <w:r w:rsidRPr="00AC375F">
              <w:rPr>
                <w:sz w:val="18"/>
                <w:szCs w:val="18"/>
              </w:rPr>
              <w:t>1</w:t>
            </w:r>
          </w:p>
        </w:tc>
      </w:tr>
      <w:tr w:rsidR="00AC375F" w:rsidRPr="00AC375F" w14:paraId="2DFD0CBC" w14:textId="77777777" w:rsidTr="00991955">
        <w:trPr>
          <w:trHeight w:val="310"/>
        </w:trPr>
        <w:tc>
          <w:tcPr>
            <w:tcW w:w="4390" w:type="dxa"/>
            <w:shd w:val="clear" w:color="auto" w:fill="auto"/>
            <w:vAlign w:val="center"/>
          </w:tcPr>
          <w:p w14:paraId="4FE9288F" w14:textId="77777777" w:rsidR="00AC375F" w:rsidRPr="00AC375F" w:rsidRDefault="00AC375F" w:rsidP="00AC375F">
            <w:pPr>
              <w:rPr>
                <w:b/>
                <w:bCs/>
                <w:sz w:val="18"/>
                <w:szCs w:val="18"/>
              </w:rPr>
            </w:pPr>
          </w:p>
        </w:tc>
        <w:tc>
          <w:tcPr>
            <w:tcW w:w="1417" w:type="dxa"/>
            <w:shd w:val="clear" w:color="auto" w:fill="FFFFFF" w:themeFill="background1"/>
            <w:noWrap/>
            <w:vAlign w:val="center"/>
          </w:tcPr>
          <w:p w14:paraId="3EC5DF73"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FFFFFF" w:themeFill="background1"/>
            <w:noWrap/>
            <w:vAlign w:val="center"/>
          </w:tcPr>
          <w:p w14:paraId="481A0F06" w14:textId="77777777" w:rsidR="00AC375F" w:rsidRPr="00AC375F" w:rsidRDefault="00AC375F" w:rsidP="00AC375F">
            <w:pPr>
              <w:jc w:val="center"/>
              <w:rPr>
                <w:sz w:val="18"/>
                <w:szCs w:val="18"/>
              </w:rPr>
            </w:pPr>
            <w:r w:rsidRPr="00AC375F">
              <w:rPr>
                <w:sz w:val="18"/>
                <w:szCs w:val="18"/>
              </w:rPr>
              <w:t>1</w:t>
            </w:r>
          </w:p>
        </w:tc>
        <w:tc>
          <w:tcPr>
            <w:tcW w:w="993" w:type="dxa"/>
            <w:shd w:val="clear" w:color="auto" w:fill="FFFFFF" w:themeFill="background1"/>
            <w:noWrap/>
            <w:vAlign w:val="center"/>
          </w:tcPr>
          <w:p w14:paraId="2ABF47A0" w14:textId="77777777" w:rsidR="00AC375F" w:rsidRPr="00AC375F" w:rsidRDefault="00AC375F" w:rsidP="00AC375F">
            <w:pPr>
              <w:jc w:val="center"/>
              <w:rPr>
                <w:sz w:val="18"/>
                <w:szCs w:val="18"/>
              </w:rPr>
            </w:pPr>
            <w:r w:rsidRPr="00AC375F">
              <w:rPr>
                <w:sz w:val="18"/>
                <w:szCs w:val="18"/>
              </w:rPr>
              <w:t>studeni</w:t>
            </w:r>
          </w:p>
        </w:tc>
        <w:tc>
          <w:tcPr>
            <w:tcW w:w="1563" w:type="dxa"/>
            <w:shd w:val="clear" w:color="auto" w:fill="FFFFFF" w:themeFill="background1"/>
            <w:noWrap/>
            <w:vAlign w:val="center"/>
          </w:tcPr>
          <w:p w14:paraId="072B94ED" w14:textId="77777777" w:rsidR="00AC375F" w:rsidRPr="00AC375F" w:rsidRDefault="00AC375F" w:rsidP="00AC375F">
            <w:pPr>
              <w:jc w:val="center"/>
              <w:rPr>
                <w:sz w:val="18"/>
                <w:szCs w:val="18"/>
              </w:rPr>
            </w:pPr>
            <w:r w:rsidRPr="00AC375F">
              <w:rPr>
                <w:sz w:val="18"/>
                <w:szCs w:val="18"/>
              </w:rPr>
              <w:t>1</w:t>
            </w:r>
          </w:p>
        </w:tc>
      </w:tr>
      <w:tr w:rsidR="00AC375F" w:rsidRPr="00AC375F" w14:paraId="152456DE" w14:textId="77777777" w:rsidTr="00991955">
        <w:trPr>
          <w:trHeight w:val="237"/>
        </w:trPr>
        <w:tc>
          <w:tcPr>
            <w:tcW w:w="4390" w:type="dxa"/>
            <w:shd w:val="clear" w:color="auto" w:fill="auto"/>
            <w:noWrap/>
            <w:vAlign w:val="center"/>
          </w:tcPr>
          <w:p w14:paraId="5FDE4A75" w14:textId="77777777" w:rsidR="00AC375F" w:rsidRPr="00AC375F" w:rsidRDefault="00AC375F" w:rsidP="00AC375F">
            <w:pPr>
              <w:rPr>
                <w:b/>
                <w:bCs/>
                <w:sz w:val="18"/>
                <w:szCs w:val="18"/>
                <w:highlight w:val="green"/>
              </w:rPr>
            </w:pPr>
            <w:r w:rsidRPr="00AC375F">
              <w:rPr>
                <w:rFonts w:eastAsia="Times New Roman" w:cstheme="minorHAnsi"/>
                <w:b/>
                <w:sz w:val="18"/>
                <w:szCs w:val="18"/>
              </w:rPr>
              <w:t>Modelling and Simulation Operational Expert Group (MSOEG)(ex. Modelling and Simulation Working Party)</w:t>
            </w:r>
          </w:p>
        </w:tc>
        <w:tc>
          <w:tcPr>
            <w:tcW w:w="1417" w:type="dxa"/>
            <w:shd w:val="clear" w:color="auto" w:fill="auto"/>
            <w:noWrap/>
            <w:vAlign w:val="center"/>
          </w:tcPr>
          <w:p w14:paraId="6DDB5340" w14:textId="77777777" w:rsidR="00AC375F" w:rsidRPr="00AC375F" w:rsidRDefault="00AC375F" w:rsidP="00AC375F">
            <w:pPr>
              <w:jc w:val="center"/>
              <w:rPr>
                <w:sz w:val="18"/>
                <w:szCs w:val="18"/>
              </w:rPr>
            </w:pPr>
          </w:p>
        </w:tc>
        <w:tc>
          <w:tcPr>
            <w:tcW w:w="992" w:type="dxa"/>
            <w:shd w:val="clear" w:color="auto" w:fill="auto"/>
            <w:noWrap/>
            <w:vAlign w:val="center"/>
          </w:tcPr>
          <w:p w14:paraId="1215BBE8" w14:textId="77777777" w:rsidR="00AC375F" w:rsidRPr="00AC375F" w:rsidRDefault="00AC375F" w:rsidP="00AC375F">
            <w:pPr>
              <w:jc w:val="center"/>
              <w:rPr>
                <w:sz w:val="18"/>
                <w:szCs w:val="18"/>
              </w:rPr>
            </w:pPr>
          </w:p>
        </w:tc>
        <w:tc>
          <w:tcPr>
            <w:tcW w:w="993" w:type="dxa"/>
            <w:shd w:val="clear" w:color="auto" w:fill="auto"/>
            <w:noWrap/>
            <w:vAlign w:val="center"/>
          </w:tcPr>
          <w:p w14:paraId="66D67E48" w14:textId="77777777" w:rsidR="00AC375F" w:rsidRPr="00AC375F" w:rsidRDefault="00AC375F" w:rsidP="00AC375F">
            <w:pPr>
              <w:jc w:val="center"/>
              <w:rPr>
                <w:sz w:val="18"/>
                <w:szCs w:val="18"/>
              </w:rPr>
            </w:pPr>
          </w:p>
        </w:tc>
        <w:tc>
          <w:tcPr>
            <w:tcW w:w="1563" w:type="dxa"/>
            <w:shd w:val="clear" w:color="auto" w:fill="auto"/>
            <w:noWrap/>
            <w:vAlign w:val="center"/>
          </w:tcPr>
          <w:p w14:paraId="4DB7898A" w14:textId="77777777" w:rsidR="00AC375F" w:rsidRPr="00AC375F" w:rsidRDefault="00AC375F" w:rsidP="00AC375F">
            <w:pPr>
              <w:jc w:val="center"/>
              <w:rPr>
                <w:sz w:val="18"/>
                <w:szCs w:val="18"/>
              </w:rPr>
            </w:pPr>
          </w:p>
        </w:tc>
      </w:tr>
      <w:tr w:rsidR="00AC375F" w:rsidRPr="00AC375F" w14:paraId="1AFBD0D3" w14:textId="77777777" w:rsidTr="00991955">
        <w:trPr>
          <w:trHeight w:val="237"/>
        </w:trPr>
        <w:tc>
          <w:tcPr>
            <w:tcW w:w="4390" w:type="dxa"/>
            <w:shd w:val="clear" w:color="auto" w:fill="auto"/>
            <w:noWrap/>
            <w:vAlign w:val="center"/>
          </w:tcPr>
          <w:p w14:paraId="2E252D0F" w14:textId="77777777" w:rsidR="00AC375F" w:rsidRPr="00AC375F" w:rsidRDefault="00AC375F" w:rsidP="00AC375F">
            <w:pPr>
              <w:rPr>
                <w:rFonts w:eastAsia="Times New Roman" w:cstheme="minorHAnsi"/>
                <w:b/>
                <w:sz w:val="18"/>
                <w:szCs w:val="18"/>
              </w:rPr>
            </w:pPr>
          </w:p>
        </w:tc>
        <w:tc>
          <w:tcPr>
            <w:tcW w:w="1417" w:type="dxa"/>
            <w:shd w:val="clear" w:color="auto" w:fill="auto"/>
            <w:noWrap/>
            <w:vAlign w:val="center"/>
          </w:tcPr>
          <w:p w14:paraId="633E6AF2"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auto"/>
            <w:noWrap/>
            <w:vAlign w:val="center"/>
          </w:tcPr>
          <w:p w14:paraId="6C999F3A" w14:textId="77777777" w:rsidR="00AC375F" w:rsidRPr="00AC375F" w:rsidRDefault="00AC375F" w:rsidP="00AC375F">
            <w:pPr>
              <w:jc w:val="center"/>
              <w:rPr>
                <w:sz w:val="18"/>
                <w:szCs w:val="18"/>
              </w:rPr>
            </w:pPr>
            <w:r w:rsidRPr="00AC375F">
              <w:rPr>
                <w:sz w:val="18"/>
                <w:szCs w:val="18"/>
              </w:rPr>
              <w:t>1</w:t>
            </w:r>
          </w:p>
        </w:tc>
        <w:tc>
          <w:tcPr>
            <w:tcW w:w="993" w:type="dxa"/>
            <w:shd w:val="clear" w:color="auto" w:fill="auto"/>
            <w:noWrap/>
            <w:vAlign w:val="center"/>
          </w:tcPr>
          <w:p w14:paraId="5C7E61B0" w14:textId="77777777" w:rsidR="00AC375F" w:rsidRPr="00AC375F" w:rsidRDefault="00AC375F" w:rsidP="00AC375F">
            <w:pPr>
              <w:jc w:val="center"/>
              <w:rPr>
                <w:sz w:val="18"/>
                <w:szCs w:val="18"/>
              </w:rPr>
            </w:pPr>
            <w:r w:rsidRPr="00AC375F">
              <w:rPr>
                <w:sz w:val="18"/>
                <w:szCs w:val="18"/>
              </w:rPr>
              <w:t>siječanj</w:t>
            </w:r>
          </w:p>
        </w:tc>
        <w:tc>
          <w:tcPr>
            <w:tcW w:w="1563" w:type="dxa"/>
            <w:shd w:val="clear" w:color="auto" w:fill="auto"/>
            <w:noWrap/>
            <w:vAlign w:val="center"/>
          </w:tcPr>
          <w:p w14:paraId="7776933F" w14:textId="77777777" w:rsidR="00AC375F" w:rsidRPr="00AC375F" w:rsidRDefault="00AC375F" w:rsidP="00AC375F">
            <w:pPr>
              <w:jc w:val="center"/>
              <w:rPr>
                <w:sz w:val="18"/>
                <w:szCs w:val="18"/>
              </w:rPr>
            </w:pPr>
            <w:r w:rsidRPr="00AC375F">
              <w:rPr>
                <w:sz w:val="18"/>
                <w:szCs w:val="18"/>
              </w:rPr>
              <w:t>0,25</w:t>
            </w:r>
          </w:p>
        </w:tc>
      </w:tr>
      <w:tr w:rsidR="00AC375F" w:rsidRPr="00AC375F" w14:paraId="73E08952" w14:textId="77777777" w:rsidTr="00991955">
        <w:trPr>
          <w:trHeight w:val="237"/>
        </w:trPr>
        <w:tc>
          <w:tcPr>
            <w:tcW w:w="4390" w:type="dxa"/>
            <w:shd w:val="clear" w:color="auto" w:fill="auto"/>
            <w:noWrap/>
            <w:vAlign w:val="center"/>
          </w:tcPr>
          <w:p w14:paraId="4986E8B9" w14:textId="77777777" w:rsidR="00AC375F" w:rsidRPr="00AC375F" w:rsidRDefault="00AC375F" w:rsidP="00AC375F">
            <w:pPr>
              <w:rPr>
                <w:rFonts w:eastAsia="Times New Roman" w:cstheme="minorHAnsi"/>
                <w:b/>
                <w:sz w:val="18"/>
                <w:szCs w:val="18"/>
              </w:rPr>
            </w:pPr>
          </w:p>
        </w:tc>
        <w:tc>
          <w:tcPr>
            <w:tcW w:w="1417" w:type="dxa"/>
            <w:shd w:val="clear" w:color="auto" w:fill="auto"/>
            <w:noWrap/>
            <w:vAlign w:val="center"/>
          </w:tcPr>
          <w:p w14:paraId="579AD247" w14:textId="77777777" w:rsidR="00AC375F" w:rsidRPr="00AC375F" w:rsidRDefault="00AC375F" w:rsidP="00AC375F">
            <w:pPr>
              <w:jc w:val="center"/>
              <w:rPr>
                <w:sz w:val="18"/>
                <w:szCs w:val="18"/>
              </w:rPr>
            </w:pPr>
            <w:r w:rsidRPr="00AC375F">
              <w:rPr>
                <w:sz w:val="18"/>
                <w:szCs w:val="18"/>
              </w:rPr>
              <w:t xml:space="preserve">virtualno </w:t>
            </w:r>
          </w:p>
        </w:tc>
        <w:tc>
          <w:tcPr>
            <w:tcW w:w="992" w:type="dxa"/>
            <w:shd w:val="clear" w:color="auto" w:fill="auto"/>
            <w:noWrap/>
            <w:vAlign w:val="center"/>
          </w:tcPr>
          <w:p w14:paraId="6981DC29" w14:textId="77777777" w:rsidR="00AC375F" w:rsidRPr="00AC375F" w:rsidRDefault="00AC375F" w:rsidP="00AC375F">
            <w:pPr>
              <w:jc w:val="center"/>
              <w:rPr>
                <w:sz w:val="18"/>
                <w:szCs w:val="18"/>
              </w:rPr>
            </w:pPr>
            <w:r w:rsidRPr="00AC375F">
              <w:rPr>
                <w:sz w:val="18"/>
                <w:szCs w:val="18"/>
              </w:rPr>
              <w:t>1</w:t>
            </w:r>
          </w:p>
        </w:tc>
        <w:tc>
          <w:tcPr>
            <w:tcW w:w="993" w:type="dxa"/>
            <w:shd w:val="clear" w:color="auto" w:fill="auto"/>
            <w:noWrap/>
            <w:vAlign w:val="center"/>
          </w:tcPr>
          <w:p w14:paraId="35E80017" w14:textId="77777777" w:rsidR="00AC375F" w:rsidRPr="00AC375F" w:rsidRDefault="00AC375F" w:rsidP="00AC375F">
            <w:pPr>
              <w:jc w:val="center"/>
              <w:rPr>
                <w:sz w:val="18"/>
                <w:szCs w:val="18"/>
              </w:rPr>
            </w:pPr>
            <w:r w:rsidRPr="00AC375F">
              <w:rPr>
                <w:sz w:val="18"/>
                <w:szCs w:val="18"/>
              </w:rPr>
              <w:t>ožujak</w:t>
            </w:r>
          </w:p>
        </w:tc>
        <w:tc>
          <w:tcPr>
            <w:tcW w:w="1563" w:type="dxa"/>
            <w:shd w:val="clear" w:color="auto" w:fill="auto"/>
            <w:noWrap/>
            <w:vAlign w:val="center"/>
          </w:tcPr>
          <w:p w14:paraId="20583B1D" w14:textId="77777777" w:rsidR="00AC375F" w:rsidRPr="00AC375F" w:rsidRDefault="00AC375F" w:rsidP="00AC375F">
            <w:pPr>
              <w:jc w:val="center"/>
              <w:rPr>
                <w:sz w:val="18"/>
                <w:szCs w:val="18"/>
              </w:rPr>
            </w:pPr>
            <w:r w:rsidRPr="00AC375F">
              <w:rPr>
                <w:sz w:val="18"/>
                <w:szCs w:val="18"/>
              </w:rPr>
              <w:t>0,25</w:t>
            </w:r>
          </w:p>
        </w:tc>
      </w:tr>
      <w:tr w:rsidR="00AC375F" w:rsidRPr="00AC375F" w14:paraId="085F9049" w14:textId="77777777" w:rsidTr="00991955">
        <w:trPr>
          <w:trHeight w:val="237"/>
        </w:trPr>
        <w:tc>
          <w:tcPr>
            <w:tcW w:w="4390" w:type="dxa"/>
            <w:shd w:val="clear" w:color="auto" w:fill="auto"/>
            <w:noWrap/>
            <w:vAlign w:val="center"/>
          </w:tcPr>
          <w:p w14:paraId="0800FB10" w14:textId="77777777" w:rsidR="00AC375F" w:rsidRPr="00AC375F" w:rsidRDefault="00AC375F" w:rsidP="00AC375F">
            <w:pPr>
              <w:rPr>
                <w:rFonts w:eastAsia="Times New Roman" w:cstheme="minorHAnsi"/>
                <w:b/>
                <w:sz w:val="18"/>
                <w:szCs w:val="18"/>
              </w:rPr>
            </w:pPr>
          </w:p>
        </w:tc>
        <w:tc>
          <w:tcPr>
            <w:tcW w:w="1417" w:type="dxa"/>
            <w:shd w:val="clear" w:color="auto" w:fill="auto"/>
            <w:noWrap/>
            <w:vAlign w:val="center"/>
          </w:tcPr>
          <w:p w14:paraId="28AC5A6C"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auto"/>
            <w:noWrap/>
            <w:vAlign w:val="center"/>
          </w:tcPr>
          <w:p w14:paraId="7715B141" w14:textId="77777777" w:rsidR="00AC375F" w:rsidRPr="00AC375F" w:rsidRDefault="00AC375F" w:rsidP="00AC375F">
            <w:pPr>
              <w:jc w:val="center"/>
              <w:rPr>
                <w:sz w:val="18"/>
                <w:szCs w:val="18"/>
              </w:rPr>
            </w:pPr>
            <w:r w:rsidRPr="00AC375F">
              <w:rPr>
                <w:sz w:val="18"/>
                <w:szCs w:val="18"/>
              </w:rPr>
              <w:t>1</w:t>
            </w:r>
          </w:p>
        </w:tc>
        <w:tc>
          <w:tcPr>
            <w:tcW w:w="993" w:type="dxa"/>
            <w:shd w:val="clear" w:color="auto" w:fill="auto"/>
            <w:noWrap/>
            <w:vAlign w:val="center"/>
          </w:tcPr>
          <w:p w14:paraId="163E0A85" w14:textId="77777777" w:rsidR="00AC375F" w:rsidRPr="00AC375F" w:rsidRDefault="00AC375F" w:rsidP="00AC375F">
            <w:pPr>
              <w:jc w:val="center"/>
              <w:rPr>
                <w:sz w:val="18"/>
                <w:szCs w:val="18"/>
              </w:rPr>
            </w:pPr>
            <w:r w:rsidRPr="00AC375F">
              <w:rPr>
                <w:sz w:val="18"/>
                <w:szCs w:val="18"/>
              </w:rPr>
              <w:t>travanj</w:t>
            </w:r>
          </w:p>
        </w:tc>
        <w:tc>
          <w:tcPr>
            <w:tcW w:w="1563" w:type="dxa"/>
            <w:shd w:val="clear" w:color="auto" w:fill="auto"/>
            <w:noWrap/>
            <w:vAlign w:val="center"/>
          </w:tcPr>
          <w:p w14:paraId="65264630" w14:textId="77777777" w:rsidR="00AC375F" w:rsidRPr="00AC375F" w:rsidRDefault="00AC375F" w:rsidP="00AC375F">
            <w:pPr>
              <w:jc w:val="center"/>
              <w:rPr>
                <w:sz w:val="18"/>
                <w:szCs w:val="18"/>
              </w:rPr>
            </w:pPr>
            <w:r w:rsidRPr="00AC375F">
              <w:rPr>
                <w:sz w:val="18"/>
                <w:szCs w:val="18"/>
              </w:rPr>
              <w:t>0,25</w:t>
            </w:r>
          </w:p>
        </w:tc>
      </w:tr>
      <w:tr w:rsidR="00AC375F" w:rsidRPr="00AC375F" w14:paraId="42E777E5" w14:textId="77777777" w:rsidTr="00991955">
        <w:trPr>
          <w:trHeight w:val="237"/>
        </w:trPr>
        <w:tc>
          <w:tcPr>
            <w:tcW w:w="4390" w:type="dxa"/>
            <w:shd w:val="clear" w:color="auto" w:fill="auto"/>
            <w:noWrap/>
            <w:vAlign w:val="center"/>
          </w:tcPr>
          <w:p w14:paraId="552EE2C3" w14:textId="77777777" w:rsidR="00AC375F" w:rsidRPr="00AC375F" w:rsidRDefault="00AC375F" w:rsidP="00AC375F">
            <w:pPr>
              <w:rPr>
                <w:rFonts w:eastAsia="Times New Roman" w:cstheme="minorHAnsi"/>
                <w:b/>
                <w:sz w:val="18"/>
                <w:szCs w:val="18"/>
              </w:rPr>
            </w:pPr>
          </w:p>
        </w:tc>
        <w:tc>
          <w:tcPr>
            <w:tcW w:w="1417" w:type="dxa"/>
            <w:shd w:val="clear" w:color="auto" w:fill="auto"/>
            <w:noWrap/>
            <w:vAlign w:val="center"/>
          </w:tcPr>
          <w:p w14:paraId="02BE2D0F"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auto"/>
            <w:noWrap/>
            <w:vAlign w:val="center"/>
          </w:tcPr>
          <w:p w14:paraId="54D3403C" w14:textId="77777777" w:rsidR="00AC375F" w:rsidRPr="00AC375F" w:rsidRDefault="00AC375F" w:rsidP="00AC375F">
            <w:pPr>
              <w:jc w:val="center"/>
              <w:rPr>
                <w:sz w:val="18"/>
                <w:szCs w:val="18"/>
              </w:rPr>
            </w:pPr>
            <w:r w:rsidRPr="00AC375F">
              <w:rPr>
                <w:sz w:val="18"/>
                <w:szCs w:val="18"/>
              </w:rPr>
              <w:t>1</w:t>
            </w:r>
          </w:p>
        </w:tc>
        <w:tc>
          <w:tcPr>
            <w:tcW w:w="993" w:type="dxa"/>
            <w:shd w:val="clear" w:color="auto" w:fill="auto"/>
            <w:noWrap/>
            <w:vAlign w:val="center"/>
          </w:tcPr>
          <w:p w14:paraId="475428F2" w14:textId="77777777" w:rsidR="00AC375F" w:rsidRPr="00AC375F" w:rsidRDefault="00AC375F" w:rsidP="00AC375F">
            <w:pPr>
              <w:jc w:val="center"/>
              <w:rPr>
                <w:sz w:val="18"/>
                <w:szCs w:val="18"/>
              </w:rPr>
            </w:pPr>
            <w:r w:rsidRPr="00AC375F">
              <w:rPr>
                <w:sz w:val="18"/>
                <w:szCs w:val="18"/>
              </w:rPr>
              <w:t>svibanj</w:t>
            </w:r>
          </w:p>
        </w:tc>
        <w:tc>
          <w:tcPr>
            <w:tcW w:w="1563" w:type="dxa"/>
            <w:shd w:val="clear" w:color="auto" w:fill="auto"/>
            <w:noWrap/>
            <w:vAlign w:val="center"/>
          </w:tcPr>
          <w:p w14:paraId="02B3B305" w14:textId="77777777" w:rsidR="00AC375F" w:rsidRPr="00AC375F" w:rsidRDefault="00AC375F" w:rsidP="00AC375F">
            <w:pPr>
              <w:jc w:val="center"/>
              <w:rPr>
                <w:sz w:val="18"/>
                <w:szCs w:val="18"/>
              </w:rPr>
            </w:pPr>
            <w:r w:rsidRPr="00AC375F">
              <w:rPr>
                <w:sz w:val="18"/>
                <w:szCs w:val="18"/>
              </w:rPr>
              <w:t>0,25</w:t>
            </w:r>
          </w:p>
        </w:tc>
      </w:tr>
      <w:tr w:rsidR="00AC375F" w:rsidRPr="00AC375F" w14:paraId="250C2AE9" w14:textId="77777777" w:rsidTr="00991955">
        <w:trPr>
          <w:trHeight w:val="237"/>
        </w:trPr>
        <w:tc>
          <w:tcPr>
            <w:tcW w:w="4390" w:type="dxa"/>
            <w:shd w:val="clear" w:color="auto" w:fill="auto"/>
            <w:noWrap/>
            <w:vAlign w:val="center"/>
          </w:tcPr>
          <w:p w14:paraId="44EF650F" w14:textId="77777777" w:rsidR="00AC375F" w:rsidRPr="00AC375F" w:rsidRDefault="00AC375F" w:rsidP="00AC375F">
            <w:pPr>
              <w:rPr>
                <w:rFonts w:eastAsia="Times New Roman" w:cstheme="minorHAnsi"/>
                <w:b/>
                <w:sz w:val="18"/>
                <w:szCs w:val="18"/>
              </w:rPr>
            </w:pPr>
          </w:p>
        </w:tc>
        <w:tc>
          <w:tcPr>
            <w:tcW w:w="1417" w:type="dxa"/>
            <w:shd w:val="clear" w:color="auto" w:fill="auto"/>
            <w:noWrap/>
            <w:vAlign w:val="center"/>
          </w:tcPr>
          <w:p w14:paraId="2F04CB43" w14:textId="77777777" w:rsidR="00AC375F" w:rsidRPr="00AC375F" w:rsidRDefault="00AC375F" w:rsidP="00AC375F">
            <w:pPr>
              <w:jc w:val="center"/>
              <w:rPr>
                <w:sz w:val="18"/>
                <w:szCs w:val="18"/>
              </w:rPr>
            </w:pPr>
            <w:r w:rsidRPr="00AC375F">
              <w:rPr>
                <w:sz w:val="18"/>
                <w:szCs w:val="18"/>
              </w:rPr>
              <w:t>Virtualno (cluster TC)</w:t>
            </w:r>
          </w:p>
        </w:tc>
        <w:tc>
          <w:tcPr>
            <w:tcW w:w="992" w:type="dxa"/>
            <w:shd w:val="clear" w:color="auto" w:fill="auto"/>
            <w:noWrap/>
            <w:vAlign w:val="center"/>
          </w:tcPr>
          <w:p w14:paraId="65F6A8DF" w14:textId="77777777" w:rsidR="00AC375F" w:rsidRPr="00AC375F" w:rsidRDefault="00AC375F" w:rsidP="00AC375F">
            <w:pPr>
              <w:jc w:val="center"/>
              <w:rPr>
                <w:sz w:val="18"/>
                <w:szCs w:val="18"/>
              </w:rPr>
            </w:pPr>
            <w:r w:rsidRPr="00AC375F">
              <w:rPr>
                <w:sz w:val="18"/>
                <w:szCs w:val="18"/>
              </w:rPr>
              <w:t>1</w:t>
            </w:r>
          </w:p>
        </w:tc>
        <w:tc>
          <w:tcPr>
            <w:tcW w:w="993" w:type="dxa"/>
            <w:shd w:val="clear" w:color="auto" w:fill="auto"/>
            <w:noWrap/>
            <w:vAlign w:val="center"/>
          </w:tcPr>
          <w:p w14:paraId="42B9638E" w14:textId="77777777" w:rsidR="00AC375F" w:rsidRPr="00AC375F" w:rsidRDefault="00AC375F" w:rsidP="00AC375F">
            <w:pPr>
              <w:jc w:val="center"/>
              <w:rPr>
                <w:sz w:val="18"/>
                <w:szCs w:val="18"/>
              </w:rPr>
            </w:pPr>
            <w:r w:rsidRPr="00AC375F">
              <w:rPr>
                <w:sz w:val="18"/>
                <w:szCs w:val="18"/>
              </w:rPr>
              <w:t>lipanj</w:t>
            </w:r>
          </w:p>
        </w:tc>
        <w:tc>
          <w:tcPr>
            <w:tcW w:w="1563" w:type="dxa"/>
            <w:shd w:val="clear" w:color="auto" w:fill="auto"/>
            <w:noWrap/>
            <w:vAlign w:val="center"/>
          </w:tcPr>
          <w:p w14:paraId="5D2D11AE" w14:textId="77777777" w:rsidR="00AC375F" w:rsidRPr="00AC375F" w:rsidRDefault="00AC375F" w:rsidP="00AC375F">
            <w:pPr>
              <w:jc w:val="center"/>
              <w:rPr>
                <w:sz w:val="18"/>
                <w:szCs w:val="18"/>
              </w:rPr>
            </w:pPr>
            <w:r w:rsidRPr="00AC375F">
              <w:rPr>
                <w:sz w:val="18"/>
                <w:szCs w:val="18"/>
              </w:rPr>
              <w:t>0,25</w:t>
            </w:r>
          </w:p>
        </w:tc>
      </w:tr>
      <w:tr w:rsidR="00AC375F" w:rsidRPr="00AC375F" w14:paraId="1F735008" w14:textId="77777777" w:rsidTr="00991955">
        <w:trPr>
          <w:trHeight w:val="237"/>
        </w:trPr>
        <w:tc>
          <w:tcPr>
            <w:tcW w:w="4390" w:type="dxa"/>
            <w:shd w:val="clear" w:color="auto" w:fill="auto"/>
            <w:noWrap/>
            <w:vAlign w:val="center"/>
          </w:tcPr>
          <w:p w14:paraId="5ED6F94B" w14:textId="77777777" w:rsidR="00AC375F" w:rsidRPr="00AC375F" w:rsidRDefault="00AC375F" w:rsidP="00AC375F">
            <w:pPr>
              <w:rPr>
                <w:rFonts w:eastAsia="Times New Roman" w:cstheme="minorHAnsi"/>
                <w:b/>
                <w:sz w:val="18"/>
                <w:szCs w:val="18"/>
              </w:rPr>
            </w:pPr>
          </w:p>
        </w:tc>
        <w:tc>
          <w:tcPr>
            <w:tcW w:w="1417" w:type="dxa"/>
            <w:shd w:val="clear" w:color="auto" w:fill="auto"/>
            <w:noWrap/>
            <w:vAlign w:val="center"/>
          </w:tcPr>
          <w:p w14:paraId="7826AB7A"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auto"/>
            <w:noWrap/>
            <w:vAlign w:val="center"/>
          </w:tcPr>
          <w:p w14:paraId="7E8D6379" w14:textId="77777777" w:rsidR="00AC375F" w:rsidRPr="00AC375F" w:rsidRDefault="00AC375F" w:rsidP="00AC375F">
            <w:pPr>
              <w:jc w:val="center"/>
              <w:rPr>
                <w:sz w:val="18"/>
                <w:szCs w:val="18"/>
              </w:rPr>
            </w:pPr>
            <w:r w:rsidRPr="00AC375F">
              <w:rPr>
                <w:sz w:val="18"/>
                <w:szCs w:val="18"/>
              </w:rPr>
              <w:t>1</w:t>
            </w:r>
          </w:p>
        </w:tc>
        <w:tc>
          <w:tcPr>
            <w:tcW w:w="993" w:type="dxa"/>
            <w:shd w:val="clear" w:color="auto" w:fill="auto"/>
            <w:noWrap/>
            <w:vAlign w:val="center"/>
          </w:tcPr>
          <w:p w14:paraId="112E186A" w14:textId="77777777" w:rsidR="00AC375F" w:rsidRPr="00AC375F" w:rsidRDefault="00AC375F" w:rsidP="00AC375F">
            <w:pPr>
              <w:jc w:val="center"/>
              <w:rPr>
                <w:sz w:val="18"/>
                <w:szCs w:val="18"/>
              </w:rPr>
            </w:pPr>
            <w:r w:rsidRPr="00AC375F">
              <w:rPr>
                <w:sz w:val="18"/>
                <w:szCs w:val="18"/>
              </w:rPr>
              <w:t>rujan</w:t>
            </w:r>
          </w:p>
        </w:tc>
        <w:tc>
          <w:tcPr>
            <w:tcW w:w="1563" w:type="dxa"/>
            <w:shd w:val="clear" w:color="auto" w:fill="auto"/>
            <w:noWrap/>
            <w:vAlign w:val="center"/>
          </w:tcPr>
          <w:p w14:paraId="306B4CF0" w14:textId="77777777" w:rsidR="00AC375F" w:rsidRPr="00AC375F" w:rsidRDefault="00AC375F" w:rsidP="00AC375F">
            <w:pPr>
              <w:jc w:val="center"/>
              <w:rPr>
                <w:sz w:val="18"/>
                <w:szCs w:val="18"/>
              </w:rPr>
            </w:pPr>
            <w:r w:rsidRPr="00AC375F">
              <w:rPr>
                <w:sz w:val="18"/>
                <w:szCs w:val="18"/>
              </w:rPr>
              <w:t>0,25</w:t>
            </w:r>
          </w:p>
        </w:tc>
      </w:tr>
      <w:tr w:rsidR="00AC375F" w:rsidRPr="00AC375F" w14:paraId="2EF2E228" w14:textId="77777777" w:rsidTr="00991955">
        <w:trPr>
          <w:trHeight w:val="237"/>
        </w:trPr>
        <w:tc>
          <w:tcPr>
            <w:tcW w:w="4390" w:type="dxa"/>
            <w:shd w:val="clear" w:color="auto" w:fill="auto"/>
            <w:noWrap/>
            <w:vAlign w:val="center"/>
          </w:tcPr>
          <w:p w14:paraId="25D20944" w14:textId="77777777" w:rsidR="00AC375F" w:rsidRPr="00AC375F" w:rsidRDefault="00AC375F" w:rsidP="00AC375F">
            <w:pPr>
              <w:rPr>
                <w:rFonts w:eastAsia="Times New Roman" w:cstheme="minorHAnsi"/>
                <w:b/>
                <w:sz w:val="18"/>
                <w:szCs w:val="18"/>
              </w:rPr>
            </w:pPr>
          </w:p>
        </w:tc>
        <w:tc>
          <w:tcPr>
            <w:tcW w:w="1417" w:type="dxa"/>
            <w:shd w:val="clear" w:color="auto" w:fill="auto"/>
            <w:noWrap/>
            <w:vAlign w:val="center"/>
          </w:tcPr>
          <w:p w14:paraId="05BA3EB0"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auto"/>
            <w:noWrap/>
            <w:vAlign w:val="center"/>
          </w:tcPr>
          <w:p w14:paraId="55039644" w14:textId="77777777" w:rsidR="00AC375F" w:rsidRPr="00AC375F" w:rsidRDefault="00AC375F" w:rsidP="00AC375F">
            <w:pPr>
              <w:jc w:val="center"/>
              <w:rPr>
                <w:sz w:val="18"/>
                <w:szCs w:val="18"/>
              </w:rPr>
            </w:pPr>
            <w:r w:rsidRPr="00AC375F">
              <w:rPr>
                <w:sz w:val="18"/>
                <w:szCs w:val="18"/>
              </w:rPr>
              <w:t>1</w:t>
            </w:r>
          </w:p>
        </w:tc>
        <w:tc>
          <w:tcPr>
            <w:tcW w:w="993" w:type="dxa"/>
            <w:shd w:val="clear" w:color="auto" w:fill="auto"/>
            <w:noWrap/>
            <w:vAlign w:val="center"/>
          </w:tcPr>
          <w:p w14:paraId="05A88E9D" w14:textId="77777777" w:rsidR="00AC375F" w:rsidRPr="00AC375F" w:rsidRDefault="00AC375F" w:rsidP="00AC375F">
            <w:pPr>
              <w:jc w:val="center"/>
              <w:rPr>
                <w:sz w:val="18"/>
                <w:szCs w:val="18"/>
              </w:rPr>
            </w:pPr>
            <w:r w:rsidRPr="00AC375F">
              <w:rPr>
                <w:sz w:val="18"/>
                <w:szCs w:val="18"/>
              </w:rPr>
              <w:t>listopad</w:t>
            </w:r>
          </w:p>
        </w:tc>
        <w:tc>
          <w:tcPr>
            <w:tcW w:w="1563" w:type="dxa"/>
            <w:shd w:val="clear" w:color="auto" w:fill="auto"/>
            <w:noWrap/>
            <w:vAlign w:val="center"/>
          </w:tcPr>
          <w:p w14:paraId="2E73E3B2" w14:textId="77777777" w:rsidR="00AC375F" w:rsidRPr="00AC375F" w:rsidRDefault="00AC375F" w:rsidP="00AC375F">
            <w:pPr>
              <w:jc w:val="center"/>
              <w:rPr>
                <w:sz w:val="18"/>
                <w:szCs w:val="18"/>
              </w:rPr>
            </w:pPr>
            <w:r w:rsidRPr="00AC375F">
              <w:rPr>
                <w:sz w:val="18"/>
                <w:szCs w:val="18"/>
              </w:rPr>
              <w:t>0,25</w:t>
            </w:r>
          </w:p>
        </w:tc>
      </w:tr>
      <w:tr w:rsidR="00AC375F" w:rsidRPr="00AC375F" w14:paraId="32F5A178" w14:textId="77777777" w:rsidTr="00991955">
        <w:trPr>
          <w:trHeight w:val="237"/>
        </w:trPr>
        <w:tc>
          <w:tcPr>
            <w:tcW w:w="4390" w:type="dxa"/>
            <w:shd w:val="clear" w:color="auto" w:fill="auto"/>
            <w:noWrap/>
            <w:vAlign w:val="center"/>
          </w:tcPr>
          <w:p w14:paraId="36DADEBD" w14:textId="77777777" w:rsidR="00AC375F" w:rsidRPr="00AC375F" w:rsidRDefault="00AC375F" w:rsidP="00AC375F">
            <w:pPr>
              <w:rPr>
                <w:rFonts w:eastAsia="Times New Roman" w:cstheme="minorHAnsi"/>
                <w:b/>
                <w:sz w:val="18"/>
                <w:szCs w:val="18"/>
              </w:rPr>
            </w:pPr>
          </w:p>
        </w:tc>
        <w:tc>
          <w:tcPr>
            <w:tcW w:w="1417" w:type="dxa"/>
            <w:shd w:val="clear" w:color="auto" w:fill="auto"/>
            <w:noWrap/>
            <w:vAlign w:val="center"/>
          </w:tcPr>
          <w:p w14:paraId="059FDA12"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auto"/>
            <w:noWrap/>
            <w:vAlign w:val="center"/>
          </w:tcPr>
          <w:p w14:paraId="607D9D1C" w14:textId="77777777" w:rsidR="00AC375F" w:rsidRPr="00AC375F" w:rsidRDefault="00AC375F" w:rsidP="00AC375F">
            <w:pPr>
              <w:jc w:val="center"/>
              <w:rPr>
                <w:sz w:val="18"/>
                <w:szCs w:val="18"/>
              </w:rPr>
            </w:pPr>
            <w:r w:rsidRPr="00AC375F">
              <w:rPr>
                <w:sz w:val="18"/>
                <w:szCs w:val="18"/>
              </w:rPr>
              <w:t>1</w:t>
            </w:r>
          </w:p>
        </w:tc>
        <w:tc>
          <w:tcPr>
            <w:tcW w:w="993" w:type="dxa"/>
            <w:shd w:val="clear" w:color="auto" w:fill="auto"/>
            <w:noWrap/>
            <w:vAlign w:val="center"/>
          </w:tcPr>
          <w:p w14:paraId="4E011A55" w14:textId="77777777" w:rsidR="00AC375F" w:rsidRPr="00AC375F" w:rsidRDefault="00AC375F" w:rsidP="00AC375F">
            <w:pPr>
              <w:jc w:val="center"/>
              <w:rPr>
                <w:sz w:val="18"/>
                <w:szCs w:val="18"/>
              </w:rPr>
            </w:pPr>
            <w:r w:rsidRPr="00AC375F">
              <w:rPr>
                <w:sz w:val="18"/>
                <w:szCs w:val="18"/>
              </w:rPr>
              <w:t>prosinac</w:t>
            </w:r>
          </w:p>
        </w:tc>
        <w:tc>
          <w:tcPr>
            <w:tcW w:w="1563" w:type="dxa"/>
            <w:shd w:val="clear" w:color="auto" w:fill="auto"/>
            <w:noWrap/>
            <w:vAlign w:val="center"/>
          </w:tcPr>
          <w:p w14:paraId="1B5BFC95" w14:textId="77777777" w:rsidR="00AC375F" w:rsidRPr="00AC375F" w:rsidRDefault="00AC375F" w:rsidP="00AC375F">
            <w:pPr>
              <w:jc w:val="center"/>
              <w:rPr>
                <w:sz w:val="18"/>
                <w:szCs w:val="18"/>
              </w:rPr>
            </w:pPr>
            <w:r w:rsidRPr="00AC375F">
              <w:rPr>
                <w:sz w:val="18"/>
                <w:szCs w:val="18"/>
              </w:rPr>
              <w:t>0,25</w:t>
            </w:r>
          </w:p>
        </w:tc>
      </w:tr>
      <w:tr w:rsidR="00AC375F" w:rsidRPr="00AC375F" w14:paraId="418B88B8" w14:textId="77777777" w:rsidTr="00991955">
        <w:trPr>
          <w:trHeight w:val="237"/>
        </w:trPr>
        <w:tc>
          <w:tcPr>
            <w:tcW w:w="4390" w:type="dxa"/>
            <w:shd w:val="clear" w:color="auto" w:fill="auto"/>
            <w:noWrap/>
            <w:vAlign w:val="center"/>
          </w:tcPr>
          <w:p w14:paraId="14403B0F" w14:textId="77777777" w:rsidR="00AC375F" w:rsidRPr="00AC375F" w:rsidRDefault="00AC375F" w:rsidP="00AC375F">
            <w:pPr>
              <w:rPr>
                <w:rFonts w:eastAsia="Times New Roman" w:cstheme="minorHAnsi"/>
                <w:b/>
                <w:sz w:val="18"/>
                <w:szCs w:val="18"/>
              </w:rPr>
            </w:pPr>
          </w:p>
        </w:tc>
        <w:tc>
          <w:tcPr>
            <w:tcW w:w="1417" w:type="dxa"/>
            <w:shd w:val="clear" w:color="auto" w:fill="auto"/>
            <w:noWrap/>
            <w:vAlign w:val="center"/>
          </w:tcPr>
          <w:p w14:paraId="7F266658" w14:textId="77777777" w:rsidR="00AC375F" w:rsidRPr="00AC375F" w:rsidRDefault="00AC375F" w:rsidP="00AC375F">
            <w:pPr>
              <w:jc w:val="center"/>
              <w:rPr>
                <w:sz w:val="18"/>
                <w:szCs w:val="18"/>
              </w:rPr>
            </w:pPr>
          </w:p>
        </w:tc>
        <w:tc>
          <w:tcPr>
            <w:tcW w:w="992" w:type="dxa"/>
            <w:shd w:val="clear" w:color="auto" w:fill="auto"/>
            <w:noWrap/>
            <w:vAlign w:val="center"/>
          </w:tcPr>
          <w:p w14:paraId="7F312B23" w14:textId="77777777" w:rsidR="00AC375F" w:rsidRPr="00AC375F" w:rsidRDefault="00AC375F" w:rsidP="00AC375F">
            <w:pPr>
              <w:jc w:val="center"/>
              <w:rPr>
                <w:sz w:val="18"/>
                <w:szCs w:val="18"/>
              </w:rPr>
            </w:pPr>
          </w:p>
        </w:tc>
        <w:tc>
          <w:tcPr>
            <w:tcW w:w="993" w:type="dxa"/>
            <w:shd w:val="clear" w:color="auto" w:fill="auto"/>
            <w:noWrap/>
            <w:vAlign w:val="center"/>
          </w:tcPr>
          <w:p w14:paraId="1C50D095" w14:textId="77777777" w:rsidR="00AC375F" w:rsidRPr="00AC375F" w:rsidRDefault="00AC375F" w:rsidP="00AC375F">
            <w:pPr>
              <w:jc w:val="center"/>
              <w:rPr>
                <w:sz w:val="18"/>
                <w:szCs w:val="18"/>
              </w:rPr>
            </w:pPr>
          </w:p>
        </w:tc>
        <w:tc>
          <w:tcPr>
            <w:tcW w:w="1563" w:type="dxa"/>
            <w:shd w:val="clear" w:color="auto" w:fill="auto"/>
            <w:noWrap/>
            <w:vAlign w:val="center"/>
          </w:tcPr>
          <w:p w14:paraId="635EA923" w14:textId="77777777" w:rsidR="00AC375F" w:rsidRPr="00AC375F" w:rsidRDefault="00AC375F" w:rsidP="00AC375F">
            <w:pPr>
              <w:jc w:val="center"/>
              <w:rPr>
                <w:sz w:val="18"/>
                <w:szCs w:val="18"/>
              </w:rPr>
            </w:pPr>
          </w:p>
        </w:tc>
      </w:tr>
      <w:tr w:rsidR="00AC375F" w:rsidRPr="00AC375F" w14:paraId="6E4F8220" w14:textId="77777777" w:rsidTr="00991955">
        <w:trPr>
          <w:trHeight w:val="237"/>
        </w:trPr>
        <w:tc>
          <w:tcPr>
            <w:tcW w:w="4390" w:type="dxa"/>
            <w:shd w:val="clear" w:color="auto" w:fill="auto"/>
            <w:noWrap/>
            <w:vAlign w:val="center"/>
          </w:tcPr>
          <w:p w14:paraId="2108CEFE" w14:textId="77777777" w:rsidR="00AC375F" w:rsidRPr="00AC375F" w:rsidRDefault="00AC375F" w:rsidP="00AC375F">
            <w:pPr>
              <w:rPr>
                <w:rFonts w:eastAsia="Times New Roman" w:cstheme="minorHAnsi"/>
                <w:b/>
                <w:sz w:val="18"/>
                <w:szCs w:val="18"/>
              </w:rPr>
            </w:pPr>
            <w:r w:rsidRPr="00AC375F">
              <w:rPr>
                <w:rFonts w:eastAsia="Times New Roman" w:cstheme="minorHAnsi"/>
                <w:b/>
                <w:sz w:val="18"/>
                <w:szCs w:val="18"/>
              </w:rPr>
              <w:t>Biostatistics Operational Expert Group (BSOEG)</w:t>
            </w:r>
          </w:p>
        </w:tc>
        <w:tc>
          <w:tcPr>
            <w:tcW w:w="1417" w:type="dxa"/>
            <w:shd w:val="clear" w:color="auto" w:fill="auto"/>
            <w:noWrap/>
            <w:vAlign w:val="center"/>
          </w:tcPr>
          <w:p w14:paraId="69F99913" w14:textId="77777777" w:rsidR="00AC375F" w:rsidRPr="00AC375F" w:rsidRDefault="00AC375F" w:rsidP="00AC375F">
            <w:pPr>
              <w:jc w:val="center"/>
              <w:rPr>
                <w:sz w:val="18"/>
                <w:szCs w:val="18"/>
              </w:rPr>
            </w:pPr>
          </w:p>
        </w:tc>
        <w:tc>
          <w:tcPr>
            <w:tcW w:w="992" w:type="dxa"/>
            <w:shd w:val="clear" w:color="auto" w:fill="auto"/>
            <w:noWrap/>
            <w:vAlign w:val="center"/>
          </w:tcPr>
          <w:p w14:paraId="27724D96" w14:textId="77777777" w:rsidR="00AC375F" w:rsidRPr="00AC375F" w:rsidRDefault="00AC375F" w:rsidP="00AC375F">
            <w:pPr>
              <w:jc w:val="center"/>
              <w:rPr>
                <w:sz w:val="18"/>
                <w:szCs w:val="18"/>
              </w:rPr>
            </w:pPr>
          </w:p>
        </w:tc>
        <w:tc>
          <w:tcPr>
            <w:tcW w:w="993" w:type="dxa"/>
            <w:shd w:val="clear" w:color="auto" w:fill="auto"/>
            <w:noWrap/>
            <w:vAlign w:val="center"/>
          </w:tcPr>
          <w:p w14:paraId="67174B9B" w14:textId="77777777" w:rsidR="00AC375F" w:rsidRPr="00AC375F" w:rsidRDefault="00AC375F" w:rsidP="00AC375F">
            <w:pPr>
              <w:jc w:val="center"/>
              <w:rPr>
                <w:sz w:val="18"/>
                <w:szCs w:val="18"/>
              </w:rPr>
            </w:pPr>
          </w:p>
        </w:tc>
        <w:tc>
          <w:tcPr>
            <w:tcW w:w="1563" w:type="dxa"/>
            <w:shd w:val="clear" w:color="auto" w:fill="auto"/>
            <w:noWrap/>
            <w:vAlign w:val="center"/>
          </w:tcPr>
          <w:p w14:paraId="03BC6A87" w14:textId="77777777" w:rsidR="00AC375F" w:rsidRPr="00AC375F" w:rsidRDefault="00AC375F" w:rsidP="00AC375F">
            <w:pPr>
              <w:jc w:val="center"/>
              <w:rPr>
                <w:sz w:val="18"/>
                <w:szCs w:val="18"/>
              </w:rPr>
            </w:pPr>
          </w:p>
        </w:tc>
      </w:tr>
      <w:tr w:rsidR="00AC375F" w:rsidRPr="00AC375F" w14:paraId="7413A12D" w14:textId="77777777" w:rsidTr="00991955">
        <w:trPr>
          <w:trHeight w:val="237"/>
        </w:trPr>
        <w:tc>
          <w:tcPr>
            <w:tcW w:w="4390" w:type="dxa"/>
            <w:shd w:val="clear" w:color="auto" w:fill="auto"/>
            <w:noWrap/>
            <w:vAlign w:val="center"/>
          </w:tcPr>
          <w:p w14:paraId="7B3FF198" w14:textId="77777777" w:rsidR="00AC375F" w:rsidRPr="00AC375F" w:rsidRDefault="00AC375F" w:rsidP="00AC375F">
            <w:pPr>
              <w:rPr>
                <w:rFonts w:eastAsia="Times New Roman" w:cstheme="minorHAnsi"/>
                <w:b/>
                <w:sz w:val="18"/>
                <w:szCs w:val="18"/>
              </w:rPr>
            </w:pPr>
          </w:p>
        </w:tc>
        <w:tc>
          <w:tcPr>
            <w:tcW w:w="1417" w:type="dxa"/>
            <w:shd w:val="clear" w:color="auto" w:fill="auto"/>
            <w:noWrap/>
            <w:vAlign w:val="center"/>
          </w:tcPr>
          <w:p w14:paraId="5F244AAE"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auto"/>
            <w:noWrap/>
            <w:vAlign w:val="center"/>
          </w:tcPr>
          <w:p w14:paraId="0E51D5CC" w14:textId="77777777" w:rsidR="00AC375F" w:rsidRPr="00AC375F" w:rsidRDefault="00AC375F" w:rsidP="00AC375F">
            <w:pPr>
              <w:jc w:val="center"/>
              <w:rPr>
                <w:sz w:val="18"/>
                <w:szCs w:val="18"/>
              </w:rPr>
            </w:pPr>
            <w:r w:rsidRPr="00AC375F">
              <w:rPr>
                <w:sz w:val="18"/>
                <w:szCs w:val="18"/>
              </w:rPr>
              <w:t>1</w:t>
            </w:r>
          </w:p>
        </w:tc>
        <w:tc>
          <w:tcPr>
            <w:tcW w:w="993" w:type="dxa"/>
            <w:shd w:val="clear" w:color="auto" w:fill="auto"/>
            <w:noWrap/>
            <w:vAlign w:val="center"/>
          </w:tcPr>
          <w:p w14:paraId="7483ABC1" w14:textId="77777777" w:rsidR="00AC375F" w:rsidRPr="00AC375F" w:rsidRDefault="00AC375F" w:rsidP="00AC375F">
            <w:pPr>
              <w:jc w:val="center"/>
              <w:rPr>
                <w:sz w:val="18"/>
                <w:szCs w:val="18"/>
              </w:rPr>
            </w:pPr>
            <w:r w:rsidRPr="00AC375F">
              <w:rPr>
                <w:sz w:val="18"/>
                <w:szCs w:val="18"/>
              </w:rPr>
              <w:t>srpanj</w:t>
            </w:r>
          </w:p>
        </w:tc>
        <w:tc>
          <w:tcPr>
            <w:tcW w:w="1563" w:type="dxa"/>
            <w:shd w:val="clear" w:color="auto" w:fill="auto"/>
            <w:noWrap/>
            <w:vAlign w:val="center"/>
          </w:tcPr>
          <w:p w14:paraId="7A60F13D" w14:textId="77777777" w:rsidR="00AC375F" w:rsidRPr="00AC375F" w:rsidRDefault="00AC375F" w:rsidP="00AC375F">
            <w:pPr>
              <w:jc w:val="center"/>
              <w:rPr>
                <w:sz w:val="18"/>
                <w:szCs w:val="18"/>
              </w:rPr>
            </w:pPr>
            <w:r w:rsidRPr="00AC375F">
              <w:rPr>
                <w:sz w:val="18"/>
                <w:szCs w:val="18"/>
              </w:rPr>
              <w:t>0,2</w:t>
            </w:r>
          </w:p>
        </w:tc>
      </w:tr>
      <w:tr w:rsidR="00AC375F" w:rsidRPr="00AC375F" w14:paraId="38B0E33E" w14:textId="77777777" w:rsidTr="00991955">
        <w:trPr>
          <w:trHeight w:val="237"/>
        </w:trPr>
        <w:tc>
          <w:tcPr>
            <w:tcW w:w="4390" w:type="dxa"/>
            <w:shd w:val="clear" w:color="auto" w:fill="auto"/>
            <w:noWrap/>
            <w:vAlign w:val="center"/>
          </w:tcPr>
          <w:p w14:paraId="301B2A78" w14:textId="77777777" w:rsidR="00AC375F" w:rsidRPr="00AC375F" w:rsidRDefault="00AC375F" w:rsidP="00AC375F">
            <w:pPr>
              <w:rPr>
                <w:rFonts w:eastAsia="Times New Roman" w:cstheme="minorHAnsi"/>
                <w:b/>
                <w:sz w:val="18"/>
                <w:szCs w:val="18"/>
              </w:rPr>
            </w:pPr>
          </w:p>
        </w:tc>
        <w:tc>
          <w:tcPr>
            <w:tcW w:w="1417" w:type="dxa"/>
            <w:shd w:val="clear" w:color="auto" w:fill="auto"/>
            <w:noWrap/>
            <w:vAlign w:val="center"/>
          </w:tcPr>
          <w:p w14:paraId="1D38FF75" w14:textId="77777777" w:rsidR="00AC375F" w:rsidRPr="00AC375F" w:rsidRDefault="00AC375F" w:rsidP="00AC375F">
            <w:pPr>
              <w:jc w:val="center"/>
              <w:rPr>
                <w:sz w:val="18"/>
                <w:szCs w:val="18"/>
              </w:rPr>
            </w:pPr>
            <w:r w:rsidRPr="00AC375F">
              <w:rPr>
                <w:sz w:val="18"/>
                <w:szCs w:val="18"/>
              </w:rPr>
              <w:t xml:space="preserve">virtualno </w:t>
            </w:r>
          </w:p>
        </w:tc>
        <w:tc>
          <w:tcPr>
            <w:tcW w:w="992" w:type="dxa"/>
            <w:shd w:val="clear" w:color="auto" w:fill="auto"/>
            <w:noWrap/>
            <w:vAlign w:val="center"/>
          </w:tcPr>
          <w:p w14:paraId="2EACF862" w14:textId="77777777" w:rsidR="00AC375F" w:rsidRPr="00AC375F" w:rsidRDefault="00AC375F" w:rsidP="00AC375F">
            <w:pPr>
              <w:jc w:val="center"/>
              <w:rPr>
                <w:sz w:val="18"/>
                <w:szCs w:val="18"/>
              </w:rPr>
            </w:pPr>
            <w:r w:rsidRPr="00AC375F">
              <w:rPr>
                <w:sz w:val="18"/>
                <w:szCs w:val="18"/>
              </w:rPr>
              <w:t>1</w:t>
            </w:r>
          </w:p>
        </w:tc>
        <w:tc>
          <w:tcPr>
            <w:tcW w:w="993" w:type="dxa"/>
            <w:shd w:val="clear" w:color="auto" w:fill="auto"/>
            <w:noWrap/>
            <w:vAlign w:val="center"/>
          </w:tcPr>
          <w:p w14:paraId="3CC18904" w14:textId="77777777" w:rsidR="00AC375F" w:rsidRPr="00AC375F" w:rsidRDefault="00AC375F" w:rsidP="00AC375F">
            <w:pPr>
              <w:jc w:val="center"/>
              <w:rPr>
                <w:sz w:val="18"/>
                <w:szCs w:val="18"/>
              </w:rPr>
            </w:pPr>
            <w:r w:rsidRPr="00AC375F">
              <w:rPr>
                <w:sz w:val="18"/>
                <w:szCs w:val="18"/>
              </w:rPr>
              <w:t>srpanj</w:t>
            </w:r>
          </w:p>
        </w:tc>
        <w:tc>
          <w:tcPr>
            <w:tcW w:w="1563" w:type="dxa"/>
            <w:shd w:val="clear" w:color="auto" w:fill="auto"/>
            <w:noWrap/>
            <w:vAlign w:val="center"/>
          </w:tcPr>
          <w:p w14:paraId="67B227E1" w14:textId="77777777" w:rsidR="00AC375F" w:rsidRPr="00AC375F" w:rsidRDefault="00AC375F" w:rsidP="00AC375F">
            <w:pPr>
              <w:jc w:val="center"/>
              <w:rPr>
                <w:sz w:val="18"/>
                <w:szCs w:val="18"/>
              </w:rPr>
            </w:pPr>
            <w:r w:rsidRPr="00AC375F">
              <w:rPr>
                <w:sz w:val="18"/>
                <w:szCs w:val="18"/>
              </w:rPr>
              <w:t>0,2</w:t>
            </w:r>
          </w:p>
        </w:tc>
      </w:tr>
      <w:tr w:rsidR="00AC375F" w:rsidRPr="00AC375F" w14:paraId="5051529A" w14:textId="77777777" w:rsidTr="00991955">
        <w:trPr>
          <w:trHeight w:val="237"/>
        </w:trPr>
        <w:tc>
          <w:tcPr>
            <w:tcW w:w="4390" w:type="dxa"/>
            <w:shd w:val="clear" w:color="auto" w:fill="auto"/>
            <w:noWrap/>
            <w:vAlign w:val="center"/>
          </w:tcPr>
          <w:p w14:paraId="750A88B4" w14:textId="77777777" w:rsidR="00AC375F" w:rsidRPr="00AC375F" w:rsidRDefault="00AC375F" w:rsidP="00AC375F">
            <w:pPr>
              <w:rPr>
                <w:rFonts w:eastAsia="Times New Roman" w:cstheme="minorHAnsi"/>
                <w:b/>
                <w:sz w:val="18"/>
                <w:szCs w:val="18"/>
              </w:rPr>
            </w:pPr>
          </w:p>
        </w:tc>
        <w:tc>
          <w:tcPr>
            <w:tcW w:w="1417" w:type="dxa"/>
            <w:shd w:val="clear" w:color="auto" w:fill="auto"/>
            <w:noWrap/>
            <w:vAlign w:val="center"/>
          </w:tcPr>
          <w:p w14:paraId="302B50A9"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auto"/>
            <w:noWrap/>
            <w:vAlign w:val="center"/>
          </w:tcPr>
          <w:p w14:paraId="08C23332" w14:textId="77777777" w:rsidR="00AC375F" w:rsidRPr="00AC375F" w:rsidRDefault="00AC375F" w:rsidP="00AC375F">
            <w:pPr>
              <w:jc w:val="center"/>
              <w:rPr>
                <w:sz w:val="18"/>
                <w:szCs w:val="18"/>
              </w:rPr>
            </w:pPr>
            <w:r w:rsidRPr="00AC375F">
              <w:rPr>
                <w:sz w:val="18"/>
                <w:szCs w:val="18"/>
              </w:rPr>
              <w:t>1</w:t>
            </w:r>
          </w:p>
        </w:tc>
        <w:tc>
          <w:tcPr>
            <w:tcW w:w="993" w:type="dxa"/>
            <w:shd w:val="clear" w:color="auto" w:fill="auto"/>
            <w:noWrap/>
            <w:vAlign w:val="center"/>
          </w:tcPr>
          <w:p w14:paraId="1D32C9CD" w14:textId="77777777" w:rsidR="00AC375F" w:rsidRPr="00AC375F" w:rsidRDefault="00AC375F" w:rsidP="00AC375F">
            <w:pPr>
              <w:jc w:val="center"/>
              <w:rPr>
                <w:sz w:val="18"/>
                <w:szCs w:val="18"/>
              </w:rPr>
            </w:pPr>
            <w:r w:rsidRPr="00AC375F">
              <w:rPr>
                <w:sz w:val="18"/>
                <w:szCs w:val="18"/>
              </w:rPr>
              <w:t>kolovoz</w:t>
            </w:r>
          </w:p>
        </w:tc>
        <w:tc>
          <w:tcPr>
            <w:tcW w:w="1563" w:type="dxa"/>
            <w:shd w:val="clear" w:color="auto" w:fill="auto"/>
            <w:noWrap/>
            <w:vAlign w:val="center"/>
          </w:tcPr>
          <w:p w14:paraId="40747FA2" w14:textId="77777777" w:rsidR="00AC375F" w:rsidRPr="00AC375F" w:rsidRDefault="00AC375F" w:rsidP="00AC375F">
            <w:pPr>
              <w:jc w:val="center"/>
              <w:rPr>
                <w:sz w:val="18"/>
                <w:szCs w:val="18"/>
              </w:rPr>
            </w:pPr>
            <w:r w:rsidRPr="00AC375F">
              <w:rPr>
                <w:sz w:val="18"/>
                <w:szCs w:val="18"/>
              </w:rPr>
              <w:t>0,2</w:t>
            </w:r>
          </w:p>
        </w:tc>
      </w:tr>
      <w:tr w:rsidR="00AC375F" w:rsidRPr="00AC375F" w14:paraId="6ED8D357" w14:textId="77777777" w:rsidTr="00991955">
        <w:trPr>
          <w:trHeight w:val="237"/>
        </w:trPr>
        <w:tc>
          <w:tcPr>
            <w:tcW w:w="4390" w:type="dxa"/>
            <w:shd w:val="clear" w:color="auto" w:fill="auto"/>
            <w:noWrap/>
            <w:vAlign w:val="center"/>
          </w:tcPr>
          <w:p w14:paraId="5ADAB53C" w14:textId="77777777" w:rsidR="00AC375F" w:rsidRPr="00AC375F" w:rsidRDefault="00AC375F" w:rsidP="00AC375F">
            <w:pPr>
              <w:rPr>
                <w:rFonts w:eastAsia="Times New Roman" w:cstheme="minorHAnsi"/>
                <w:b/>
                <w:sz w:val="18"/>
                <w:szCs w:val="18"/>
              </w:rPr>
            </w:pPr>
          </w:p>
        </w:tc>
        <w:tc>
          <w:tcPr>
            <w:tcW w:w="1417" w:type="dxa"/>
            <w:shd w:val="clear" w:color="auto" w:fill="auto"/>
            <w:noWrap/>
            <w:vAlign w:val="center"/>
          </w:tcPr>
          <w:p w14:paraId="1367B017"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auto"/>
            <w:noWrap/>
            <w:vAlign w:val="center"/>
          </w:tcPr>
          <w:p w14:paraId="0BDB2E69" w14:textId="77777777" w:rsidR="00AC375F" w:rsidRPr="00AC375F" w:rsidRDefault="00AC375F" w:rsidP="00AC375F">
            <w:pPr>
              <w:jc w:val="center"/>
              <w:rPr>
                <w:sz w:val="18"/>
                <w:szCs w:val="18"/>
              </w:rPr>
            </w:pPr>
            <w:r w:rsidRPr="00AC375F">
              <w:rPr>
                <w:sz w:val="18"/>
                <w:szCs w:val="18"/>
              </w:rPr>
              <w:t>1</w:t>
            </w:r>
          </w:p>
        </w:tc>
        <w:tc>
          <w:tcPr>
            <w:tcW w:w="993" w:type="dxa"/>
            <w:shd w:val="clear" w:color="auto" w:fill="auto"/>
            <w:noWrap/>
            <w:vAlign w:val="center"/>
          </w:tcPr>
          <w:p w14:paraId="729033A1" w14:textId="77777777" w:rsidR="00AC375F" w:rsidRPr="00AC375F" w:rsidRDefault="00AC375F" w:rsidP="00AC375F">
            <w:pPr>
              <w:jc w:val="center"/>
              <w:rPr>
                <w:sz w:val="18"/>
                <w:szCs w:val="18"/>
              </w:rPr>
            </w:pPr>
            <w:r w:rsidRPr="00AC375F">
              <w:rPr>
                <w:sz w:val="18"/>
                <w:szCs w:val="18"/>
              </w:rPr>
              <w:t>kolovoz</w:t>
            </w:r>
          </w:p>
        </w:tc>
        <w:tc>
          <w:tcPr>
            <w:tcW w:w="1563" w:type="dxa"/>
            <w:shd w:val="clear" w:color="auto" w:fill="auto"/>
            <w:noWrap/>
            <w:vAlign w:val="center"/>
          </w:tcPr>
          <w:p w14:paraId="21199E40" w14:textId="77777777" w:rsidR="00AC375F" w:rsidRPr="00AC375F" w:rsidRDefault="00AC375F" w:rsidP="00AC375F">
            <w:pPr>
              <w:jc w:val="center"/>
              <w:rPr>
                <w:sz w:val="18"/>
                <w:szCs w:val="18"/>
              </w:rPr>
            </w:pPr>
            <w:r w:rsidRPr="00AC375F">
              <w:rPr>
                <w:sz w:val="18"/>
                <w:szCs w:val="18"/>
              </w:rPr>
              <w:t>0,2</w:t>
            </w:r>
          </w:p>
        </w:tc>
      </w:tr>
      <w:tr w:rsidR="00AC375F" w:rsidRPr="00AC375F" w14:paraId="36A831C5" w14:textId="77777777" w:rsidTr="00991955">
        <w:trPr>
          <w:trHeight w:val="237"/>
        </w:trPr>
        <w:tc>
          <w:tcPr>
            <w:tcW w:w="4390" w:type="dxa"/>
            <w:shd w:val="clear" w:color="auto" w:fill="auto"/>
            <w:noWrap/>
            <w:vAlign w:val="center"/>
          </w:tcPr>
          <w:p w14:paraId="0F30A57F" w14:textId="77777777" w:rsidR="00AC375F" w:rsidRPr="00AC375F" w:rsidRDefault="00AC375F" w:rsidP="00AC375F">
            <w:pPr>
              <w:rPr>
                <w:rFonts w:eastAsia="Times New Roman" w:cstheme="minorHAnsi"/>
                <w:b/>
                <w:sz w:val="18"/>
                <w:szCs w:val="18"/>
              </w:rPr>
            </w:pPr>
          </w:p>
        </w:tc>
        <w:tc>
          <w:tcPr>
            <w:tcW w:w="1417" w:type="dxa"/>
            <w:shd w:val="clear" w:color="auto" w:fill="auto"/>
            <w:noWrap/>
            <w:vAlign w:val="center"/>
          </w:tcPr>
          <w:p w14:paraId="5849BA66" w14:textId="77777777" w:rsidR="00AC375F" w:rsidRPr="00AC375F" w:rsidRDefault="00AC375F" w:rsidP="00AC375F">
            <w:pPr>
              <w:jc w:val="center"/>
              <w:rPr>
                <w:sz w:val="18"/>
                <w:szCs w:val="18"/>
              </w:rPr>
            </w:pPr>
            <w:r w:rsidRPr="00AC375F">
              <w:rPr>
                <w:sz w:val="18"/>
                <w:szCs w:val="18"/>
              </w:rPr>
              <w:t xml:space="preserve">virtualno </w:t>
            </w:r>
          </w:p>
        </w:tc>
        <w:tc>
          <w:tcPr>
            <w:tcW w:w="992" w:type="dxa"/>
            <w:shd w:val="clear" w:color="auto" w:fill="auto"/>
            <w:noWrap/>
            <w:vAlign w:val="center"/>
          </w:tcPr>
          <w:p w14:paraId="1F80BCEA" w14:textId="77777777" w:rsidR="00AC375F" w:rsidRPr="00AC375F" w:rsidRDefault="00AC375F" w:rsidP="00AC375F">
            <w:pPr>
              <w:jc w:val="center"/>
              <w:rPr>
                <w:sz w:val="18"/>
                <w:szCs w:val="18"/>
              </w:rPr>
            </w:pPr>
            <w:r w:rsidRPr="00AC375F">
              <w:rPr>
                <w:sz w:val="18"/>
                <w:szCs w:val="18"/>
              </w:rPr>
              <w:t>1</w:t>
            </w:r>
          </w:p>
        </w:tc>
        <w:tc>
          <w:tcPr>
            <w:tcW w:w="993" w:type="dxa"/>
            <w:shd w:val="clear" w:color="auto" w:fill="auto"/>
            <w:noWrap/>
            <w:vAlign w:val="center"/>
          </w:tcPr>
          <w:p w14:paraId="28DC1907" w14:textId="77777777" w:rsidR="00AC375F" w:rsidRPr="00AC375F" w:rsidRDefault="00AC375F" w:rsidP="00AC375F">
            <w:pPr>
              <w:jc w:val="center"/>
              <w:rPr>
                <w:sz w:val="18"/>
                <w:szCs w:val="18"/>
              </w:rPr>
            </w:pPr>
            <w:r w:rsidRPr="00AC375F">
              <w:rPr>
                <w:sz w:val="18"/>
                <w:szCs w:val="18"/>
              </w:rPr>
              <w:t>rujan</w:t>
            </w:r>
          </w:p>
        </w:tc>
        <w:tc>
          <w:tcPr>
            <w:tcW w:w="1563" w:type="dxa"/>
            <w:shd w:val="clear" w:color="auto" w:fill="auto"/>
            <w:noWrap/>
            <w:vAlign w:val="center"/>
          </w:tcPr>
          <w:p w14:paraId="1EB8E7FA" w14:textId="77777777" w:rsidR="00AC375F" w:rsidRPr="00AC375F" w:rsidRDefault="00AC375F" w:rsidP="00AC375F">
            <w:pPr>
              <w:jc w:val="center"/>
              <w:rPr>
                <w:sz w:val="18"/>
                <w:szCs w:val="18"/>
              </w:rPr>
            </w:pPr>
            <w:r w:rsidRPr="00AC375F">
              <w:rPr>
                <w:sz w:val="18"/>
                <w:szCs w:val="18"/>
              </w:rPr>
              <w:t>0,2</w:t>
            </w:r>
          </w:p>
        </w:tc>
      </w:tr>
      <w:tr w:rsidR="00AC375F" w:rsidRPr="00AC375F" w14:paraId="6A206790" w14:textId="77777777" w:rsidTr="00991955">
        <w:trPr>
          <w:trHeight w:val="237"/>
        </w:trPr>
        <w:tc>
          <w:tcPr>
            <w:tcW w:w="4390" w:type="dxa"/>
            <w:shd w:val="clear" w:color="auto" w:fill="auto"/>
            <w:noWrap/>
            <w:vAlign w:val="center"/>
          </w:tcPr>
          <w:p w14:paraId="6D8A2523" w14:textId="77777777" w:rsidR="00AC375F" w:rsidRPr="00AC375F" w:rsidRDefault="00AC375F" w:rsidP="00AC375F">
            <w:pPr>
              <w:rPr>
                <w:rFonts w:eastAsia="Times New Roman" w:cstheme="minorHAnsi"/>
                <w:b/>
                <w:sz w:val="18"/>
                <w:szCs w:val="18"/>
              </w:rPr>
            </w:pPr>
          </w:p>
        </w:tc>
        <w:tc>
          <w:tcPr>
            <w:tcW w:w="1417" w:type="dxa"/>
            <w:shd w:val="clear" w:color="auto" w:fill="auto"/>
            <w:noWrap/>
            <w:vAlign w:val="center"/>
          </w:tcPr>
          <w:p w14:paraId="67BF8FFF"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auto"/>
            <w:noWrap/>
            <w:vAlign w:val="center"/>
          </w:tcPr>
          <w:p w14:paraId="3B041336" w14:textId="77777777" w:rsidR="00AC375F" w:rsidRPr="00AC375F" w:rsidRDefault="00AC375F" w:rsidP="00AC375F">
            <w:pPr>
              <w:jc w:val="center"/>
              <w:rPr>
                <w:sz w:val="18"/>
                <w:szCs w:val="18"/>
              </w:rPr>
            </w:pPr>
            <w:r w:rsidRPr="00AC375F">
              <w:rPr>
                <w:sz w:val="18"/>
                <w:szCs w:val="18"/>
              </w:rPr>
              <w:t>1</w:t>
            </w:r>
          </w:p>
        </w:tc>
        <w:tc>
          <w:tcPr>
            <w:tcW w:w="993" w:type="dxa"/>
            <w:shd w:val="clear" w:color="auto" w:fill="auto"/>
            <w:noWrap/>
            <w:vAlign w:val="center"/>
          </w:tcPr>
          <w:p w14:paraId="2661D5D6" w14:textId="77777777" w:rsidR="00AC375F" w:rsidRPr="00AC375F" w:rsidRDefault="00AC375F" w:rsidP="00AC375F">
            <w:pPr>
              <w:jc w:val="center"/>
              <w:rPr>
                <w:sz w:val="18"/>
                <w:szCs w:val="18"/>
              </w:rPr>
            </w:pPr>
            <w:r w:rsidRPr="00AC375F">
              <w:rPr>
                <w:sz w:val="18"/>
                <w:szCs w:val="18"/>
              </w:rPr>
              <w:t>rujan</w:t>
            </w:r>
          </w:p>
        </w:tc>
        <w:tc>
          <w:tcPr>
            <w:tcW w:w="1563" w:type="dxa"/>
            <w:shd w:val="clear" w:color="auto" w:fill="auto"/>
            <w:noWrap/>
            <w:vAlign w:val="center"/>
          </w:tcPr>
          <w:p w14:paraId="125536B5" w14:textId="77777777" w:rsidR="00AC375F" w:rsidRPr="00AC375F" w:rsidRDefault="00AC375F" w:rsidP="00AC375F">
            <w:pPr>
              <w:jc w:val="center"/>
              <w:rPr>
                <w:sz w:val="18"/>
                <w:szCs w:val="18"/>
              </w:rPr>
            </w:pPr>
            <w:r w:rsidRPr="00AC375F">
              <w:rPr>
                <w:sz w:val="18"/>
                <w:szCs w:val="18"/>
              </w:rPr>
              <w:t>0,2</w:t>
            </w:r>
          </w:p>
        </w:tc>
      </w:tr>
      <w:tr w:rsidR="00AC375F" w:rsidRPr="00AC375F" w14:paraId="37303315" w14:textId="77777777" w:rsidTr="00991955">
        <w:trPr>
          <w:trHeight w:val="237"/>
        </w:trPr>
        <w:tc>
          <w:tcPr>
            <w:tcW w:w="4390" w:type="dxa"/>
            <w:shd w:val="clear" w:color="auto" w:fill="auto"/>
            <w:noWrap/>
            <w:vAlign w:val="center"/>
          </w:tcPr>
          <w:p w14:paraId="7831E6C9" w14:textId="77777777" w:rsidR="00AC375F" w:rsidRPr="00AC375F" w:rsidRDefault="00AC375F" w:rsidP="00AC375F">
            <w:pPr>
              <w:rPr>
                <w:rFonts w:eastAsia="Times New Roman" w:cstheme="minorHAnsi"/>
                <w:b/>
                <w:sz w:val="18"/>
                <w:szCs w:val="18"/>
              </w:rPr>
            </w:pPr>
          </w:p>
        </w:tc>
        <w:tc>
          <w:tcPr>
            <w:tcW w:w="1417" w:type="dxa"/>
            <w:shd w:val="clear" w:color="auto" w:fill="auto"/>
            <w:noWrap/>
            <w:vAlign w:val="center"/>
          </w:tcPr>
          <w:p w14:paraId="2D6FA74E"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auto"/>
            <w:noWrap/>
            <w:vAlign w:val="center"/>
          </w:tcPr>
          <w:p w14:paraId="2F721F99" w14:textId="77777777" w:rsidR="00AC375F" w:rsidRPr="00AC375F" w:rsidRDefault="00AC375F" w:rsidP="00AC375F">
            <w:pPr>
              <w:jc w:val="center"/>
              <w:rPr>
                <w:sz w:val="18"/>
                <w:szCs w:val="18"/>
              </w:rPr>
            </w:pPr>
            <w:r w:rsidRPr="00AC375F">
              <w:rPr>
                <w:sz w:val="18"/>
                <w:szCs w:val="18"/>
              </w:rPr>
              <w:t>1</w:t>
            </w:r>
          </w:p>
        </w:tc>
        <w:tc>
          <w:tcPr>
            <w:tcW w:w="993" w:type="dxa"/>
            <w:shd w:val="clear" w:color="auto" w:fill="auto"/>
            <w:noWrap/>
            <w:vAlign w:val="center"/>
          </w:tcPr>
          <w:p w14:paraId="4832F644" w14:textId="77777777" w:rsidR="00AC375F" w:rsidRPr="00AC375F" w:rsidRDefault="00AC375F" w:rsidP="00AC375F">
            <w:pPr>
              <w:jc w:val="center"/>
              <w:rPr>
                <w:sz w:val="18"/>
                <w:szCs w:val="18"/>
              </w:rPr>
            </w:pPr>
            <w:r w:rsidRPr="00AC375F">
              <w:rPr>
                <w:sz w:val="18"/>
                <w:szCs w:val="18"/>
              </w:rPr>
              <w:t>rujan</w:t>
            </w:r>
          </w:p>
        </w:tc>
        <w:tc>
          <w:tcPr>
            <w:tcW w:w="1563" w:type="dxa"/>
            <w:shd w:val="clear" w:color="auto" w:fill="auto"/>
            <w:noWrap/>
            <w:vAlign w:val="center"/>
          </w:tcPr>
          <w:p w14:paraId="661E65B1" w14:textId="77777777" w:rsidR="00AC375F" w:rsidRPr="00AC375F" w:rsidRDefault="00AC375F" w:rsidP="00AC375F">
            <w:pPr>
              <w:jc w:val="center"/>
              <w:rPr>
                <w:sz w:val="18"/>
                <w:szCs w:val="18"/>
              </w:rPr>
            </w:pPr>
            <w:r w:rsidRPr="00AC375F">
              <w:rPr>
                <w:sz w:val="18"/>
                <w:szCs w:val="18"/>
              </w:rPr>
              <w:t>0,2</w:t>
            </w:r>
          </w:p>
        </w:tc>
      </w:tr>
      <w:tr w:rsidR="00AC375F" w:rsidRPr="00AC375F" w14:paraId="00DDFABC" w14:textId="77777777" w:rsidTr="00991955">
        <w:trPr>
          <w:trHeight w:val="237"/>
        </w:trPr>
        <w:tc>
          <w:tcPr>
            <w:tcW w:w="4390" w:type="dxa"/>
            <w:shd w:val="clear" w:color="auto" w:fill="auto"/>
            <w:noWrap/>
            <w:vAlign w:val="center"/>
          </w:tcPr>
          <w:p w14:paraId="4F24892A" w14:textId="77777777" w:rsidR="00AC375F" w:rsidRPr="00AC375F" w:rsidRDefault="00AC375F" w:rsidP="00AC375F">
            <w:pPr>
              <w:rPr>
                <w:rFonts w:eastAsia="Times New Roman" w:cstheme="minorHAnsi"/>
                <w:b/>
                <w:sz w:val="18"/>
                <w:szCs w:val="18"/>
              </w:rPr>
            </w:pPr>
          </w:p>
        </w:tc>
        <w:tc>
          <w:tcPr>
            <w:tcW w:w="1417" w:type="dxa"/>
            <w:shd w:val="clear" w:color="auto" w:fill="auto"/>
            <w:noWrap/>
            <w:vAlign w:val="center"/>
          </w:tcPr>
          <w:p w14:paraId="47AEF69C"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auto"/>
            <w:noWrap/>
            <w:vAlign w:val="center"/>
          </w:tcPr>
          <w:p w14:paraId="1E379D29" w14:textId="77777777" w:rsidR="00AC375F" w:rsidRPr="00AC375F" w:rsidRDefault="00AC375F" w:rsidP="00AC375F">
            <w:pPr>
              <w:jc w:val="center"/>
              <w:rPr>
                <w:sz w:val="18"/>
                <w:szCs w:val="18"/>
              </w:rPr>
            </w:pPr>
            <w:r w:rsidRPr="00AC375F">
              <w:rPr>
                <w:sz w:val="18"/>
                <w:szCs w:val="18"/>
              </w:rPr>
              <w:t>1</w:t>
            </w:r>
          </w:p>
        </w:tc>
        <w:tc>
          <w:tcPr>
            <w:tcW w:w="993" w:type="dxa"/>
            <w:shd w:val="clear" w:color="auto" w:fill="auto"/>
            <w:noWrap/>
            <w:vAlign w:val="center"/>
          </w:tcPr>
          <w:p w14:paraId="5694E33E" w14:textId="77777777" w:rsidR="00AC375F" w:rsidRPr="00AC375F" w:rsidRDefault="00AC375F" w:rsidP="00AC375F">
            <w:pPr>
              <w:jc w:val="center"/>
              <w:rPr>
                <w:sz w:val="18"/>
                <w:szCs w:val="18"/>
              </w:rPr>
            </w:pPr>
            <w:r w:rsidRPr="00AC375F">
              <w:rPr>
                <w:sz w:val="18"/>
                <w:szCs w:val="18"/>
              </w:rPr>
              <w:t>listopad</w:t>
            </w:r>
          </w:p>
        </w:tc>
        <w:tc>
          <w:tcPr>
            <w:tcW w:w="1563" w:type="dxa"/>
            <w:shd w:val="clear" w:color="auto" w:fill="auto"/>
            <w:noWrap/>
            <w:vAlign w:val="center"/>
          </w:tcPr>
          <w:p w14:paraId="28DEA7F4" w14:textId="77777777" w:rsidR="00AC375F" w:rsidRPr="00AC375F" w:rsidRDefault="00AC375F" w:rsidP="00AC375F">
            <w:pPr>
              <w:jc w:val="center"/>
              <w:rPr>
                <w:sz w:val="18"/>
                <w:szCs w:val="18"/>
              </w:rPr>
            </w:pPr>
            <w:r w:rsidRPr="00AC375F">
              <w:rPr>
                <w:sz w:val="18"/>
                <w:szCs w:val="18"/>
              </w:rPr>
              <w:t>0,2</w:t>
            </w:r>
          </w:p>
        </w:tc>
      </w:tr>
      <w:tr w:rsidR="00AC375F" w:rsidRPr="00AC375F" w14:paraId="348A0924" w14:textId="77777777" w:rsidTr="00991955">
        <w:trPr>
          <w:trHeight w:val="237"/>
        </w:trPr>
        <w:tc>
          <w:tcPr>
            <w:tcW w:w="4390" w:type="dxa"/>
            <w:shd w:val="clear" w:color="auto" w:fill="auto"/>
            <w:noWrap/>
            <w:vAlign w:val="center"/>
          </w:tcPr>
          <w:p w14:paraId="5EE8AF86" w14:textId="77777777" w:rsidR="00AC375F" w:rsidRPr="00AC375F" w:rsidRDefault="00AC375F" w:rsidP="00AC375F">
            <w:pPr>
              <w:rPr>
                <w:rFonts w:eastAsia="Times New Roman" w:cstheme="minorHAnsi"/>
                <w:b/>
                <w:sz w:val="18"/>
                <w:szCs w:val="18"/>
              </w:rPr>
            </w:pPr>
          </w:p>
        </w:tc>
        <w:tc>
          <w:tcPr>
            <w:tcW w:w="1417" w:type="dxa"/>
            <w:shd w:val="clear" w:color="auto" w:fill="auto"/>
            <w:noWrap/>
            <w:vAlign w:val="center"/>
          </w:tcPr>
          <w:p w14:paraId="1FA28E7C"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auto"/>
            <w:noWrap/>
            <w:vAlign w:val="center"/>
          </w:tcPr>
          <w:p w14:paraId="3A40F214" w14:textId="77777777" w:rsidR="00AC375F" w:rsidRPr="00AC375F" w:rsidRDefault="00AC375F" w:rsidP="00AC375F">
            <w:pPr>
              <w:jc w:val="center"/>
              <w:rPr>
                <w:sz w:val="18"/>
                <w:szCs w:val="18"/>
              </w:rPr>
            </w:pPr>
            <w:r w:rsidRPr="00AC375F">
              <w:rPr>
                <w:sz w:val="18"/>
                <w:szCs w:val="18"/>
              </w:rPr>
              <w:t>1</w:t>
            </w:r>
          </w:p>
        </w:tc>
        <w:tc>
          <w:tcPr>
            <w:tcW w:w="993" w:type="dxa"/>
            <w:shd w:val="clear" w:color="auto" w:fill="auto"/>
            <w:noWrap/>
            <w:vAlign w:val="center"/>
          </w:tcPr>
          <w:p w14:paraId="6893CA98" w14:textId="77777777" w:rsidR="00AC375F" w:rsidRPr="00AC375F" w:rsidRDefault="00AC375F" w:rsidP="00AC375F">
            <w:pPr>
              <w:jc w:val="center"/>
              <w:rPr>
                <w:sz w:val="18"/>
                <w:szCs w:val="18"/>
              </w:rPr>
            </w:pPr>
            <w:r w:rsidRPr="00AC375F">
              <w:rPr>
                <w:sz w:val="18"/>
                <w:szCs w:val="18"/>
              </w:rPr>
              <w:t>listopad</w:t>
            </w:r>
          </w:p>
        </w:tc>
        <w:tc>
          <w:tcPr>
            <w:tcW w:w="1563" w:type="dxa"/>
            <w:shd w:val="clear" w:color="auto" w:fill="auto"/>
            <w:noWrap/>
            <w:vAlign w:val="center"/>
          </w:tcPr>
          <w:p w14:paraId="08D0278D" w14:textId="77777777" w:rsidR="00AC375F" w:rsidRPr="00AC375F" w:rsidRDefault="00AC375F" w:rsidP="00AC375F">
            <w:pPr>
              <w:jc w:val="center"/>
              <w:rPr>
                <w:sz w:val="18"/>
                <w:szCs w:val="18"/>
              </w:rPr>
            </w:pPr>
            <w:r w:rsidRPr="00AC375F">
              <w:rPr>
                <w:sz w:val="18"/>
                <w:szCs w:val="18"/>
              </w:rPr>
              <w:t>0,2</w:t>
            </w:r>
          </w:p>
        </w:tc>
      </w:tr>
      <w:tr w:rsidR="00AC375F" w:rsidRPr="00AC375F" w14:paraId="7D46E40E" w14:textId="77777777" w:rsidTr="00991955">
        <w:trPr>
          <w:trHeight w:val="237"/>
        </w:trPr>
        <w:tc>
          <w:tcPr>
            <w:tcW w:w="4390" w:type="dxa"/>
            <w:shd w:val="clear" w:color="auto" w:fill="auto"/>
            <w:noWrap/>
            <w:vAlign w:val="center"/>
          </w:tcPr>
          <w:p w14:paraId="2E8D7768" w14:textId="77777777" w:rsidR="00AC375F" w:rsidRPr="00AC375F" w:rsidRDefault="00AC375F" w:rsidP="00AC375F">
            <w:pPr>
              <w:rPr>
                <w:rFonts w:eastAsia="Times New Roman" w:cstheme="minorHAnsi"/>
                <w:b/>
                <w:sz w:val="18"/>
                <w:szCs w:val="18"/>
              </w:rPr>
            </w:pPr>
          </w:p>
        </w:tc>
        <w:tc>
          <w:tcPr>
            <w:tcW w:w="1417" w:type="dxa"/>
            <w:shd w:val="clear" w:color="auto" w:fill="auto"/>
            <w:noWrap/>
            <w:vAlign w:val="center"/>
          </w:tcPr>
          <w:p w14:paraId="042A95A5"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auto"/>
            <w:noWrap/>
            <w:vAlign w:val="center"/>
          </w:tcPr>
          <w:p w14:paraId="70BB8BA4" w14:textId="77777777" w:rsidR="00AC375F" w:rsidRPr="00AC375F" w:rsidRDefault="00AC375F" w:rsidP="00AC375F">
            <w:pPr>
              <w:jc w:val="center"/>
              <w:rPr>
                <w:sz w:val="18"/>
                <w:szCs w:val="18"/>
              </w:rPr>
            </w:pPr>
            <w:r w:rsidRPr="00AC375F">
              <w:rPr>
                <w:sz w:val="18"/>
                <w:szCs w:val="18"/>
              </w:rPr>
              <w:t>1</w:t>
            </w:r>
          </w:p>
        </w:tc>
        <w:tc>
          <w:tcPr>
            <w:tcW w:w="993" w:type="dxa"/>
            <w:shd w:val="clear" w:color="auto" w:fill="auto"/>
            <w:noWrap/>
            <w:vAlign w:val="center"/>
          </w:tcPr>
          <w:p w14:paraId="65E91553" w14:textId="77777777" w:rsidR="00AC375F" w:rsidRPr="00AC375F" w:rsidRDefault="00AC375F" w:rsidP="00AC375F">
            <w:pPr>
              <w:jc w:val="center"/>
              <w:rPr>
                <w:sz w:val="18"/>
                <w:szCs w:val="18"/>
              </w:rPr>
            </w:pPr>
            <w:r w:rsidRPr="00AC375F">
              <w:rPr>
                <w:sz w:val="18"/>
                <w:szCs w:val="18"/>
              </w:rPr>
              <w:t>studeni</w:t>
            </w:r>
          </w:p>
        </w:tc>
        <w:tc>
          <w:tcPr>
            <w:tcW w:w="1563" w:type="dxa"/>
            <w:shd w:val="clear" w:color="auto" w:fill="auto"/>
            <w:noWrap/>
            <w:vAlign w:val="center"/>
          </w:tcPr>
          <w:p w14:paraId="39E41002" w14:textId="77777777" w:rsidR="00AC375F" w:rsidRPr="00AC375F" w:rsidRDefault="00AC375F" w:rsidP="00AC375F">
            <w:pPr>
              <w:jc w:val="center"/>
              <w:rPr>
                <w:sz w:val="18"/>
                <w:szCs w:val="18"/>
              </w:rPr>
            </w:pPr>
            <w:r w:rsidRPr="00AC375F">
              <w:rPr>
                <w:sz w:val="18"/>
                <w:szCs w:val="18"/>
              </w:rPr>
              <w:t>0,2</w:t>
            </w:r>
          </w:p>
        </w:tc>
      </w:tr>
      <w:tr w:rsidR="00AC375F" w:rsidRPr="00AC375F" w14:paraId="57943167" w14:textId="77777777" w:rsidTr="00991955">
        <w:trPr>
          <w:trHeight w:val="237"/>
        </w:trPr>
        <w:tc>
          <w:tcPr>
            <w:tcW w:w="4390" w:type="dxa"/>
            <w:shd w:val="clear" w:color="auto" w:fill="auto"/>
            <w:noWrap/>
            <w:vAlign w:val="center"/>
          </w:tcPr>
          <w:p w14:paraId="23A7EA4B" w14:textId="77777777" w:rsidR="00AC375F" w:rsidRPr="00AC375F" w:rsidRDefault="00AC375F" w:rsidP="00AC375F">
            <w:pPr>
              <w:rPr>
                <w:rFonts w:eastAsia="Times New Roman" w:cstheme="minorHAnsi"/>
                <w:b/>
                <w:sz w:val="18"/>
                <w:szCs w:val="18"/>
              </w:rPr>
            </w:pPr>
          </w:p>
        </w:tc>
        <w:tc>
          <w:tcPr>
            <w:tcW w:w="1417" w:type="dxa"/>
            <w:shd w:val="clear" w:color="auto" w:fill="auto"/>
            <w:noWrap/>
            <w:vAlign w:val="center"/>
          </w:tcPr>
          <w:p w14:paraId="7BD406CD"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auto"/>
            <w:noWrap/>
            <w:vAlign w:val="center"/>
          </w:tcPr>
          <w:p w14:paraId="1015D239" w14:textId="77777777" w:rsidR="00AC375F" w:rsidRPr="00AC375F" w:rsidRDefault="00AC375F" w:rsidP="00AC375F">
            <w:pPr>
              <w:jc w:val="center"/>
              <w:rPr>
                <w:sz w:val="18"/>
                <w:szCs w:val="18"/>
              </w:rPr>
            </w:pPr>
            <w:r w:rsidRPr="00AC375F">
              <w:rPr>
                <w:sz w:val="18"/>
                <w:szCs w:val="18"/>
              </w:rPr>
              <w:t>1</w:t>
            </w:r>
          </w:p>
        </w:tc>
        <w:tc>
          <w:tcPr>
            <w:tcW w:w="993" w:type="dxa"/>
            <w:shd w:val="clear" w:color="auto" w:fill="auto"/>
            <w:noWrap/>
            <w:vAlign w:val="center"/>
          </w:tcPr>
          <w:p w14:paraId="302E8FFA" w14:textId="77777777" w:rsidR="00AC375F" w:rsidRPr="00AC375F" w:rsidRDefault="00AC375F" w:rsidP="00AC375F">
            <w:pPr>
              <w:jc w:val="center"/>
              <w:rPr>
                <w:sz w:val="18"/>
                <w:szCs w:val="18"/>
              </w:rPr>
            </w:pPr>
            <w:r w:rsidRPr="00AC375F">
              <w:rPr>
                <w:sz w:val="18"/>
                <w:szCs w:val="18"/>
              </w:rPr>
              <w:t>studeni</w:t>
            </w:r>
          </w:p>
        </w:tc>
        <w:tc>
          <w:tcPr>
            <w:tcW w:w="1563" w:type="dxa"/>
            <w:shd w:val="clear" w:color="auto" w:fill="auto"/>
            <w:noWrap/>
            <w:vAlign w:val="center"/>
          </w:tcPr>
          <w:p w14:paraId="0556374D" w14:textId="77777777" w:rsidR="00AC375F" w:rsidRPr="00AC375F" w:rsidRDefault="00AC375F" w:rsidP="00AC375F">
            <w:pPr>
              <w:jc w:val="center"/>
              <w:rPr>
                <w:sz w:val="18"/>
                <w:szCs w:val="18"/>
              </w:rPr>
            </w:pPr>
            <w:r w:rsidRPr="00AC375F">
              <w:rPr>
                <w:sz w:val="18"/>
                <w:szCs w:val="18"/>
              </w:rPr>
              <w:t>0,2</w:t>
            </w:r>
          </w:p>
        </w:tc>
      </w:tr>
      <w:tr w:rsidR="00AC375F" w:rsidRPr="00AC375F" w14:paraId="7096BD28" w14:textId="77777777" w:rsidTr="00991955">
        <w:trPr>
          <w:trHeight w:val="237"/>
        </w:trPr>
        <w:tc>
          <w:tcPr>
            <w:tcW w:w="4390" w:type="dxa"/>
            <w:shd w:val="clear" w:color="auto" w:fill="auto"/>
            <w:noWrap/>
            <w:vAlign w:val="center"/>
          </w:tcPr>
          <w:p w14:paraId="6B38319A" w14:textId="77777777" w:rsidR="00AC375F" w:rsidRPr="00AC375F" w:rsidRDefault="00AC375F" w:rsidP="00AC375F">
            <w:pPr>
              <w:rPr>
                <w:rFonts w:eastAsia="Times New Roman" w:cstheme="minorHAnsi"/>
                <w:b/>
                <w:sz w:val="18"/>
                <w:szCs w:val="18"/>
              </w:rPr>
            </w:pPr>
          </w:p>
        </w:tc>
        <w:tc>
          <w:tcPr>
            <w:tcW w:w="1417" w:type="dxa"/>
            <w:shd w:val="clear" w:color="auto" w:fill="auto"/>
            <w:noWrap/>
            <w:vAlign w:val="center"/>
          </w:tcPr>
          <w:p w14:paraId="65D3E471"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auto"/>
            <w:noWrap/>
            <w:vAlign w:val="center"/>
          </w:tcPr>
          <w:p w14:paraId="0CEFBADD" w14:textId="77777777" w:rsidR="00AC375F" w:rsidRPr="00AC375F" w:rsidRDefault="00AC375F" w:rsidP="00AC375F">
            <w:pPr>
              <w:jc w:val="center"/>
              <w:rPr>
                <w:sz w:val="18"/>
                <w:szCs w:val="18"/>
              </w:rPr>
            </w:pPr>
            <w:r w:rsidRPr="00AC375F">
              <w:rPr>
                <w:sz w:val="18"/>
                <w:szCs w:val="18"/>
              </w:rPr>
              <w:t>1</w:t>
            </w:r>
          </w:p>
        </w:tc>
        <w:tc>
          <w:tcPr>
            <w:tcW w:w="993" w:type="dxa"/>
            <w:shd w:val="clear" w:color="auto" w:fill="auto"/>
            <w:noWrap/>
            <w:vAlign w:val="center"/>
          </w:tcPr>
          <w:p w14:paraId="63E074C5" w14:textId="77777777" w:rsidR="00AC375F" w:rsidRPr="00AC375F" w:rsidRDefault="00AC375F" w:rsidP="00AC375F">
            <w:pPr>
              <w:jc w:val="center"/>
              <w:rPr>
                <w:sz w:val="18"/>
                <w:szCs w:val="18"/>
              </w:rPr>
            </w:pPr>
            <w:r w:rsidRPr="00AC375F">
              <w:rPr>
                <w:sz w:val="18"/>
                <w:szCs w:val="18"/>
              </w:rPr>
              <w:t>prosinac</w:t>
            </w:r>
          </w:p>
        </w:tc>
        <w:tc>
          <w:tcPr>
            <w:tcW w:w="1563" w:type="dxa"/>
            <w:shd w:val="clear" w:color="auto" w:fill="auto"/>
            <w:noWrap/>
            <w:vAlign w:val="center"/>
          </w:tcPr>
          <w:p w14:paraId="34EC8428" w14:textId="77777777" w:rsidR="00AC375F" w:rsidRPr="00AC375F" w:rsidRDefault="00AC375F" w:rsidP="00AC375F">
            <w:pPr>
              <w:jc w:val="center"/>
              <w:rPr>
                <w:sz w:val="18"/>
                <w:szCs w:val="18"/>
              </w:rPr>
            </w:pPr>
            <w:r w:rsidRPr="00AC375F">
              <w:rPr>
                <w:sz w:val="18"/>
                <w:szCs w:val="18"/>
              </w:rPr>
              <w:t>0,2</w:t>
            </w:r>
          </w:p>
        </w:tc>
      </w:tr>
      <w:tr w:rsidR="00AC375F" w:rsidRPr="00AC375F" w14:paraId="5BAE7951" w14:textId="77777777" w:rsidTr="00991955">
        <w:trPr>
          <w:trHeight w:val="237"/>
        </w:trPr>
        <w:tc>
          <w:tcPr>
            <w:tcW w:w="4390" w:type="dxa"/>
            <w:shd w:val="clear" w:color="auto" w:fill="auto"/>
            <w:noWrap/>
            <w:vAlign w:val="center"/>
          </w:tcPr>
          <w:p w14:paraId="61E3A46F" w14:textId="77777777" w:rsidR="00AC375F" w:rsidRPr="00AC375F" w:rsidRDefault="00AC375F" w:rsidP="00AC375F">
            <w:pPr>
              <w:rPr>
                <w:rFonts w:eastAsia="Times New Roman" w:cstheme="minorHAnsi"/>
                <w:b/>
                <w:sz w:val="18"/>
                <w:szCs w:val="18"/>
              </w:rPr>
            </w:pPr>
          </w:p>
        </w:tc>
        <w:tc>
          <w:tcPr>
            <w:tcW w:w="1417" w:type="dxa"/>
            <w:shd w:val="clear" w:color="auto" w:fill="auto"/>
            <w:noWrap/>
            <w:vAlign w:val="center"/>
          </w:tcPr>
          <w:p w14:paraId="75282EBB" w14:textId="77777777" w:rsidR="00AC375F" w:rsidRPr="00AC375F" w:rsidRDefault="00AC375F" w:rsidP="00AC375F">
            <w:pPr>
              <w:jc w:val="center"/>
              <w:rPr>
                <w:sz w:val="18"/>
                <w:szCs w:val="18"/>
              </w:rPr>
            </w:pPr>
          </w:p>
        </w:tc>
        <w:tc>
          <w:tcPr>
            <w:tcW w:w="992" w:type="dxa"/>
            <w:shd w:val="clear" w:color="auto" w:fill="auto"/>
            <w:noWrap/>
            <w:vAlign w:val="center"/>
          </w:tcPr>
          <w:p w14:paraId="2195B82B" w14:textId="77777777" w:rsidR="00AC375F" w:rsidRPr="00AC375F" w:rsidRDefault="00AC375F" w:rsidP="00AC375F">
            <w:pPr>
              <w:jc w:val="center"/>
              <w:rPr>
                <w:sz w:val="18"/>
                <w:szCs w:val="18"/>
              </w:rPr>
            </w:pPr>
          </w:p>
        </w:tc>
        <w:tc>
          <w:tcPr>
            <w:tcW w:w="993" w:type="dxa"/>
            <w:shd w:val="clear" w:color="auto" w:fill="auto"/>
            <w:noWrap/>
            <w:vAlign w:val="center"/>
          </w:tcPr>
          <w:p w14:paraId="07C70365" w14:textId="77777777" w:rsidR="00AC375F" w:rsidRPr="00AC375F" w:rsidRDefault="00AC375F" w:rsidP="00AC375F">
            <w:pPr>
              <w:jc w:val="center"/>
              <w:rPr>
                <w:sz w:val="18"/>
                <w:szCs w:val="18"/>
              </w:rPr>
            </w:pPr>
          </w:p>
        </w:tc>
        <w:tc>
          <w:tcPr>
            <w:tcW w:w="1563" w:type="dxa"/>
            <w:shd w:val="clear" w:color="auto" w:fill="auto"/>
            <w:noWrap/>
            <w:vAlign w:val="center"/>
          </w:tcPr>
          <w:p w14:paraId="78D9EEE3" w14:textId="77777777" w:rsidR="00AC375F" w:rsidRPr="00AC375F" w:rsidRDefault="00AC375F" w:rsidP="00AC375F">
            <w:pPr>
              <w:jc w:val="center"/>
              <w:rPr>
                <w:sz w:val="18"/>
                <w:szCs w:val="18"/>
              </w:rPr>
            </w:pPr>
          </w:p>
        </w:tc>
      </w:tr>
      <w:tr w:rsidR="00AC375F" w:rsidRPr="00AC375F" w14:paraId="034FB326" w14:textId="77777777" w:rsidTr="00991955">
        <w:trPr>
          <w:trHeight w:val="237"/>
        </w:trPr>
        <w:tc>
          <w:tcPr>
            <w:tcW w:w="4390" w:type="dxa"/>
            <w:shd w:val="clear" w:color="auto" w:fill="auto"/>
            <w:noWrap/>
            <w:vAlign w:val="center"/>
          </w:tcPr>
          <w:p w14:paraId="4F710632" w14:textId="77777777" w:rsidR="00AC375F" w:rsidRPr="00AC375F" w:rsidRDefault="00AC375F" w:rsidP="00AC375F">
            <w:pPr>
              <w:rPr>
                <w:rFonts w:eastAsia="Times New Roman" w:cstheme="minorHAnsi"/>
                <w:b/>
                <w:sz w:val="18"/>
                <w:szCs w:val="18"/>
              </w:rPr>
            </w:pPr>
            <w:r w:rsidRPr="00AC375F">
              <w:rPr>
                <w:rFonts w:eastAsia="Times New Roman" w:cstheme="minorHAnsi"/>
                <w:b/>
                <w:sz w:val="18"/>
                <w:szCs w:val="18"/>
              </w:rPr>
              <w:t xml:space="preserve">Generics drafting group (ex. Pharmacokinetic Working Party) </w:t>
            </w:r>
          </w:p>
        </w:tc>
        <w:tc>
          <w:tcPr>
            <w:tcW w:w="1417" w:type="dxa"/>
            <w:shd w:val="clear" w:color="auto" w:fill="auto"/>
            <w:noWrap/>
            <w:vAlign w:val="center"/>
          </w:tcPr>
          <w:p w14:paraId="3E0789FA" w14:textId="77777777" w:rsidR="00AC375F" w:rsidRPr="00AC375F" w:rsidRDefault="00AC375F" w:rsidP="00AC375F">
            <w:pPr>
              <w:jc w:val="center"/>
              <w:rPr>
                <w:sz w:val="18"/>
                <w:szCs w:val="18"/>
              </w:rPr>
            </w:pPr>
            <w:r w:rsidRPr="00AC375F">
              <w:rPr>
                <w:sz w:val="18"/>
                <w:szCs w:val="18"/>
              </w:rPr>
              <w:t xml:space="preserve">virtualno </w:t>
            </w:r>
          </w:p>
        </w:tc>
        <w:tc>
          <w:tcPr>
            <w:tcW w:w="992" w:type="dxa"/>
            <w:shd w:val="clear" w:color="auto" w:fill="auto"/>
            <w:noWrap/>
            <w:vAlign w:val="center"/>
          </w:tcPr>
          <w:p w14:paraId="4244FF2E" w14:textId="77777777" w:rsidR="00AC375F" w:rsidRPr="00AC375F" w:rsidRDefault="00AC375F" w:rsidP="00AC375F">
            <w:pPr>
              <w:jc w:val="center"/>
              <w:rPr>
                <w:sz w:val="18"/>
                <w:szCs w:val="18"/>
              </w:rPr>
            </w:pPr>
            <w:r w:rsidRPr="00AC375F">
              <w:rPr>
                <w:sz w:val="18"/>
                <w:szCs w:val="18"/>
              </w:rPr>
              <w:t>1</w:t>
            </w:r>
          </w:p>
        </w:tc>
        <w:tc>
          <w:tcPr>
            <w:tcW w:w="993" w:type="dxa"/>
            <w:shd w:val="clear" w:color="auto" w:fill="auto"/>
            <w:noWrap/>
            <w:vAlign w:val="center"/>
          </w:tcPr>
          <w:p w14:paraId="6BFE6CDD" w14:textId="77777777" w:rsidR="00AC375F" w:rsidRPr="00AC375F" w:rsidRDefault="00AC375F" w:rsidP="00AC375F">
            <w:pPr>
              <w:jc w:val="center"/>
              <w:rPr>
                <w:sz w:val="18"/>
                <w:szCs w:val="18"/>
              </w:rPr>
            </w:pPr>
            <w:r w:rsidRPr="00AC375F">
              <w:rPr>
                <w:sz w:val="18"/>
                <w:szCs w:val="18"/>
              </w:rPr>
              <w:t xml:space="preserve">siječanj </w:t>
            </w:r>
          </w:p>
        </w:tc>
        <w:tc>
          <w:tcPr>
            <w:tcW w:w="1563" w:type="dxa"/>
            <w:shd w:val="clear" w:color="auto" w:fill="auto"/>
            <w:noWrap/>
            <w:vAlign w:val="center"/>
          </w:tcPr>
          <w:p w14:paraId="1AA33C5E" w14:textId="77777777" w:rsidR="00AC375F" w:rsidRPr="00AC375F" w:rsidRDefault="00AC375F" w:rsidP="00AC375F">
            <w:pPr>
              <w:jc w:val="center"/>
              <w:rPr>
                <w:sz w:val="18"/>
                <w:szCs w:val="18"/>
              </w:rPr>
            </w:pPr>
            <w:r w:rsidRPr="00AC375F">
              <w:rPr>
                <w:sz w:val="18"/>
                <w:szCs w:val="18"/>
              </w:rPr>
              <w:t>0,25</w:t>
            </w:r>
          </w:p>
        </w:tc>
      </w:tr>
      <w:tr w:rsidR="00AC375F" w:rsidRPr="00AC375F" w14:paraId="46BE8FFA" w14:textId="77777777" w:rsidTr="00991955">
        <w:trPr>
          <w:trHeight w:val="237"/>
        </w:trPr>
        <w:tc>
          <w:tcPr>
            <w:tcW w:w="4390" w:type="dxa"/>
            <w:shd w:val="clear" w:color="auto" w:fill="auto"/>
            <w:noWrap/>
            <w:vAlign w:val="center"/>
          </w:tcPr>
          <w:p w14:paraId="239879D8" w14:textId="77777777" w:rsidR="00AC375F" w:rsidRPr="00AC375F" w:rsidRDefault="00AC375F" w:rsidP="00AC375F">
            <w:pPr>
              <w:rPr>
                <w:b/>
                <w:bCs/>
                <w:sz w:val="18"/>
                <w:szCs w:val="18"/>
                <w:highlight w:val="green"/>
              </w:rPr>
            </w:pPr>
          </w:p>
        </w:tc>
        <w:tc>
          <w:tcPr>
            <w:tcW w:w="1417" w:type="dxa"/>
            <w:shd w:val="clear" w:color="auto" w:fill="auto"/>
            <w:noWrap/>
            <w:vAlign w:val="center"/>
          </w:tcPr>
          <w:p w14:paraId="2B87206D"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auto"/>
            <w:noWrap/>
            <w:vAlign w:val="center"/>
          </w:tcPr>
          <w:p w14:paraId="79F3AE9D" w14:textId="77777777" w:rsidR="00AC375F" w:rsidRPr="00AC375F" w:rsidRDefault="00AC375F" w:rsidP="00AC375F">
            <w:pPr>
              <w:jc w:val="center"/>
              <w:rPr>
                <w:sz w:val="18"/>
                <w:szCs w:val="18"/>
              </w:rPr>
            </w:pPr>
            <w:r w:rsidRPr="00AC375F">
              <w:rPr>
                <w:sz w:val="18"/>
                <w:szCs w:val="18"/>
              </w:rPr>
              <w:t>1</w:t>
            </w:r>
          </w:p>
        </w:tc>
        <w:tc>
          <w:tcPr>
            <w:tcW w:w="993" w:type="dxa"/>
            <w:shd w:val="clear" w:color="auto" w:fill="auto"/>
            <w:noWrap/>
            <w:vAlign w:val="center"/>
          </w:tcPr>
          <w:p w14:paraId="147EC602" w14:textId="77777777" w:rsidR="00AC375F" w:rsidRPr="00AC375F" w:rsidRDefault="00AC375F" w:rsidP="00AC375F">
            <w:pPr>
              <w:jc w:val="center"/>
              <w:rPr>
                <w:sz w:val="18"/>
                <w:szCs w:val="18"/>
              </w:rPr>
            </w:pPr>
            <w:r w:rsidRPr="00AC375F">
              <w:rPr>
                <w:sz w:val="18"/>
                <w:szCs w:val="18"/>
              </w:rPr>
              <w:t>ožujak</w:t>
            </w:r>
          </w:p>
        </w:tc>
        <w:tc>
          <w:tcPr>
            <w:tcW w:w="1563" w:type="dxa"/>
            <w:shd w:val="clear" w:color="auto" w:fill="auto"/>
            <w:noWrap/>
            <w:vAlign w:val="center"/>
          </w:tcPr>
          <w:p w14:paraId="5E7EEFB3" w14:textId="77777777" w:rsidR="00AC375F" w:rsidRPr="00AC375F" w:rsidRDefault="00AC375F" w:rsidP="00AC375F">
            <w:pPr>
              <w:jc w:val="center"/>
              <w:rPr>
                <w:sz w:val="18"/>
                <w:szCs w:val="18"/>
              </w:rPr>
            </w:pPr>
            <w:r w:rsidRPr="00AC375F">
              <w:rPr>
                <w:sz w:val="18"/>
                <w:szCs w:val="18"/>
              </w:rPr>
              <w:t>0,25</w:t>
            </w:r>
          </w:p>
        </w:tc>
      </w:tr>
      <w:tr w:rsidR="00AC375F" w:rsidRPr="00AC375F" w14:paraId="11154623" w14:textId="77777777" w:rsidTr="00991955">
        <w:trPr>
          <w:trHeight w:val="237"/>
        </w:trPr>
        <w:tc>
          <w:tcPr>
            <w:tcW w:w="4390" w:type="dxa"/>
            <w:shd w:val="clear" w:color="auto" w:fill="auto"/>
            <w:noWrap/>
            <w:vAlign w:val="center"/>
          </w:tcPr>
          <w:p w14:paraId="17A63D85" w14:textId="77777777" w:rsidR="00AC375F" w:rsidRPr="00AC375F" w:rsidRDefault="00AC375F" w:rsidP="00AC375F">
            <w:pPr>
              <w:rPr>
                <w:b/>
                <w:bCs/>
                <w:sz w:val="18"/>
                <w:szCs w:val="18"/>
                <w:highlight w:val="green"/>
              </w:rPr>
            </w:pPr>
          </w:p>
        </w:tc>
        <w:tc>
          <w:tcPr>
            <w:tcW w:w="1417" w:type="dxa"/>
            <w:shd w:val="clear" w:color="auto" w:fill="auto"/>
            <w:noWrap/>
            <w:vAlign w:val="center"/>
          </w:tcPr>
          <w:p w14:paraId="5F92C6AB" w14:textId="77777777" w:rsidR="00AC375F" w:rsidRPr="00AC375F" w:rsidRDefault="00AC375F" w:rsidP="00AC375F">
            <w:pPr>
              <w:jc w:val="center"/>
              <w:rPr>
                <w:sz w:val="18"/>
                <w:szCs w:val="18"/>
              </w:rPr>
            </w:pPr>
            <w:r w:rsidRPr="00AC375F">
              <w:rPr>
                <w:sz w:val="18"/>
                <w:szCs w:val="18"/>
              </w:rPr>
              <w:t xml:space="preserve">virtualno </w:t>
            </w:r>
          </w:p>
        </w:tc>
        <w:tc>
          <w:tcPr>
            <w:tcW w:w="992" w:type="dxa"/>
            <w:shd w:val="clear" w:color="auto" w:fill="auto"/>
            <w:noWrap/>
            <w:vAlign w:val="center"/>
          </w:tcPr>
          <w:p w14:paraId="1CDC8689" w14:textId="77777777" w:rsidR="00AC375F" w:rsidRPr="00AC375F" w:rsidRDefault="00AC375F" w:rsidP="00AC375F">
            <w:pPr>
              <w:jc w:val="center"/>
              <w:rPr>
                <w:sz w:val="18"/>
                <w:szCs w:val="18"/>
              </w:rPr>
            </w:pPr>
            <w:r w:rsidRPr="00AC375F">
              <w:rPr>
                <w:sz w:val="18"/>
                <w:szCs w:val="18"/>
              </w:rPr>
              <w:t>1</w:t>
            </w:r>
          </w:p>
        </w:tc>
        <w:tc>
          <w:tcPr>
            <w:tcW w:w="993" w:type="dxa"/>
            <w:shd w:val="clear" w:color="auto" w:fill="auto"/>
            <w:noWrap/>
            <w:vAlign w:val="center"/>
          </w:tcPr>
          <w:p w14:paraId="5321E546" w14:textId="77777777" w:rsidR="00AC375F" w:rsidRPr="00AC375F" w:rsidRDefault="00AC375F" w:rsidP="00AC375F">
            <w:pPr>
              <w:jc w:val="center"/>
              <w:rPr>
                <w:sz w:val="18"/>
                <w:szCs w:val="18"/>
              </w:rPr>
            </w:pPr>
            <w:r w:rsidRPr="00AC375F">
              <w:rPr>
                <w:sz w:val="18"/>
                <w:szCs w:val="18"/>
              </w:rPr>
              <w:t>listopad</w:t>
            </w:r>
          </w:p>
        </w:tc>
        <w:tc>
          <w:tcPr>
            <w:tcW w:w="1563" w:type="dxa"/>
            <w:shd w:val="clear" w:color="auto" w:fill="auto"/>
            <w:noWrap/>
            <w:vAlign w:val="center"/>
          </w:tcPr>
          <w:p w14:paraId="56658E69" w14:textId="77777777" w:rsidR="00AC375F" w:rsidRPr="00AC375F" w:rsidRDefault="00AC375F" w:rsidP="00AC375F">
            <w:pPr>
              <w:jc w:val="center"/>
              <w:rPr>
                <w:sz w:val="18"/>
                <w:szCs w:val="18"/>
              </w:rPr>
            </w:pPr>
            <w:r w:rsidRPr="00AC375F">
              <w:rPr>
                <w:sz w:val="18"/>
                <w:szCs w:val="18"/>
              </w:rPr>
              <w:t>0,25</w:t>
            </w:r>
          </w:p>
        </w:tc>
      </w:tr>
      <w:tr w:rsidR="00AC375F" w:rsidRPr="00AC375F" w14:paraId="74B6140E" w14:textId="77777777" w:rsidTr="00991955">
        <w:trPr>
          <w:trHeight w:val="237"/>
        </w:trPr>
        <w:tc>
          <w:tcPr>
            <w:tcW w:w="4390" w:type="dxa"/>
            <w:shd w:val="clear" w:color="auto" w:fill="auto"/>
            <w:noWrap/>
            <w:vAlign w:val="center"/>
          </w:tcPr>
          <w:p w14:paraId="78306715" w14:textId="77777777" w:rsidR="00AC375F" w:rsidRPr="00AC375F" w:rsidRDefault="00AC375F" w:rsidP="00AC375F">
            <w:pPr>
              <w:rPr>
                <w:b/>
                <w:bCs/>
                <w:sz w:val="18"/>
                <w:szCs w:val="18"/>
                <w:highlight w:val="green"/>
              </w:rPr>
            </w:pPr>
          </w:p>
        </w:tc>
        <w:tc>
          <w:tcPr>
            <w:tcW w:w="1417" w:type="dxa"/>
            <w:shd w:val="clear" w:color="auto" w:fill="auto"/>
            <w:noWrap/>
            <w:vAlign w:val="center"/>
          </w:tcPr>
          <w:p w14:paraId="73EF7D92"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auto"/>
            <w:noWrap/>
            <w:vAlign w:val="center"/>
          </w:tcPr>
          <w:p w14:paraId="45B14E70" w14:textId="77777777" w:rsidR="00AC375F" w:rsidRPr="00AC375F" w:rsidRDefault="00AC375F" w:rsidP="00AC375F">
            <w:pPr>
              <w:jc w:val="center"/>
              <w:rPr>
                <w:sz w:val="18"/>
                <w:szCs w:val="18"/>
              </w:rPr>
            </w:pPr>
            <w:r w:rsidRPr="00AC375F">
              <w:rPr>
                <w:sz w:val="18"/>
                <w:szCs w:val="18"/>
              </w:rPr>
              <w:t>1</w:t>
            </w:r>
          </w:p>
        </w:tc>
        <w:tc>
          <w:tcPr>
            <w:tcW w:w="993" w:type="dxa"/>
            <w:shd w:val="clear" w:color="auto" w:fill="auto"/>
            <w:noWrap/>
            <w:vAlign w:val="center"/>
          </w:tcPr>
          <w:p w14:paraId="3E1AF707" w14:textId="77777777" w:rsidR="00AC375F" w:rsidRPr="00AC375F" w:rsidRDefault="00AC375F" w:rsidP="00AC375F">
            <w:pPr>
              <w:jc w:val="center"/>
              <w:rPr>
                <w:sz w:val="18"/>
                <w:szCs w:val="18"/>
              </w:rPr>
            </w:pPr>
            <w:r w:rsidRPr="00AC375F">
              <w:rPr>
                <w:sz w:val="18"/>
                <w:szCs w:val="18"/>
              </w:rPr>
              <w:t>studeni</w:t>
            </w:r>
          </w:p>
        </w:tc>
        <w:tc>
          <w:tcPr>
            <w:tcW w:w="1563" w:type="dxa"/>
            <w:shd w:val="clear" w:color="auto" w:fill="auto"/>
            <w:noWrap/>
            <w:vAlign w:val="center"/>
          </w:tcPr>
          <w:p w14:paraId="2B83A74E" w14:textId="77777777" w:rsidR="00AC375F" w:rsidRPr="00AC375F" w:rsidRDefault="00AC375F" w:rsidP="00AC375F">
            <w:pPr>
              <w:jc w:val="center"/>
              <w:rPr>
                <w:sz w:val="18"/>
                <w:szCs w:val="18"/>
              </w:rPr>
            </w:pPr>
            <w:r w:rsidRPr="00AC375F">
              <w:rPr>
                <w:sz w:val="18"/>
                <w:szCs w:val="18"/>
              </w:rPr>
              <w:t>0,25</w:t>
            </w:r>
          </w:p>
        </w:tc>
      </w:tr>
      <w:tr w:rsidR="00AC375F" w:rsidRPr="00AC375F" w14:paraId="1760055F" w14:textId="77777777" w:rsidTr="00991955">
        <w:trPr>
          <w:trHeight w:val="237"/>
        </w:trPr>
        <w:tc>
          <w:tcPr>
            <w:tcW w:w="4390" w:type="dxa"/>
            <w:shd w:val="clear" w:color="auto" w:fill="auto"/>
            <w:noWrap/>
            <w:vAlign w:val="center"/>
          </w:tcPr>
          <w:p w14:paraId="082C4A2F" w14:textId="77777777" w:rsidR="00AC375F" w:rsidRPr="00AC375F" w:rsidRDefault="00AC375F" w:rsidP="00AC375F">
            <w:pPr>
              <w:rPr>
                <w:b/>
                <w:bCs/>
                <w:sz w:val="18"/>
                <w:szCs w:val="18"/>
                <w:highlight w:val="green"/>
              </w:rPr>
            </w:pPr>
            <w:r w:rsidRPr="00AC375F">
              <w:rPr>
                <w:b/>
                <w:bCs/>
                <w:sz w:val="18"/>
                <w:szCs w:val="18"/>
              </w:rPr>
              <w:t xml:space="preserve">CAT </w:t>
            </w:r>
          </w:p>
        </w:tc>
        <w:tc>
          <w:tcPr>
            <w:tcW w:w="1417" w:type="dxa"/>
            <w:shd w:val="clear" w:color="auto" w:fill="auto"/>
            <w:noWrap/>
            <w:vAlign w:val="center"/>
          </w:tcPr>
          <w:p w14:paraId="2626B289" w14:textId="77777777" w:rsidR="00AC375F" w:rsidRPr="00AC375F" w:rsidRDefault="00AC375F" w:rsidP="00AC375F">
            <w:pPr>
              <w:jc w:val="center"/>
              <w:rPr>
                <w:sz w:val="18"/>
                <w:szCs w:val="18"/>
              </w:rPr>
            </w:pPr>
          </w:p>
        </w:tc>
        <w:tc>
          <w:tcPr>
            <w:tcW w:w="992" w:type="dxa"/>
            <w:shd w:val="clear" w:color="auto" w:fill="auto"/>
            <w:noWrap/>
            <w:vAlign w:val="center"/>
          </w:tcPr>
          <w:p w14:paraId="359BF3DB" w14:textId="77777777" w:rsidR="00AC375F" w:rsidRPr="00AC375F" w:rsidRDefault="00AC375F" w:rsidP="00AC375F">
            <w:pPr>
              <w:jc w:val="center"/>
              <w:rPr>
                <w:sz w:val="18"/>
                <w:szCs w:val="18"/>
              </w:rPr>
            </w:pPr>
          </w:p>
        </w:tc>
        <w:tc>
          <w:tcPr>
            <w:tcW w:w="993" w:type="dxa"/>
            <w:shd w:val="clear" w:color="auto" w:fill="auto"/>
            <w:noWrap/>
            <w:vAlign w:val="center"/>
          </w:tcPr>
          <w:p w14:paraId="3AE6FA57" w14:textId="77777777" w:rsidR="00AC375F" w:rsidRPr="00AC375F" w:rsidRDefault="00AC375F" w:rsidP="00AC375F">
            <w:pPr>
              <w:jc w:val="center"/>
              <w:rPr>
                <w:sz w:val="18"/>
                <w:szCs w:val="18"/>
              </w:rPr>
            </w:pPr>
          </w:p>
        </w:tc>
        <w:tc>
          <w:tcPr>
            <w:tcW w:w="1563" w:type="dxa"/>
            <w:shd w:val="clear" w:color="auto" w:fill="auto"/>
            <w:noWrap/>
            <w:vAlign w:val="center"/>
          </w:tcPr>
          <w:p w14:paraId="4A1EB705" w14:textId="77777777" w:rsidR="00AC375F" w:rsidRPr="00AC375F" w:rsidRDefault="00AC375F" w:rsidP="00AC375F">
            <w:pPr>
              <w:jc w:val="center"/>
              <w:rPr>
                <w:sz w:val="18"/>
                <w:szCs w:val="18"/>
              </w:rPr>
            </w:pPr>
          </w:p>
        </w:tc>
      </w:tr>
      <w:tr w:rsidR="00AC375F" w:rsidRPr="00AC375F" w14:paraId="0BBC6D25" w14:textId="77777777" w:rsidTr="00991955">
        <w:trPr>
          <w:trHeight w:val="310"/>
        </w:trPr>
        <w:tc>
          <w:tcPr>
            <w:tcW w:w="4390" w:type="dxa"/>
            <w:shd w:val="clear" w:color="auto" w:fill="auto"/>
            <w:vAlign w:val="center"/>
          </w:tcPr>
          <w:p w14:paraId="59BADD16" w14:textId="77777777" w:rsidR="00AC375F" w:rsidRPr="00AC375F" w:rsidRDefault="00AC375F" w:rsidP="00AC375F">
            <w:pPr>
              <w:rPr>
                <w:bCs/>
                <w:sz w:val="18"/>
                <w:szCs w:val="18"/>
              </w:rPr>
            </w:pPr>
            <w:r w:rsidRPr="00AC375F">
              <w:rPr>
                <w:bCs/>
                <w:sz w:val="18"/>
                <w:szCs w:val="18"/>
              </w:rPr>
              <w:t>Plenary meeting</w:t>
            </w:r>
          </w:p>
        </w:tc>
        <w:tc>
          <w:tcPr>
            <w:tcW w:w="1417" w:type="dxa"/>
            <w:shd w:val="clear" w:color="auto" w:fill="FFFFFF" w:themeFill="background1"/>
            <w:noWrap/>
            <w:vAlign w:val="center"/>
          </w:tcPr>
          <w:p w14:paraId="70C06B15" w14:textId="77777777" w:rsidR="00AC375F" w:rsidRPr="00AC375F" w:rsidRDefault="00AC375F" w:rsidP="00AC375F">
            <w:pPr>
              <w:jc w:val="center"/>
              <w:rPr>
                <w:sz w:val="18"/>
                <w:szCs w:val="18"/>
              </w:rPr>
            </w:pPr>
            <w:r w:rsidRPr="00AC375F">
              <w:rPr>
                <w:sz w:val="18"/>
                <w:szCs w:val="18"/>
              </w:rPr>
              <w:t>Amsterdam</w:t>
            </w:r>
          </w:p>
        </w:tc>
        <w:tc>
          <w:tcPr>
            <w:tcW w:w="992" w:type="dxa"/>
            <w:shd w:val="clear" w:color="auto" w:fill="FFFFFF" w:themeFill="background1"/>
            <w:noWrap/>
            <w:vAlign w:val="center"/>
          </w:tcPr>
          <w:p w14:paraId="20D8F985" w14:textId="77777777" w:rsidR="00AC375F" w:rsidRPr="00AC375F" w:rsidRDefault="00AC375F" w:rsidP="00AC375F">
            <w:pPr>
              <w:jc w:val="center"/>
              <w:rPr>
                <w:sz w:val="18"/>
                <w:szCs w:val="18"/>
              </w:rPr>
            </w:pPr>
            <w:r w:rsidRPr="00AC375F">
              <w:rPr>
                <w:sz w:val="18"/>
                <w:szCs w:val="18"/>
              </w:rPr>
              <w:t>1</w:t>
            </w:r>
          </w:p>
        </w:tc>
        <w:tc>
          <w:tcPr>
            <w:tcW w:w="993" w:type="dxa"/>
            <w:shd w:val="clear" w:color="auto" w:fill="FFFFFF" w:themeFill="background1"/>
            <w:noWrap/>
            <w:vAlign w:val="center"/>
          </w:tcPr>
          <w:p w14:paraId="3EE92494" w14:textId="77777777" w:rsidR="00AC375F" w:rsidRPr="00AC375F" w:rsidRDefault="00AC375F" w:rsidP="00AC375F">
            <w:pPr>
              <w:jc w:val="center"/>
              <w:rPr>
                <w:sz w:val="18"/>
                <w:szCs w:val="18"/>
              </w:rPr>
            </w:pPr>
            <w:r w:rsidRPr="00AC375F">
              <w:rPr>
                <w:sz w:val="18"/>
                <w:szCs w:val="18"/>
              </w:rPr>
              <w:t>siječanj</w:t>
            </w:r>
          </w:p>
        </w:tc>
        <w:tc>
          <w:tcPr>
            <w:tcW w:w="1563" w:type="dxa"/>
            <w:shd w:val="clear" w:color="auto" w:fill="FFFFFF" w:themeFill="background1"/>
            <w:noWrap/>
            <w:vAlign w:val="center"/>
          </w:tcPr>
          <w:p w14:paraId="112D23A0" w14:textId="77777777" w:rsidR="00AC375F" w:rsidRPr="00AC375F" w:rsidRDefault="00AC375F" w:rsidP="00AC375F">
            <w:pPr>
              <w:jc w:val="center"/>
              <w:rPr>
                <w:sz w:val="18"/>
                <w:szCs w:val="18"/>
              </w:rPr>
            </w:pPr>
            <w:r w:rsidRPr="00AC375F">
              <w:rPr>
                <w:sz w:val="18"/>
                <w:szCs w:val="18"/>
              </w:rPr>
              <w:t>2</w:t>
            </w:r>
          </w:p>
        </w:tc>
      </w:tr>
      <w:tr w:rsidR="00AC375F" w:rsidRPr="00AC375F" w14:paraId="2E358CE5" w14:textId="77777777" w:rsidTr="00991955">
        <w:trPr>
          <w:trHeight w:val="310"/>
        </w:trPr>
        <w:tc>
          <w:tcPr>
            <w:tcW w:w="4390" w:type="dxa"/>
            <w:shd w:val="clear" w:color="auto" w:fill="auto"/>
            <w:vAlign w:val="center"/>
          </w:tcPr>
          <w:p w14:paraId="56B3EADF" w14:textId="77777777" w:rsidR="00AC375F" w:rsidRPr="00AC375F" w:rsidRDefault="00AC375F" w:rsidP="00AC375F">
            <w:pPr>
              <w:rPr>
                <w:bCs/>
                <w:sz w:val="18"/>
                <w:szCs w:val="18"/>
              </w:rPr>
            </w:pPr>
            <w:r w:rsidRPr="00AC375F">
              <w:rPr>
                <w:bCs/>
                <w:sz w:val="18"/>
                <w:szCs w:val="18"/>
              </w:rPr>
              <w:t>Plenary meeting</w:t>
            </w:r>
          </w:p>
        </w:tc>
        <w:tc>
          <w:tcPr>
            <w:tcW w:w="1417" w:type="dxa"/>
            <w:shd w:val="clear" w:color="auto" w:fill="FFFFFF" w:themeFill="background1"/>
            <w:noWrap/>
            <w:vAlign w:val="center"/>
          </w:tcPr>
          <w:p w14:paraId="4F466353"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FFFFFF" w:themeFill="background1"/>
            <w:noWrap/>
            <w:vAlign w:val="center"/>
          </w:tcPr>
          <w:p w14:paraId="5A5D39B9" w14:textId="77777777" w:rsidR="00AC375F" w:rsidRPr="00AC375F" w:rsidRDefault="00AC375F" w:rsidP="00AC375F">
            <w:pPr>
              <w:jc w:val="center"/>
              <w:rPr>
                <w:sz w:val="18"/>
                <w:szCs w:val="18"/>
              </w:rPr>
            </w:pPr>
            <w:r w:rsidRPr="00AC375F">
              <w:rPr>
                <w:sz w:val="18"/>
                <w:szCs w:val="18"/>
              </w:rPr>
              <w:t>1</w:t>
            </w:r>
          </w:p>
        </w:tc>
        <w:tc>
          <w:tcPr>
            <w:tcW w:w="993" w:type="dxa"/>
            <w:shd w:val="clear" w:color="auto" w:fill="FFFFFF" w:themeFill="background1"/>
            <w:noWrap/>
            <w:vAlign w:val="center"/>
          </w:tcPr>
          <w:p w14:paraId="457C4E7D" w14:textId="77777777" w:rsidR="00AC375F" w:rsidRPr="00AC375F" w:rsidRDefault="00AC375F" w:rsidP="00AC375F">
            <w:pPr>
              <w:jc w:val="center"/>
              <w:rPr>
                <w:sz w:val="18"/>
                <w:szCs w:val="18"/>
              </w:rPr>
            </w:pPr>
            <w:r w:rsidRPr="00AC375F">
              <w:rPr>
                <w:sz w:val="18"/>
                <w:szCs w:val="18"/>
              </w:rPr>
              <w:t>veljača</w:t>
            </w:r>
          </w:p>
        </w:tc>
        <w:tc>
          <w:tcPr>
            <w:tcW w:w="1563" w:type="dxa"/>
            <w:shd w:val="clear" w:color="auto" w:fill="FFFFFF" w:themeFill="background1"/>
            <w:noWrap/>
            <w:vAlign w:val="center"/>
          </w:tcPr>
          <w:p w14:paraId="4CDBFAE9" w14:textId="77777777" w:rsidR="00AC375F" w:rsidRPr="00AC375F" w:rsidRDefault="00AC375F" w:rsidP="00AC375F">
            <w:pPr>
              <w:jc w:val="center"/>
              <w:rPr>
                <w:sz w:val="18"/>
                <w:szCs w:val="18"/>
              </w:rPr>
            </w:pPr>
            <w:r w:rsidRPr="00AC375F">
              <w:rPr>
                <w:sz w:val="18"/>
                <w:szCs w:val="18"/>
              </w:rPr>
              <w:t>2</w:t>
            </w:r>
          </w:p>
        </w:tc>
      </w:tr>
      <w:tr w:rsidR="00AC375F" w:rsidRPr="00AC375F" w14:paraId="2D5F6696" w14:textId="77777777" w:rsidTr="00991955">
        <w:trPr>
          <w:trHeight w:val="310"/>
        </w:trPr>
        <w:tc>
          <w:tcPr>
            <w:tcW w:w="4390" w:type="dxa"/>
            <w:shd w:val="clear" w:color="auto" w:fill="auto"/>
            <w:vAlign w:val="center"/>
          </w:tcPr>
          <w:p w14:paraId="576AF545" w14:textId="77777777" w:rsidR="00AC375F" w:rsidRPr="00AC375F" w:rsidRDefault="00AC375F" w:rsidP="00AC375F">
            <w:pPr>
              <w:rPr>
                <w:bCs/>
                <w:sz w:val="18"/>
                <w:szCs w:val="18"/>
              </w:rPr>
            </w:pPr>
            <w:r w:rsidRPr="00AC375F">
              <w:rPr>
                <w:bCs/>
                <w:sz w:val="18"/>
                <w:szCs w:val="18"/>
              </w:rPr>
              <w:t>Plenary meeting</w:t>
            </w:r>
          </w:p>
        </w:tc>
        <w:tc>
          <w:tcPr>
            <w:tcW w:w="1417" w:type="dxa"/>
            <w:shd w:val="clear" w:color="auto" w:fill="FFFFFF" w:themeFill="background1"/>
            <w:noWrap/>
            <w:vAlign w:val="center"/>
          </w:tcPr>
          <w:p w14:paraId="3D504E3B" w14:textId="77777777" w:rsidR="00AC375F" w:rsidRPr="00AC375F" w:rsidRDefault="00AC375F" w:rsidP="00AC375F">
            <w:pPr>
              <w:jc w:val="center"/>
              <w:rPr>
                <w:sz w:val="18"/>
                <w:szCs w:val="18"/>
              </w:rPr>
            </w:pPr>
            <w:r w:rsidRPr="00AC375F">
              <w:rPr>
                <w:sz w:val="18"/>
                <w:szCs w:val="18"/>
              </w:rPr>
              <w:t>Amsterdam</w:t>
            </w:r>
          </w:p>
        </w:tc>
        <w:tc>
          <w:tcPr>
            <w:tcW w:w="992" w:type="dxa"/>
            <w:shd w:val="clear" w:color="auto" w:fill="FFFFFF" w:themeFill="background1"/>
            <w:noWrap/>
            <w:vAlign w:val="center"/>
          </w:tcPr>
          <w:p w14:paraId="4CD5F211" w14:textId="77777777" w:rsidR="00AC375F" w:rsidRPr="00AC375F" w:rsidRDefault="00AC375F" w:rsidP="00AC375F">
            <w:pPr>
              <w:jc w:val="center"/>
              <w:rPr>
                <w:sz w:val="18"/>
                <w:szCs w:val="18"/>
              </w:rPr>
            </w:pPr>
            <w:r w:rsidRPr="00AC375F">
              <w:rPr>
                <w:sz w:val="18"/>
                <w:szCs w:val="18"/>
              </w:rPr>
              <w:t>1</w:t>
            </w:r>
          </w:p>
        </w:tc>
        <w:tc>
          <w:tcPr>
            <w:tcW w:w="993" w:type="dxa"/>
            <w:shd w:val="clear" w:color="auto" w:fill="FFFFFF" w:themeFill="background1"/>
            <w:noWrap/>
            <w:vAlign w:val="center"/>
          </w:tcPr>
          <w:p w14:paraId="46B45EB3" w14:textId="77777777" w:rsidR="00AC375F" w:rsidRPr="00AC375F" w:rsidRDefault="00AC375F" w:rsidP="00AC375F">
            <w:pPr>
              <w:jc w:val="center"/>
              <w:rPr>
                <w:sz w:val="18"/>
                <w:szCs w:val="18"/>
              </w:rPr>
            </w:pPr>
            <w:r w:rsidRPr="00AC375F">
              <w:rPr>
                <w:sz w:val="18"/>
                <w:szCs w:val="18"/>
              </w:rPr>
              <w:t>ožujak</w:t>
            </w:r>
          </w:p>
        </w:tc>
        <w:tc>
          <w:tcPr>
            <w:tcW w:w="1563" w:type="dxa"/>
            <w:shd w:val="clear" w:color="auto" w:fill="FFFFFF" w:themeFill="background1"/>
            <w:noWrap/>
            <w:vAlign w:val="center"/>
          </w:tcPr>
          <w:p w14:paraId="10A1E1C8" w14:textId="77777777" w:rsidR="00AC375F" w:rsidRPr="00AC375F" w:rsidRDefault="00AC375F" w:rsidP="00AC375F">
            <w:pPr>
              <w:jc w:val="center"/>
              <w:rPr>
                <w:sz w:val="18"/>
                <w:szCs w:val="18"/>
              </w:rPr>
            </w:pPr>
            <w:r w:rsidRPr="00AC375F">
              <w:rPr>
                <w:sz w:val="18"/>
                <w:szCs w:val="18"/>
              </w:rPr>
              <w:t>2</w:t>
            </w:r>
          </w:p>
        </w:tc>
      </w:tr>
      <w:tr w:rsidR="00AC375F" w:rsidRPr="00AC375F" w14:paraId="7D786750" w14:textId="77777777" w:rsidTr="00991955">
        <w:trPr>
          <w:trHeight w:val="237"/>
        </w:trPr>
        <w:tc>
          <w:tcPr>
            <w:tcW w:w="4390" w:type="dxa"/>
            <w:shd w:val="clear" w:color="auto" w:fill="auto"/>
            <w:noWrap/>
            <w:vAlign w:val="center"/>
          </w:tcPr>
          <w:p w14:paraId="3FEF536C" w14:textId="77777777" w:rsidR="00AC375F" w:rsidRPr="00AC375F" w:rsidRDefault="00AC375F" w:rsidP="00AC375F">
            <w:pPr>
              <w:rPr>
                <w:bCs/>
                <w:sz w:val="18"/>
                <w:szCs w:val="18"/>
              </w:rPr>
            </w:pPr>
            <w:r w:rsidRPr="00AC375F">
              <w:rPr>
                <w:bCs/>
                <w:sz w:val="18"/>
                <w:szCs w:val="18"/>
              </w:rPr>
              <w:t>Plenary meeting</w:t>
            </w:r>
          </w:p>
        </w:tc>
        <w:tc>
          <w:tcPr>
            <w:tcW w:w="1417" w:type="dxa"/>
            <w:shd w:val="clear" w:color="auto" w:fill="FFFFFF" w:themeFill="background1"/>
            <w:noWrap/>
            <w:vAlign w:val="center"/>
          </w:tcPr>
          <w:p w14:paraId="5B602249"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FFFFFF" w:themeFill="background1"/>
            <w:noWrap/>
            <w:vAlign w:val="center"/>
          </w:tcPr>
          <w:p w14:paraId="12103260" w14:textId="77777777" w:rsidR="00AC375F" w:rsidRPr="00AC375F" w:rsidRDefault="00AC375F" w:rsidP="00AC375F">
            <w:pPr>
              <w:jc w:val="center"/>
              <w:rPr>
                <w:sz w:val="18"/>
                <w:szCs w:val="18"/>
              </w:rPr>
            </w:pPr>
            <w:r w:rsidRPr="00AC375F">
              <w:rPr>
                <w:sz w:val="18"/>
                <w:szCs w:val="18"/>
              </w:rPr>
              <w:t>1</w:t>
            </w:r>
          </w:p>
        </w:tc>
        <w:tc>
          <w:tcPr>
            <w:tcW w:w="993" w:type="dxa"/>
            <w:shd w:val="clear" w:color="auto" w:fill="FFFFFF" w:themeFill="background1"/>
            <w:noWrap/>
            <w:vAlign w:val="center"/>
          </w:tcPr>
          <w:p w14:paraId="126936EA" w14:textId="77777777" w:rsidR="00AC375F" w:rsidRPr="00AC375F" w:rsidRDefault="00AC375F" w:rsidP="00AC375F">
            <w:pPr>
              <w:jc w:val="center"/>
              <w:rPr>
                <w:sz w:val="18"/>
                <w:szCs w:val="18"/>
              </w:rPr>
            </w:pPr>
            <w:r w:rsidRPr="00AC375F">
              <w:rPr>
                <w:sz w:val="18"/>
                <w:szCs w:val="18"/>
              </w:rPr>
              <w:t>travanj</w:t>
            </w:r>
          </w:p>
        </w:tc>
        <w:tc>
          <w:tcPr>
            <w:tcW w:w="1563" w:type="dxa"/>
            <w:shd w:val="clear" w:color="auto" w:fill="FFFFFF" w:themeFill="background1"/>
            <w:noWrap/>
            <w:vAlign w:val="center"/>
          </w:tcPr>
          <w:p w14:paraId="696C5EA9" w14:textId="77777777" w:rsidR="00AC375F" w:rsidRPr="00AC375F" w:rsidRDefault="00AC375F" w:rsidP="00AC375F">
            <w:pPr>
              <w:jc w:val="center"/>
              <w:rPr>
                <w:sz w:val="18"/>
                <w:szCs w:val="18"/>
              </w:rPr>
            </w:pPr>
            <w:r w:rsidRPr="00AC375F">
              <w:rPr>
                <w:sz w:val="18"/>
                <w:szCs w:val="18"/>
              </w:rPr>
              <w:t>3</w:t>
            </w:r>
          </w:p>
        </w:tc>
      </w:tr>
      <w:tr w:rsidR="00AC375F" w:rsidRPr="00AC375F" w14:paraId="255AC13D" w14:textId="77777777" w:rsidTr="00991955">
        <w:trPr>
          <w:trHeight w:val="237"/>
        </w:trPr>
        <w:tc>
          <w:tcPr>
            <w:tcW w:w="4390" w:type="dxa"/>
            <w:shd w:val="clear" w:color="auto" w:fill="auto"/>
            <w:noWrap/>
            <w:vAlign w:val="center"/>
          </w:tcPr>
          <w:p w14:paraId="0F2053D0" w14:textId="77777777" w:rsidR="00AC375F" w:rsidRPr="00AC375F" w:rsidRDefault="00AC375F" w:rsidP="00AC375F">
            <w:pPr>
              <w:rPr>
                <w:bCs/>
                <w:sz w:val="18"/>
                <w:szCs w:val="18"/>
              </w:rPr>
            </w:pPr>
            <w:r w:rsidRPr="00AC375F">
              <w:rPr>
                <w:bCs/>
                <w:sz w:val="18"/>
                <w:szCs w:val="18"/>
              </w:rPr>
              <w:t>Strategic Learning and Review Meeting</w:t>
            </w:r>
          </w:p>
        </w:tc>
        <w:tc>
          <w:tcPr>
            <w:tcW w:w="1417" w:type="dxa"/>
            <w:shd w:val="clear" w:color="auto" w:fill="FFFFFF" w:themeFill="background1"/>
            <w:noWrap/>
            <w:vAlign w:val="center"/>
          </w:tcPr>
          <w:p w14:paraId="663C0DD4" w14:textId="77777777" w:rsidR="00AC375F" w:rsidRPr="00AC375F" w:rsidRDefault="00AC375F" w:rsidP="00AC375F">
            <w:pPr>
              <w:jc w:val="center"/>
              <w:rPr>
                <w:sz w:val="18"/>
                <w:szCs w:val="18"/>
              </w:rPr>
            </w:pPr>
            <w:r w:rsidRPr="00AC375F">
              <w:rPr>
                <w:sz w:val="18"/>
                <w:szCs w:val="18"/>
              </w:rPr>
              <w:t>Uppsala</w:t>
            </w:r>
          </w:p>
        </w:tc>
        <w:tc>
          <w:tcPr>
            <w:tcW w:w="992" w:type="dxa"/>
            <w:shd w:val="clear" w:color="auto" w:fill="FFFFFF" w:themeFill="background1"/>
            <w:noWrap/>
            <w:vAlign w:val="center"/>
          </w:tcPr>
          <w:p w14:paraId="28EB71DB" w14:textId="77777777" w:rsidR="00AC375F" w:rsidRPr="00AC375F" w:rsidRDefault="00AC375F" w:rsidP="00AC375F">
            <w:pPr>
              <w:jc w:val="center"/>
              <w:rPr>
                <w:sz w:val="18"/>
                <w:szCs w:val="18"/>
              </w:rPr>
            </w:pPr>
            <w:r w:rsidRPr="00AC375F">
              <w:rPr>
                <w:sz w:val="18"/>
                <w:szCs w:val="18"/>
              </w:rPr>
              <w:t>1</w:t>
            </w:r>
          </w:p>
        </w:tc>
        <w:tc>
          <w:tcPr>
            <w:tcW w:w="993" w:type="dxa"/>
            <w:shd w:val="clear" w:color="auto" w:fill="FFFFFF" w:themeFill="background1"/>
            <w:noWrap/>
            <w:vAlign w:val="center"/>
          </w:tcPr>
          <w:p w14:paraId="6B7BB15A" w14:textId="77777777" w:rsidR="00AC375F" w:rsidRPr="00AC375F" w:rsidRDefault="00AC375F" w:rsidP="00AC375F">
            <w:pPr>
              <w:jc w:val="center"/>
              <w:rPr>
                <w:sz w:val="18"/>
                <w:szCs w:val="18"/>
              </w:rPr>
            </w:pPr>
            <w:r w:rsidRPr="00AC375F">
              <w:rPr>
                <w:sz w:val="18"/>
                <w:szCs w:val="18"/>
              </w:rPr>
              <w:t>svibanj</w:t>
            </w:r>
          </w:p>
        </w:tc>
        <w:tc>
          <w:tcPr>
            <w:tcW w:w="1563" w:type="dxa"/>
            <w:shd w:val="clear" w:color="auto" w:fill="FFFFFF" w:themeFill="background1"/>
            <w:noWrap/>
            <w:vAlign w:val="center"/>
          </w:tcPr>
          <w:p w14:paraId="034FBEE3" w14:textId="77777777" w:rsidR="00AC375F" w:rsidRPr="00AC375F" w:rsidRDefault="00AC375F" w:rsidP="00AC375F">
            <w:pPr>
              <w:jc w:val="center"/>
              <w:rPr>
                <w:sz w:val="18"/>
                <w:szCs w:val="18"/>
              </w:rPr>
            </w:pPr>
            <w:r w:rsidRPr="00AC375F">
              <w:rPr>
                <w:sz w:val="18"/>
                <w:szCs w:val="18"/>
              </w:rPr>
              <w:t>2</w:t>
            </w:r>
          </w:p>
        </w:tc>
      </w:tr>
      <w:tr w:rsidR="00AC375F" w:rsidRPr="00AC375F" w14:paraId="60ABB1DB" w14:textId="77777777" w:rsidTr="00991955">
        <w:trPr>
          <w:trHeight w:val="237"/>
        </w:trPr>
        <w:tc>
          <w:tcPr>
            <w:tcW w:w="4390" w:type="dxa"/>
            <w:shd w:val="clear" w:color="auto" w:fill="auto"/>
            <w:noWrap/>
            <w:vAlign w:val="center"/>
          </w:tcPr>
          <w:p w14:paraId="25B41289" w14:textId="77777777" w:rsidR="00AC375F" w:rsidRPr="00AC375F" w:rsidRDefault="00AC375F" w:rsidP="00AC375F">
            <w:pPr>
              <w:rPr>
                <w:bCs/>
                <w:sz w:val="18"/>
                <w:szCs w:val="18"/>
              </w:rPr>
            </w:pPr>
            <w:r w:rsidRPr="00AC375F">
              <w:rPr>
                <w:bCs/>
                <w:sz w:val="18"/>
                <w:szCs w:val="18"/>
              </w:rPr>
              <w:t>Plenary meeting</w:t>
            </w:r>
          </w:p>
        </w:tc>
        <w:tc>
          <w:tcPr>
            <w:tcW w:w="1417" w:type="dxa"/>
            <w:shd w:val="clear" w:color="auto" w:fill="FFFFFF" w:themeFill="background1"/>
            <w:noWrap/>
            <w:vAlign w:val="center"/>
          </w:tcPr>
          <w:p w14:paraId="0837E64B" w14:textId="77777777" w:rsidR="00AC375F" w:rsidRPr="00AC375F" w:rsidRDefault="00AC375F" w:rsidP="00AC375F">
            <w:pPr>
              <w:jc w:val="center"/>
              <w:rPr>
                <w:sz w:val="18"/>
                <w:szCs w:val="18"/>
              </w:rPr>
            </w:pPr>
            <w:r w:rsidRPr="00AC375F">
              <w:rPr>
                <w:sz w:val="18"/>
                <w:szCs w:val="18"/>
              </w:rPr>
              <w:t>Amsterdam</w:t>
            </w:r>
          </w:p>
        </w:tc>
        <w:tc>
          <w:tcPr>
            <w:tcW w:w="992" w:type="dxa"/>
            <w:shd w:val="clear" w:color="auto" w:fill="FFFFFF" w:themeFill="background1"/>
            <w:noWrap/>
            <w:vAlign w:val="center"/>
          </w:tcPr>
          <w:p w14:paraId="638A7A86" w14:textId="77777777" w:rsidR="00AC375F" w:rsidRPr="00AC375F" w:rsidRDefault="00AC375F" w:rsidP="00AC375F">
            <w:pPr>
              <w:jc w:val="center"/>
              <w:rPr>
                <w:sz w:val="18"/>
                <w:szCs w:val="18"/>
              </w:rPr>
            </w:pPr>
            <w:r w:rsidRPr="00AC375F">
              <w:rPr>
                <w:sz w:val="18"/>
                <w:szCs w:val="18"/>
              </w:rPr>
              <w:t>1</w:t>
            </w:r>
          </w:p>
        </w:tc>
        <w:tc>
          <w:tcPr>
            <w:tcW w:w="993" w:type="dxa"/>
            <w:shd w:val="clear" w:color="auto" w:fill="FFFFFF" w:themeFill="background1"/>
            <w:noWrap/>
            <w:vAlign w:val="center"/>
          </w:tcPr>
          <w:p w14:paraId="528B581F" w14:textId="77777777" w:rsidR="00AC375F" w:rsidRPr="00AC375F" w:rsidRDefault="00AC375F" w:rsidP="00AC375F">
            <w:pPr>
              <w:jc w:val="center"/>
              <w:rPr>
                <w:sz w:val="18"/>
                <w:szCs w:val="18"/>
              </w:rPr>
            </w:pPr>
            <w:r w:rsidRPr="00AC375F">
              <w:rPr>
                <w:sz w:val="18"/>
                <w:szCs w:val="18"/>
              </w:rPr>
              <w:t>svibanj</w:t>
            </w:r>
          </w:p>
        </w:tc>
        <w:tc>
          <w:tcPr>
            <w:tcW w:w="1563" w:type="dxa"/>
            <w:shd w:val="clear" w:color="auto" w:fill="FFFFFF" w:themeFill="background1"/>
            <w:noWrap/>
            <w:vAlign w:val="center"/>
          </w:tcPr>
          <w:p w14:paraId="46C07740" w14:textId="77777777" w:rsidR="00AC375F" w:rsidRPr="00AC375F" w:rsidRDefault="00AC375F" w:rsidP="00AC375F">
            <w:pPr>
              <w:jc w:val="center"/>
              <w:rPr>
                <w:sz w:val="18"/>
                <w:szCs w:val="18"/>
              </w:rPr>
            </w:pPr>
            <w:r w:rsidRPr="00AC375F">
              <w:rPr>
                <w:sz w:val="18"/>
                <w:szCs w:val="18"/>
              </w:rPr>
              <w:t>3</w:t>
            </w:r>
          </w:p>
        </w:tc>
      </w:tr>
      <w:tr w:rsidR="00AC375F" w:rsidRPr="00AC375F" w14:paraId="47E0BC46" w14:textId="77777777" w:rsidTr="00991955">
        <w:trPr>
          <w:trHeight w:val="237"/>
        </w:trPr>
        <w:tc>
          <w:tcPr>
            <w:tcW w:w="4390" w:type="dxa"/>
            <w:shd w:val="clear" w:color="auto" w:fill="auto"/>
            <w:noWrap/>
            <w:vAlign w:val="center"/>
          </w:tcPr>
          <w:p w14:paraId="35D31612" w14:textId="77777777" w:rsidR="00AC375F" w:rsidRPr="00AC375F" w:rsidRDefault="00AC375F" w:rsidP="00AC375F">
            <w:pPr>
              <w:rPr>
                <w:bCs/>
                <w:sz w:val="18"/>
                <w:szCs w:val="18"/>
              </w:rPr>
            </w:pPr>
            <w:r w:rsidRPr="00AC375F">
              <w:rPr>
                <w:bCs/>
                <w:sz w:val="18"/>
                <w:szCs w:val="18"/>
              </w:rPr>
              <w:t>Plenary meeting</w:t>
            </w:r>
          </w:p>
        </w:tc>
        <w:tc>
          <w:tcPr>
            <w:tcW w:w="1417" w:type="dxa"/>
            <w:shd w:val="clear" w:color="auto" w:fill="FFFFFF" w:themeFill="background1"/>
            <w:noWrap/>
            <w:vAlign w:val="center"/>
          </w:tcPr>
          <w:p w14:paraId="7E027F83"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FFFFFF" w:themeFill="background1"/>
            <w:noWrap/>
            <w:vAlign w:val="center"/>
          </w:tcPr>
          <w:p w14:paraId="40E2AFAA" w14:textId="77777777" w:rsidR="00AC375F" w:rsidRPr="00AC375F" w:rsidRDefault="00AC375F" w:rsidP="00AC375F">
            <w:pPr>
              <w:jc w:val="center"/>
              <w:rPr>
                <w:sz w:val="18"/>
                <w:szCs w:val="18"/>
              </w:rPr>
            </w:pPr>
            <w:r w:rsidRPr="00AC375F">
              <w:rPr>
                <w:sz w:val="18"/>
                <w:szCs w:val="18"/>
              </w:rPr>
              <w:t>1</w:t>
            </w:r>
          </w:p>
        </w:tc>
        <w:tc>
          <w:tcPr>
            <w:tcW w:w="993" w:type="dxa"/>
            <w:shd w:val="clear" w:color="auto" w:fill="FFFFFF" w:themeFill="background1"/>
            <w:noWrap/>
            <w:vAlign w:val="center"/>
          </w:tcPr>
          <w:p w14:paraId="5379D5F6" w14:textId="77777777" w:rsidR="00AC375F" w:rsidRPr="00AC375F" w:rsidRDefault="00AC375F" w:rsidP="00AC375F">
            <w:pPr>
              <w:jc w:val="center"/>
              <w:rPr>
                <w:sz w:val="18"/>
                <w:szCs w:val="18"/>
              </w:rPr>
            </w:pPr>
            <w:r w:rsidRPr="00AC375F">
              <w:rPr>
                <w:sz w:val="18"/>
                <w:szCs w:val="18"/>
              </w:rPr>
              <w:t>lipanj</w:t>
            </w:r>
          </w:p>
        </w:tc>
        <w:tc>
          <w:tcPr>
            <w:tcW w:w="1563" w:type="dxa"/>
            <w:shd w:val="clear" w:color="auto" w:fill="FFFFFF" w:themeFill="background1"/>
            <w:noWrap/>
            <w:vAlign w:val="center"/>
          </w:tcPr>
          <w:p w14:paraId="041229F8" w14:textId="77777777" w:rsidR="00AC375F" w:rsidRPr="00AC375F" w:rsidRDefault="00AC375F" w:rsidP="00AC375F">
            <w:pPr>
              <w:jc w:val="center"/>
              <w:rPr>
                <w:sz w:val="18"/>
                <w:szCs w:val="18"/>
              </w:rPr>
            </w:pPr>
            <w:r w:rsidRPr="00AC375F">
              <w:rPr>
                <w:sz w:val="18"/>
                <w:szCs w:val="18"/>
              </w:rPr>
              <w:t>1</w:t>
            </w:r>
          </w:p>
        </w:tc>
      </w:tr>
      <w:tr w:rsidR="00AC375F" w:rsidRPr="00AC375F" w14:paraId="59EA7B66" w14:textId="77777777" w:rsidTr="00991955">
        <w:trPr>
          <w:trHeight w:val="237"/>
        </w:trPr>
        <w:tc>
          <w:tcPr>
            <w:tcW w:w="4390" w:type="dxa"/>
            <w:shd w:val="clear" w:color="auto" w:fill="auto"/>
            <w:noWrap/>
            <w:vAlign w:val="center"/>
          </w:tcPr>
          <w:p w14:paraId="13A3B794" w14:textId="77777777" w:rsidR="00AC375F" w:rsidRPr="00AC375F" w:rsidRDefault="00AC375F" w:rsidP="00AC375F">
            <w:pPr>
              <w:rPr>
                <w:bCs/>
                <w:sz w:val="18"/>
                <w:szCs w:val="18"/>
              </w:rPr>
            </w:pPr>
            <w:r w:rsidRPr="00AC375F">
              <w:rPr>
                <w:bCs/>
                <w:sz w:val="18"/>
                <w:szCs w:val="18"/>
              </w:rPr>
              <w:t>Plenary meeting</w:t>
            </w:r>
          </w:p>
        </w:tc>
        <w:tc>
          <w:tcPr>
            <w:tcW w:w="1417" w:type="dxa"/>
            <w:shd w:val="clear" w:color="auto" w:fill="FFFFFF" w:themeFill="background1"/>
            <w:noWrap/>
            <w:vAlign w:val="center"/>
          </w:tcPr>
          <w:p w14:paraId="0AC65CB2" w14:textId="77777777" w:rsidR="00AC375F" w:rsidRPr="00AC375F" w:rsidRDefault="00AC375F" w:rsidP="00AC375F">
            <w:pPr>
              <w:jc w:val="center"/>
              <w:rPr>
                <w:sz w:val="18"/>
                <w:szCs w:val="18"/>
              </w:rPr>
            </w:pPr>
            <w:r w:rsidRPr="00AC375F">
              <w:rPr>
                <w:sz w:val="18"/>
                <w:szCs w:val="18"/>
              </w:rPr>
              <w:t>Amsterdam</w:t>
            </w:r>
          </w:p>
        </w:tc>
        <w:tc>
          <w:tcPr>
            <w:tcW w:w="992" w:type="dxa"/>
            <w:shd w:val="clear" w:color="auto" w:fill="FFFFFF" w:themeFill="background1"/>
            <w:noWrap/>
            <w:vAlign w:val="center"/>
          </w:tcPr>
          <w:p w14:paraId="76DEC76B" w14:textId="77777777" w:rsidR="00AC375F" w:rsidRPr="00AC375F" w:rsidRDefault="00AC375F" w:rsidP="00AC375F">
            <w:pPr>
              <w:jc w:val="center"/>
              <w:rPr>
                <w:sz w:val="18"/>
                <w:szCs w:val="18"/>
              </w:rPr>
            </w:pPr>
            <w:r w:rsidRPr="00AC375F">
              <w:rPr>
                <w:sz w:val="18"/>
                <w:szCs w:val="18"/>
              </w:rPr>
              <w:t>1</w:t>
            </w:r>
          </w:p>
        </w:tc>
        <w:tc>
          <w:tcPr>
            <w:tcW w:w="993" w:type="dxa"/>
            <w:shd w:val="clear" w:color="auto" w:fill="FFFFFF" w:themeFill="background1"/>
            <w:noWrap/>
            <w:vAlign w:val="center"/>
          </w:tcPr>
          <w:p w14:paraId="5B953AE5" w14:textId="77777777" w:rsidR="00AC375F" w:rsidRPr="00AC375F" w:rsidRDefault="00AC375F" w:rsidP="00AC375F">
            <w:pPr>
              <w:jc w:val="center"/>
              <w:rPr>
                <w:sz w:val="18"/>
                <w:szCs w:val="18"/>
              </w:rPr>
            </w:pPr>
            <w:r w:rsidRPr="00AC375F">
              <w:rPr>
                <w:sz w:val="18"/>
                <w:szCs w:val="18"/>
              </w:rPr>
              <w:t>srpanj</w:t>
            </w:r>
          </w:p>
        </w:tc>
        <w:tc>
          <w:tcPr>
            <w:tcW w:w="1563" w:type="dxa"/>
            <w:shd w:val="clear" w:color="auto" w:fill="FFFFFF" w:themeFill="background1"/>
            <w:noWrap/>
            <w:vAlign w:val="center"/>
          </w:tcPr>
          <w:p w14:paraId="07015A1B" w14:textId="77777777" w:rsidR="00AC375F" w:rsidRPr="00AC375F" w:rsidRDefault="00AC375F" w:rsidP="00AC375F">
            <w:pPr>
              <w:jc w:val="center"/>
              <w:rPr>
                <w:sz w:val="18"/>
                <w:szCs w:val="18"/>
              </w:rPr>
            </w:pPr>
            <w:r w:rsidRPr="00AC375F">
              <w:rPr>
                <w:sz w:val="18"/>
                <w:szCs w:val="18"/>
              </w:rPr>
              <w:t>3</w:t>
            </w:r>
          </w:p>
        </w:tc>
      </w:tr>
      <w:tr w:rsidR="00AC375F" w:rsidRPr="00AC375F" w14:paraId="5EA1BD3A" w14:textId="77777777" w:rsidTr="00991955">
        <w:trPr>
          <w:trHeight w:val="237"/>
        </w:trPr>
        <w:tc>
          <w:tcPr>
            <w:tcW w:w="4390" w:type="dxa"/>
            <w:shd w:val="clear" w:color="auto" w:fill="auto"/>
            <w:noWrap/>
            <w:vAlign w:val="center"/>
          </w:tcPr>
          <w:p w14:paraId="138CDDBC" w14:textId="77777777" w:rsidR="00AC375F" w:rsidRPr="00AC375F" w:rsidRDefault="00AC375F" w:rsidP="00AC375F">
            <w:pPr>
              <w:rPr>
                <w:bCs/>
                <w:sz w:val="18"/>
                <w:szCs w:val="18"/>
              </w:rPr>
            </w:pPr>
            <w:r w:rsidRPr="00AC375F">
              <w:rPr>
                <w:bCs/>
                <w:sz w:val="18"/>
                <w:szCs w:val="18"/>
              </w:rPr>
              <w:t>Plenary meeting</w:t>
            </w:r>
          </w:p>
        </w:tc>
        <w:tc>
          <w:tcPr>
            <w:tcW w:w="1417" w:type="dxa"/>
            <w:shd w:val="clear" w:color="auto" w:fill="FFFFFF" w:themeFill="background1"/>
            <w:noWrap/>
            <w:vAlign w:val="center"/>
          </w:tcPr>
          <w:p w14:paraId="1E233B6F"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FFFFFF" w:themeFill="background1"/>
            <w:noWrap/>
            <w:vAlign w:val="center"/>
          </w:tcPr>
          <w:p w14:paraId="48ABC566" w14:textId="77777777" w:rsidR="00AC375F" w:rsidRPr="00AC375F" w:rsidRDefault="00AC375F" w:rsidP="00AC375F">
            <w:pPr>
              <w:jc w:val="center"/>
              <w:rPr>
                <w:sz w:val="18"/>
                <w:szCs w:val="18"/>
              </w:rPr>
            </w:pPr>
            <w:r w:rsidRPr="00AC375F">
              <w:rPr>
                <w:sz w:val="18"/>
                <w:szCs w:val="18"/>
              </w:rPr>
              <w:t>1</w:t>
            </w:r>
          </w:p>
        </w:tc>
        <w:tc>
          <w:tcPr>
            <w:tcW w:w="993" w:type="dxa"/>
            <w:shd w:val="clear" w:color="auto" w:fill="FFFFFF" w:themeFill="background1"/>
            <w:noWrap/>
            <w:vAlign w:val="center"/>
          </w:tcPr>
          <w:p w14:paraId="00C0BD1D" w14:textId="77777777" w:rsidR="00AC375F" w:rsidRPr="00AC375F" w:rsidRDefault="00AC375F" w:rsidP="00AC375F">
            <w:pPr>
              <w:jc w:val="center"/>
              <w:rPr>
                <w:sz w:val="18"/>
                <w:szCs w:val="18"/>
              </w:rPr>
            </w:pPr>
            <w:r w:rsidRPr="00AC375F">
              <w:rPr>
                <w:sz w:val="18"/>
                <w:szCs w:val="18"/>
              </w:rPr>
              <w:t>rujan</w:t>
            </w:r>
          </w:p>
        </w:tc>
        <w:tc>
          <w:tcPr>
            <w:tcW w:w="1563" w:type="dxa"/>
            <w:shd w:val="clear" w:color="auto" w:fill="FFFFFF" w:themeFill="background1"/>
            <w:noWrap/>
            <w:vAlign w:val="center"/>
          </w:tcPr>
          <w:p w14:paraId="7D23B9F4" w14:textId="77777777" w:rsidR="00AC375F" w:rsidRPr="00AC375F" w:rsidRDefault="00AC375F" w:rsidP="00AC375F">
            <w:pPr>
              <w:jc w:val="center"/>
              <w:rPr>
                <w:sz w:val="18"/>
                <w:szCs w:val="18"/>
              </w:rPr>
            </w:pPr>
            <w:r w:rsidRPr="00AC375F">
              <w:rPr>
                <w:sz w:val="18"/>
                <w:szCs w:val="18"/>
              </w:rPr>
              <w:t>3</w:t>
            </w:r>
          </w:p>
        </w:tc>
      </w:tr>
      <w:tr w:rsidR="00AC375F" w:rsidRPr="00AC375F" w14:paraId="06C8C82C" w14:textId="77777777" w:rsidTr="00991955">
        <w:trPr>
          <w:trHeight w:val="237"/>
        </w:trPr>
        <w:tc>
          <w:tcPr>
            <w:tcW w:w="4390" w:type="dxa"/>
            <w:shd w:val="clear" w:color="auto" w:fill="auto"/>
            <w:noWrap/>
            <w:vAlign w:val="center"/>
          </w:tcPr>
          <w:p w14:paraId="7DE53B8C" w14:textId="77777777" w:rsidR="00AC375F" w:rsidRPr="00AC375F" w:rsidRDefault="00AC375F" w:rsidP="00AC375F">
            <w:pPr>
              <w:rPr>
                <w:bCs/>
                <w:sz w:val="18"/>
                <w:szCs w:val="18"/>
              </w:rPr>
            </w:pPr>
            <w:r w:rsidRPr="00AC375F">
              <w:rPr>
                <w:bCs/>
                <w:sz w:val="18"/>
                <w:szCs w:val="18"/>
              </w:rPr>
              <w:t>Plenary meeting</w:t>
            </w:r>
          </w:p>
        </w:tc>
        <w:tc>
          <w:tcPr>
            <w:tcW w:w="1417" w:type="dxa"/>
            <w:shd w:val="clear" w:color="auto" w:fill="FFFFFF" w:themeFill="background1"/>
            <w:noWrap/>
            <w:vAlign w:val="center"/>
          </w:tcPr>
          <w:p w14:paraId="5E2A7620" w14:textId="77777777" w:rsidR="00AC375F" w:rsidRPr="00AC375F" w:rsidRDefault="00AC375F" w:rsidP="00AC375F">
            <w:pPr>
              <w:jc w:val="center"/>
              <w:rPr>
                <w:sz w:val="18"/>
                <w:szCs w:val="18"/>
              </w:rPr>
            </w:pPr>
            <w:r w:rsidRPr="00AC375F">
              <w:rPr>
                <w:sz w:val="18"/>
                <w:szCs w:val="18"/>
              </w:rPr>
              <w:t>Amsterdam</w:t>
            </w:r>
          </w:p>
        </w:tc>
        <w:tc>
          <w:tcPr>
            <w:tcW w:w="992" w:type="dxa"/>
            <w:shd w:val="clear" w:color="auto" w:fill="FFFFFF" w:themeFill="background1"/>
            <w:noWrap/>
            <w:vAlign w:val="center"/>
          </w:tcPr>
          <w:p w14:paraId="1E0284AA" w14:textId="77777777" w:rsidR="00AC375F" w:rsidRPr="00AC375F" w:rsidRDefault="00AC375F" w:rsidP="00AC375F">
            <w:pPr>
              <w:jc w:val="center"/>
              <w:rPr>
                <w:sz w:val="18"/>
                <w:szCs w:val="18"/>
              </w:rPr>
            </w:pPr>
            <w:r w:rsidRPr="00AC375F">
              <w:rPr>
                <w:sz w:val="18"/>
                <w:szCs w:val="18"/>
              </w:rPr>
              <w:t>1</w:t>
            </w:r>
          </w:p>
        </w:tc>
        <w:tc>
          <w:tcPr>
            <w:tcW w:w="993" w:type="dxa"/>
            <w:shd w:val="clear" w:color="auto" w:fill="FFFFFF" w:themeFill="background1"/>
            <w:noWrap/>
            <w:vAlign w:val="center"/>
          </w:tcPr>
          <w:p w14:paraId="61A83BD5" w14:textId="77777777" w:rsidR="00AC375F" w:rsidRPr="00AC375F" w:rsidRDefault="00AC375F" w:rsidP="00AC375F">
            <w:pPr>
              <w:jc w:val="center"/>
              <w:rPr>
                <w:sz w:val="18"/>
                <w:szCs w:val="18"/>
              </w:rPr>
            </w:pPr>
            <w:r w:rsidRPr="00AC375F">
              <w:rPr>
                <w:sz w:val="18"/>
                <w:szCs w:val="18"/>
              </w:rPr>
              <w:t>listopad</w:t>
            </w:r>
          </w:p>
        </w:tc>
        <w:tc>
          <w:tcPr>
            <w:tcW w:w="1563" w:type="dxa"/>
            <w:shd w:val="clear" w:color="auto" w:fill="FFFFFF" w:themeFill="background1"/>
            <w:noWrap/>
            <w:vAlign w:val="center"/>
          </w:tcPr>
          <w:p w14:paraId="0E0C3E90" w14:textId="77777777" w:rsidR="00AC375F" w:rsidRPr="00AC375F" w:rsidRDefault="00AC375F" w:rsidP="00AC375F">
            <w:pPr>
              <w:jc w:val="center"/>
              <w:rPr>
                <w:sz w:val="18"/>
                <w:szCs w:val="18"/>
              </w:rPr>
            </w:pPr>
            <w:r w:rsidRPr="00AC375F">
              <w:rPr>
                <w:sz w:val="18"/>
                <w:szCs w:val="18"/>
              </w:rPr>
              <w:t>3</w:t>
            </w:r>
          </w:p>
        </w:tc>
      </w:tr>
      <w:tr w:rsidR="00AC375F" w:rsidRPr="00AC375F" w14:paraId="4F80F563" w14:textId="77777777" w:rsidTr="00991955">
        <w:trPr>
          <w:trHeight w:val="237"/>
        </w:trPr>
        <w:tc>
          <w:tcPr>
            <w:tcW w:w="4390" w:type="dxa"/>
            <w:shd w:val="clear" w:color="auto" w:fill="auto"/>
            <w:noWrap/>
            <w:vAlign w:val="center"/>
          </w:tcPr>
          <w:p w14:paraId="5FB3F9C1" w14:textId="77777777" w:rsidR="00AC375F" w:rsidRPr="00AC375F" w:rsidRDefault="00AC375F" w:rsidP="00AC375F">
            <w:pPr>
              <w:rPr>
                <w:bCs/>
                <w:sz w:val="18"/>
                <w:szCs w:val="18"/>
              </w:rPr>
            </w:pPr>
            <w:r w:rsidRPr="00AC375F">
              <w:rPr>
                <w:bCs/>
                <w:sz w:val="18"/>
                <w:szCs w:val="18"/>
              </w:rPr>
              <w:t>Strategic Learning and Review Meeting</w:t>
            </w:r>
          </w:p>
        </w:tc>
        <w:tc>
          <w:tcPr>
            <w:tcW w:w="1417" w:type="dxa"/>
            <w:shd w:val="clear" w:color="auto" w:fill="FFFFFF" w:themeFill="background1"/>
            <w:noWrap/>
            <w:vAlign w:val="center"/>
          </w:tcPr>
          <w:p w14:paraId="16813CAE" w14:textId="77777777" w:rsidR="00AC375F" w:rsidRPr="00AC375F" w:rsidRDefault="00AC375F" w:rsidP="00AC375F">
            <w:pPr>
              <w:jc w:val="center"/>
              <w:rPr>
                <w:sz w:val="18"/>
                <w:szCs w:val="18"/>
              </w:rPr>
            </w:pPr>
            <w:r w:rsidRPr="00AC375F">
              <w:rPr>
                <w:sz w:val="18"/>
                <w:szCs w:val="18"/>
              </w:rPr>
              <w:t>Madrid</w:t>
            </w:r>
          </w:p>
        </w:tc>
        <w:tc>
          <w:tcPr>
            <w:tcW w:w="992" w:type="dxa"/>
            <w:shd w:val="clear" w:color="auto" w:fill="FFFFFF" w:themeFill="background1"/>
            <w:noWrap/>
            <w:vAlign w:val="center"/>
          </w:tcPr>
          <w:p w14:paraId="77019156" w14:textId="77777777" w:rsidR="00AC375F" w:rsidRPr="00AC375F" w:rsidRDefault="00AC375F" w:rsidP="00AC375F">
            <w:pPr>
              <w:jc w:val="center"/>
              <w:rPr>
                <w:sz w:val="18"/>
                <w:szCs w:val="18"/>
              </w:rPr>
            </w:pPr>
            <w:r w:rsidRPr="00AC375F">
              <w:rPr>
                <w:sz w:val="18"/>
                <w:szCs w:val="18"/>
              </w:rPr>
              <w:t>1</w:t>
            </w:r>
          </w:p>
        </w:tc>
        <w:tc>
          <w:tcPr>
            <w:tcW w:w="993" w:type="dxa"/>
            <w:shd w:val="clear" w:color="auto" w:fill="FFFFFF" w:themeFill="background1"/>
            <w:noWrap/>
            <w:vAlign w:val="center"/>
          </w:tcPr>
          <w:p w14:paraId="12317DF1" w14:textId="77777777" w:rsidR="00AC375F" w:rsidRPr="00AC375F" w:rsidRDefault="00AC375F" w:rsidP="00AC375F">
            <w:pPr>
              <w:jc w:val="center"/>
              <w:rPr>
                <w:sz w:val="18"/>
                <w:szCs w:val="18"/>
              </w:rPr>
            </w:pPr>
            <w:r w:rsidRPr="00AC375F">
              <w:rPr>
                <w:sz w:val="18"/>
                <w:szCs w:val="18"/>
              </w:rPr>
              <w:t>listopad</w:t>
            </w:r>
          </w:p>
        </w:tc>
        <w:tc>
          <w:tcPr>
            <w:tcW w:w="1563" w:type="dxa"/>
            <w:shd w:val="clear" w:color="auto" w:fill="FFFFFF" w:themeFill="background1"/>
            <w:noWrap/>
            <w:vAlign w:val="center"/>
          </w:tcPr>
          <w:p w14:paraId="0FB93708" w14:textId="77777777" w:rsidR="00AC375F" w:rsidRPr="00AC375F" w:rsidRDefault="00AC375F" w:rsidP="00AC375F">
            <w:pPr>
              <w:jc w:val="center"/>
              <w:rPr>
                <w:sz w:val="18"/>
                <w:szCs w:val="18"/>
              </w:rPr>
            </w:pPr>
            <w:r w:rsidRPr="00AC375F">
              <w:rPr>
                <w:sz w:val="18"/>
                <w:szCs w:val="18"/>
              </w:rPr>
              <w:t>3</w:t>
            </w:r>
          </w:p>
        </w:tc>
      </w:tr>
      <w:tr w:rsidR="00AC375F" w:rsidRPr="00AC375F" w14:paraId="235D7DF3" w14:textId="77777777" w:rsidTr="00991955">
        <w:trPr>
          <w:trHeight w:val="237"/>
        </w:trPr>
        <w:tc>
          <w:tcPr>
            <w:tcW w:w="4390" w:type="dxa"/>
            <w:shd w:val="clear" w:color="auto" w:fill="auto"/>
            <w:noWrap/>
            <w:vAlign w:val="center"/>
          </w:tcPr>
          <w:p w14:paraId="2152BBBF" w14:textId="77777777" w:rsidR="00AC375F" w:rsidRPr="00AC375F" w:rsidRDefault="00AC375F" w:rsidP="00AC375F">
            <w:pPr>
              <w:rPr>
                <w:bCs/>
                <w:sz w:val="18"/>
                <w:szCs w:val="18"/>
              </w:rPr>
            </w:pPr>
            <w:r w:rsidRPr="00AC375F">
              <w:rPr>
                <w:bCs/>
                <w:sz w:val="18"/>
                <w:szCs w:val="18"/>
              </w:rPr>
              <w:t>Plenary meeting</w:t>
            </w:r>
          </w:p>
        </w:tc>
        <w:tc>
          <w:tcPr>
            <w:tcW w:w="1417" w:type="dxa"/>
            <w:shd w:val="clear" w:color="auto" w:fill="FFFFFF" w:themeFill="background1"/>
            <w:noWrap/>
            <w:vAlign w:val="center"/>
          </w:tcPr>
          <w:p w14:paraId="7DF94D9F"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FFFFFF" w:themeFill="background1"/>
            <w:noWrap/>
            <w:vAlign w:val="center"/>
          </w:tcPr>
          <w:p w14:paraId="6023D8A7" w14:textId="77777777" w:rsidR="00AC375F" w:rsidRPr="00AC375F" w:rsidRDefault="00AC375F" w:rsidP="00AC375F">
            <w:pPr>
              <w:jc w:val="center"/>
              <w:rPr>
                <w:sz w:val="18"/>
                <w:szCs w:val="18"/>
              </w:rPr>
            </w:pPr>
            <w:r w:rsidRPr="00AC375F">
              <w:rPr>
                <w:sz w:val="18"/>
                <w:szCs w:val="18"/>
              </w:rPr>
              <w:t>1</w:t>
            </w:r>
          </w:p>
        </w:tc>
        <w:tc>
          <w:tcPr>
            <w:tcW w:w="993" w:type="dxa"/>
            <w:shd w:val="clear" w:color="auto" w:fill="FFFFFF" w:themeFill="background1"/>
            <w:noWrap/>
            <w:vAlign w:val="center"/>
          </w:tcPr>
          <w:p w14:paraId="5A3B5D4D" w14:textId="77777777" w:rsidR="00AC375F" w:rsidRPr="00AC375F" w:rsidRDefault="00AC375F" w:rsidP="00AC375F">
            <w:pPr>
              <w:jc w:val="center"/>
              <w:rPr>
                <w:sz w:val="18"/>
                <w:szCs w:val="18"/>
              </w:rPr>
            </w:pPr>
            <w:r w:rsidRPr="00AC375F">
              <w:rPr>
                <w:sz w:val="18"/>
                <w:szCs w:val="18"/>
              </w:rPr>
              <w:t>studeni</w:t>
            </w:r>
          </w:p>
        </w:tc>
        <w:tc>
          <w:tcPr>
            <w:tcW w:w="1563" w:type="dxa"/>
            <w:shd w:val="clear" w:color="auto" w:fill="FFFFFF" w:themeFill="background1"/>
            <w:noWrap/>
            <w:vAlign w:val="center"/>
          </w:tcPr>
          <w:p w14:paraId="32773C9F" w14:textId="77777777" w:rsidR="00AC375F" w:rsidRPr="00AC375F" w:rsidRDefault="00AC375F" w:rsidP="00AC375F">
            <w:pPr>
              <w:jc w:val="center"/>
              <w:rPr>
                <w:sz w:val="18"/>
                <w:szCs w:val="18"/>
              </w:rPr>
            </w:pPr>
            <w:r w:rsidRPr="00AC375F">
              <w:rPr>
                <w:sz w:val="18"/>
                <w:szCs w:val="18"/>
              </w:rPr>
              <w:t>2</w:t>
            </w:r>
          </w:p>
        </w:tc>
      </w:tr>
      <w:tr w:rsidR="00AC375F" w:rsidRPr="00AC375F" w14:paraId="5A76913E" w14:textId="77777777" w:rsidTr="00991955">
        <w:trPr>
          <w:trHeight w:val="237"/>
        </w:trPr>
        <w:tc>
          <w:tcPr>
            <w:tcW w:w="4390" w:type="dxa"/>
            <w:shd w:val="clear" w:color="auto" w:fill="auto"/>
            <w:noWrap/>
            <w:vAlign w:val="center"/>
          </w:tcPr>
          <w:p w14:paraId="54B5931E" w14:textId="77777777" w:rsidR="00AC375F" w:rsidRPr="00AC375F" w:rsidRDefault="00AC375F" w:rsidP="00AC375F">
            <w:pPr>
              <w:rPr>
                <w:bCs/>
                <w:sz w:val="18"/>
                <w:szCs w:val="18"/>
              </w:rPr>
            </w:pPr>
            <w:r w:rsidRPr="00AC375F">
              <w:rPr>
                <w:bCs/>
                <w:sz w:val="18"/>
                <w:szCs w:val="18"/>
              </w:rPr>
              <w:t>Plenary meeting</w:t>
            </w:r>
          </w:p>
        </w:tc>
        <w:tc>
          <w:tcPr>
            <w:tcW w:w="1417" w:type="dxa"/>
            <w:shd w:val="clear" w:color="auto" w:fill="FFFFFF" w:themeFill="background1"/>
            <w:noWrap/>
            <w:vAlign w:val="center"/>
          </w:tcPr>
          <w:p w14:paraId="54D9B672" w14:textId="77777777" w:rsidR="00AC375F" w:rsidRPr="00AC375F" w:rsidRDefault="00AC375F" w:rsidP="00AC375F">
            <w:pPr>
              <w:jc w:val="center"/>
              <w:rPr>
                <w:sz w:val="18"/>
                <w:szCs w:val="18"/>
              </w:rPr>
            </w:pPr>
            <w:r w:rsidRPr="00AC375F">
              <w:rPr>
                <w:sz w:val="18"/>
                <w:szCs w:val="18"/>
              </w:rPr>
              <w:t>Amsterdam</w:t>
            </w:r>
          </w:p>
        </w:tc>
        <w:tc>
          <w:tcPr>
            <w:tcW w:w="992" w:type="dxa"/>
            <w:shd w:val="clear" w:color="auto" w:fill="FFFFFF" w:themeFill="background1"/>
            <w:noWrap/>
            <w:vAlign w:val="center"/>
          </w:tcPr>
          <w:p w14:paraId="3F39175E" w14:textId="77777777" w:rsidR="00AC375F" w:rsidRPr="00AC375F" w:rsidRDefault="00AC375F" w:rsidP="00AC375F">
            <w:pPr>
              <w:jc w:val="center"/>
              <w:rPr>
                <w:sz w:val="18"/>
                <w:szCs w:val="18"/>
              </w:rPr>
            </w:pPr>
            <w:r w:rsidRPr="00AC375F">
              <w:rPr>
                <w:sz w:val="18"/>
                <w:szCs w:val="18"/>
              </w:rPr>
              <w:t>2</w:t>
            </w:r>
          </w:p>
        </w:tc>
        <w:tc>
          <w:tcPr>
            <w:tcW w:w="993" w:type="dxa"/>
            <w:shd w:val="clear" w:color="auto" w:fill="FFFFFF" w:themeFill="background1"/>
            <w:noWrap/>
            <w:vAlign w:val="center"/>
          </w:tcPr>
          <w:p w14:paraId="0C4256D4" w14:textId="77777777" w:rsidR="00AC375F" w:rsidRPr="00AC375F" w:rsidRDefault="00AC375F" w:rsidP="00AC375F">
            <w:pPr>
              <w:jc w:val="center"/>
              <w:rPr>
                <w:sz w:val="18"/>
                <w:szCs w:val="18"/>
              </w:rPr>
            </w:pPr>
            <w:r w:rsidRPr="00AC375F">
              <w:rPr>
                <w:sz w:val="18"/>
                <w:szCs w:val="18"/>
              </w:rPr>
              <w:t>prosinac</w:t>
            </w:r>
          </w:p>
        </w:tc>
        <w:tc>
          <w:tcPr>
            <w:tcW w:w="1563" w:type="dxa"/>
            <w:shd w:val="clear" w:color="auto" w:fill="FFFFFF" w:themeFill="background1"/>
            <w:noWrap/>
            <w:vAlign w:val="center"/>
          </w:tcPr>
          <w:p w14:paraId="6809C925" w14:textId="77777777" w:rsidR="00AC375F" w:rsidRPr="00AC375F" w:rsidRDefault="00AC375F" w:rsidP="00AC375F">
            <w:pPr>
              <w:jc w:val="center"/>
              <w:rPr>
                <w:sz w:val="18"/>
                <w:szCs w:val="18"/>
              </w:rPr>
            </w:pPr>
            <w:r w:rsidRPr="00AC375F">
              <w:rPr>
                <w:sz w:val="18"/>
                <w:szCs w:val="18"/>
              </w:rPr>
              <w:t>3</w:t>
            </w:r>
          </w:p>
        </w:tc>
      </w:tr>
      <w:tr w:rsidR="00AC375F" w:rsidRPr="00AC375F" w14:paraId="514C3998" w14:textId="77777777" w:rsidTr="00991955">
        <w:trPr>
          <w:trHeight w:val="237"/>
        </w:trPr>
        <w:tc>
          <w:tcPr>
            <w:tcW w:w="4390" w:type="dxa"/>
            <w:shd w:val="clear" w:color="auto" w:fill="auto"/>
            <w:noWrap/>
            <w:vAlign w:val="center"/>
          </w:tcPr>
          <w:p w14:paraId="11AEDA95" w14:textId="77777777" w:rsidR="00AC375F" w:rsidRPr="00AC375F" w:rsidRDefault="00AC375F" w:rsidP="00AC375F">
            <w:pPr>
              <w:rPr>
                <w:b/>
                <w:bCs/>
                <w:sz w:val="18"/>
                <w:szCs w:val="18"/>
              </w:rPr>
            </w:pPr>
            <w:r w:rsidRPr="00AC375F">
              <w:rPr>
                <w:b/>
                <w:bCs/>
                <w:sz w:val="18"/>
                <w:szCs w:val="18"/>
              </w:rPr>
              <w:t xml:space="preserve">HMPC </w:t>
            </w:r>
          </w:p>
        </w:tc>
        <w:tc>
          <w:tcPr>
            <w:tcW w:w="1417" w:type="dxa"/>
            <w:shd w:val="clear" w:color="auto" w:fill="FFFFFF" w:themeFill="background1"/>
            <w:noWrap/>
            <w:vAlign w:val="center"/>
          </w:tcPr>
          <w:p w14:paraId="7C043E8C" w14:textId="77777777" w:rsidR="00AC375F" w:rsidRPr="00AC375F" w:rsidRDefault="00AC375F" w:rsidP="00AC375F">
            <w:pPr>
              <w:jc w:val="center"/>
              <w:rPr>
                <w:sz w:val="18"/>
                <w:szCs w:val="18"/>
              </w:rPr>
            </w:pPr>
          </w:p>
        </w:tc>
        <w:tc>
          <w:tcPr>
            <w:tcW w:w="992" w:type="dxa"/>
            <w:shd w:val="clear" w:color="auto" w:fill="FFFFFF" w:themeFill="background1"/>
            <w:noWrap/>
            <w:vAlign w:val="center"/>
          </w:tcPr>
          <w:p w14:paraId="49E07872" w14:textId="77777777" w:rsidR="00AC375F" w:rsidRPr="00AC375F" w:rsidRDefault="00AC375F" w:rsidP="00AC375F">
            <w:pPr>
              <w:jc w:val="center"/>
              <w:rPr>
                <w:sz w:val="18"/>
                <w:szCs w:val="18"/>
              </w:rPr>
            </w:pPr>
          </w:p>
        </w:tc>
        <w:tc>
          <w:tcPr>
            <w:tcW w:w="993" w:type="dxa"/>
            <w:shd w:val="clear" w:color="auto" w:fill="FFFFFF" w:themeFill="background1"/>
            <w:noWrap/>
            <w:vAlign w:val="center"/>
          </w:tcPr>
          <w:p w14:paraId="4379835B" w14:textId="77777777" w:rsidR="00AC375F" w:rsidRPr="00AC375F" w:rsidRDefault="00AC375F" w:rsidP="00AC375F">
            <w:pPr>
              <w:jc w:val="center"/>
              <w:rPr>
                <w:sz w:val="18"/>
                <w:szCs w:val="18"/>
              </w:rPr>
            </w:pPr>
          </w:p>
        </w:tc>
        <w:tc>
          <w:tcPr>
            <w:tcW w:w="1563" w:type="dxa"/>
            <w:shd w:val="clear" w:color="auto" w:fill="FFFFFF" w:themeFill="background1"/>
            <w:noWrap/>
            <w:vAlign w:val="center"/>
          </w:tcPr>
          <w:p w14:paraId="27B12103" w14:textId="77777777" w:rsidR="00AC375F" w:rsidRPr="00AC375F" w:rsidRDefault="00AC375F" w:rsidP="00AC375F">
            <w:pPr>
              <w:jc w:val="center"/>
              <w:rPr>
                <w:sz w:val="18"/>
                <w:szCs w:val="18"/>
              </w:rPr>
            </w:pPr>
          </w:p>
        </w:tc>
      </w:tr>
      <w:tr w:rsidR="00AC375F" w:rsidRPr="00AC375F" w14:paraId="5C9E4F04" w14:textId="77777777" w:rsidTr="00991955">
        <w:trPr>
          <w:trHeight w:val="237"/>
        </w:trPr>
        <w:tc>
          <w:tcPr>
            <w:tcW w:w="4390" w:type="dxa"/>
            <w:shd w:val="clear" w:color="auto" w:fill="auto"/>
            <w:noWrap/>
            <w:vAlign w:val="center"/>
          </w:tcPr>
          <w:p w14:paraId="744A5D53" w14:textId="77777777" w:rsidR="00AC375F" w:rsidRPr="00AC375F" w:rsidRDefault="00AC375F" w:rsidP="00AC375F">
            <w:pPr>
              <w:rPr>
                <w:bCs/>
                <w:sz w:val="18"/>
                <w:szCs w:val="18"/>
              </w:rPr>
            </w:pPr>
            <w:r w:rsidRPr="00AC375F">
              <w:rPr>
                <w:bCs/>
                <w:sz w:val="18"/>
                <w:szCs w:val="18"/>
              </w:rPr>
              <w:t>Plenary meeting</w:t>
            </w:r>
          </w:p>
        </w:tc>
        <w:tc>
          <w:tcPr>
            <w:tcW w:w="1417" w:type="dxa"/>
            <w:shd w:val="clear" w:color="auto" w:fill="FFFFFF" w:themeFill="background1"/>
            <w:noWrap/>
            <w:vAlign w:val="center"/>
          </w:tcPr>
          <w:p w14:paraId="63EB2293" w14:textId="77777777" w:rsidR="00AC375F" w:rsidRPr="00AC375F" w:rsidRDefault="00AC375F" w:rsidP="00AC375F">
            <w:pPr>
              <w:jc w:val="center"/>
              <w:rPr>
                <w:sz w:val="18"/>
                <w:szCs w:val="18"/>
              </w:rPr>
            </w:pPr>
            <w:r w:rsidRPr="00AC375F">
              <w:rPr>
                <w:sz w:val="18"/>
                <w:szCs w:val="18"/>
              </w:rPr>
              <w:t>Virtualno, Amsterdam</w:t>
            </w:r>
          </w:p>
        </w:tc>
        <w:tc>
          <w:tcPr>
            <w:tcW w:w="992" w:type="dxa"/>
            <w:shd w:val="clear" w:color="auto" w:fill="FFFFFF" w:themeFill="background1"/>
            <w:noWrap/>
            <w:vAlign w:val="center"/>
          </w:tcPr>
          <w:p w14:paraId="4E9A511F" w14:textId="77777777" w:rsidR="00AC375F" w:rsidRPr="00AC375F" w:rsidRDefault="00AC375F" w:rsidP="00AC375F">
            <w:pPr>
              <w:jc w:val="center"/>
              <w:rPr>
                <w:sz w:val="18"/>
                <w:szCs w:val="18"/>
              </w:rPr>
            </w:pPr>
            <w:r w:rsidRPr="00AC375F">
              <w:rPr>
                <w:sz w:val="18"/>
                <w:szCs w:val="18"/>
              </w:rPr>
              <w:t>2</w:t>
            </w:r>
          </w:p>
        </w:tc>
        <w:tc>
          <w:tcPr>
            <w:tcW w:w="993" w:type="dxa"/>
            <w:shd w:val="clear" w:color="auto" w:fill="FFFFFF" w:themeFill="background1"/>
            <w:noWrap/>
            <w:vAlign w:val="center"/>
          </w:tcPr>
          <w:p w14:paraId="1126E56F" w14:textId="77777777" w:rsidR="00AC375F" w:rsidRPr="00AC375F" w:rsidRDefault="00AC375F" w:rsidP="00AC375F">
            <w:pPr>
              <w:jc w:val="center"/>
              <w:rPr>
                <w:sz w:val="18"/>
                <w:szCs w:val="18"/>
              </w:rPr>
            </w:pPr>
            <w:r w:rsidRPr="00AC375F">
              <w:rPr>
                <w:sz w:val="18"/>
                <w:szCs w:val="18"/>
              </w:rPr>
              <w:t>siječanj</w:t>
            </w:r>
          </w:p>
        </w:tc>
        <w:tc>
          <w:tcPr>
            <w:tcW w:w="1563" w:type="dxa"/>
            <w:shd w:val="clear" w:color="auto" w:fill="FFFFFF" w:themeFill="background1"/>
            <w:noWrap/>
            <w:vAlign w:val="center"/>
          </w:tcPr>
          <w:p w14:paraId="1C3C9EA1" w14:textId="77777777" w:rsidR="00AC375F" w:rsidRPr="00AC375F" w:rsidRDefault="00AC375F" w:rsidP="00AC375F">
            <w:pPr>
              <w:jc w:val="center"/>
              <w:rPr>
                <w:sz w:val="18"/>
                <w:szCs w:val="18"/>
              </w:rPr>
            </w:pPr>
            <w:r w:rsidRPr="00AC375F">
              <w:rPr>
                <w:sz w:val="18"/>
                <w:szCs w:val="18"/>
              </w:rPr>
              <w:t>3,3</w:t>
            </w:r>
          </w:p>
        </w:tc>
      </w:tr>
      <w:tr w:rsidR="00AC375F" w:rsidRPr="00AC375F" w14:paraId="3FBFB6A9" w14:textId="77777777" w:rsidTr="00991955">
        <w:trPr>
          <w:trHeight w:val="237"/>
        </w:trPr>
        <w:tc>
          <w:tcPr>
            <w:tcW w:w="4390" w:type="dxa"/>
            <w:shd w:val="clear" w:color="auto" w:fill="auto"/>
            <w:noWrap/>
            <w:vAlign w:val="center"/>
          </w:tcPr>
          <w:p w14:paraId="404A4610" w14:textId="77777777" w:rsidR="00AC375F" w:rsidRPr="00AC375F" w:rsidRDefault="00AC375F" w:rsidP="00AC375F">
            <w:pPr>
              <w:rPr>
                <w:bCs/>
                <w:sz w:val="18"/>
                <w:szCs w:val="18"/>
              </w:rPr>
            </w:pPr>
            <w:r w:rsidRPr="00AC375F">
              <w:rPr>
                <w:bCs/>
                <w:sz w:val="18"/>
                <w:szCs w:val="18"/>
              </w:rPr>
              <w:t>Plenary meeting</w:t>
            </w:r>
          </w:p>
        </w:tc>
        <w:tc>
          <w:tcPr>
            <w:tcW w:w="1417" w:type="dxa"/>
            <w:shd w:val="clear" w:color="auto" w:fill="FFFFFF" w:themeFill="background1"/>
            <w:noWrap/>
            <w:vAlign w:val="center"/>
          </w:tcPr>
          <w:p w14:paraId="7C6EA615" w14:textId="77777777" w:rsidR="00AC375F" w:rsidRPr="00AC375F" w:rsidRDefault="00AC375F" w:rsidP="00AC375F">
            <w:pPr>
              <w:jc w:val="center"/>
              <w:rPr>
                <w:sz w:val="18"/>
                <w:szCs w:val="18"/>
              </w:rPr>
            </w:pPr>
            <w:r w:rsidRPr="00AC375F">
              <w:rPr>
                <w:sz w:val="18"/>
                <w:szCs w:val="18"/>
              </w:rPr>
              <w:t>Virtualno-Amsterdam</w:t>
            </w:r>
          </w:p>
        </w:tc>
        <w:tc>
          <w:tcPr>
            <w:tcW w:w="992" w:type="dxa"/>
            <w:shd w:val="clear" w:color="auto" w:fill="FFFFFF" w:themeFill="background1"/>
            <w:noWrap/>
            <w:vAlign w:val="center"/>
          </w:tcPr>
          <w:p w14:paraId="3BE65E67" w14:textId="77777777" w:rsidR="00AC375F" w:rsidRPr="00AC375F" w:rsidRDefault="00AC375F" w:rsidP="00AC375F">
            <w:pPr>
              <w:jc w:val="center"/>
              <w:rPr>
                <w:sz w:val="18"/>
                <w:szCs w:val="18"/>
              </w:rPr>
            </w:pPr>
            <w:r w:rsidRPr="00AC375F">
              <w:rPr>
                <w:sz w:val="18"/>
                <w:szCs w:val="18"/>
              </w:rPr>
              <w:t>2</w:t>
            </w:r>
          </w:p>
        </w:tc>
        <w:tc>
          <w:tcPr>
            <w:tcW w:w="993" w:type="dxa"/>
            <w:shd w:val="clear" w:color="auto" w:fill="FFFFFF" w:themeFill="background1"/>
            <w:noWrap/>
            <w:vAlign w:val="center"/>
          </w:tcPr>
          <w:p w14:paraId="0FC0691E" w14:textId="77777777" w:rsidR="00AC375F" w:rsidRPr="00AC375F" w:rsidRDefault="00AC375F" w:rsidP="00AC375F">
            <w:pPr>
              <w:jc w:val="center"/>
              <w:rPr>
                <w:sz w:val="18"/>
                <w:szCs w:val="18"/>
              </w:rPr>
            </w:pPr>
            <w:r w:rsidRPr="00AC375F">
              <w:rPr>
                <w:sz w:val="18"/>
                <w:szCs w:val="18"/>
              </w:rPr>
              <w:t>ožujak</w:t>
            </w:r>
          </w:p>
        </w:tc>
        <w:tc>
          <w:tcPr>
            <w:tcW w:w="1563" w:type="dxa"/>
            <w:shd w:val="clear" w:color="auto" w:fill="FFFFFF" w:themeFill="background1"/>
            <w:noWrap/>
            <w:vAlign w:val="center"/>
          </w:tcPr>
          <w:p w14:paraId="638D5340" w14:textId="77777777" w:rsidR="00AC375F" w:rsidRPr="00AC375F" w:rsidRDefault="00AC375F" w:rsidP="00AC375F">
            <w:pPr>
              <w:jc w:val="center"/>
              <w:rPr>
                <w:sz w:val="18"/>
                <w:szCs w:val="18"/>
              </w:rPr>
            </w:pPr>
            <w:r w:rsidRPr="00AC375F">
              <w:rPr>
                <w:sz w:val="18"/>
                <w:szCs w:val="18"/>
              </w:rPr>
              <w:t>3,3</w:t>
            </w:r>
          </w:p>
        </w:tc>
      </w:tr>
      <w:tr w:rsidR="00AC375F" w:rsidRPr="00AC375F" w14:paraId="159349CF" w14:textId="77777777" w:rsidTr="00991955">
        <w:trPr>
          <w:trHeight w:val="237"/>
        </w:trPr>
        <w:tc>
          <w:tcPr>
            <w:tcW w:w="4390" w:type="dxa"/>
            <w:shd w:val="clear" w:color="auto" w:fill="auto"/>
            <w:noWrap/>
            <w:vAlign w:val="center"/>
          </w:tcPr>
          <w:p w14:paraId="38CF4743" w14:textId="77777777" w:rsidR="00AC375F" w:rsidRPr="00AC375F" w:rsidRDefault="00AC375F" w:rsidP="00AC375F">
            <w:pPr>
              <w:rPr>
                <w:bCs/>
                <w:sz w:val="18"/>
                <w:szCs w:val="18"/>
              </w:rPr>
            </w:pPr>
            <w:r w:rsidRPr="00AC375F">
              <w:rPr>
                <w:bCs/>
                <w:sz w:val="18"/>
                <w:szCs w:val="18"/>
              </w:rPr>
              <w:t>Plenary meeting</w:t>
            </w:r>
          </w:p>
        </w:tc>
        <w:tc>
          <w:tcPr>
            <w:tcW w:w="1417" w:type="dxa"/>
            <w:shd w:val="clear" w:color="auto" w:fill="FFFFFF" w:themeFill="background1"/>
            <w:noWrap/>
            <w:vAlign w:val="center"/>
          </w:tcPr>
          <w:p w14:paraId="02EDB554" w14:textId="77777777" w:rsidR="00AC375F" w:rsidRPr="00AC375F" w:rsidRDefault="00AC375F" w:rsidP="00AC375F">
            <w:pPr>
              <w:jc w:val="center"/>
              <w:rPr>
                <w:sz w:val="18"/>
                <w:szCs w:val="18"/>
              </w:rPr>
            </w:pPr>
            <w:r w:rsidRPr="00AC375F">
              <w:rPr>
                <w:sz w:val="18"/>
                <w:szCs w:val="18"/>
              </w:rPr>
              <w:t>Virtualno, Amsterdam</w:t>
            </w:r>
          </w:p>
        </w:tc>
        <w:tc>
          <w:tcPr>
            <w:tcW w:w="992" w:type="dxa"/>
            <w:shd w:val="clear" w:color="auto" w:fill="FFFFFF" w:themeFill="background1"/>
            <w:noWrap/>
            <w:vAlign w:val="center"/>
          </w:tcPr>
          <w:p w14:paraId="7451FEC6" w14:textId="77777777" w:rsidR="00AC375F" w:rsidRPr="00AC375F" w:rsidRDefault="00AC375F" w:rsidP="00AC375F">
            <w:pPr>
              <w:jc w:val="center"/>
              <w:rPr>
                <w:sz w:val="18"/>
                <w:szCs w:val="18"/>
              </w:rPr>
            </w:pPr>
            <w:r w:rsidRPr="00AC375F">
              <w:rPr>
                <w:sz w:val="18"/>
                <w:szCs w:val="18"/>
              </w:rPr>
              <w:t>2</w:t>
            </w:r>
          </w:p>
        </w:tc>
        <w:tc>
          <w:tcPr>
            <w:tcW w:w="993" w:type="dxa"/>
            <w:shd w:val="clear" w:color="auto" w:fill="FFFFFF" w:themeFill="background1"/>
            <w:noWrap/>
            <w:vAlign w:val="center"/>
          </w:tcPr>
          <w:p w14:paraId="08A7F908" w14:textId="77777777" w:rsidR="00AC375F" w:rsidRPr="00AC375F" w:rsidRDefault="00AC375F" w:rsidP="00AC375F">
            <w:pPr>
              <w:jc w:val="center"/>
              <w:rPr>
                <w:sz w:val="18"/>
                <w:szCs w:val="18"/>
              </w:rPr>
            </w:pPr>
            <w:r w:rsidRPr="00AC375F">
              <w:rPr>
                <w:sz w:val="18"/>
                <w:szCs w:val="18"/>
              </w:rPr>
              <w:t>svibanj</w:t>
            </w:r>
          </w:p>
        </w:tc>
        <w:tc>
          <w:tcPr>
            <w:tcW w:w="1563" w:type="dxa"/>
            <w:shd w:val="clear" w:color="auto" w:fill="FFFFFF" w:themeFill="background1"/>
            <w:noWrap/>
            <w:vAlign w:val="center"/>
          </w:tcPr>
          <w:p w14:paraId="2F095F21" w14:textId="77777777" w:rsidR="00AC375F" w:rsidRPr="00AC375F" w:rsidRDefault="00AC375F" w:rsidP="00AC375F">
            <w:pPr>
              <w:jc w:val="center"/>
              <w:rPr>
                <w:sz w:val="18"/>
                <w:szCs w:val="18"/>
              </w:rPr>
            </w:pPr>
            <w:r w:rsidRPr="00AC375F">
              <w:rPr>
                <w:sz w:val="18"/>
                <w:szCs w:val="18"/>
              </w:rPr>
              <w:t>3,3</w:t>
            </w:r>
          </w:p>
        </w:tc>
      </w:tr>
      <w:tr w:rsidR="00AC375F" w:rsidRPr="00AC375F" w14:paraId="24F7B09A" w14:textId="77777777" w:rsidTr="00991955">
        <w:trPr>
          <w:trHeight w:val="237"/>
        </w:trPr>
        <w:tc>
          <w:tcPr>
            <w:tcW w:w="4390" w:type="dxa"/>
            <w:shd w:val="clear" w:color="auto" w:fill="auto"/>
            <w:noWrap/>
            <w:vAlign w:val="center"/>
          </w:tcPr>
          <w:p w14:paraId="4E83555A" w14:textId="77777777" w:rsidR="00AC375F" w:rsidRPr="00AC375F" w:rsidRDefault="00AC375F" w:rsidP="00AC375F">
            <w:pPr>
              <w:rPr>
                <w:bCs/>
                <w:sz w:val="18"/>
                <w:szCs w:val="18"/>
              </w:rPr>
            </w:pPr>
            <w:r w:rsidRPr="00AC375F">
              <w:rPr>
                <w:bCs/>
                <w:sz w:val="18"/>
                <w:szCs w:val="18"/>
              </w:rPr>
              <w:t>Plenary meeting</w:t>
            </w:r>
          </w:p>
        </w:tc>
        <w:tc>
          <w:tcPr>
            <w:tcW w:w="1417" w:type="dxa"/>
            <w:shd w:val="clear" w:color="auto" w:fill="FFFFFF" w:themeFill="background1"/>
            <w:noWrap/>
            <w:vAlign w:val="center"/>
          </w:tcPr>
          <w:p w14:paraId="1F6E3EA8"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FFFFFF" w:themeFill="background1"/>
            <w:noWrap/>
            <w:vAlign w:val="center"/>
          </w:tcPr>
          <w:p w14:paraId="63666827" w14:textId="77777777" w:rsidR="00AC375F" w:rsidRPr="00AC375F" w:rsidRDefault="00AC375F" w:rsidP="00AC375F">
            <w:pPr>
              <w:jc w:val="center"/>
              <w:rPr>
                <w:sz w:val="18"/>
                <w:szCs w:val="18"/>
              </w:rPr>
            </w:pPr>
            <w:r w:rsidRPr="00AC375F">
              <w:rPr>
                <w:sz w:val="18"/>
                <w:szCs w:val="18"/>
              </w:rPr>
              <w:t>2</w:t>
            </w:r>
          </w:p>
        </w:tc>
        <w:tc>
          <w:tcPr>
            <w:tcW w:w="993" w:type="dxa"/>
            <w:shd w:val="clear" w:color="auto" w:fill="FFFFFF" w:themeFill="background1"/>
            <w:noWrap/>
            <w:vAlign w:val="center"/>
          </w:tcPr>
          <w:p w14:paraId="6AB6980D" w14:textId="77777777" w:rsidR="00AC375F" w:rsidRPr="00AC375F" w:rsidRDefault="00AC375F" w:rsidP="00AC375F">
            <w:pPr>
              <w:jc w:val="center"/>
              <w:rPr>
                <w:sz w:val="18"/>
                <w:szCs w:val="18"/>
              </w:rPr>
            </w:pPr>
            <w:r w:rsidRPr="00AC375F">
              <w:rPr>
                <w:sz w:val="18"/>
                <w:szCs w:val="18"/>
              </w:rPr>
              <w:t>srpanj</w:t>
            </w:r>
          </w:p>
        </w:tc>
        <w:tc>
          <w:tcPr>
            <w:tcW w:w="1563" w:type="dxa"/>
            <w:shd w:val="clear" w:color="auto" w:fill="FFFFFF" w:themeFill="background1"/>
            <w:noWrap/>
            <w:vAlign w:val="center"/>
          </w:tcPr>
          <w:p w14:paraId="79F41C89" w14:textId="77777777" w:rsidR="00AC375F" w:rsidRPr="00AC375F" w:rsidRDefault="00AC375F" w:rsidP="00AC375F">
            <w:pPr>
              <w:jc w:val="center"/>
              <w:rPr>
                <w:sz w:val="18"/>
                <w:szCs w:val="18"/>
              </w:rPr>
            </w:pPr>
            <w:r w:rsidRPr="00AC375F">
              <w:rPr>
                <w:sz w:val="18"/>
                <w:szCs w:val="18"/>
              </w:rPr>
              <w:t>3,3</w:t>
            </w:r>
          </w:p>
        </w:tc>
      </w:tr>
      <w:tr w:rsidR="00AC375F" w:rsidRPr="00AC375F" w14:paraId="53081450" w14:textId="77777777" w:rsidTr="00991955">
        <w:trPr>
          <w:trHeight w:val="237"/>
        </w:trPr>
        <w:tc>
          <w:tcPr>
            <w:tcW w:w="4390" w:type="dxa"/>
            <w:shd w:val="clear" w:color="auto" w:fill="auto"/>
            <w:noWrap/>
            <w:vAlign w:val="center"/>
          </w:tcPr>
          <w:p w14:paraId="4D3ECF19" w14:textId="77777777" w:rsidR="00AC375F" w:rsidRPr="00AC375F" w:rsidRDefault="00AC375F" w:rsidP="00AC375F">
            <w:pPr>
              <w:rPr>
                <w:bCs/>
                <w:sz w:val="18"/>
                <w:szCs w:val="18"/>
              </w:rPr>
            </w:pPr>
            <w:r w:rsidRPr="00AC375F">
              <w:rPr>
                <w:bCs/>
                <w:sz w:val="18"/>
                <w:szCs w:val="18"/>
              </w:rPr>
              <w:t>Plenary meeting</w:t>
            </w:r>
          </w:p>
        </w:tc>
        <w:tc>
          <w:tcPr>
            <w:tcW w:w="1417" w:type="dxa"/>
            <w:shd w:val="clear" w:color="auto" w:fill="FFFFFF" w:themeFill="background1"/>
            <w:noWrap/>
            <w:vAlign w:val="center"/>
          </w:tcPr>
          <w:p w14:paraId="7D9BD309"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FFFFFF" w:themeFill="background1"/>
            <w:noWrap/>
            <w:vAlign w:val="center"/>
          </w:tcPr>
          <w:p w14:paraId="5DFC021E" w14:textId="77777777" w:rsidR="00AC375F" w:rsidRPr="00AC375F" w:rsidRDefault="00AC375F" w:rsidP="00AC375F">
            <w:pPr>
              <w:jc w:val="center"/>
              <w:rPr>
                <w:sz w:val="18"/>
                <w:szCs w:val="18"/>
              </w:rPr>
            </w:pPr>
            <w:r w:rsidRPr="00AC375F">
              <w:rPr>
                <w:sz w:val="18"/>
                <w:szCs w:val="18"/>
              </w:rPr>
              <w:t>2</w:t>
            </w:r>
          </w:p>
        </w:tc>
        <w:tc>
          <w:tcPr>
            <w:tcW w:w="993" w:type="dxa"/>
            <w:shd w:val="clear" w:color="auto" w:fill="FFFFFF" w:themeFill="background1"/>
            <w:noWrap/>
            <w:vAlign w:val="center"/>
          </w:tcPr>
          <w:p w14:paraId="27EA30DC" w14:textId="77777777" w:rsidR="00AC375F" w:rsidRPr="00AC375F" w:rsidRDefault="00AC375F" w:rsidP="00AC375F">
            <w:pPr>
              <w:jc w:val="center"/>
              <w:rPr>
                <w:sz w:val="18"/>
                <w:szCs w:val="18"/>
              </w:rPr>
            </w:pPr>
            <w:r w:rsidRPr="00AC375F">
              <w:rPr>
                <w:sz w:val="18"/>
                <w:szCs w:val="18"/>
              </w:rPr>
              <w:t>rujan</w:t>
            </w:r>
          </w:p>
        </w:tc>
        <w:tc>
          <w:tcPr>
            <w:tcW w:w="1563" w:type="dxa"/>
            <w:shd w:val="clear" w:color="auto" w:fill="FFFFFF" w:themeFill="background1"/>
            <w:noWrap/>
            <w:vAlign w:val="center"/>
          </w:tcPr>
          <w:p w14:paraId="5E613A57" w14:textId="77777777" w:rsidR="00AC375F" w:rsidRPr="00AC375F" w:rsidRDefault="00AC375F" w:rsidP="00AC375F">
            <w:pPr>
              <w:jc w:val="center"/>
              <w:rPr>
                <w:sz w:val="18"/>
                <w:szCs w:val="18"/>
              </w:rPr>
            </w:pPr>
            <w:r w:rsidRPr="00AC375F">
              <w:rPr>
                <w:sz w:val="18"/>
                <w:szCs w:val="18"/>
              </w:rPr>
              <w:t>3,3</w:t>
            </w:r>
          </w:p>
        </w:tc>
      </w:tr>
      <w:tr w:rsidR="00AC375F" w:rsidRPr="00AC375F" w14:paraId="33F23038" w14:textId="77777777" w:rsidTr="00991955">
        <w:trPr>
          <w:trHeight w:val="237"/>
        </w:trPr>
        <w:tc>
          <w:tcPr>
            <w:tcW w:w="4390" w:type="dxa"/>
            <w:shd w:val="clear" w:color="auto" w:fill="auto"/>
            <w:noWrap/>
            <w:vAlign w:val="center"/>
          </w:tcPr>
          <w:p w14:paraId="780032CD" w14:textId="77777777" w:rsidR="00AC375F" w:rsidRPr="00AC375F" w:rsidRDefault="00AC375F" w:rsidP="00AC375F">
            <w:pPr>
              <w:rPr>
                <w:bCs/>
                <w:sz w:val="18"/>
                <w:szCs w:val="18"/>
              </w:rPr>
            </w:pPr>
            <w:r w:rsidRPr="00AC375F">
              <w:rPr>
                <w:bCs/>
                <w:sz w:val="18"/>
                <w:szCs w:val="18"/>
              </w:rPr>
              <w:t>Plenary meeting</w:t>
            </w:r>
          </w:p>
        </w:tc>
        <w:tc>
          <w:tcPr>
            <w:tcW w:w="1417" w:type="dxa"/>
            <w:shd w:val="clear" w:color="auto" w:fill="FFFFFF" w:themeFill="background1"/>
            <w:noWrap/>
            <w:vAlign w:val="center"/>
          </w:tcPr>
          <w:p w14:paraId="3AA9D856" w14:textId="77777777" w:rsidR="00AC375F" w:rsidRPr="00AC375F" w:rsidRDefault="00AC375F" w:rsidP="00AC375F">
            <w:pPr>
              <w:jc w:val="center"/>
              <w:rPr>
                <w:sz w:val="18"/>
                <w:szCs w:val="18"/>
              </w:rPr>
            </w:pPr>
            <w:r w:rsidRPr="00AC375F">
              <w:rPr>
                <w:sz w:val="18"/>
                <w:szCs w:val="18"/>
              </w:rPr>
              <w:t>Virtualno, Amsterdam</w:t>
            </w:r>
          </w:p>
        </w:tc>
        <w:tc>
          <w:tcPr>
            <w:tcW w:w="992" w:type="dxa"/>
            <w:shd w:val="clear" w:color="auto" w:fill="FFFFFF" w:themeFill="background1"/>
            <w:noWrap/>
            <w:vAlign w:val="center"/>
          </w:tcPr>
          <w:p w14:paraId="20DD2A72" w14:textId="77777777" w:rsidR="00AC375F" w:rsidRPr="00AC375F" w:rsidRDefault="00AC375F" w:rsidP="00AC375F">
            <w:pPr>
              <w:jc w:val="center"/>
              <w:rPr>
                <w:sz w:val="18"/>
                <w:szCs w:val="18"/>
              </w:rPr>
            </w:pPr>
            <w:r w:rsidRPr="00AC375F">
              <w:rPr>
                <w:sz w:val="18"/>
                <w:szCs w:val="18"/>
              </w:rPr>
              <w:t>1</w:t>
            </w:r>
          </w:p>
        </w:tc>
        <w:tc>
          <w:tcPr>
            <w:tcW w:w="993" w:type="dxa"/>
            <w:shd w:val="clear" w:color="auto" w:fill="FFFFFF" w:themeFill="background1"/>
            <w:noWrap/>
            <w:vAlign w:val="center"/>
          </w:tcPr>
          <w:p w14:paraId="5FB20AAA" w14:textId="77777777" w:rsidR="00AC375F" w:rsidRPr="00AC375F" w:rsidRDefault="00AC375F" w:rsidP="00AC375F">
            <w:pPr>
              <w:jc w:val="center"/>
              <w:rPr>
                <w:sz w:val="18"/>
                <w:szCs w:val="18"/>
              </w:rPr>
            </w:pPr>
            <w:r w:rsidRPr="00AC375F">
              <w:rPr>
                <w:sz w:val="18"/>
                <w:szCs w:val="18"/>
              </w:rPr>
              <w:t>studeni</w:t>
            </w:r>
          </w:p>
        </w:tc>
        <w:tc>
          <w:tcPr>
            <w:tcW w:w="1563" w:type="dxa"/>
            <w:shd w:val="clear" w:color="auto" w:fill="FFFFFF" w:themeFill="background1"/>
            <w:noWrap/>
            <w:vAlign w:val="center"/>
          </w:tcPr>
          <w:p w14:paraId="4C4FFEE3" w14:textId="77777777" w:rsidR="00AC375F" w:rsidRPr="00AC375F" w:rsidRDefault="00AC375F" w:rsidP="00AC375F">
            <w:pPr>
              <w:jc w:val="center"/>
              <w:rPr>
                <w:sz w:val="18"/>
                <w:szCs w:val="18"/>
              </w:rPr>
            </w:pPr>
            <w:r w:rsidRPr="00AC375F">
              <w:rPr>
                <w:sz w:val="18"/>
                <w:szCs w:val="18"/>
              </w:rPr>
              <w:t>3,3</w:t>
            </w:r>
          </w:p>
        </w:tc>
      </w:tr>
      <w:tr w:rsidR="00AC375F" w:rsidRPr="00AC375F" w14:paraId="60A7B64F" w14:textId="77777777" w:rsidTr="00991955">
        <w:trPr>
          <w:trHeight w:val="237"/>
        </w:trPr>
        <w:tc>
          <w:tcPr>
            <w:tcW w:w="4390" w:type="dxa"/>
            <w:shd w:val="clear" w:color="auto" w:fill="auto"/>
            <w:noWrap/>
            <w:vAlign w:val="center"/>
          </w:tcPr>
          <w:p w14:paraId="6D30A171" w14:textId="77777777" w:rsidR="00AC375F" w:rsidRPr="00AC375F" w:rsidRDefault="00AC375F" w:rsidP="00AC375F">
            <w:pPr>
              <w:rPr>
                <w:b/>
                <w:bCs/>
                <w:sz w:val="18"/>
                <w:szCs w:val="18"/>
              </w:rPr>
            </w:pPr>
            <w:r w:rsidRPr="00AC375F">
              <w:rPr>
                <w:b/>
                <w:bCs/>
                <w:sz w:val="18"/>
                <w:szCs w:val="18"/>
              </w:rPr>
              <w:lastRenderedPageBreak/>
              <w:t>HMPC SRLM meeting</w:t>
            </w:r>
          </w:p>
        </w:tc>
        <w:tc>
          <w:tcPr>
            <w:tcW w:w="1417" w:type="dxa"/>
            <w:shd w:val="clear" w:color="auto" w:fill="FFFFFF" w:themeFill="background1"/>
            <w:noWrap/>
            <w:vAlign w:val="center"/>
          </w:tcPr>
          <w:p w14:paraId="7DAE68BA" w14:textId="77777777" w:rsidR="00AC375F" w:rsidRPr="00AC375F" w:rsidRDefault="00AC375F" w:rsidP="00AC375F">
            <w:pPr>
              <w:jc w:val="center"/>
              <w:rPr>
                <w:sz w:val="18"/>
                <w:szCs w:val="18"/>
              </w:rPr>
            </w:pPr>
          </w:p>
        </w:tc>
        <w:tc>
          <w:tcPr>
            <w:tcW w:w="992" w:type="dxa"/>
            <w:shd w:val="clear" w:color="auto" w:fill="FFFFFF" w:themeFill="background1"/>
            <w:noWrap/>
            <w:vAlign w:val="center"/>
          </w:tcPr>
          <w:p w14:paraId="26F4B15E" w14:textId="77777777" w:rsidR="00AC375F" w:rsidRPr="00AC375F" w:rsidRDefault="00AC375F" w:rsidP="00AC375F">
            <w:pPr>
              <w:jc w:val="center"/>
              <w:rPr>
                <w:sz w:val="18"/>
                <w:szCs w:val="18"/>
              </w:rPr>
            </w:pPr>
          </w:p>
        </w:tc>
        <w:tc>
          <w:tcPr>
            <w:tcW w:w="993" w:type="dxa"/>
            <w:shd w:val="clear" w:color="auto" w:fill="FFFFFF" w:themeFill="background1"/>
            <w:noWrap/>
            <w:vAlign w:val="center"/>
          </w:tcPr>
          <w:p w14:paraId="14451820" w14:textId="77777777" w:rsidR="00AC375F" w:rsidRPr="00AC375F" w:rsidRDefault="00AC375F" w:rsidP="00AC375F">
            <w:pPr>
              <w:jc w:val="center"/>
              <w:rPr>
                <w:sz w:val="18"/>
                <w:szCs w:val="18"/>
              </w:rPr>
            </w:pPr>
          </w:p>
        </w:tc>
        <w:tc>
          <w:tcPr>
            <w:tcW w:w="1563" w:type="dxa"/>
            <w:shd w:val="clear" w:color="auto" w:fill="FFFFFF" w:themeFill="background1"/>
            <w:noWrap/>
            <w:vAlign w:val="center"/>
          </w:tcPr>
          <w:p w14:paraId="39BB4736" w14:textId="77777777" w:rsidR="00AC375F" w:rsidRPr="00AC375F" w:rsidRDefault="00AC375F" w:rsidP="00AC375F">
            <w:pPr>
              <w:jc w:val="center"/>
              <w:rPr>
                <w:sz w:val="18"/>
                <w:szCs w:val="18"/>
              </w:rPr>
            </w:pPr>
          </w:p>
        </w:tc>
      </w:tr>
      <w:tr w:rsidR="00AC375F" w:rsidRPr="00AC375F" w14:paraId="1D76F302" w14:textId="77777777" w:rsidTr="00991955">
        <w:trPr>
          <w:trHeight w:val="237"/>
        </w:trPr>
        <w:tc>
          <w:tcPr>
            <w:tcW w:w="4390" w:type="dxa"/>
            <w:shd w:val="clear" w:color="auto" w:fill="auto"/>
            <w:noWrap/>
            <w:vAlign w:val="center"/>
          </w:tcPr>
          <w:p w14:paraId="1D09F0C8" w14:textId="77777777" w:rsidR="00AC375F" w:rsidRPr="00AC375F" w:rsidRDefault="00AC375F" w:rsidP="00AC375F">
            <w:pPr>
              <w:rPr>
                <w:b/>
                <w:bCs/>
                <w:sz w:val="18"/>
                <w:szCs w:val="18"/>
              </w:rPr>
            </w:pPr>
          </w:p>
        </w:tc>
        <w:tc>
          <w:tcPr>
            <w:tcW w:w="1417" w:type="dxa"/>
            <w:shd w:val="clear" w:color="auto" w:fill="FFFFFF" w:themeFill="background1"/>
            <w:noWrap/>
            <w:vAlign w:val="center"/>
          </w:tcPr>
          <w:p w14:paraId="2166FAB4" w14:textId="77777777" w:rsidR="00AC375F" w:rsidRPr="00AC375F" w:rsidRDefault="00AC375F" w:rsidP="00AC375F">
            <w:pPr>
              <w:jc w:val="center"/>
              <w:rPr>
                <w:sz w:val="18"/>
                <w:szCs w:val="18"/>
              </w:rPr>
            </w:pPr>
            <w:r w:rsidRPr="00AC375F">
              <w:rPr>
                <w:sz w:val="18"/>
                <w:szCs w:val="18"/>
              </w:rPr>
              <w:t xml:space="preserve">Virtualno </w:t>
            </w:r>
          </w:p>
        </w:tc>
        <w:tc>
          <w:tcPr>
            <w:tcW w:w="992" w:type="dxa"/>
            <w:shd w:val="clear" w:color="auto" w:fill="FFFFFF" w:themeFill="background1"/>
            <w:noWrap/>
            <w:vAlign w:val="center"/>
          </w:tcPr>
          <w:p w14:paraId="06ACA143" w14:textId="77777777" w:rsidR="00AC375F" w:rsidRPr="00AC375F" w:rsidRDefault="00AC375F" w:rsidP="00AC375F">
            <w:pPr>
              <w:jc w:val="center"/>
              <w:rPr>
                <w:sz w:val="18"/>
                <w:szCs w:val="18"/>
              </w:rPr>
            </w:pPr>
            <w:r w:rsidRPr="00AC375F">
              <w:rPr>
                <w:sz w:val="18"/>
                <w:szCs w:val="18"/>
              </w:rPr>
              <w:t>1</w:t>
            </w:r>
          </w:p>
        </w:tc>
        <w:tc>
          <w:tcPr>
            <w:tcW w:w="993" w:type="dxa"/>
            <w:shd w:val="clear" w:color="auto" w:fill="FFFFFF" w:themeFill="background1"/>
            <w:noWrap/>
            <w:vAlign w:val="center"/>
          </w:tcPr>
          <w:p w14:paraId="27B340F6" w14:textId="77777777" w:rsidR="00AC375F" w:rsidRPr="00AC375F" w:rsidRDefault="00AC375F" w:rsidP="00AC375F">
            <w:pPr>
              <w:jc w:val="center"/>
              <w:rPr>
                <w:sz w:val="18"/>
                <w:szCs w:val="18"/>
              </w:rPr>
            </w:pPr>
            <w:r w:rsidRPr="00AC375F">
              <w:rPr>
                <w:sz w:val="18"/>
                <w:szCs w:val="18"/>
              </w:rPr>
              <w:t>travanj</w:t>
            </w:r>
          </w:p>
        </w:tc>
        <w:tc>
          <w:tcPr>
            <w:tcW w:w="1563" w:type="dxa"/>
            <w:shd w:val="clear" w:color="auto" w:fill="FFFFFF" w:themeFill="background1"/>
            <w:noWrap/>
            <w:vAlign w:val="center"/>
          </w:tcPr>
          <w:p w14:paraId="22CFEAFF" w14:textId="77777777" w:rsidR="00AC375F" w:rsidRPr="00AC375F" w:rsidRDefault="00AC375F" w:rsidP="00AC375F">
            <w:pPr>
              <w:jc w:val="center"/>
              <w:rPr>
                <w:sz w:val="18"/>
                <w:szCs w:val="18"/>
              </w:rPr>
            </w:pPr>
            <w:r w:rsidRPr="00AC375F">
              <w:rPr>
                <w:sz w:val="18"/>
                <w:szCs w:val="18"/>
              </w:rPr>
              <w:t>2</w:t>
            </w:r>
          </w:p>
        </w:tc>
      </w:tr>
      <w:tr w:rsidR="00AC375F" w:rsidRPr="00AC375F" w14:paraId="321A057E" w14:textId="77777777" w:rsidTr="00991955">
        <w:trPr>
          <w:trHeight w:val="237"/>
        </w:trPr>
        <w:tc>
          <w:tcPr>
            <w:tcW w:w="4390" w:type="dxa"/>
            <w:shd w:val="clear" w:color="auto" w:fill="auto"/>
            <w:noWrap/>
            <w:vAlign w:val="center"/>
          </w:tcPr>
          <w:p w14:paraId="77555A4E" w14:textId="77777777" w:rsidR="00AC375F" w:rsidRPr="00AC375F" w:rsidRDefault="00AC375F" w:rsidP="00AC375F">
            <w:pPr>
              <w:rPr>
                <w:b/>
                <w:bCs/>
                <w:sz w:val="18"/>
                <w:szCs w:val="18"/>
              </w:rPr>
            </w:pPr>
          </w:p>
        </w:tc>
        <w:tc>
          <w:tcPr>
            <w:tcW w:w="1417" w:type="dxa"/>
            <w:shd w:val="clear" w:color="auto" w:fill="FFFFFF" w:themeFill="background1"/>
            <w:noWrap/>
            <w:vAlign w:val="center"/>
          </w:tcPr>
          <w:p w14:paraId="20766696" w14:textId="77777777" w:rsidR="00AC375F" w:rsidRPr="00AC375F" w:rsidRDefault="00AC375F" w:rsidP="00AC375F">
            <w:pPr>
              <w:jc w:val="center"/>
              <w:rPr>
                <w:sz w:val="18"/>
                <w:szCs w:val="18"/>
              </w:rPr>
            </w:pPr>
            <w:r w:rsidRPr="00AC375F">
              <w:rPr>
                <w:sz w:val="18"/>
                <w:szCs w:val="18"/>
              </w:rPr>
              <w:t>Madrid</w:t>
            </w:r>
          </w:p>
        </w:tc>
        <w:tc>
          <w:tcPr>
            <w:tcW w:w="992" w:type="dxa"/>
            <w:shd w:val="clear" w:color="auto" w:fill="FFFFFF" w:themeFill="background1"/>
            <w:noWrap/>
            <w:vAlign w:val="center"/>
          </w:tcPr>
          <w:p w14:paraId="794A52E5" w14:textId="77777777" w:rsidR="00AC375F" w:rsidRPr="00AC375F" w:rsidRDefault="00AC375F" w:rsidP="00AC375F">
            <w:pPr>
              <w:jc w:val="center"/>
              <w:rPr>
                <w:sz w:val="18"/>
                <w:szCs w:val="18"/>
              </w:rPr>
            </w:pPr>
            <w:r w:rsidRPr="00AC375F">
              <w:rPr>
                <w:sz w:val="18"/>
                <w:szCs w:val="18"/>
              </w:rPr>
              <w:t>2</w:t>
            </w:r>
          </w:p>
        </w:tc>
        <w:tc>
          <w:tcPr>
            <w:tcW w:w="993" w:type="dxa"/>
            <w:shd w:val="clear" w:color="auto" w:fill="FFFFFF" w:themeFill="background1"/>
            <w:noWrap/>
            <w:vAlign w:val="center"/>
          </w:tcPr>
          <w:p w14:paraId="335B0331" w14:textId="77777777" w:rsidR="00AC375F" w:rsidRPr="00AC375F" w:rsidRDefault="00AC375F" w:rsidP="00AC375F">
            <w:pPr>
              <w:jc w:val="center"/>
              <w:rPr>
                <w:sz w:val="18"/>
                <w:szCs w:val="18"/>
              </w:rPr>
            </w:pPr>
            <w:r w:rsidRPr="00AC375F">
              <w:rPr>
                <w:sz w:val="18"/>
                <w:szCs w:val="18"/>
              </w:rPr>
              <w:t>listopad</w:t>
            </w:r>
          </w:p>
        </w:tc>
        <w:tc>
          <w:tcPr>
            <w:tcW w:w="1563" w:type="dxa"/>
            <w:shd w:val="clear" w:color="auto" w:fill="FFFFFF" w:themeFill="background1"/>
            <w:noWrap/>
            <w:vAlign w:val="center"/>
          </w:tcPr>
          <w:p w14:paraId="45964D23" w14:textId="77777777" w:rsidR="00AC375F" w:rsidRPr="00AC375F" w:rsidRDefault="00AC375F" w:rsidP="00AC375F">
            <w:pPr>
              <w:jc w:val="center"/>
              <w:rPr>
                <w:sz w:val="18"/>
                <w:szCs w:val="18"/>
              </w:rPr>
            </w:pPr>
            <w:r w:rsidRPr="00AC375F">
              <w:rPr>
                <w:sz w:val="18"/>
                <w:szCs w:val="18"/>
              </w:rPr>
              <w:t>2,2</w:t>
            </w:r>
          </w:p>
        </w:tc>
      </w:tr>
      <w:tr w:rsidR="00AC375F" w:rsidRPr="00AC375F" w14:paraId="0BA1B024" w14:textId="77777777" w:rsidTr="00991955">
        <w:trPr>
          <w:trHeight w:val="237"/>
        </w:trPr>
        <w:tc>
          <w:tcPr>
            <w:tcW w:w="4390" w:type="dxa"/>
            <w:shd w:val="clear" w:color="auto" w:fill="auto"/>
            <w:noWrap/>
            <w:vAlign w:val="center"/>
          </w:tcPr>
          <w:p w14:paraId="2B517B15" w14:textId="77777777" w:rsidR="00AC375F" w:rsidRPr="00AC375F" w:rsidRDefault="00AC375F" w:rsidP="00AC375F">
            <w:pPr>
              <w:rPr>
                <w:b/>
                <w:bCs/>
                <w:sz w:val="18"/>
                <w:szCs w:val="18"/>
              </w:rPr>
            </w:pPr>
          </w:p>
        </w:tc>
        <w:tc>
          <w:tcPr>
            <w:tcW w:w="1417" w:type="dxa"/>
            <w:shd w:val="clear" w:color="auto" w:fill="FFFFFF" w:themeFill="background1"/>
            <w:noWrap/>
            <w:vAlign w:val="center"/>
          </w:tcPr>
          <w:p w14:paraId="6FEB92F7" w14:textId="77777777" w:rsidR="00AC375F" w:rsidRPr="00AC375F" w:rsidRDefault="00AC375F" w:rsidP="00AC375F">
            <w:pPr>
              <w:jc w:val="center"/>
              <w:rPr>
                <w:sz w:val="18"/>
                <w:szCs w:val="18"/>
              </w:rPr>
            </w:pPr>
          </w:p>
        </w:tc>
        <w:tc>
          <w:tcPr>
            <w:tcW w:w="992" w:type="dxa"/>
            <w:shd w:val="clear" w:color="auto" w:fill="FFFFFF" w:themeFill="background1"/>
            <w:noWrap/>
            <w:vAlign w:val="center"/>
          </w:tcPr>
          <w:p w14:paraId="3B7212BB" w14:textId="77777777" w:rsidR="00AC375F" w:rsidRPr="00AC375F" w:rsidRDefault="00AC375F" w:rsidP="00AC375F">
            <w:pPr>
              <w:jc w:val="center"/>
              <w:rPr>
                <w:sz w:val="18"/>
                <w:szCs w:val="18"/>
              </w:rPr>
            </w:pPr>
          </w:p>
        </w:tc>
        <w:tc>
          <w:tcPr>
            <w:tcW w:w="993" w:type="dxa"/>
            <w:shd w:val="clear" w:color="auto" w:fill="FFFFFF" w:themeFill="background1"/>
            <w:noWrap/>
            <w:vAlign w:val="center"/>
          </w:tcPr>
          <w:p w14:paraId="2245534C" w14:textId="77777777" w:rsidR="00AC375F" w:rsidRPr="00AC375F" w:rsidRDefault="00AC375F" w:rsidP="00AC375F">
            <w:pPr>
              <w:jc w:val="center"/>
              <w:rPr>
                <w:sz w:val="18"/>
                <w:szCs w:val="18"/>
              </w:rPr>
            </w:pPr>
          </w:p>
        </w:tc>
        <w:tc>
          <w:tcPr>
            <w:tcW w:w="1563" w:type="dxa"/>
            <w:shd w:val="clear" w:color="auto" w:fill="FFFFFF" w:themeFill="background1"/>
            <w:noWrap/>
            <w:vAlign w:val="center"/>
          </w:tcPr>
          <w:p w14:paraId="58994966" w14:textId="77777777" w:rsidR="00AC375F" w:rsidRPr="00AC375F" w:rsidRDefault="00AC375F" w:rsidP="00AC375F">
            <w:pPr>
              <w:jc w:val="center"/>
              <w:rPr>
                <w:sz w:val="18"/>
                <w:szCs w:val="18"/>
              </w:rPr>
            </w:pPr>
          </w:p>
        </w:tc>
      </w:tr>
      <w:tr w:rsidR="00AC375F" w:rsidRPr="00AC375F" w14:paraId="1C76E262" w14:textId="77777777" w:rsidTr="00991955">
        <w:trPr>
          <w:trHeight w:val="237"/>
        </w:trPr>
        <w:tc>
          <w:tcPr>
            <w:tcW w:w="4390" w:type="dxa"/>
            <w:shd w:val="clear" w:color="auto" w:fill="auto"/>
            <w:noWrap/>
            <w:vAlign w:val="center"/>
          </w:tcPr>
          <w:p w14:paraId="54EEFFA3" w14:textId="77777777" w:rsidR="00AC375F" w:rsidRPr="00AC375F" w:rsidRDefault="00AC375F" w:rsidP="00AC375F">
            <w:pPr>
              <w:rPr>
                <w:b/>
                <w:bCs/>
                <w:sz w:val="18"/>
                <w:szCs w:val="18"/>
              </w:rPr>
            </w:pPr>
            <w:r w:rsidRPr="00AC375F">
              <w:rPr>
                <w:b/>
                <w:bCs/>
                <w:sz w:val="18"/>
                <w:szCs w:val="18"/>
              </w:rPr>
              <w:t>Pharmacovigilance Risk Assessment Committee (PRAC) Plenary meeting</w:t>
            </w:r>
          </w:p>
        </w:tc>
        <w:tc>
          <w:tcPr>
            <w:tcW w:w="1417" w:type="dxa"/>
            <w:shd w:val="clear" w:color="auto" w:fill="FFFFFF" w:themeFill="background1"/>
            <w:noWrap/>
            <w:vAlign w:val="center"/>
          </w:tcPr>
          <w:p w14:paraId="6FD1F0A5"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FFFFFF" w:themeFill="background1"/>
            <w:noWrap/>
            <w:vAlign w:val="center"/>
          </w:tcPr>
          <w:p w14:paraId="6409E160" w14:textId="77777777" w:rsidR="00AC375F" w:rsidRPr="00AC375F" w:rsidRDefault="00AC375F" w:rsidP="00AC375F">
            <w:pPr>
              <w:jc w:val="center"/>
              <w:rPr>
                <w:sz w:val="18"/>
                <w:szCs w:val="18"/>
              </w:rPr>
            </w:pPr>
            <w:r w:rsidRPr="00AC375F">
              <w:rPr>
                <w:sz w:val="18"/>
                <w:szCs w:val="18"/>
              </w:rPr>
              <w:t>2</w:t>
            </w:r>
          </w:p>
        </w:tc>
        <w:tc>
          <w:tcPr>
            <w:tcW w:w="993" w:type="dxa"/>
            <w:shd w:val="clear" w:color="auto" w:fill="FFFFFF" w:themeFill="background1"/>
            <w:noWrap/>
            <w:vAlign w:val="center"/>
          </w:tcPr>
          <w:p w14:paraId="6A180E64" w14:textId="77777777" w:rsidR="00AC375F" w:rsidRPr="00AC375F" w:rsidRDefault="00AC375F" w:rsidP="00AC375F">
            <w:pPr>
              <w:jc w:val="center"/>
              <w:rPr>
                <w:sz w:val="18"/>
                <w:szCs w:val="18"/>
              </w:rPr>
            </w:pPr>
            <w:r w:rsidRPr="00AC375F">
              <w:rPr>
                <w:sz w:val="18"/>
                <w:szCs w:val="18"/>
              </w:rPr>
              <w:t>Siječanj</w:t>
            </w:r>
          </w:p>
        </w:tc>
        <w:tc>
          <w:tcPr>
            <w:tcW w:w="1563" w:type="dxa"/>
            <w:shd w:val="clear" w:color="auto" w:fill="FFFFFF" w:themeFill="background1"/>
            <w:noWrap/>
            <w:vAlign w:val="center"/>
          </w:tcPr>
          <w:p w14:paraId="37ED0F76" w14:textId="77777777" w:rsidR="00AC375F" w:rsidRPr="00AC375F" w:rsidRDefault="00AC375F" w:rsidP="00AC375F">
            <w:pPr>
              <w:jc w:val="center"/>
              <w:rPr>
                <w:sz w:val="18"/>
                <w:szCs w:val="18"/>
              </w:rPr>
            </w:pPr>
            <w:r w:rsidRPr="00AC375F">
              <w:rPr>
                <w:sz w:val="18"/>
                <w:szCs w:val="18"/>
              </w:rPr>
              <w:t>4; 4</w:t>
            </w:r>
          </w:p>
        </w:tc>
      </w:tr>
      <w:tr w:rsidR="00AC375F" w:rsidRPr="00AC375F" w14:paraId="1F9AD896" w14:textId="77777777" w:rsidTr="00991955">
        <w:trPr>
          <w:trHeight w:val="237"/>
        </w:trPr>
        <w:tc>
          <w:tcPr>
            <w:tcW w:w="4390" w:type="dxa"/>
            <w:shd w:val="clear" w:color="auto" w:fill="auto"/>
            <w:noWrap/>
            <w:vAlign w:val="center"/>
          </w:tcPr>
          <w:p w14:paraId="17D78C24" w14:textId="77777777" w:rsidR="00AC375F" w:rsidRPr="00AC375F" w:rsidRDefault="00AC375F" w:rsidP="00AC375F">
            <w:pPr>
              <w:rPr>
                <w:b/>
                <w:bCs/>
                <w:sz w:val="18"/>
                <w:szCs w:val="18"/>
              </w:rPr>
            </w:pPr>
          </w:p>
        </w:tc>
        <w:tc>
          <w:tcPr>
            <w:tcW w:w="1417" w:type="dxa"/>
            <w:shd w:val="clear" w:color="auto" w:fill="FFFFFF" w:themeFill="background1"/>
            <w:noWrap/>
            <w:vAlign w:val="center"/>
          </w:tcPr>
          <w:p w14:paraId="4327FFF1" w14:textId="77777777" w:rsidR="00AC375F" w:rsidRPr="00AC375F" w:rsidRDefault="00AC375F" w:rsidP="00AC375F">
            <w:pPr>
              <w:jc w:val="center"/>
              <w:rPr>
                <w:sz w:val="18"/>
                <w:szCs w:val="18"/>
              </w:rPr>
            </w:pPr>
            <w:r w:rsidRPr="00AC375F">
              <w:rPr>
                <w:sz w:val="18"/>
                <w:szCs w:val="18"/>
              </w:rPr>
              <w:t>Amsterdam</w:t>
            </w:r>
          </w:p>
        </w:tc>
        <w:tc>
          <w:tcPr>
            <w:tcW w:w="992" w:type="dxa"/>
            <w:shd w:val="clear" w:color="auto" w:fill="FFFFFF" w:themeFill="background1"/>
            <w:noWrap/>
            <w:vAlign w:val="center"/>
          </w:tcPr>
          <w:p w14:paraId="7092A999" w14:textId="77777777" w:rsidR="00AC375F" w:rsidRPr="00AC375F" w:rsidRDefault="00AC375F" w:rsidP="00AC375F">
            <w:pPr>
              <w:jc w:val="center"/>
              <w:rPr>
                <w:sz w:val="18"/>
                <w:szCs w:val="18"/>
              </w:rPr>
            </w:pPr>
            <w:r w:rsidRPr="00AC375F">
              <w:rPr>
                <w:sz w:val="18"/>
                <w:szCs w:val="18"/>
              </w:rPr>
              <w:t>2</w:t>
            </w:r>
          </w:p>
        </w:tc>
        <w:tc>
          <w:tcPr>
            <w:tcW w:w="993" w:type="dxa"/>
            <w:shd w:val="clear" w:color="auto" w:fill="FFFFFF" w:themeFill="background1"/>
            <w:noWrap/>
            <w:vAlign w:val="center"/>
          </w:tcPr>
          <w:p w14:paraId="458145BF" w14:textId="77777777" w:rsidR="00AC375F" w:rsidRPr="00AC375F" w:rsidRDefault="00AC375F" w:rsidP="00AC375F">
            <w:pPr>
              <w:jc w:val="center"/>
              <w:rPr>
                <w:sz w:val="18"/>
                <w:szCs w:val="18"/>
              </w:rPr>
            </w:pPr>
            <w:r w:rsidRPr="00AC375F">
              <w:rPr>
                <w:sz w:val="18"/>
                <w:szCs w:val="18"/>
              </w:rPr>
              <w:t>veljača</w:t>
            </w:r>
          </w:p>
        </w:tc>
        <w:tc>
          <w:tcPr>
            <w:tcW w:w="1563" w:type="dxa"/>
            <w:shd w:val="clear" w:color="auto" w:fill="FFFFFF" w:themeFill="background1"/>
            <w:noWrap/>
            <w:vAlign w:val="center"/>
          </w:tcPr>
          <w:p w14:paraId="0B5D9146" w14:textId="77777777" w:rsidR="00AC375F" w:rsidRPr="00AC375F" w:rsidRDefault="00AC375F" w:rsidP="00AC375F">
            <w:pPr>
              <w:jc w:val="center"/>
              <w:rPr>
                <w:sz w:val="18"/>
                <w:szCs w:val="18"/>
              </w:rPr>
            </w:pPr>
            <w:r w:rsidRPr="00AC375F">
              <w:rPr>
                <w:sz w:val="18"/>
                <w:szCs w:val="18"/>
              </w:rPr>
              <w:t>4; 4</w:t>
            </w:r>
          </w:p>
        </w:tc>
      </w:tr>
      <w:tr w:rsidR="00AC375F" w:rsidRPr="00AC375F" w14:paraId="0B4C52D4" w14:textId="77777777" w:rsidTr="00991955">
        <w:trPr>
          <w:trHeight w:val="237"/>
        </w:trPr>
        <w:tc>
          <w:tcPr>
            <w:tcW w:w="4390" w:type="dxa"/>
            <w:shd w:val="clear" w:color="auto" w:fill="auto"/>
            <w:noWrap/>
            <w:vAlign w:val="center"/>
          </w:tcPr>
          <w:p w14:paraId="1273C823" w14:textId="77777777" w:rsidR="00AC375F" w:rsidRPr="00AC375F" w:rsidRDefault="00AC375F" w:rsidP="00AC375F">
            <w:pPr>
              <w:rPr>
                <w:b/>
                <w:bCs/>
                <w:sz w:val="18"/>
                <w:szCs w:val="18"/>
              </w:rPr>
            </w:pPr>
          </w:p>
        </w:tc>
        <w:tc>
          <w:tcPr>
            <w:tcW w:w="1417" w:type="dxa"/>
            <w:shd w:val="clear" w:color="auto" w:fill="FFFFFF" w:themeFill="background1"/>
            <w:noWrap/>
            <w:vAlign w:val="center"/>
          </w:tcPr>
          <w:p w14:paraId="7ED1B1CA" w14:textId="77777777" w:rsidR="00AC375F" w:rsidRPr="00AC375F" w:rsidRDefault="00AC375F" w:rsidP="00AC375F">
            <w:pPr>
              <w:jc w:val="center"/>
              <w:rPr>
                <w:sz w:val="18"/>
                <w:szCs w:val="18"/>
              </w:rPr>
            </w:pPr>
            <w:r w:rsidRPr="00AC375F">
              <w:rPr>
                <w:sz w:val="18"/>
                <w:szCs w:val="18"/>
              </w:rPr>
              <w:t>virtulano</w:t>
            </w:r>
          </w:p>
        </w:tc>
        <w:tc>
          <w:tcPr>
            <w:tcW w:w="992" w:type="dxa"/>
            <w:shd w:val="clear" w:color="auto" w:fill="FFFFFF" w:themeFill="background1"/>
            <w:noWrap/>
            <w:vAlign w:val="center"/>
          </w:tcPr>
          <w:p w14:paraId="4D9E92BC" w14:textId="77777777" w:rsidR="00AC375F" w:rsidRPr="00AC375F" w:rsidRDefault="00AC375F" w:rsidP="00AC375F">
            <w:pPr>
              <w:jc w:val="center"/>
              <w:rPr>
                <w:sz w:val="18"/>
                <w:szCs w:val="18"/>
              </w:rPr>
            </w:pPr>
            <w:r w:rsidRPr="00AC375F">
              <w:rPr>
                <w:sz w:val="18"/>
                <w:szCs w:val="18"/>
              </w:rPr>
              <w:t>2</w:t>
            </w:r>
          </w:p>
        </w:tc>
        <w:tc>
          <w:tcPr>
            <w:tcW w:w="993" w:type="dxa"/>
            <w:shd w:val="clear" w:color="auto" w:fill="FFFFFF" w:themeFill="background1"/>
            <w:noWrap/>
            <w:vAlign w:val="center"/>
          </w:tcPr>
          <w:p w14:paraId="577015FB" w14:textId="77777777" w:rsidR="00AC375F" w:rsidRPr="00AC375F" w:rsidRDefault="00AC375F" w:rsidP="00AC375F">
            <w:pPr>
              <w:jc w:val="center"/>
              <w:rPr>
                <w:sz w:val="18"/>
                <w:szCs w:val="18"/>
              </w:rPr>
            </w:pPr>
            <w:r w:rsidRPr="00AC375F">
              <w:rPr>
                <w:sz w:val="18"/>
                <w:szCs w:val="18"/>
              </w:rPr>
              <w:t>ožujak</w:t>
            </w:r>
          </w:p>
        </w:tc>
        <w:tc>
          <w:tcPr>
            <w:tcW w:w="1563" w:type="dxa"/>
            <w:shd w:val="clear" w:color="auto" w:fill="FFFFFF" w:themeFill="background1"/>
            <w:noWrap/>
            <w:vAlign w:val="center"/>
          </w:tcPr>
          <w:p w14:paraId="0208164E" w14:textId="77777777" w:rsidR="00AC375F" w:rsidRPr="00AC375F" w:rsidRDefault="00AC375F" w:rsidP="00AC375F">
            <w:pPr>
              <w:jc w:val="center"/>
              <w:rPr>
                <w:sz w:val="18"/>
                <w:szCs w:val="18"/>
              </w:rPr>
            </w:pPr>
            <w:r w:rsidRPr="00AC375F">
              <w:rPr>
                <w:sz w:val="18"/>
                <w:szCs w:val="18"/>
              </w:rPr>
              <w:t>4; 4</w:t>
            </w:r>
          </w:p>
        </w:tc>
      </w:tr>
      <w:tr w:rsidR="00AC375F" w:rsidRPr="00AC375F" w14:paraId="5E726F43" w14:textId="77777777" w:rsidTr="00991955">
        <w:trPr>
          <w:trHeight w:val="237"/>
        </w:trPr>
        <w:tc>
          <w:tcPr>
            <w:tcW w:w="4390" w:type="dxa"/>
            <w:shd w:val="clear" w:color="auto" w:fill="auto"/>
            <w:noWrap/>
            <w:vAlign w:val="center"/>
          </w:tcPr>
          <w:p w14:paraId="0A12541B" w14:textId="77777777" w:rsidR="00AC375F" w:rsidRPr="00AC375F" w:rsidRDefault="00AC375F" w:rsidP="00AC375F">
            <w:pPr>
              <w:rPr>
                <w:b/>
                <w:bCs/>
                <w:sz w:val="18"/>
                <w:szCs w:val="18"/>
              </w:rPr>
            </w:pPr>
          </w:p>
        </w:tc>
        <w:tc>
          <w:tcPr>
            <w:tcW w:w="1417" w:type="dxa"/>
            <w:shd w:val="clear" w:color="auto" w:fill="FFFFFF" w:themeFill="background1"/>
            <w:noWrap/>
            <w:vAlign w:val="center"/>
          </w:tcPr>
          <w:p w14:paraId="7C31460B" w14:textId="77777777" w:rsidR="00AC375F" w:rsidRPr="00AC375F" w:rsidRDefault="00AC375F" w:rsidP="00AC375F">
            <w:pPr>
              <w:jc w:val="center"/>
              <w:rPr>
                <w:sz w:val="18"/>
                <w:szCs w:val="18"/>
              </w:rPr>
            </w:pPr>
            <w:r w:rsidRPr="00AC375F">
              <w:rPr>
                <w:sz w:val="18"/>
                <w:szCs w:val="18"/>
              </w:rPr>
              <w:t>Amsterdam</w:t>
            </w:r>
          </w:p>
        </w:tc>
        <w:tc>
          <w:tcPr>
            <w:tcW w:w="992" w:type="dxa"/>
            <w:shd w:val="clear" w:color="auto" w:fill="FFFFFF" w:themeFill="background1"/>
            <w:noWrap/>
            <w:vAlign w:val="center"/>
          </w:tcPr>
          <w:p w14:paraId="0959186D" w14:textId="77777777" w:rsidR="00AC375F" w:rsidRPr="00AC375F" w:rsidRDefault="00AC375F" w:rsidP="00AC375F">
            <w:pPr>
              <w:jc w:val="center"/>
              <w:rPr>
                <w:sz w:val="18"/>
                <w:szCs w:val="18"/>
              </w:rPr>
            </w:pPr>
            <w:r w:rsidRPr="00AC375F">
              <w:rPr>
                <w:sz w:val="18"/>
                <w:szCs w:val="18"/>
              </w:rPr>
              <w:t>2</w:t>
            </w:r>
          </w:p>
        </w:tc>
        <w:tc>
          <w:tcPr>
            <w:tcW w:w="993" w:type="dxa"/>
            <w:shd w:val="clear" w:color="auto" w:fill="FFFFFF" w:themeFill="background1"/>
            <w:noWrap/>
            <w:vAlign w:val="center"/>
          </w:tcPr>
          <w:p w14:paraId="3A0AC6EB" w14:textId="77777777" w:rsidR="00AC375F" w:rsidRPr="00AC375F" w:rsidRDefault="00AC375F" w:rsidP="00AC375F">
            <w:pPr>
              <w:jc w:val="center"/>
              <w:rPr>
                <w:sz w:val="18"/>
                <w:szCs w:val="18"/>
              </w:rPr>
            </w:pPr>
            <w:r w:rsidRPr="00AC375F">
              <w:rPr>
                <w:sz w:val="18"/>
                <w:szCs w:val="18"/>
              </w:rPr>
              <w:t>Travanj</w:t>
            </w:r>
          </w:p>
        </w:tc>
        <w:tc>
          <w:tcPr>
            <w:tcW w:w="1563" w:type="dxa"/>
            <w:shd w:val="clear" w:color="auto" w:fill="FFFFFF" w:themeFill="background1"/>
            <w:noWrap/>
            <w:vAlign w:val="center"/>
          </w:tcPr>
          <w:p w14:paraId="4A7DFD7D" w14:textId="77777777" w:rsidR="00AC375F" w:rsidRPr="00AC375F" w:rsidRDefault="00AC375F" w:rsidP="00AC375F">
            <w:pPr>
              <w:jc w:val="center"/>
              <w:rPr>
                <w:sz w:val="18"/>
                <w:szCs w:val="18"/>
              </w:rPr>
            </w:pPr>
            <w:r w:rsidRPr="00AC375F">
              <w:rPr>
                <w:sz w:val="18"/>
                <w:szCs w:val="18"/>
              </w:rPr>
              <w:t>4; 4</w:t>
            </w:r>
          </w:p>
        </w:tc>
      </w:tr>
      <w:tr w:rsidR="00AC375F" w:rsidRPr="00AC375F" w14:paraId="5A9F3D9A" w14:textId="77777777" w:rsidTr="00991955">
        <w:trPr>
          <w:trHeight w:val="237"/>
        </w:trPr>
        <w:tc>
          <w:tcPr>
            <w:tcW w:w="4390" w:type="dxa"/>
            <w:shd w:val="clear" w:color="auto" w:fill="auto"/>
            <w:noWrap/>
            <w:vAlign w:val="center"/>
          </w:tcPr>
          <w:p w14:paraId="672348C9" w14:textId="77777777" w:rsidR="00AC375F" w:rsidRPr="00AC375F" w:rsidRDefault="00AC375F" w:rsidP="00AC375F">
            <w:pPr>
              <w:rPr>
                <w:b/>
                <w:bCs/>
                <w:sz w:val="18"/>
                <w:szCs w:val="18"/>
              </w:rPr>
            </w:pPr>
          </w:p>
        </w:tc>
        <w:tc>
          <w:tcPr>
            <w:tcW w:w="1417" w:type="dxa"/>
            <w:shd w:val="clear" w:color="auto" w:fill="FFFFFF" w:themeFill="background1"/>
            <w:noWrap/>
            <w:vAlign w:val="center"/>
          </w:tcPr>
          <w:p w14:paraId="4FAC32FE"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FFFFFF" w:themeFill="background1"/>
            <w:noWrap/>
            <w:vAlign w:val="center"/>
          </w:tcPr>
          <w:p w14:paraId="1C2D0A4D" w14:textId="77777777" w:rsidR="00AC375F" w:rsidRPr="00AC375F" w:rsidRDefault="00AC375F" w:rsidP="00AC375F">
            <w:pPr>
              <w:jc w:val="center"/>
              <w:rPr>
                <w:sz w:val="18"/>
                <w:szCs w:val="18"/>
              </w:rPr>
            </w:pPr>
            <w:r w:rsidRPr="00AC375F">
              <w:rPr>
                <w:sz w:val="18"/>
                <w:szCs w:val="18"/>
              </w:rPr>
              <w:t>2</w:t>
            </w:r>
          </w:p>
        </w:tc>
        <w:tc>
          <w:tcPr>
            <w:tcW w:w="993" w:type="dxa"/>
            <w:shd w:val="clear" w:color="auto" w:fill="FFFFFF" w:themeFill="background1"/>
            <w:noWrap/>
            <w:vAlign w:val="center"/>
          </w:tcPr>
          <w:p w14:paraId="06F0DF27" w14:textId="77777777" w:rsidR="00AC375F" w:rsidRPr="00AC375F" w:rsidRDefault="00AC375F" w:rsidP="00AC375F">
            <w:pPr>
              <w:jc w:val="center"/>
              <w:rPr>
                <w:sz w:val="18"/>
                <w:szCs w:val="18"/>
              </w:rPr>
            </w:pPr>
            <w:r w:rsidRPr="00AC375F">
              <w:rPr>
                <w:sz w:val="18"/>
                <w:szCs w:val="18"/>
              </w:rPr>
              <w:t>svibanj</w:t>
            </w:r>
          </w:p>
        </w:tc>
        <w:tc>
          <w:tcPr>
            <w:tcW w:w="1563" w:type="dxa"/>
            <w:shd w:val="clear" w:color="auto" w:fill="FFFFFF" w:themeFill="background1"/>
            <w:noWrap/>
            <w:vAlign w:val="center"/>
          </w:tcPr>
          <w:p w14:paraId="61AD90F7" w14:textId="77777777" w:rsidR="00AC375F" w:rsidRPr="00AC375F" w:rsidRDefault="00AC375F" w:rsidP="00AC375F">
            <w:pPr>
              <w:jc w:val="center"/>
              <w:rPr>
                <w:sz w:val="18"/>
                <w:szCs w:val="18"/>
              </w:rPr>
            </w:pPr>
            <w:r w:rsidRPr="00AC375F">
              <w:rPr>
                <w:sz w:val="18"/>
                <w:szCs w:val="18"/>
              </w:rPr>
              <w:t>4; 4</w:t>
            </w:r>
          </w:p>
        </w:tc>
      </w:tr>
      <w:tr w:rsidR="00AC375F" w:rsidRPr="00AC375F" w14:paraId="4297BC8F" w14:textId="77777777" w:rsidTr="00991955">
        <w:trPr>
          <w:trHeight w:val="237"/>
        </w:trPr>
        <w:tc>
          <w:tcPr>
            <w:tcW w:w="4390" w:type="dxa"/>
            <w:shd w:val="clear" w:color="auto" w:fill="auto"/>
            <w:noWrap/>
            <w:vAlign w:val="center"/>
          </w:tcPr>
          <w:p w14:paraId="2A0B3009" w14:textId="77777777" w:rsidR="00AC375F" w:rsidRPr="00AC375F" w:rsidRDefault="00AC375F" w:rsidP="00AC375F">
            <w:pPr>
              <w:rPr>
                <w:b/>
                <w:bCs/>
                <w:sz w:val="18"/>
                <w:szCs w:val="18"/>
              </w:rPr>
            </w:pPr>
          </w:p>
        </w:tc>
        <w:tc>
          <w:tcPr>
            <w:tcW w:w="1417" w:type="dxa"/>
            <w:shd w:val="clear" w:color="auto" w:fill="FFFFFF" w:themeFill="background1"/>
            <w:noWrap/>
            <w:vAlign w:val="center"/>
          </w:tcPr>
          <w:p w14:paraId="0A3EA31D" w14:textId="77777777" w:rsidR="00AC375F" w:rsidRPr="00AC375F" w:rsidRDefault="00AC375F" w:rsidP="00AC375F">
            <w:pPr>
              <w:jc w:val="center"/>
              <w:rPr>
                <w:sz w:val="18"/>
                <w:szCs w:val="18"/>
              </w:rPr>
            </w:pPr>
            <w:r w:rsidRPr="00AC375F">
              <w:rPr>
                <w:sz w:val="18"/>
                <w:szCs w:val="18"/>
              </w:rPr>
              <w:t>Amsterdam</w:t>
            </w:r>
          </w:p>
        </w:tc>
        <w:tc>
          <w:tcPr>
            <w:tcW w:w="992" w:type="dxa"/>
            <w:shd w:val="clear" w:color="auto" w:fill="FFFFFF" w:themeFill="background1"/>
            <w:noWrap/>
            <w:vAlign w:val="center"/>
          </w:tcPr>
          <w:p w14:paraId="20043AD9" w14:textId="77777777" w:rsidR="00AC375F" w:rsidRPr="00AC375F" w:rsidRDefault="00AC375F" w:rsidP="00AC375F">
            <w:pPr>
              <w:jc w:val="center"/>
              <w:rPr>
                <w:sz w:val="18"/>
                <w:szCs w:val="18"/>
              </w:rPr>
            </w:pPr>
            <w:r w:rsidRPr="00AC375F">
              <w:rPr>
                <w:sz w:val="18"/>
                <w:szCs w:val="18"/>
              </w:rPr>
              <w:t>2</w:t>
            </w:r>
          </w:p>
        </w:tc>
        <w:tc>
          <w:tcPr>
            <w:tcW w:w="993" w:type="dxa"/>
            <w:shd w:val="clear" w:color="auto" w:fill="FFFFFF" w:themeFill="background1"/>
            <w:noWrap/>
            <w:vAlign w:val="center"/>
          </w:tcPr>
          <w:p w14:paraId="5D5249DB" w14:textId="77777777" w:rsidR="00AC375F" w:rsidRPr="00AC375F" w:rsidRDefault="00AC375F" w:rsidP="00AC375F">
            <w:pPr>
              <w:jc w:val="center"/>
              <w:rPr>
                <w:sz w:val="18"/>
                <w:szCs w:val="18"/>
              </w:rPr>
            </w:pPr>
            <w:r w:rsidRPr="00AC375F">
              <w:rPr>
                <w:sz w:val="18"/>
                <w:szCs w:val="18"/>
              </w:rPr>
              <w:t>lipanj</w:t>
            </w:r>
          </w:p>
        </w:tc>
        <w:tc>
          <w:tcPr>
            <w:tcW w:w="1563" w:type="dxa"/>
            <w:shd w:val="clear" w:color="auto" w:fill="FFFFFF" w:themeFill="background1"/>
            <w:noWrap/>
            <w:vAlign w:val="center"/>
          </w:tcPr>
          <w:p w14:paraId="38E84B26" w14:textId="77777777" w:rsidR="00AC375F" w:rsidRPr="00AC375F" w:rsidRDefault="00AC375F" w:rsidP="00AC375F">
            <w:pPr>
              <w:jc w:val="center"/>
              <w:rPr>
                <w:sz w:val="18"/>
                <w:szCs w:val="18"/>
              </w:rPr>
            </w:pPr>
            <w:r w:rsidRPr="00AC375F">
              <w:rPr>
                <w:sz w:val="18"/>
                <w:szCs w:val="18"/>
              </w:rPr>
              <w:t>4; 4</w:t>
            </w:r>
          </w:p>
        </w:tc>
      </w:tr>
      <w:tr w:rsidR="00AC375F" w:rsidRPr="00AC375F" w14:paraId="61C7C552" w14:textId="77777777" w:rsidTr="00991955">
        <w:trPr>
          <w:trHeight w:val="237"/>
        </w:trPr>
        <w:tc>
          <w:tcPr>
            <w:tcW w:w="4390" w:type="dxa"/>
            <w:shd w:val="clear" w:color="auto" w:fill="auto"/>
            <w:noWrap/>
            <w:vAlign w:val="center"/>
          </w:tcPr>
          <w:p w14:paraId="522985ED" w14:textId="77777777" w:rsidR="00AC375F" w:rsidRPr="00AC375F" w:rsidRDefault="00AC375F" w:rsidP="00AC375F">
            <w:pPr>
              <w:rPr>
                <w:b/>
                <w:bCs/>
                <w:sz w:val="18"/>
                <w:szCs w:val="18"/>
              </w:rPr>
            </w:pPr>
          </w:p>
        </w:tc>
        <w:tc>
          <w:tcPr>
            <w:tcW w:w="1417" w:type="dxa"/>
            <w:shd w:val="clear" w:color="auto" w:fill="FFFFFF" w:themeFill="background1"/>
            <w:noWrap/>
            <w:vAlign w:val="center"/>
          </w:tcPr>
          <w:p w14:paraId="1E03B5FB"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FFFFFF" w:themeFill="background1"/>
            <w:noWrap/>
            <w:vAlign w:val="center"/>
          </w:tcPr>
          <w:p w14:paraId="0F6932B5" w14:textId="77777777" w:rsidR="00AC375F" w:rsidRPr="00AC375F" w:rsidRDefault="00AC375F" w:rsidP="00AC375F">
            <w:pPr>
              <w:jc w:val="center"/>
              <w:rPr>
                <w:sz w:val="18"/>
                <w:szCs w:val="18"/>
              </w:rPr>
            </w:pPr>
            <w:r w:rsidRPr="00AC375F">
              <w:rPr>
                <w:sz w:val="18"/>
                <w:szCs w:val="18"/>
              </w:rPr>
              <w:t>2</w:t>
            </w:r>
          </w:p>
        </w:tc>
        <w:tc>
          <w:tcPr>
            <w:tcW w:w="993" w:type="dxa"/>
            <w:shd w:val="clear" w:color="auto" w:fill="FFFFFF" w:themeFill="background1"/>
            <w:noWrap/>
            <w:vAlign w:val="center"/>
          </w:tcPr>
          <w:p w14:paraId="51CAF908" w14:textId="77777777" w:rsidR="00AC375F" w:rsidRPr="00AC375F" w:rsidRDefault="00AC375F" w:rsidP="00AC375F">
            <w:pPr>
              <w:jc w:val="center"/>
              <w:rPr>
                <w:sz w:val="18"/>
                <w:szCs w:val="18"/>
              </w:rPr>
            </w:pPr>
            <w:r w:rsidRPr="00AC375F">
              <w:rPr>
                <w:sz w:val="18"/>
                <w:szCs w:val="18"/>
              </w:rPr>
              <w:t>srpanj</w:t>
            </w:r>
          </w:p>
        </w:tc>
        <w:tc>
          <w:tcPr>
            <w:tcW w:w="1563" w:type="dxa"/>
            <w:shd w:val="clear" w:color="auto" w:fill="FFFFFF" w:themeFill="background1"/>
            <w:noWrap/>
            <w:vAlign w:val="center"/>
          </w:tcPr>
          <w:p w14:paraId="72C09958" w14:textId="77777777" w:rsidR="00AC375F" w:rsidRPr="00AC375F" w:rsidRDefault="00AC375F" w:rsidP="00AC375F">
            <w:pPr>
              <w:jc w:val="center"/>
              <w:rPr>
                <w:sz w:val="18"/>
                <w:szCs w:val="18"/>
              </w:rPr>
            </w:pPr>
            <w:r w:rsidRPr="00AC375F">
              <w:rPr>
                <w:sz w:val="18"/>
                <w:szCs w:val="18"/>
              </w:rPr>
              <w:t>4; 4</w:t>
            </w:r>
          </w:p>
        </w:tc>
      </w:tr>
      <w:tr w:rsidR="00AC375F" w:rsidRPr="00AC375F" w14:paraId="353B36A6" w14:textId="77777777" w:rsidTr="00991955">
        <w:trPr>
          <w:trHeight w:val="237"/>
        </w:trPr>
        <w:tc>
          <w:tcPr>
            <w:tcW w:w="4390" w:type="dxa"/>
            <w:shd w:val="clear" w:color="auto" w:fill="auto"/>
            <w:noWrap/>
            <w:vAlign w:val="center"/>
          </w:tcPr>
          <w:p w14:paraId="47E9BA79" w14:textId="77777777" w:rsidR="00AC375F" w:rsidRPr="00AC375F" w:rsidRDefault="00AC375F" w:rsidP="00AC375F">
            <w:pPr>
              <w:rPr>
                <w:b/>
                <w:bCs/>
                <w:sz w:val="18"/>
                <w:szCs w:val="18"/>
              </w:rPr>
            </w:pPr>
          </w:p>
        </w:tc>
        <w:tc>
          <w:tcPr>
            <w:tcW w:w="1417" w:type="dxa"/>
            <w:shd w:val="clear" w:color="auto" w:fill="FFFFFF" w:themeFill="background1"/>
            <w:noWrap/>
            <w:vAlign w:val="center"/>
          </w:tcPr>
          <w:p w14:paraId="6CA38C12" w14:textId="77777777" w:rsidR="00AC375F" w:rsidRPr="00AC375F" w:rsidRDefault="00AC375F" w:rsidP="00AC375F">
            <w:pPr>
              <w:jc w:val="center"/>
              <w:rPr>
                <w:sz w:val="18"/>
                <w:szCs w:val="18"/>
              </w:rPr>
            </w:pPr>
            <w:r w:rsidRPr="00AC375F">
              <w:rPr>
                <w:sz w:val="18"/>
                <w:szCs w:val="18"/>
              </w:rPr>
              <w:t>Amsterdam</w:t>
            </w:r>
          </w:p>
        </w:tc>
        <w:tc>
          <w:tcPr>
            <w:tcW w:w="992" w:type="dxa"/>
            <w:shd w:val="clear" w:color="auto" w:fill="FFFFFF" w:themeFill="background1"/>
            <w:noWrap/>
            <w:vAlign w:val="center"/>
          </w:tcPr>
          <w:p w14:paraId="59417FC1" w14:textId="77777777" w:rsidR="00AC375F" w:rsidRPr="00AC375F" w:rsidRDefault="00AC375F" w:rsidP="00AC375F">
            <w:pPr>
              <w:jc w:val="center"/>
              <w:rPr>
                <w:sz w:val="18"/>
                <w:szCs w:val="18"/>
              </w:rPr>
            </w:pPr>
            <w:r w:rsidRPr="00AC375F">
              <w:rPr>
                <w:sz w:val="18"/>
                <w:szCs w:val="18"/>
              </w:rPr>
              <w:t>2</w:t>
            </w:r>
          </w:p>
        </w:tc>
        <w:tc>
          <w:tcPr>
            <w:tcW w:w="993" w:type="dxa"/>
            <w:shd w:val="clear" w:color="auto" w:fill="FFFFFF" w:themeFill="background1"/>
            <w:noWrap/>
            <w:vAlign w:val="center"/>
          </w:tcPr>
          <w:p w14:paraId="40CEFAA3" w14:textId="77777777" w:rsidR="00AC375F" w:rsidRPr="00AC375F" w:rsidRDefault="00AC375F" w:rsidP="00AC375F">
            <w:pPr>
              <w:jc w:val="center"/>
              <w:rPr>
                <w:sz w:val="18"/>
                <w:szCs w:val="18"/>
              </w:rPr>
            </w:pPr>
            <w:r w:rsidRPr="00AC375F">
              <w:rPr>
                <w:sz w:val="18"/>
                <w:szCs w:val="18"/>
              </w:rPr>
              <w:t>rujan</w:t>
            </w:r>
          </w:p>
        </w:tc>
        <w:tc>
          <w:tcPr>
            <w:tcW w:w="1563" w:type="dxa"/>
            <w:shd w:val="clear" w:color="auto" w:fill="FFFFFF" w:themeFill="background1"/>
            <w:noWrap/>
            <w:vAlign w:val="center"/>
          </w:tcPr>
          <w:p w14:paraId="5F720BCA" w14:textId="77777777" w:rsidR="00AC375F" w:rsidRPr="00AC375F" w:rsidRDefault="00AC375F" w:rsidP="00AC375F">
            <w:pPr>
              <w:jc w:val="center"/>
              <w:rPr>
                <w:sz w:val="18"/>
                <w:szCs w:val="18"/>
              </w:rPr>
            </w:pPr>
            <w:r w:rsidRPr="00AC375F">
              <w:rPr>
                <w:sz w:val="18"/>
                <w:szCs w:val="18"/>
              </w:rPr>
              <w:t>4; 4</w:t>
            </w:r>
          </w:p>
        </w:tc>
      </w:tr>
      <w:tr w:rsidR="00AC375F" w:rsidRPr="00AC375F" w14:paraId="4330FE2A" w14:textId="77777777" w:rsidTr="00991955">
        <w:trPr>
          <w:trHeight w:val="237"/>
        </w:trPr>
        <w:tc>
          <w:tcPr>
            <w:tcW w:w="4390" w:type="dxa"/>
            <w:shd w:val="clear" w:color="auto" w:fill="auto"/>
            <w:noWrap/>
            <w:vAlign w:val="center"/>
          </w:tcPr>
          <w:p w14:paraId="3BAC5838" w14:textId="77777777" w:rsidR="00AC375F" w:rsidRPr="00AC375F" w:rsidRDefault="00AC375F" w:rsidP="00AC375F">
            <w:pPr>
              <w:rPr>
                <w:b/>
                <w:bCs/>
                <w:sz w:val="18"/>
                <w:szCs w:val="18"/>
              </w:rPr>
            </w:pPr>
          </w:p>
        </w:tc>
        <w:tc>
          <w:tcPr>
            <w:tcW w:w="1417" w:type="dxa"/>
            <w:shd w:val="clear" w:color="auto" w:fill="FFFFFF" w:themeFill="background1"/>
            <w:noWrap/>
            <w:vAlign w:val="center"/>
          </w:tcPr>
          <w:p w14:paraId="5DC134FC"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FFFFFF" w:themeFill="background1"/>
            <w:noWrap/>
            <w:vAlign w:val="center"/>
          </w:tcPr>
          <w:p w14:paraId="581A7CD0" w14:textId="77777777" w:rsidR="00AC375F" w:rsidRPr="00AC375F" w:rsidRDefault="00AC375F" w:rsidP="00AC375F">
            <w:pPr>
              <w:jc w:val="center"/>
              <w:rPr>
                <w:sz w:val="18"/>
                <w:szCs w:val="18"/>
              </w:rPr>
            </w:pPr>
            <w:r w:rsidRPr="00AC375F">
              <w:rPr>
                <w:sz w:val="18"/>
                <w:szCs w:val="18"/>
              </w:rPr>
              <w:t>2</w:t>
            </w:r>
          </w:p>
        </w:tc>
        <w:tc>
          <w:tcPr>
            <w:tcW w:w="993" w:type="dxa"/>
            <w:shd w:val="clear" w:color="auto" w:fill="FFFFFF" w:themeFill="background1"/>
            <w:noWrap/>
            <w:vAlign w:val="center"/>
          </w:tcPr>
          <w:p w14:paraId="0B332C87" w14:textId="77777777" w:rsidR="00AC375F" w:rsidRPr="00AC375F" w:rsidRDefault="00AC375F" w:rsidP="00AC375F">
            <w:pPr>
              <w:jc w:val="center"/>
              <w:rPr>
                <w:sz w:val="18"/>
                <w:szCs w:val="18"/>
              </w:rPr>
            </w:pPr>
            <w:r w:rsidRPr="00AC375F">
              <w:rPr>
                <w:sz w:val="18"/>
                <w:szCs w:val="18"/>
              </w:rPr>
              <w:t>listopad</w:t>
            </w:r>
          </w:p>
        </w:tc>
        <w:tc>
          <w:tcPr>
            <w:tcW w:w="1563" w:type="dxa"/>
            <w:shd w:val="clear" w:color="auto" w:fill="FFFFFF" w:themeFill="background1"/>
            <w:noWrap/>
            <w:vAlign w:val="center"/>
          </w:tcPr>
          <w:p w14:paraId="453FFF46" w14:textId="77777777" w:rsidR="00AC375F" w:rsidRPr="00AC375F" w:rsidRDefault="00AC375F" w:rsidP="00AC375F">
            <w:pPr>
              <w:jc w:val="center"/>
              <w:rPr>
                <w:sz w:val="18"/>
                <w:szCs w:val="18"/>
              </w:rPr>
            </w:pPr>
            <w:r w:rsidRPr="00AC375F">
              <w:rPr>
                <w:sz w:val="18"/>
                <w:szCs w:val="18"/>
              </w:rPr>
              <w:t>4; 4</w:t>
            </w:r>
          </w:p>
        </w:tc>
      </w:tr>
      <w:tr w:rsidR="00AC375F" w:rsidRPr="00AC375F" w14:paraId="0903912B" w14:textId="77777777" w:rsidTr="00991955">
        <w:trPr>
          <w:trHeight w:val="237"/>
        </w:trPr>
        <w:tc>
          <w:tcPr>
            <w:tcW w:w="4390" w:type="dxa"/>
            <w:shd w:val="clear" w:color="auto" w:fill="auto"/>
            <w:noWrap/>
            <w:vAlign w:val="center"/>
          </w:tcPr>
          <w:p w14:paraId="49937403" w14:textId="77777777" w:rsidR="00AC375F" w:rsidRPr="00AC375F" w:rsidRDefault="00AC375F" w:rsidP="00AC375F">
            <w:pPr>
              <w:rPr>
                <w:b/>
                <w:bCs/>
                <w:sz w:val="18"/>
                <w:szCs w:val="18"/>
              </w:rPr>
            </w:pPr>
          </w:p>
        </w:tc>
        <w:tc>
          <w:tcPr>
            <w:tcW w:w="1417" w:type="dxa"/>
            <w:shd w:val="clear" w:color="auto" w:fill="FFFFFF" w:themeFill="background1"/>
            <w:noWrap/>
            <w:vAlign w:val="center"/>
          </w:tcPr>
          <w:p w14:paraId="38D6805D"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FFFFFF" w:themeFill="background1"/>
            <w:noWrap/>
            <w:vAlign w:val="center"/>
          </w:tcPr>
          <w:p w14:paraId="1807517F" w14:textId="77777777" w:rsidR="00AC375F" w:rsidRPr="00AC375F" w:rsidRDefault="00AC375F" w:rsidP="00AC375F">
            <w:pPr>
              <w:jc w:val="center"/>
              <w:rPr>
                <w:sz w:val="18"/>
                <w:szCs w:val="18"/>
              </w:rPr>
            </w:pPr>
            <w:r w:rsidRPr="00AC375F">
              <w:rPr>
                <w:sz w:val="18"/>
                <w:szCs w:val="18"/>
              </w:rPr>
              <w:t>1</w:t>
            </w:r>
          </w:p>
        </w:tc>
        <w:tc>
          <w:tcPr>
            <w:tcW w:w="993" w:type="dxa"/>
            <w:shd w:val="clear" w:color="auto" w:fill="FFFFFF" w:themeFill="background1"/>
            <w:noWrap/>
            <w:vAlign w:val="center"/>
          </w:tcPr>
          <w:p w14:paraId="6BCE2337" w14:textId="77777777" w:rsidR="00AC375F" w:rsidRPr="00AC375F" w:rsidRDefault="00AC375F" w:rsidP="00AC375F">
            <w:pPr>
              <w:jc w:val="center"/>
              <w:rPr>
                <w:sz w:val="18"/>
                <w:szCs w:val="18"/>
              </w:rPr>
            </w:pPr>
            <w:r w:rsidRPr="00AC375F">
              <w:rPr>
                <w:sz w:val="18"/>
                <w:szCs w:val="18"/>
              </w:rPr>
              <w:t>studeni</w:t>
            </w:r>
          </w:p>
        </w:tc>
        <w:tc>
          <w:tcPr>
            <w:tcW w:w="1563" w:type="dxa"/>
            <w:shd w:val="clear" w:color="auto" w:fill="FFFFFF" w:themeFill="background1"/>
            <w:noWrap/>
            <w:vAlign w:val="center"/>
          </w:tcPr>
          <w:p w14:paraId="5E29EA04" w14:textId="77777777" w:rsidR="00AC375F" w:rsidRPr="00AC375F" w:rsidRDefault="00AC375F" w:rsidP="00AC375F">
            <w:pPr>
              <w:jc w:val="center"/>
              <w:rPr>
                <w:sz w:val="18"/>
                <w:szCs w:val="18"/>
              </w:rPr>
            </w:pPr>
            <w:r w:rsidRPr="00AC375F">
              <w:rPr>
                <w:sz w:val="18"/>
                <w:szCs w:val="18"/>
              </w:rPr>
              <w:t>4</w:t>
            </w:r>
          </w:p>
        </w:tc>
      </w:tr>
      <w:tr w:rsidR="00AC375F" w:rsidRPr="00AC375F" w14:paraId="6A94A607" w14:textId="77777777" w:rsidTr="00991955">
        <w:trPr>
          <w:trHeight w:val="237"/>
        </w:trPr>
        <w:tc>
          <w:tcPr>
            <w:tcW w:w="4390" w:type="dxa"/>
            <w:shd w:val="clear" w:color="auto" w:fill="auto"/>
            <w:noWrap/>
            <w:vAlign w:val="center"/>
          </w:tcPr>
          <w:p w14:paraId="68E4DFCE" w14:textId="77777777" w:rsidR="00AC375F" w:rsidRPr="00AC375F" w:rsidRDefault="00AC375F" w:rsidP="00AC375F">
            <w:pPr>
              <w:rPr>
                <w:b/>
                <w:bCs/>
                <w:sz w:val="18"/>
                <w:szCs w:val="18"/>
              </w:rPr>
            </w:pPr>
          </w:p>
        </w:tc>
        <w:tc>
          <w:tcPr>
            <w:tcW w:w="1417" w:type="dxa"/>
            <w:shd w:val="clear" w:color="auto" w:fill="FFFFFF" w:themeFill="background1"/>
            <w:noWrap/>
            <w:vAlign w:val="center"/>
          </w:tcPr>
          <w:p w14:paraId="2F6AE317" w14:textId="77777777" w:rsidR="00AC375F" w:rsidRPr="00AC375F" w:rsidRDefault="00AC375F" w:rsidP="00AC375F">
            <w:pPr>
              <w:jc w:val="center"/>
              <w:rPr>
                <w:sz w:val="18"/>
                <w:szCs w:val="18"/>
              </w:rPr>
            </w:pPr>
            <w:r w:rsidRPr="00AC375F">
              <w:rPr>
                <w:sz w:val="18"/>
                <w:szCs w:val="18"/>
              </w:rPr>
              <w:t>Amsterdam</w:t>
            </w:r>
          </w:p>
        </w:tc>
        <w:tc>
          <w:tcPr>
            <w:tcW w:w="992" w:type="dxa"/>
            <w:shd w:val="clear" w:color="auto" w:fill="FFFFFF" w:themeFill="background1"/>
            <w:noWrap/>
            <w:vAlign w:val="center"/>
          </w:tcPr>
          <w:p w14:paraId="3296A97F" w14:textId="77777777" w:rsidR="00AC375F" w:rsidRPr="00AC375F" w:rsidRDefault="00AC375F" w:rsidP="00AC375F">
            <w:pPr>
              <w:jc w:val="center"/>
              <w:rPr>
                <w:sz w:val="18"/>
                <w:szCs w:val="18"/>
              </w:rPr>
            </w:pPr>
            <w:r w:rsidRPr="00AC375F">
              <w:rPr>
                <w:sz w:val="18"/>
                <w:szCs w:val="18"/>
              </w:rPr>
              <w:t>2</w:t>
            </w:r>
          </w:p>
        </w:tc>
        <w:tc>
          <w:tcPr>
            <w:tcW w:w="993" w:type="dxa"/>
            <w:shd w:val="clear" w:color="auto" w:fill="FFFFFF" w:themeFill="background1"/>
            <w:noWrap/>
            <w:vAlign w:val="center"/>
          </w:tcPr>
          <w:p w14:paraId="58F13332" w14:textId="77777777" w:rsidR="00AC375F" w:rsidRPr="00AC375F" w:rsidRDefault="00AC375F" w:rsidP="00AC375F">
            <w:pPr>
              <w:jc w:val="center"/>
              <w:rPr>
                <w:sz w:val="18"/>
                <w:szCs w:val="18"/>
              </w:rPr>
            </w:pPr>
            <w:r w:rsidRPr="00AC375F">
              <w:rPr>
                <w:sz w:val="18"/>
                <w:szCs w:val="18"/>
              </w:rPr>
              <w:t>prosinac</w:t>
            </w:r>
          </w:p>
        </w:tc>
        <w:tc>
          <w:tcPr>
            <w:tcW w:w="1563" w:type="dxa"/>
            <w:shd w:val="clear" w:color="auto" w:fill="FFFFFF" w:themeFill="background1"/>
            <w:noWrap/>
            <w:vAlign w:val="center"/>
          </w:tcPr>
          <w:p w14:paraId="3845D8A3" w14:textId="77777777" w:rsidR="00AC375F" w:rsidRPr="00AC375F" w:rsidRDefault="00AC375F" w:rsidP="00AC375F">
            <w:pPr>
              <w:jc w:val="center"/>
              <w:rPr>
                <w:sz w:val="18"/>
                <w:szCs w:val="18"/>
              </w:rPr>
            </w:pPr>
            <w:r w:rsidRPr="00AC375F">
              <w:rPr>
                <w:sz w:val="18"/>
                <w:szCs w:val="18"/>
              </w:rPr>
              <w:t>4; 4</w:t>
            </w:r>
          </w:p>
        </w:tc>
      </w:tr>
      <w:tr w:rsidR="00AC375F" w:rsidRPr="00AC375F" w14:paraId="44CB3CE5" w14:textId="77777777" w:rsidTr="00991955">
        <w:trPr>
          <w:trHeight w:val="237"/>
        </w:trPr>
        <w:tc>
          <w:tcPr>
            <w:tcW w:w="4390" w:type="dxa"/>
            <w:shd w:val="clear" w:color="auto" w:fill="auto"/>
            <w:noWrap/>
            <w:vAlign w:val="center"/>
          </w:tcPr>
          <w:p w14:paraId="63B238F3" w14:textId="77777777" w:rsidR="00AC375F" w:rsidRPr="00AC375F" w:rsidRDefault="00AC375F" w:rsidP="00AC375F">
            <w:pPr>
              <w:rPr>
                <w:b/>
                <w:bCs/>
                <w:sz w:val="18"/>
                <w:szCs w:val="18"/>
              </w:rPr>
            </w:pPr>
            <w:r w:rsidRPr="00AC375F">
              <w:rPr>
                <w:b/>
                <w:bCs/>
                <w:sz w:val="18"/>
                <w:szCs w:val="18"/>
              </w:rPr>
              <w:t>PRAC SRLM meeting</w:t>
            </w:r>
          </w:p>
        </w:tc>
        <w:tc>
          <w:tcPr>
            <w:tcW w:w="1417" w:type="dxa"/>
            <w:shd w:val="clear" w:color="auto" w:fill="auto"/>
            <w:noWrap/>
            <w:vAlign w:val="center"/>
          </w:tcPr>
          <w:p w14:paraId="473FBD62" w14:textId="77777777" w:rsidR="00AC375F" w:rsidRPr="00AC375F" w:rsidRDefault="00AC375F" w:rsidP="00AC375F">
            <w:pPr>
              <w:jc w:val="center"/>
              <w:rPr>
                <w:sz w:val="18"/>
                <w:szCs w:val="18"/>
              </w:rPr>
            </w:pPr>
          </w:p>
        </w:tc>
        <w:tc>
          <w:tcPr>
            <w:tcW w:w="992" w:type="dxa"/>
            <w:shd w:val="clear" w:color="auto" w:fill="auto"/>
            <w:noWrap/>
            <w:vAlign w:val="center"/>
          </w:tcPr>
          <w:p w14:paraId="73514326" w14:textId="77777777" w:rsidR="00AC375F" w:rsidRPr="00AC375F" w:rsidRDefault="00AC375F" w:rsidP="00AC375F">
            <w:pPr>
              <w:jc w:val="center"/>
              <w:rPr>
                <w:sz w:val="18"/>
                <w:szCs w:val="18"/>
              </w:rPr>
            </w:pPr>
          </w:p>
        </w:tc>
        <w:tc>
          <w:tcPr>
            <w:tcW w:w="993" w:type="dxa"/>
            <w:shd w:val="clear" w:color="auto" w:fill="auto"/>
            <w:noWrap/>
            <w:vAlign w:val="center"/>
          </w:tcPr>
          <w:p w14:paraId="0F89EDE3" w14:textId="77777777" w:rsidR="00AC375F" w:rsidRPr="00AC375F" w:rsidRDefault="00AC375F" w:rsidP="00AC375F">
            <w:pPr>
              <w:jc w:val="center"/>
              <w:rPr>
                <w:sz w:val="18"/>
                <w:szCs w:val="18"/>
              </w:rPr>
            </w:pPr>
          </w:p>
        </w:tc>
        <w:tc>
          <w:tcPr>
            <w:tcW w:w="1563" w:type="dxa"/>
            <w:shd w:val="clear" w:color="auto" w:fill="auto"/>
            <w:noWrap/>
            <w:vAlign w:val="center"/>
          </w:tcPr>
          <w:p w14:paraId="3977D24A" w14:textId="77777777" w:rsidR="00AC375F" w:rsidRPr="00AC375F" w:rsidRDefault="00AC375F" w:rsidP="00AC375F">
            <w:pPr>
              <w:jc w:val="center"/>
              <w:rPr>
                <w:sz w:val="18"/>
                <w:szCs w:val="18"/>
              </w:rPr>
            </w:pPr>
          </w:p>
        </w:tc>
      </w:tr>
      <w:tr w:rsidR="00AC375F" w:rsidRPr="00AC375F" w14:paraId="62D8D8CA" w14:textId="77777777" w:rsidTr="00991955">
        <w:trPr>
          <w:trHeight w:val="237"/>
        </w:trPr>
        <w:tc>
          <w:tcPr>
            <w:tcW w:w="4390" w:type="dxa"/>
            <w:shd w:val="clear" w:color="auto" w:fill="auto"/>
            <w:noWrap/>
            <w:vAlign w:val="center"/>
          </w:tcPr>
          <w:p w14:paraId="43EBF921" w14:textId="77777777" w:rsidR="00AC375F" w:rsidRPr="00AC375F" w:rsidRDefault="00AC375F" w:rsidP="00AC375F">
            <w:pPr>
              <w:rPr>
                <w:b/>
                <w:bCs/>
                <w:sz w:val="18"/>
                <w:szCs w:val="18"/>
              </w:rPr>
            </w:pPr>
          </w:p>
        </w:tc>
        <w:tc>
          <w:tcPr>
            <w:tcW w:w="1417" w:type="dxa"/>
            <w:shd w:val="clear" w:color="auto" w:fill="auto"/>
            <w:noWrap/>
            <w:vAlign w:val="center"/>
          </w:tcPr>
          <w:p w14:paraId="4EC13BF5" w14:textId="77777777" w:rsidR="00AC375F" w:rsidRPr="00AC375F" w:rsidRDefault="00AC375F" w:rsidP="00AC375F">
            <w:pPr>
              <w:jc w:val="center"/>
              <w:rPr>
                <w:sz w:val="18"/>
                <w:szCs w:val="18"/>
              </w:rPr>
            </w:pPr>
            <w:r w:rsidRPr="00AC375F">
              <w:rPr>
                <w:sz w:val="18"/>
                <w:szCs w:val="18"/>
              </w:rPr>
              <w:t>Uppsala</w:t>
            </w:r>
          </w:p>
        </w:tc>
        <w:tc>
          <w:tcPr>
            <w:tcW w:w="992" w:type="dxa"/>
            <w:shd w:val="clear" w:color="auto" w:fill="auto"/>
            <w:noWrap/>
            <w:vAlign w:val="center"/>
          </w:tcPr>
          <w:p w14:paraId="6625FF17" w14:textId="77777777" w:rsidR="00AC375F" w:rsidRPr="00AC375F" w:rsidRDefault="00AC375F" w:rsidP="00AC375F">
            <w:pPr>
              <w:jc w:val="center"/>
              <w:rPr>
                <w:sz w:val="18"/>
                <w:szCs w:val="18"/>
              </w:rPr>
            </w:pPr>
            <w:r w:rsidRPr="00AC375F">
              <w:rPr>
                <w:sz w:val="18"/>
                <w:szCs w:val="18"/>
              </w:rPr>
              <w:t>2</w:t>
            </w:r>
          </w:p>
        </w:tc>
        <w:tc>
          <w:tcPr>
            <w:tcW w:w="993" w:type="dxa"/>
            <w:shd w:val="clear" w:color="auto" w:fill="auto"/>
            <w:noWrap/>
            <w:vAlign w:val="center"/>
          </w:tcPr>
          <w:p w14:paraId="5AB8146F" w14:textId="77777777" w:rsidR="00AC375F" w:rsidRPr="00AC375F" w:rsidRDefault="00AC375F" w:rsidP="00AC375F">
            <w:pPr>
              <w:jc w:val="center"/>
              <w:rPr>
                <w:sz w:val="18"/>
                <w:szCs w:val="18"/>
              </w:rPr>
            </w:pPr>
            <w:r w:rsidRPr="00AC375F">
              <w:rPr>
                <w:sz w:val="18"/>
                <w:szCs w:val="18"/>
              </w:rPr>
              <w:t>svibanj</w:t>
            </w:r>
          </w:p>
        </w:tc>
        <w:tc>
          <w:tcPr>
            <w:tcW w:w="1563" w:type="dxa"/>
            <w:shd w:val="clear" w:color="auto" w:fill="auto"/>
            <w:noWrap/>
            <w:vAlign w:val="center"/>
          </w:tcPr>
          <w:p w14:paraId="62F4C28F" w14:textId="77777777" w:rsidR="00AC375F" w:rsidRPr="00AC375F" w:rsidRDefault="00AC375F" w:rsidP="00AC375F">
            <w:pPr>
              <w:jc w:val="center"/>
              <w:rPr>
                <w:sz w:val="18"/>
                <w:szCs w:val="18"/>
              </w:rPr>
            </w:pPr>
            <w:r w:rsidRPr="00AC375F">
              <w:rPr>
                <w:sz w:val="18"/>
                <w:szCs w:val="18"/>
              </w:rPr>
              <w:t>2; 2</w:t>
            </w:r>
          </w:p>
        </w:tc>
      </w:tr>
      <w:tr w:rsidR="00AC375F" w:rsidRPr="00AC375F" w14:paraId="30468464" w14:textId="77777777" w:rsidTr="00991955">
        <w:trPr>
          <w:trHeight w:val="237"/>
        </w:trPr>
        <w:tc>
          <w:tcPr>
            <w:tcW w:w="4390" w:type="dxa"/>
            <w:shd w:val="clear" w:color="auto" w:fill="auto"/>
            <w:noWrap/>
            <w:vAlign w:val="center"/>
          </w:tcPr>
          <w:p w14:paraId="3401AC5A" w14:textId="77777777" w:rsidR="00AC375F" w:rsidRPr="00AC375F" w:rsidRDefault="00AC375F" w:rsidP="00AC375F">
            <w:pPr>
              <w:rPr>
                <w:b/>
                <w:bCs/>
                <w:sz w:val="18"/>
                <w:szCs w:val="18"/>
              </w:rPr>
            </w:pPr>
          </w:p>
        </w:tc>
        <w:tc>
          <w:tcPr>
            <w:tcW w:w="1417" w:type="dxa"/>
            <w:shd w:val="clear" w:color="auto" w:fill="FFFFFF" w:themeFill="background1"/>
            <w:noWrap/>
            <w:vAlign w:val="center"/>
          </w:tcPr>
          <w:p w14:paraId="3F3DD2E9" w14:textId="77777777" w:rsidR="00AC375F" w:rsidRPr="00AC375F" w:rsidRDefault="00AC375F" w:rsidP="00AC375F">
            <w:pPr>
              <w:jc w:val="center"/>
              <w:rPr>
                <w:sz w:val="18"/>
                <w:szCs w:val="18"/>
              </w:rPr>
            </w:pPr>
            <w:r w:rsidRPr="00AC375F">
              <w:rPr>
                <w:sz w:val="18"/>
                <w:szCs w:val="18"/>
              </w:rPr>
              <w:t>Madrid</w:t>
            </w:r>
          </w:p>
        </w:tc>
        <w:tc>
          <w:tcPr>
            <w:tcW w:w="992" w:type="dxa"/>
            <w:shd w:val="clear" w:color="auto" w:fill="FFFFFF" w:themeFill="background1"/>
            <w:noWrap/>
            <w:vAlign w:val="center"/>
          </w:tcPr>
          <w:p w14:paraId="41D102CC" w14:textId="77777777" w:rsidR="00AC375F" w:rsidRPr="00AC375F" w:rsidRDefault="00AC375F" w:rsidP="00AC375F">
            <w:pPr>
              <w:jc w:val="center"/>
              <w:rPr>
                <w:sz w:val="18"/>
                <w:szCs w:val="18"/>
              </w:rPr>
            </w:pPr>
            <w:r w:rsidRPr="00AC375F">
              <w:rPr>
                <w:sz w:val="18"/>
                <w:szCs w:val="18"/>
              </w:rPr>
              <w:t>2</w:t>
            </w:r>
          </w:p>
        </w:tc>
        <w:tc>
          <w:tcPr>
            <w:tcW w:w="993" w:type="dxa"/>
            <w:shd w:val="clear" w:color="auto" w:fill="FFFFFF" w:themeFill="background1"/>
            <w:noWrap/>
            <w:vAlign w:val="center"/>
          </w:tcPr>
          <w:p w14:paraId="0A6510E6" w14:textId="77777777" w:rsidR="00AC375F" w:rsidRPr="00AC375F" w:rsidRDefault="00AC375F" w:rsidP="00AC375F">
            <w:pPr>
              <w:jc w:val="center"/>
              <w:rPr>
                <w:sz w:val="18"/>
                <w:szCs w:val="18"/>
              </w:rPr>
            </w:pPr>
            <w:r w:rsidRPr="00AC375F">
              <w:rPr>
                <w:sz w:val="18"/>
                <w:szCs w:val="18"/>
              </w:rPr>
              <w:t>studeni</w:t>
            </w:r>
          </w:p>
        </w:tc>
        <w:tc>
          <w:tcPr>
            <w:tcW w:w="1563" w:type="dxa"/>
            <w:shd w:val="clear" w:color="auto" w:fill="FFFFFF" w:themeFill="background1"/>
            <w:noWrap/>
            <w:vAlign w:val="center"/>
          </w:tcPr>
          <w:p w14:paraId="6245F14A" w14:textId="77777777" w:rsidR="00AC375F" w:rsidRPr="00AC375F" w:rsidRDefault="00AC375F" w:rsidP="00AC375F">
            <w:pPr>
              <w:jc w:val="center"/>
              <w:rPr>
                <w:sz w:val="18"/>
                <w:szCs w:val="18"/>
              </w:rPr>
            </w:pPr>
            <w:r w:rsidRPr="00AC375F">
              <w:rPr>
                <w:sz w:val="18"/>
                <w:szCs w:val="18"/>
              </w:rPr>
              <w:t>2; 2</w:t>
            </w:r>
          </w:p>
        </w:tc>
      </w:tr>
      <w:tr w:rsidR="00AC375F" w:rsidRPr="00AC375F" w14:paraId="302F6D0F" w14:textId="77777777" w:rsidTr="00991955">
        <w:trPr>
          <w:trHeight w:val="237"/>
        </w:trPr>
        <w:tc>
          <w:tcPr>
            <w:tcW w:w="4390" w:type="dxa"/>
            <w:shd w:val="clear" w:color="auto" w:fill="auto"/>
            <w:noWrap/>
            <w:vAlign w:val="center"/>
          </w:tcPr>
          <w:p w14:paraId="1C51C85F" w14:textId="77777777" w:rsidR="00AC375F" w:rsidRPr="00AC375F" w:rsidRDefault="00AC375F" w:rsidP="00AC375F">
            <w:pPr>
              <w:rPr>
                <w:b/>
                <w:bCs/>
                <w:sz w:val="18"/>
                <w:szCs w:val="18"/>
              </w:rPr>
            </w:pPr>
          </w:p>
        </w:tc>
        <w:tc>
          <w:tcPr>
            <w:tcW w:w="1417" w:type="dxa"/>
            <w:shd w:val="clear" w:color="auto" w:fill="FFFFFF" w:themeFill="background1"/>
            <w:noWrap/>
            <w:vAlign w:val="center"/>
          </w:tcPr>
          <w:p w14:paraId="0880A867" w14:textId="77777777" w:rsidR="00AC375F" w:rsidRPr="00AC375F" w:rsidRDefault="00AC375F" w:rsidP="00AC375F">
            <w:pPr>
              <w:jc w:val="center"/>
              <w:rPr>
                <w:sz w:val="18"/>
                <w:szCs w:val="18"/>
              </w:rPr>
            </w:pPr>
          </w:p>
        </w:tc>
        <w:tc>
          <w:tcPr>
            <w:tcW w:w="992" w:type="dxa"/>
            <w:shd w:val="clear" w:color="auto" w:fill="FFFFFF" w:themeFill="background1"/>
            <w:noWrap/>
            <w:vAlign w:val="center"/>
          </w:tcPr>
          <w:p w14:paraId="4AC91A42" w14:textId="77777777" w:rsidR="00AC375F" w:rsidRPr="00AC375F" w:rsidRDefault="00AC375F" w:rsidP="00AC375F">
            <w:pPr>
              <w:jc w:val="center"/>
              <w:rPr>
                <w:sz w:val="18"/>
                <w:szCs w:val="18"/>
              </w:rPr>
            </w:pPr>
          </w:p>
        </w:tc>
        <w:tc>
          <w:tcPr>
            <w:tcW w:w="993" w:type="dxa"/>
            <w:shd w:val="clear" w:color="auto" w:fill="FFFFFF" w:themeFill="background1"/>
            <w:noWrap/>
            <w:vAlign w:val="center"/>
          </w:tcPr>
          <w:p w14:paraId="20014193" w14:textId="77777777" w:rsidR="00AC375F" w:rsidRPr="00AC375F" w:rsidRDefault="00AC375F" w:rsidP="00AC375F">
            <w:pPr>
              <w:jc w:val="center"/>
              <w:rPr>
                <w:sz w:val="18"/>
                <w:szCs w:val="18"/>
              </w:rPr>
            </w:pPr>
          </w:p>
        </w:tc>
        <w:tc>
          <w:tcPr>
            <w:tcW w:w="1563" w:type="dxa"/>
            <w:shd w:val="clear" w:color="auto" w:fill="FFFFFF" w:themeFill="background1"/>
            <w:noWrap/>
            <w:vAlign w:val="center"/>
          </w:tcPr>
          <w:p w14:paraId="6B3D77F2" w14:textId="77777777" w:rsidR="00AC375F" w:rsidRPr="00AC375F" w:rsidRDefault="00AC375F" w:rsidP="00AC375F">
            <w:pPr>
              <w:jc w:val="center"/>
              <w:rPr>
                <w:sz w:val="18"/>
                <w:szCs w:val="18"/>
              </w:rPr>
            </w:pPr>
          </w:p>
        </w:tc>
      </w:tr>
      <w:tr w:rsidR="00AC375F" w:rsidRPr="00AC375F" w14:paraId="1C9872C4" w14:textId="77777777" w:rsidTr="00991955">
        <w:trPr>
          <w:trHeight w:val="237"/>
        </w:trPr>
        <w:tc>
          <w:tcPr>
            <w:tcW w:w="4390" w:type="dxa"/>
            <w:shd w:val="clear" w:color="auto" w:fill="auto"/>
            <w:noWrap/>
            <w:vAlign w:val="center"/>
          </w:tcPr>
          <w:p w14:paraId="2677B2E4" w14:textId="77777777" w:rsidR="00AC375F" w:rsidRPr="00AC375F" w:rsidRDefault="00AC375F" w:rsidP="00AC375F">
            <w:pPr>
              <w:rPr>
                <w:b/>
                <w:bCs/>
                <w:sz w:val="18"/>
                <w:szCs w:val="18"/>
              </w:rPr>
            </w:pPr>
            <w:r w:rsidRPr="00AC375F">
              <w:rPr>
                <w:b/>
                <w:bCs/>
                <w:sz w:val="18"/>
                <w:szCs w:val="18"/>
              </w:rPr>
              <w:t>Signal Management Review Technical Working Group – SMART</w:t>
            </w:r>
          </w:p>
        </w:tc>
        <w:tc>
          <w:tcPr>
            <w:tcW w:w="1417" w:type="dxa"/>
            <w:shd w:val="clear" w:color="auto" w:fill="FFFFFF" w:themeFill="background1"/>
            <w:noWrap/>
            <w:vAlign w:val="center"/>
          </w:tcPr>
          <w:p w14:paraId="59169185"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FFFFFF" w:themeFill="background1"/>
            <w:noWrap/>
            <w:vAlign w:val="center"/>
          </w:tcPr>
          <w:p w14:paraId="51D97A1A" w14:textId="77777777" w:rsidR="00AC375F" w:rsidRPr="00AC375F" w:rsidRDefault="00AC375F" w:rsidP="00AC375F">
            <w:pPr>
              <w:jc w:val="center"/>
              <w:rPr>
                <w:sz w:val="18"/>
                <w:szCs w:val="18"/>
              </w:rPr>
            </w:pPr>
            <w:r w:rsidRPr="00AC375F">
              <w:rPr>
                <w:sz w:val="18"/>
                <w:szCs w:val="18"/>
              </w:rPr>
              <w:t>1</w:t>
            </w:r>
          </w:p>
        </w:tc>
        <w:tc>
          <w:tcPr>
            <w:tcW w:w="993" w:type="dxa"/>
            <w:shd w:val="clear" w:color="auto" w:fill="FFFFFF" w:themeFill="background1"/>
            <w:noWrap/>
            <w:vAlign w:val="center"/>
          </w:tcPr>
          <w:p w14:paraId="1F2E08AB" w14:textId="77777777" w:rsidR="00AC375F" w:rsidRPr="00AC375F" w:rsidRDefault="00AC375F" w:rsidP="00AC375F">
            <w:pPr>
              <w:jc w:val="center"/>
              <w:rPr>
                <w:sz w:val="18"/>
                <w:szCs w:val="18"/>
              </w:rPr>
            </w:pPr>
            <w:r w:rsidRPr="00AC375F">
              <w:rPr>
                <w:sz w:val="18"/>
                <w:szCs w:val="18"/>
              </w:rPr>
              <w:t>ožujak</w:t>
            </w:r>
          </w:p>
        </w:tc>
        <w:tc>
          <w:tcPr>
            <w:tcW w:w="1563" w:type="dxa"/>
            <w:shd w:val="clear" w:color="auto" w:fill="FFFFFF" w:themeFill="background1"/>
            <w:noWrap/>
            <w:vAlign w:val="center"/>
          </w:tcPr>
          <w:p w14:paraId="440F5E10" w14:textId="77777777" w:rsidR="00AC375F" w:rsidRPr="00AC375F" w:rsidRDefault="00AC375F" w:rsidP="00AC375F">
            <w:pPr>
              <w:jc w:val="center"/>
              <w:rPr>
                <w:sz w:val="18"/>
                <w:szCs w:val="18"/>
              </w:rPr>
            </w:pPr>
            <w:r w:rsidRPr="00AC375F">
              <w:rPr>
                <w:sz w:val="18"/>
                <w:szCs w:val="18"/>
              </w:rPr>
              <w:t>0,25</w:t>
            </w:r>
          </w:p>
        </w:tc>
      </w:tr>
      <w:tr w:rsidR="00AC375F" w:rsidRPr="00AC375F" w14:paraId="503F0096" w14:textId="77777777" w:rsidTr="00991955">
        <w:trPr>
          <w:trHeight w:val="237"/>
        </w:trPr>
        <w:tc>
          <w:tcPr>
            <w:tcW w:w="4390" w:type="dxa"/>
            <w:shd w:val="clear" w:color="auto" w:fill="auto"/>
            <w:noWrap/>
            <w:vAlign w:val="center"/>
          </w:tcPr>
          <w:p w14:paraId="1F7792B6" w14:textId="77777777" w:rsidR="00AC375F" w:rsidRPr="00AC375F" w:rsidRDefault="00AC375F" w:rsidP="00AC375F">
            <w:pPr>
              <w:rPr>
                <w:b/>
                <w:bCs/>
                <w:sz w:val="18"/>
                <w:szCs w:val="18"/>
              </w:rPr>
            </w:pPr>
          </w:p>
        </w:tc>
        <w:tc>
          <w:tcPr>
            <w:tcW w:w="1417" w:type="dxa"/>
            <w:shd w:val="clear" w:color="auto" w:fill="auto"/>
            <w:noWrap/>
            <w:vAlign w:val="center"/>
          </w:tcPr>
          <w:p w14:paraId="49440ADC"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auto"/>
            <w:noWrap/>
            <w:vAlign w:val="center"/>
          </w:tcPr>
          <w:p w14:paraId="52618358" w14:textId="77777777" w:rsidR="00AC375F" w:rsidRPr="00AC375F" w:rsidRDefault="00AC375F" w:rsidP="00AC375F">
            <w:pPr>
              <w:jc w:val="center"/>
              <w:rPr>
                <w:sz w:val="18"/>
                <w:szCs w:val="18"/>
              </w:rPr>
            </w:pPr>
            <w:r w:rsidRPr="00AC375F">
              <w:rPr>
                <w:sz w:val="18"/>
                <w:szCs w:val="18"/>
              </w:rPr>
              <w:t>1</w:t>
            </w:r>
          </w:p>
        </w:tc>
        <w:tc>
          <w:tcPr>
            <w:tcW w:w="993" w:type="dxa"/>
            <w:shd w:val="clear" w:color="auto" w:fill="auto"/>
            <w:noWrap/>
            <w:vAlign w:val="center"/>
          </w:tcPr>
          <w:p w14:paraId="01F8B69E" w14:textId="77777777" w:rsidR="00AC375F" w:rsidRPr="00AC375F" w:rsidRDefault="00AC375F" w:rsidP="00AC375F">
            <w:pPr>
              <w:jc w:val="center"/>
              <w:rPr>
                <w:sz w:val="18"/>
                <w:szCs w:val="18"/>
              </w:rPr>
            </w:pPr>
            <w:r w:rsidRPr="00AC375F">
              <w:rPr>
                <w:sz w:val="18"/>
                <w:szCs w:val="18"/>
              </w:rPr>
              <w:t>prosinac</w:t>
            </w:r>
          </w:p>
        </w:tc>
        <w:tc>
          <w:tcPr>
            <w:tcW w:w="1563" w:type="dxa"/>
            <w:shd w:val="clear" w:color="auto" w:fill="auto"/>
            <w:noWrap/>
            <w:vAlign w:val="center"/>
          </w:tcPr>
          <w:p w14:paraId="3D82713D" w14:textId="77777777" w:rsidR="00AC375F" w:rsidRPr="00AC375F" w:rsidRDefault="00AC375F" w:rsidP="00AC375F">
            <w:pPr>
              <w:jc w:val="center"/>
              <w:rPr>
                <w:sz w:val="18"/>
                <w:szCs w:val="18"/>
              </w:rPr>
            </w:pPr>
            <w:r w:rsidRPr="00AC375F">
              <w:rPr>
                <w:sz w:val="18"/>
                <w:szCs w:val="18"/>
              </w:rPr>
              <w:t>0,25</w:t>
            </w:r>
          </w:p>
        </w:tc>
      </w:tr>
      <w:tr w:rsidR="00AC375F" w:rsidRPr="00AC375F" w14:paraId="7049020D" w14:textId="77777777" w:rsidTr="00991955">
        <w:trPr>
          <w:trHeight w:val="202"/>
        </w:trPr>
        <w:tc>
          <w:tcPr>
            <w:tcW w:w="4390" w:type="dxa"/>
            <w:shd w:val="clear" w:color="auto" w:fill="auto"/>
            <w:vAlign w:val="center"/>
          </w:tcPr>
          <w:p w14:paraId="1C0659A7" w14:textId="77777777" w:rsidR="00AC375F" w:rsidRPr="00AC375F" w:rsidRDefault="00AC375F" w:rsidP="00AC375F">
            <w:pPr>
              <w:rPr>
                <w:b/>
                <w:bCs/>
                <w:sz w:val="18"/>
                <w:szCs w:val="18"/>
              </w:rPr>
            </w:pPr>
            <w:r w:rsidRPr="00AC375F">
              <w:rPr>
                <w:b/>
                <w:bCs/>
                <w:sz w:val="18"/>
                <w:szCs w:val="18"/>
              </w:rPr>
              <w:t>Pharmacovigilance Business Team - PBT</w:t>
            </w:r>
          </w:p>
        </w:tc>
        <w:tc>
          <w:tcPr>
            <w:tcW w:w="1417" w:type="dxa"/>
            <w:shd w:val="clear" w:color="auto" w:fill="FFFFFF" w:themeFill="background1"/>
            <w:noWrap/>
            <w:vAlign w:val="center"/>
          </w:tcPr>
          <w:p w14:paraId="3AAA295F"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FFFFFF" w:themeFill="background1"/>
            <w:noWrap/>
            <w:vAlign w:val="center"/>
          </w:tcPr>
          <w:p w14:paraId="2D01E2DA" w14:textId="77777777" w:rsidR="00AC375F" w:rsidRPr="00AC375F" w:rsidRDefault="00AC375F" w:rsidP="00AC375F">
            <w:pPr>
              <w:jc w:val="center"/>
              <w:rPr>
                <w:sz w:val="18"/>
                <w:szCs w:val="18"/>
              </w:rPr>
            </w:pPr>
            <w:r w:rsidRPr="00AC375F">
              <w:rPr>
                <w:sz w:val="18"/>
                <w:szCs w:val="18"/>
              </w:rPr>
              <w:t>1</w:t>
            </w:r>
          </w:p>
        </w:tc>
        <w:tc>
          <w:tcPr>
            <w:tcW w:w="993" w:type="dxa"/>
            <w:shd w:val="clear" w:color="auto" w:fill="FFFFFF" w:themeFill="background1"/>
            <w:noWrap/>
            <w:vAlign w:val="center"/>
          </w:tcPr>
          <w:p w14:paraId="3C6887A8" w14:textId="77777777" w:rsidR="00AC375F" w:rsidRPr="00AC375F" w:rsidRDefault="00AC375F" w:rsidP="00AC375F">
            <w:pPr>
              <w:jc w:val="center"/>
              <w:rPr>
                <w:sz w:val="18"/>
                <w:szCs w:val="18"/>
              </w:rPr>
            </w:pPr>
            <w:r w:rsidRPr="00AC375F">
              <w:rPr>
                <w:sz w:val="18"/>
                <w:szCs w:val="18"/>
              </w:rPr>
              <w:t>veljača</w:t>
            </w:r>
          </w:p>
        </w:tc>
        <w:tc>
          <w:tcPr>
            <w:tcW w:w="1563" w:type="dxa"/>
            <w:shd w:val="clear" w:color="auto" w:fill="FFFFFF" w:themeFill="background1"/>
            <w:noWrap/>
            <w:vAlign w:val="center"/>
          </w:tcPr>
          <w:p w14:paraId="1129164B" w14:textId="77777777" w:rsidR="00AC375F" w:rsidRPr="00AC375F" w:rsidRDefault="00AC375F" w:rsidP="00AC375F">
            <w:pPr>
              <w:jc w:val="center"/>
              <w:rPr>
                <w:sz w:val="18"/>
                <w:szCs w:val="18"/>
              </w:rPr>
            </w:pPr>
            <w:r w:rsidRPr="00AC375F">
              <w:rPr>
                <w:sz w:val="18"/>
                <w:szCs w:val="18"/>
              </w:rPr>
              <w:t>0,25</w:t>
            </w:r>
          </w:p>
        </w:tc>
      </w:tr>
      <w:tr w:rsidR="00AC375F" w:rsidRPr="00AC375F" w14:paraId="61EF5029" w14:textId="77777777" w:rsidTr="00991955">
        <w:trPr>
          <w:trHeight w:val="202"/>
        </w:trPr>
        <w:tc>
          <w:tcPr>
            <w:tcW w:w="4390" w:type="dxa"/>
            <w:shd w:val="clear" w:color="auto" w:fill="auto"/>
            <w:vAlign w:val="center"/>
          </w:tcPr>
          <w:p w14:paraId="3BE09F83" w14:textId="77777777" w:rsidR="00AC375F" w:rsidRPr="00AC375F" w:rsidRDefault="00AC375F" w:rsidP="00AC375F">
            <w:pPr>
              <w:rPr>
                <w:b/>
                <w:bCs/>
                <w:sz w:val="18"/>
                <w:szCs w:val="18"/>
              </w:rPr>
            </w:pPr>
          </w:p>
        </w:tc>
        <w:tc>
          <w:tcPr>
            <w:tcW w:w="1417" w:type="dxa"/>
            <w:shd w:val="clear" w:color="auto" w:fill="FFFFFF" w:themeFill="background1"/>
            <w:noWrap/>
            <w:vAlign w:val="center"/>
          </w:tcPr>
          <w:p w14:paraId="335448EC"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FFFFFF" w:themeFill="background1"/>
            <w:noWrap/>
            <w:vAlign w:val="center"/>
          </w:tcPr>
          <w:p w14:paraId="437E4187" w14:textId="77777777" w:rsidR="00AC375F" w:rsidRPr="00AC375F" w:rsidRDefault="00AC375F" w:rsidP="00AC375F">
            <w:pPr>
              <w:jc w:val="center"/>
              <w:rPr>
                <w:sz w:val="18"/>
                <w:szCs w:val="18"/>
              </w:rPr>
            </w:pPr>
            <w:r w:rsidRPr="00AC375F">
              <w:rPr>
                <w:sz w:val="18"/>
                <w:szCs w:val="18"/>
              </w:rPr>
              <w:t>1</w:t>
            </w:r>
          </w:p>
        </w:tc>
        <w:tc>
          <w:tcPr>
            <w:tcW w:w="993" w:type="dxa"/>
            <w:shd w:val="clear" w:color="auto" w:fill="FFFFFF" w:themeFill="background1"/>
            <w:noWrap/>
            <w:vAlign w:val="center"/>
          </w:tcPr>
          <w:p w14:paraId="5DA4AFEF" w14:textId="77777777" w:rsidR="00AC375F" w:rsidRPr="00AC375F" w:rsidRDefault="00AC375F" w:rsidP="00AC375F">
            <w:pPr>
              <w:jc w:val="center"/>
              <w:rPr>
                <w:sz w:val="18"/>
                <w:szCs w:val="18"/>
              </w:rPr>
            </w:pPr>
            <w:r w:rsidRPr="00AC375F">
              <w:rPr>
                <w:sz w:val="18"/>
                <w:szCs w:val="18"/>
              </w:rPr>
              <w:t>lipanj</w:t>
            </w:r>
          </w:p>
        </w:tc>
        <w:tc>
          <w:tcPr>
            <w:tcW w:w="1563" w:type="dxa"/>
            <w:shd w:val="clear" w:color="auto" w:fill="FFFFFF" w:themeFill="background1"/>
            <w:noWrap/>
            <w:vAlign w:val="center"/>
          </w:tcPr>
          <w:p w14:paraId="11FE4024" w14:textId="77777777" w:rsidR="00AC375F" w:rsidRPr="00AC375F" w:rsidRDefault="00AC375F" w:rsidP="00AC375F">
            <w:pPr>
              <w:jc w:val="center"/>
              <w:rPr>
                <w:sz w:val="18"/>
                <w:szCs w:val="18"/>
              </w:rPr>
            </w:pPr>
            <w:r w:rsidRPr="00AC375F">
              <w:rPr>
                <w:sz w:val="18"/>
                <w:szCs w:val="18"/>
              </w:rPr>
              <w:t>0,25</w:t>
            </w:r>
          </w:p>
        </w:tc>
      </w:tr>
      <w:tr w:rsidR="00AC375F" w:rsidRPr="00AC375F" w14:paraId="04DADCB0" w14:textId="77777777" w:rsidTr="00991955">
        <w:trPr>
          <w:trHeight w:val="202"/>
        </w:trPr>
        <w:tc>
          <w:tcPr>
            <w:tcW w:w="4390" w:type="dxa"/>
            <w:shd w:val="clear" w:color="auto" w:fill="auto"/>
            <w:vAlign w:val="center"/>
          </w:tcPr>
          <w:p w14:paraId="34E31FBE" w14:textId="77777777" w:rsidR="00AC375F" w:rsidRPr="00AC375F" w:rsidRDefault="00AC375F" w:rsidP="00AC375F">
            <w:pPr>
              <w:rPr>
                <w:b/>
                <w:bCs/>
                <w:sz w:val="18"/>
                <w:szCs w:val="18"/>
              </w:rPr>
            </w:pPr>
          </w:p>
        </w:tc>
        <w:tc>
          <w:tcPr>
            <w:tcW w:w="1417" w:type="dxa"/>
            <w:shd w:val="clear" w:color="auto" w:fill="FFFFFF" w:themeFill="background1"/>
            <w:noWrap/>
            <w:vAlign w:val="center"/>
          </w:tcPr>
          <w:p w14:paraId="0845969E"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FFFFFF" w:themeFill="background1"/>
            <w:noWrap/>
            <w:vAlign w:val="center"/>
          </w:tcPr>
          <w:p w14:paraId="70AFCFA9" w14:textId="77777777" w:rsidR="00AC375F" w:rsidRPr="00AC375F" w:rsidRDefault="00AC375F" w:rsidP="00AC375F">
            <w:pPr>
              <w:jc w:val="center"/>
              <w:rPr>
                <w:sz w:val="18"/>
                <w:szCs w:val="18"/>
              </w:rPr>
            </w:pPr>
            <w:r w:rsidRPr="00AC375F">
              <w:rPr>
                <w:sz w:val="18"/>
                <w:szCs w:val="18"/>
              </w:rPr>
              <w:t>1</w:t>
            </w:r>
          </w:p>
        </w:tc>
        <w:tc>
          <w:tcPr>
            <w:tcW w:w="993" w:type="dxa"/>
            <w:shd w:val="clear" w:color="auto" w:fill="FFFFFF" w:themeFill="background1"/>
            <w:noWrap/>
            <w:vAlign w:val="center"/>
          </w:tcPr>
          <w:p w14:paraId="23BE834D" w14:textId="77777777" w:rsidR="00AC375F" w:rsidRPr="00AC375F" w:rsidRDefault="00AC375F" w:rsidP="00AC375F">
            <w:pPr>
              <w:jc w:val="center"/>
              <w:rPr>
                <w:sz w:val="18"/>
                <w:szCs w:val="18"/>
              </w:rPr>
            </w:pPr>
            <w:r w:rsidRPr="00AC375F">
              <w:rPr>
                <w:sz w:val="18"/>
                <w:szCs w:val="18"/>
              </w:rPr>
              <w:t>listopad</w:t>
            </w:r>
          </w:p>
        </w:tc>
        <w:tc>
          <w:tcPr>
            <w:tcW w:w="1563" w:type="dxa"/>
            <w:shd w:val="clear" w:color="auto" w:fill="FFFFFF" w:themeFill="background1"/>
            <w:noWrap/>
            <w:vAlign w:val="center"/>
          </w:tcPr>
          <w:p w14:paraId="5EBFF305" w14:textId="77777777" w:rsidR="00AC375F" w:rsidRPr="00AC375F" w:rsidRDefault="00AC375F" w:rsidP="00AC375F">
            <w:pPr>
              <w:jc w:val="center"/>
              <w:rPr>
                <w:sz w:val="18"/>
                <w:szCs w:val="18"/>
              </w:rPr>
            </w:pPr>
            <w:r w:rsidRPr="00AC375F">
              <w:rPr>
                <w:sz w:val="18"/>
                <w:szCs w:val="18"/>
              </w:rPr>
              <w:t>0,25</w:t>
            </w:r>
          </w:p>
        </w:tc>
      </w:tr>
      <w:tr w:rsidR="00AC375F" w:rsidRPr="00AC375F" w14:paraId="17B7B08B" w14:textId="77777777" w:rsidTr="00991955">
        <w:trPr>
          <w:trHeight w:val="202"/>
        </w:trPr>
        <w:tc>
          <w:tcPr>
            <w:tcW w:w="4390" w:type="dxa"/>
            <w:shd w:val="clear" w:color="auto" w:fill="auto"/>
            <w:vAlign w:val="center"/>
          </w:tcPr>
          <w:p w14:paraId="5B51058E" w14:textId="77777777" w:rsidR="00AC375F" w:rsidRPr="00AC375F" w:rsidRDefault="00AC375F" w:rsidP="00AC375F">
            <w:pPr>
              <w:rPr>
                <w:b/>
                <w:bCs/>
                <w:sz w:val="18"/>
                <w:szCs w:val="18"/>
              </w:rPr>
            </w:pPr>
          </w:p>
        </w:tc>
        <w:tc>
          <w:tcPr>
            <w:tcW w:w="1417" w:type="dxa"/>
            <w:shd w:val="clear" w:color="auto" w:fill="FFFFFF" w:themeFill="background1"/>
            <w:noWrap/>
            <w:vAlign w:val="center"/>
          </w:tcPr>
          <w:p w14:paraId="4E4F0C93"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FFFFFF" w:themeFill="background1"/>
            <w:noWrap/>
            <w:vAlign w:val="center"/>
          </w:tcPr>
          <w:p w14:paraId="49A24422" w14:textId="77777777" w:rsidR="00AC375F" w:rsidRPr="00AC375F" w:rsidRDefault="00AC375F" w:rsidP="00AC375F">
            <w:pPr>
              <w:jc w:val="center"/>
              <w:rPr>
                <w:sz w:val="18"/>
                <w:szCs w:val="18"/>
              </w:rPr>
            </w:pPr>
            <w:r w:rsidRPr="00AC375F">
              <w:rPr>
                <w:sz w:val="18"/>
                <w:szCs w:val="18"/>
              </w:rPr>
              <w:t>1</w:t>
            </w:r>
          </w:p>
        </w:tc>
        <w:tc>
          <w:tcPr>
            <w:tcW w:w="993" w:type="dxa"/>
            <w:shd w:val="clear" w:color="auto" w:fill="FFFFFF" w:themeFill="background1"/>
            <w:noWrap/>
            <w:vAlign w:val="center"/>
          </w:tcPr>
          <w:p w14:paraId="711CB94B" w14:textId="77777777" w:rsidR="00AC375F" w:rsidRPr="00AC375F" w:rsidRDefault="00AC375F" w:rsidP="00AC375F">
            <w:pPr>
              <w:jc w:val="center"/>
              <w:rPr>
                <w:sz w:val="18"/>
                <w:szCs w:val="18"/>
              </w:rPr>
            </w:pPr>
            <w:r w:rsidRPr="00AC375F">
              <w:rPr>
                <w:sz w:val="18"/>
                <w:szCs w:val="18"/>
              </w:rPr>
              <w:t>prosinac</w:t>
            </w:r>
          </w:p>
        </w:tc>
        <w:tc>
          <w:tcPr>
            <w:tcW w:w="1563" w:type="dxa"/>
            <w:shd w:val="clear" w:color="auto" w:fill="FFFFFF" w:themeFill="background1"/>
            <w:noWrap/>
            <w:vAlign w:val="center"/>
          </w:tcPr>
          <w:p w14:paraId="75FD767E" w14:textId="77777777" w:rsidR="00AC375F" w:rsidRPr="00AC375F" w:rsidRDefault="00AC375F" w:rsidP="00AC375F">
            <w:pPr>
              <w:jc w:val="center"/>
              <w:rPr>
                <w:sz w:val="18"/>
                <w:szCs w:val="18"/>
              </w:rPr>
            </w:pPr>
            <w:r w:rsidRPr="00AC375F">
              <w:rPr>
                <w:sz w:val="18"/>
                <w:szCs w:val="18"/>
              </w:rPr>
              <w:t>0,25</w:t>
            </w:r>
          </w:p>
        </w:tc>
      </w:tr>
      <w:tr w:rsidR="00AC375F" w:rsidRPr="00AC375F" w14:paraId="699BF4A3" w14:textId="77777777" w:rsidTr="00991955">
        <w:trPr>
          <w:trHeight w:val="202"/>
        </w:trPr>
        <w:tc>
          <w:tcPr>
            <w:tcW w:w="4390" w:type="dxa"/>
            <w:shd w:val="clear" w:color="auto" w:fill="auto"/>
            <w:vAlign w:val="center"/>
          </w:tcPr>
          <w:p w14:paraId="7CFC8634" w14:textId="77777777" w:rsidR="00AC375F" w:rsidRPr="00AC375F" w:rsidRDefault="00AC375F" w:rsidP="00AC375F">
            <w:pPr>
              <w:rPr>
                <w:b/>
                <w:bCs/>
                <w:sz w:val="18"/>
                <w:szCs w:val="18"/>
              </w:rPr>
            </w:pPr>
            <w:r w:rsidRPr="00AC375F">
              <w:rPr>
                <w:b/>
                <w:sz w:val="18"/>
                <w:szCs w:val="18"/>
              </w:rPr>
              <w:t>European Medicines Network International Cooperation Platform (IntCoP)</w:t>
            </w:r>
          </w:p>
        </w:tc>
        <w:tc>
          <w:tcPr>
            <w:tcW w:w="1417" w:type="dxa"/>
            <w:shd w:val="clear" w:color="auto" w:fill="FFFFFF" w:themeFill="background1"/>
            <w:noWrap/>
            <w:vAlign w:val="center"/>
          </w:tcPr>
          <w:p w14:paraId="7EB5848E"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FFFFFF" w:themeFill="background1"/>
            <w:noWrap/>
            <w:vAlign w:val="center"/>
          </w:tcPr>
          <w:p w14:paraId="14AB2B9B" w14:textId="77777777" w:rsidR="00AC375F" w:rsidRPr="00AC375F" w:rsidRDefault="00AC375F" w:rsidP="00AC375F">
            <w:pPr>
              <w:jc w:val="center"/>
              <w:rPr>
                <w:sz w:val="18"/>
                <w:szCs w:val="18"/>
              </w:rPr>
            </w:pPr>
            <w:r w:rsidRPr="00AC375F">
              <w:rPr>
                <w:sz w:val="18"/>
                <w:szCs w:val="18"/>
              </w:rPr>
              <w:t>1</w:t>
            </w:r>
          </w:p>
        </w:tc>
        <w:tc>
          <w:tcPr>
            <w:tcW w:w="993" w:type="dxa"/>
            <w:shd w:val="clear" w:color="auto" w:fill="FFFFFF" w:themeFill="background1"/>
            <w:noWrap/>
            <w:vAlign w:val="center"/>
          </w:tcPr>
          <w:p w14:paraId="05B4A211" w14:textId="77777777" w:rsidR="00AC375F" w:rsidRPr="00AC375F" w:rsidRDefault="00AC375F" w:rsidP="00AC375F">
            <w:pPr>
              <w:jc w:val="center"/>
              <w:rPr>
                <w:sz w:val="18"/>
                <w:szCs w:val="18"/>
              </w:rPr>
            </w:pPr>
            <w:r w:rsidRPr="00AC375F">
              <w:rPr>
                <w:sz w:val="18"/>
                <w:szCs w:val="18"/>
              </w:rPr>
              <w:t>ožujak</w:t>
            </w:r>
          </w:p>
        </w:tc>
        <w:tc>
          <w:tcPr>
            <w:tcW w:w="1563" w:type="dxa"/>
            <w:shd w:val="clear" w:color="auto" w:fill="FFFFFF" w:themeFill="background1"/>
            <w:noWrap/>
            <w:vAlign w:val="center"/>
          </w:tcPr>
          <w:p w14:paraId="7DBA27F6" w14:textId="77777777" w:rsidR="00AC375F" w:rsidRPr="00AC375F" w:rsidRDefault="00AC375F" w:rsidP="00AC375F">
            <w:pPr>
              <w:jc w:val="center"/>
              <w:rPr>
                <w:sz w:val="18"/>
                <w:szCs w:val="18"/>
              </w:rPr>
            </w:pPr>
            <w:r w:rsidRPr="00AC375F">
              <w:rPr>
                <w:sz w:val="18"/>
                <w:szCs w:val="18"/>
              </w:rPr>
              <w:t>1</w:t>
            </w:r>
          </w:p>
        </w:tc>
      </w:tr>
      <w:tr w:rsidR="00AC375F" w:rsidRPr="00AC375F" w14:paraId="73B71852" w14:textId="77777777" w:rsidTr="00991955">
        <w:trPr>
          <w:trHeight w:val="202"/>
        </w:trPr>
        <w:tc>
          <w:tcPr>
            <w:tcW w:w="4390" w:type="dxa"/>
            <w:shd w:val="clear" w:color="auto" w:fill="auto"/>
            <w:vAlign w:val="center"/>
          </w:tcPr>
          <w:p w14:paraId="1F04FD30" w14:textId="77777777" w:rsidR="00AC375F" w:rsidRPr="00AC375F" w:rsidRDefault="00AC375F" w:rsidP="00AC375F">
            <w:pPr>
              <w:rPr>
                <w:b/>
                <w:sz w:val="18"/>
                <w:szCs w:val="18"/>
              </w:rPr>
            </w:pPr>
          </w:p>
        </w:tc>
        <w:tc>
          <w:tcPr>
            <w:tcW w:w="1417" w:type="dxa"/>
            <w:shd w:val="clear" w:color="auto" w:fill="FFFFFF" w:themeFill="background1"/>
            <w:noWrap/>
            <w:vAlign w:val="center"/>
          </w:tcPr>
          <w:p w14:paraId="1D71EA77"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FFFFFF" w:themeFill="background1"/>
            <w:noWrap/>
            <w:vAlign w:val="center"/>
          </w:tcPr>
          <w:p w14:paraId="363C8A68" w14:textId="77777777" w:rsidR="00AC375F" w:rsidRPr="00AC375F" w:rsidRDefault="00AC375F" w:rsidP="00AC375F">
            <w:pPr>
              <w:jc w:val="center"/>
              <w:rPr>
                <w:sz w:val="18"/>
                <w:szCs w:val="18"/>
              </w:rPr>
            </w:pPr>
            <w:r w:rsidRPr="00AC375F">
              <w:rPr>
                <w:sz w:val="18"/>
                <w:szCs w:val="18"/>
              </w:rPr>
              <w:t>2</w:t>
            </w:r>
          </w:p>
        </w:tc>
        <w:tc>
          <w:tcPr>
            <w:tcW w:w="993" w:type="dxa"/>
            <w:shd w:val="clear" w:color="auto" w:fill="FFFFFF" w:themeFill="background1"/>
            <w:noWrap/>
            <w:vAlign w:val="center"/>
          </w:tcPr>
          <w:p w14:paraId="4B9693F1" w14:textId="77777777" w:rsidR="00AC375F" w:rsidRPr="00AC375F" w:rsidRDefault="00AC375F" w:rsidP="00AC375F">
            <w:pPr>
              <w:jc w:val="center"/>
              <w:rPr>
                <w:sz w:val="18"/>
                <w:szCs w:val="18"/>
              </w:rPr>
            </w:pPr>
            <w:r w:rsidRPr="00AC375F">
              <w:rPr>
                <w:sz w:val="18"/>
                <w:szCs w:val="18"/>
              </w:rPr>
              <w:t>lipanj</w:t>
            </w:r>
          </w:p>
        </w:tc>
        <w:tc>
          <w:tcPr>
            <w:tcW w:w="1563" w:type="dxa"/>
            <w:shd w:val="clear" w:color="auto" w:fill="FFFFFF" w:themeFill="background1"/>
            <w:noWrap/>
            <w:vAlign w:val="center"/>
          </w:tcPr>
          <w:p w14:paraId="6AB66E6C" w14:textId="77777777" w:rsidR="00AC375F" w:rsidRPr="00AC375F" w:rsidRDefault="00AC375F" w:rsidP="00AC375F">
            <w:pPr>
              <w:jc w:val="center"/>
              <w:rPr>
                <w:sz w:val="18"/>
                <w:szCs w:val="18"/>
              </w:rPr>
            </w:pPr>
            <w:r w:rsidRPr="00AC375F">
              <w:rPr>
                <w:sz w:val="18"/>
                <w:szCs w:val="18"/>
              </w:rPr>
              <w:t>1</w:t>
            </w:r>
          </w:p>
        </w:tc>
      </w:tr>
      <w:tr w:rsidR="00AC375F" w:rsidRPr="00AC375F" w14:paraId="5DC22C85" w14:textId="77777777" w:rsidTr="00991955">
        <w:trPr>
          <w:trHeight w:val="202"/>
        </w:trPr>
        <w:tc>
          <w:tcPr>
            <w:tcW w:w="4390" w:type="dxa"/>
            <w:shd w:val="clear" w:color="auto" w:fill="auto"/>
            <w:vAlign w:val="center"/>
          </w:tcPr>
          <w:p w14:paraId="522D01FE" w14:textId="77777777" w:rsidR="00AC375F" w:rsidRPr="00AC375F" w:rsidRDefault="00AC375F" w:rsidP="00AC375F">
            <w:pPr>
              <w:rPr>
                <w:b/>
                <w:sz w:val="18"/>
                <w:szCs w:val="18"/>
              </w:rPr>
            </w:pPr>
          </w:p>
        </w:tc>
        <w:tc>
          <w:tcPr>
            <w:tcW w:w="1417" w:type="dxa"/>
            <w:shd w:val="clear" w:color="auto" w:fill="FFFFFF" w:themeFill="background1"/>
            <w:noWrap/>
            <w:vAlign w:val="center"/>
          </w:tcPr>
          <w:p w14:paraId="23B23F06" w14:textId="77777777" w:rsidR="00AC375F" w:rsidRPr="00AC375F" w:rsidRDefault="00AC375F" w:rsidP="00AC375F">
            <w:pPr>
              <w:jc w:val="center"/>
              <w:rPr>
                <w:sz w:val="18"/>
                <w:szCs w:val="18"/>
              </w:rPr>
            </w:pPr>
            <w:r w:rsidRPr="00AC375F">
              <w:rPr>
                <w:sz w:val="18"/>
                <w:szCs w:val="18"/>
              </w:rPr>
              <w:t xml:space="preserve">virtualno </w:t>
            </w:r>
          </w:p>
        </w:tc>
        <w:tc>
          <w:tcPr>
            <w:tcW w:w="992" w:type="dxa"/>
            <w:shd w:val="clear" w:color="auto" w:fill="FFFFFF" w:themeFill="background1"/>
            <w:noWrap/>
            <w:vAlign w:val="center"/>
          </w:tcPr>
          <w:p w14:paraId="0828832E" w14:textId="77777777" w:rsidR="00AC375F" w:rsidRPr="00AC375F" w:rsidRDefault="00AC375F" w:rsidP="00AC375F">
            <w:pPr>
              <w:jc w:val="center"/>
              <w:rPr>
                <w:sz w:val="18"/>
                <w:szCs w:val="18"/>
              </w:rPr>
            </w:pPr>
            <w:r w:rsidRPr="00AC375F">
              <w:rPr>
                <w:sz w:val="18"/>
                <w:szCs w:val="18"/>
              </w:rPr>
              <w:t>2</w:t>
            </w:r>
          </w:p>
        </w:tc>
        <w:tc>
          <w:tcPr>
            <w:tcW w:w="993" w:type="dxa"/>
            <w:shd w:val="clear" w:color="auto" w:fill="FFFFFF" w:themeFill="background1"/>
            <w:noWrap/>
            <w:vAlign w:val="center"/>
          </w:tcPr>
          <w:p w14:paraId="153D1F74" w14:textId="77777777" w:rsidR="00AC375F" w:rsidRPr="00AC375F" w:rsidRDefault="00AC375F" w:rsidP="00AC375F">
            <w:pPr>
              <w:jc w:val="center"/>
              <w:rPr>
                <w:sz w:val="18"/>
                <w:szCs w:val="18"/>
              </w:rPr>
            </w:pPr>
          </w:p>
        </w:tc>
        <w:tc>
          <w:tcPr>
            <w:tcW w:w="1563" w:type="dxa"/>
            <w:shd w:val="clear" w:color="auto" w:fill="FFFFFF" w:themeFill="background1"/>
            <w:noWrap/>
            <w:vAlign w:val="center"/>
          </w:tcPr>
          <w:p w14:paraId="64EC7144" w14:textId="77777777" w:rsidR="00AC375F" w:rsidRPr="00AC375F" w:rsidRDefault="00AC375F" w:rsidP="00AC375F">
            <w:pPr>
              <w:jc w:val="center"/>
              <w:rPr>
                <w:sz w:val="18"/>
                <w:szCs w:val="18"/>
              </w:rPr>
            </w:pPr>
            <w:r w:rsidRPr="00AC375F">
              <w:rPr>
                <w:sz w:val="18"/>
                <w:szCs w:val="18"/>
              </w:rPr>
              <w:t>1</w:t>
            </w:r>
          </w:p>
        </w:tc>
      </w:tr>
      <w:tr w:rsidR="00AC375F" w:rsidRPr="00AC375F" w14:paraId="281DC046" w14:textId="77777777" w:rsidTr="00991955">
        <w:trPr>
          <w:trHeight w:val="325"/>
        </w:trPr>
        <w:tc>
          <w:tcPr>
            <w:tcW w:w="4390" w:type="dxa"/>
            <w:shd w:val="clear" w:color="auto" w:fill="A3E7FF"/>
            <w:noWrap/>
            <w:vAlign w:val="center"/>
            <w:hideMark/>
          </w:tcPr>
          <w:p w14:paraId="7D32DCF4" w14:textId="77777777" w:rsidR="00AC375F" w:rsidRPr="00AC375F" w:rsidRDefault="00AC375F" w:rsidP="00AC375F">
            <w:pPr>
              <w:jc w:val="both"/>
              <w:rPr>
                <w:rFonts w:eastAsia="Times New Roman" w:cstheme="minorHAnsi"/>
                <w:b/>
                <w:bCs/>
                <w:color w:val="000000"/>
                <w:sz w:val="18"/>
                <w:szCs w:val="18"/>
                <w:lang w:eastAsia="hr-HR"/>
              </w:rPr>
            </w:pPr>
            <w:r w:rsidRPr="00AC375F">
              <w:rPr>
                <w:rFonts w:eastAsia="Times New Roman" w:cstheme="minorHAnsi"/>
                <w:b/>
                <w:bCs/>
                <w:color w:val="000000"/>
                <w:sz w:val="18"/>
                <w:szCs w:val="18"/>
                <w:lang w:eastAsia="hr-HR"/>
              </w:rPr>
              <w:t>CMDh</w:t>
            </w:r>
          </w:p>
        </w:tc>
        <w:tc>
          <w:tcPr>
            <w:tcW w:w="1417" w:type="dxa"/>
            <w:shd w:val="clear" w:color="auto" w:fill="A3E7FF"/>
            <w:noWrap/>
            <w:vAlign w:val="center"/>
            <w:hideMark/>
          </w:tcPr>
          <w:p w14:paraId="23537966" w14:textId="77777777" w:rsidR="00AC375F" w:rsidRPr="00AC375F" w:rsidRDefault="00AC375F" w:rsidP="00AC375F">
            <w:pPr>
              <w:jc w:val="both"/>
              <w:rPr>
                <w:rFonts w:eastAsia="Times New Roman" w:cstheme="minorHAnsi"/>
                <w:b/>
                <w:bCs/>
                <w:color w:val="000000"/>
                <w:sz w:val="18"/>
                <w:szCs w:val="18"/>
                <w:lang w:eastAsia="hr-HR"/>
              </w:rPr>
            </w:pPr>
          </w:p>
        </w:tc>
        <w:tc>
          <w:tcPr>
            <w:tcW w:w="992" w:type="dxa"/>
            <w:shd w:val="clear" w:color="auto" w:fill="A3E7FF"/>
            <w:noWrap/>
            <w:vAlign w:val="center"/>
            <w:hideMark/>
          </w:tcPr>
          <w:p w14:paraId="5465022A" w14:textId="77777777" w:rsidR="00AC375F" w:rsidRPr="00AC375F" w:rsidRDefault="00AC375F" w:rsidP="00AC375F">
            <w:pPr>
              <w:jc w:val="both"/>
              <w:rPr>
                <w:rFonts w:eastAsia="Times New Roman" w:cstheme="minorHAnsi"/>
                <w:b/>
                <w:bCs/>
                <w:color w:val="000000"/>
                <w:sz w:val="18"/>
                <w:szCs w:val="18"/>
                <w:lang w:eastAsia="hr-HR"/>
              </w:rPr>
            </w:pPr>
          </w:p>
        </w:tc>
        <w:tc>
          <w:tcPr>
            <w:tcW w:w="993" w:type="dxa"/>
            <w:shd w:val="clear" w:color="auto" w:fill="A3E7FF"/>
            <w:noWrap/>
            <w:vAlign w:val="center"/>
            <w:hideMark/>
          </w:tcPr>
          <w:p w14:paraId="4210E35E" w14:textId="77777777" w:rsidR="00AC375F" w:rsidRPr="00AC375F" w:rsidRDefault="00AC375F" w:rsidP="00AC375F">
            <w:pPr>
              <w:jc w:val="center"/>
              <w:rPr>
                <w:rFonts w:eastAsia="Times New Roman" w:cstheme="minorHAnsi"/>
                <w:b/>
                <w:bCs/>
                <w:color w:val="000000"/>
                <w:sz w:val="18"/>
                <w:szCs w:val="18"/>
                <w:lang w:eastAsia="hr-HR"/>
              </w:rPr>
            </w:pPr>
          </w:p>
        </w:tc>
        <w:tc>
          <w:tcPr>
            <w:tcW w:w="1563" w:type="dxa"/>
            <w:shd w:val="clear" w:color="auto" w:fill="A3E7FF"/>
            <w:noWrap/>
            <w:vAlign w:val="center"/>
            <w:hideMark/>
          </w:tcPr>
          <w:p w14:paraId="1CEF6C62" w14:textId="77777777" w:rsidR="00AC375F" w:rsidRPr="00AC375F" w:rsidRDefault="00AC375F" w:rsidP="00AC375F">
            <w:pPr>
              <w:jc w:val="both"/>
              <w:rPr>
                <w:rFonts w:eastAsia="Times New Roman" w:cstheme="minorHAnsi"/>
                <w:b/>
                <w:bCs/>
                <w:color w:val="000000"/>
                <w:sz w:val="18"/>
                <w:szCs w:val="18"/>
                <w:lang w:eastAsia="hr-HR"/>
              </w:rPr>
            </w:pPr>
          </w:p>
        </w:tc>
      </w:tr>
      <w:tr w:rsidR="00AC375F" w:rsidRPr="00AC375F" w14:paraId="3A4455A0" w14:textId="77777777" w:rsidTr="00991955">
        <w:trPr>
          <w:trHeight w:val="237"/>
        </w:trPr>
        <w:tc>
          <w:tcPr>
            <w:tcW w:w="4390" w:type="dxa"/>
            <w:shd w:val="clear" w:color="auto" w:fill="auto"/>
            <w:noWrap/>
            <w:vAlign w:val="center"/>
          </w:tcPr>
          <w:p w14:paraId="1865FAA6" w14:textId="77777777" w:rsidR="00AC375F" w:rsidRPr="00AC375F" w:rsidRDefault="00AC375F" w:rsidP="00AC375F">
            <w:pPr>
              <w:rPr>
                <w:b/>
                <w:bCs/>
                <w:sz w:val="18"/>
                <w:szCs w:val="18"/>
              </w:rPr>
            </w:pPr>
            <w:r w:rsidRPr="00AC375F">
              <w:rPr>
                <w:b/>
                <w:bCs/>
                <w:sz w:val="18"/>
                <w:szCs w:val="18"/>
              </w:rPr>
              <w:t>CMDh Plenary meeting</w:t>
            </w:r>
          </w:p>
        </w:tc>
        <w:tc>
          <w:tcPr>
            <w:tcW w:w="1417" w:type="dxa"/>
            <w:shd w:val="clear" w:color="auto" w:fill="auto"/>
            <w:noWrap/>
            <w:vAlign w:val="center"/>
          </w:tcPr>
          <w:p w14:paraId="1B4D7525" w14:textId="77777777" w:rsidR="00AC375F" w:rsidRPr="00AC375F" w:rsidRDefault="00AC375F" w:rsidP="00AC375F">
            <w:pPr>
              <w:jc w:val="center"/>
              <w:rPr>
                <w:sz w:val="18"/>
                <w:szCs w:val="18"/>
              </w:rPr>
            </w:pPr>
            <w:r w:rsidRPr="00AC375F">
              <w:rPr>
                <w:sz w:val="18"/>
                <w:szCs w:val="18"/>
              </w:rPr>
              <w:t>Amsterdam/virtualno</w:t>
            </w:r>
          </w:p>
        </w:tc>
        <w:tc>
          <w:tcPr>
            <w:tcW w:w="992" w:type="dxa"/>
            <w:shd w:val="clear" w:color="auto" w:fill="auto"/>
            <w:noWrap/>
            <w:vAlign w:val="center"/>
          </w:tcPr>
          <w:p w14:paraId="0593C0D2" w14:textId="77777777" w:rsidR="00AC375F" w:rsidRPr="00AC375F" w:rsidRDefault="00AC375F" w:rsidP="00AC375F">
            <w:pPr>
              <w:jc w:val="center"/>
              <w:rPr>
                <w:sz w:val="18"/>
                <w:szCs w:val="18"/>
              </w:rPr>
            </w:pPr>
            <w:r w:rsidRPr="00AC375F">
              <w:rPr>
                <w:sz w:val="18"/>
                <w:szCs w:val="18"/>
              </w:rPr>
              <w:t>2</w:t>
            </w:r>
          </w:p>
        </w:tc>
        <w:tc>
          <w:tcPr>
            <w:tcW w:w="993" w:type="dxa"/>
            <w:shd w:val="clear" w:color="auto" w:fill="auto"/>
            <w:noWrap/>
            <w:vAlign w:val="center"/>
          </w:tcPr>
          <w:p w14:paraId="1058EA7F" w14:textId="77777777" w:rsidR="00AC375F" w:rsidRPr="00AC375F" w:rsidRDefault="00AC375F" w:rsidP="00AC375F">
            <w:pPr>
              <w:jc w:val="center"/>
              <w:rPr>
                <w:sz w:val="18"/>
                <w:szCs w:val="18"/>
              </w:rPr>
            </w:pPr>
            <w:r w:rsidRPr="00AC375F">
              <w:rPr>
                <w:sz w:val="18"/>
                <w:szCs w:val="18"/>
              </w:rPr>
              <w:t>siječanj</w:t>
            </w:r>
          </w:p>
        </w:tc>
        <w:tc>
          <w:tcPr>
            <w:tcW w:w="1563" w:type="dxa"/>
            <w:shd w:val="clear" w:color="auto" w:fill="auto"/>
            <w:noWrap/>
            <w:vAlign w:val="center"/>
          </w:tcPr>
          <w:p w14:paraId="3E28B213" w14:textId="77777777" w:rsidR="00AC375F" w:rsidRPr="00AC375F" w:rsidRDefault="00AC375F" w:rsidP="00AC375F">
            <w:pPr>
              <w:jc w:val="center"/>
              <w:rPr>
                <w:sz w:val="18"/>
                <w:szCs w:val="18"/>
              </w:rPr>
            </w:pPr>
            <w:r w:rsidRPr="00AC375F">
              <w:rPr>
                <w:sz w:val="18"/>
                <w:szCs w:val="18"/>
              </w:rPr>
              <w:t>3, 3</w:t>
            </w:r>
          </w:p>
        </w:tc>
      </w:tr>
      <w:tr w:rsidR="00AC375F" w:rsidRPr="00AC375F" w14:paraId="51DD339F" w14:textId="77777777" w:rsidTr="00991955">
        <w:trPr>
          <w:trHeight w:val="237"/>
        </w:trPr>
        <w:tc>
          <w:tcPr>
            <w:tcW w:w="4390" w:type="dxa"/>
            <w:shd w:val="clear" w:color="auto" w:fill="auto"/>
            <w:noWrap/>
            <w:vAlign w:val="center"/>
          </w:tcPr>
          <w:p w14:paraId="6A95A2FB" w14:textId="77777777" w:rsidR="00AC375F" w:rsidRPr="00AC375F" w:rsidRDefault="00AC375F" w:rsidP="00AC375F">
            <w:pPr>
              <w:rPr>
                <w:b/>
                <w:bCs/>
                <w:sz w:val="18"/>
                <w:szCs w:val="18"/>
              </w:rPr>
            </w:pPr>
          </w:p>
        </w:tc>
        <w:tc>
          <w:tcPr>
            <w:tcW w:w="1417" w:type="dxa"/>
            <w:shd w:val="clear" w:color="auto" w:fill="auto"/>
            <w:noWrap/>
            <w:vAlign w:val="center"/>
          </w:tcPr>
          <w:p w14:paraId="099A5872"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auto"/>
            <w:noWrap/>
            <w:vAlign w:val="center"/>
          </w:tcPr>
          <w:p w14:paraId="013FB80D" w14:textId="77777777" w:rsidR="00AC375F" w:rsidRPr="00AC375F" w:rsidRDefault="00AC375F" w:rsidP="00AC375F">
            <w:pPr>
              <w:jc w:val="center"/>
              <w:rPr>
                <w:sz w:val="18"/>
                <w:szCs w:val="18"/>
              </w:rPr>
            </w:pPr>
            <w:r w:rsidRPr="00AC375F">
              <w:rPr>
                <w:sz w:val="18"/>
                <w:szCs w:val="18"/>
              </w:rPr>
              <w:t>2</w:t>
            </w:r>
          </w:p>
        </w:tc>
        <w:tc>
          <w:tcPr>
            <w:tcW w:w="993" w:type="dxa"/>
            <w:shd w:val="clear" w:color="auto" w:fill="auto"/>
            <w:noWrap/>
            <w:vAlign w:val="center"/>
          </w:tcPr>
          <w:p w14:paraId="04848BC4" w14:textId="77777777" w:rsidR="00AC375F" w:rsidRPr="00AC375F" w:rsidRDefault="00AC375F" w:rsidP="00AC375F">
            <w:pPr>
              <w:jc w:val="center"/>
              <w:rPr>
                <w:sz w:val="18"/>
                <w:szCs w:val="18"/>
              </w:rPr>
            </w:pPr>
            <w:r w:rsidRPr="00AC375F">
              <w:rPr>
                <w:sz w:val="18"/>
                <w:szCs w:val="18"/>
              </w:rPr>
              <w:t>veljača</w:t>
            </w:r>
          </w:p>
        </w:tc>
        <w:tc>
          <w:tcPr>
            <w:tcW w:w="1563" w:type="dxa"/>
            <w:shd w:val="clear" w:color="auto" w:fill="auto"/>
            <w:noWrap/>
            <w:vAlign w:val="center"/>
          </w:tcPr>
          <w:p w14:paraId="6BF284CA" w14:textId="77777777" w:rsidR="00AC375F" w:rsidRPr="00AC375F" w:rsidRDefault="00AC375F" w:rsidP="00AC375F">
            <w:pPr>
              <w:jc w:val="center"/>
              <w:rPr>
                <w:sz w:val="18"/>
                <w:szCs w:val="18"/>
              </w:rPr>
            </w:pPr>
            <w:r w:rsidRPr="00AC375F">
              <w:rPr>
                <w:sz w:val="18"/>
                <w:szCs w:val="18"/>
              </w:rPr>
              <w:t>2,2</w:t>
            </w:r>
          </w:p>
        </w:tc>
      </w:tr>
      <w:tr w:rsidR="00AC375F" w:rsidRPr="00AC375F" w14:paraId="22228484" w14:textId="77777777" w:rsidTr="00991955">
        <w:trPr>
          <w:trHeight w:val="237"/>
        </w:trPr>
        <w:tc>
          <w:tcPr>
            <w:tcW w:w="4390" w:type="dxa"/>
            <w:shd w:val="clear" w:color="auto" w:fill="auto"/>
            <w:noWrap/>
            <w:vAlign w:val="center"/>
          </w:tcPr>
          <w:p w14:paraId="2E124D7A" w14:textId="77777777" w:rsidR="00AC375F" w:rsidRPr="00AC375F" w:rsidRDefault="00AC375F" w:rsidP="00AC375F">
            <w:pPr>
              <w:rPr>
                <w:b/>
                <w:bCs/>
                <w:sz w:val="18"/>
                <w:szCs w:val="18"/>
              </w:rPr>
            </w:pPr>
          </w:p>
        </w:tc>
        <w:tc>
          <w:tcPr>
            <w:tcW w:w="1417" w:type="dxa"/>
            <w:shd w:val="clear" w:color="auto" w:fill="auto"/>
            <w:noWrap/>
            <w:vAlign w:val="center"/>
          </w:tcPr>
          <w:p w14:paraId="0F331EAF" w14:textId="77777777" w:rsidR="00AC375F" w:rsidRPr="00AC375F" w:rsidRDefault="00AC375F" w:rsidP="00AC375F">
            <w:pPr>
              <w:jc w:val="center"/>
              <w:rPr>
                <w:sz w:val="18"/>
                <w:szCs w:val="18"/>
              </w:rPr>
            </w:pPr>
            <w:r w:rsidRPr="00AC375F">
              <w:rPr>
                <w:sz w:val="18"/>
                <w:szCs w:val="18"/>
              </w:rPr>
              <w:t>Amsterdam/virtualno</w:t>
            </w:r>
          </w:p>
        </w:tc>
        <w:tc>
          <w:tcPr>
            <w:tcW w:w="992" w:type="dxa"/>
            <w:shd w:val="clear" w:color="auto" w:fill="auto"/>
            <w:noWrap/>
            <w:vAlign w:val="center"/>
          </w:tcPr>
          <w:p w14:paraId="372CDF7D" w14:textId="77777777" w:rsidR="00AC375F" w:rsidRPr="00AC375F" w:rsidRDefault="00AC375F" w:rsidP="00AC375F">
            <w:pPr>
              <w:jc w:val="center"/>
              <w:rPr>
                <w:sz w:val="18"/>
                <w:szCs w:val="18"/>
              </w:rPr>
            </w:pPr>
            <w:r w:rsidRPr="00AC375F">
              <w:rPr>
                <w:sz w:val="18"/>
                <w:szCs w:val="18"/>
              </w:rPr>
              <w:t>2</w:t>
            </w:r>
          </w:p>
        </w:tc>
        <w:tc>
          <w:tcPr>
            <w:tcW w:w="993" w:type="dxa"/>
            <w:shd w:val="clear" w:color="auto" w:fill="auto"/>
            <w:noWrap/>
            <w:vAlign w:val="center"/>
          </w:tcPr>
          <w:p w14:paraId="4F8695ED" w14:textId="77777777" w:rsidR="00AC375F" w:rsidRPr="00AC375F" w:rsidRDefault="00AC375F" w:rsidP="00AC375F">
            <w:pPr>
              <w:jc w:val="center"/>
              <w:rPr>
                <w:sz w:val="18"/>
                <w:szCs w:val="18"/>
              </w:rPr>
            </w:pPr>
            <w:r w:rsidRPr="00AC375F">
              <w:rPr>
                <w:sz w:val="18"/>
                <w:szCs w:val="18"/>
              </w:rPr>
              <w:t>ožujak</w:t>
            </w:r>
          </w:p>
        </w:tc>
        <w:tc>
          <w:tcPr>
            <w:tcW w:w="1563" w:type="dxa"/>
            <w:shd w:val="clear" w:color="auto" w:fill="auto"/>
            <w:noWrap/>
            <w:vAlign w:val="center"/>
          </w:tcPr>
          <w:p w14:paraId="793284EE" w14:textId="77777777" w:rsidR="00AC375F" w:rsidRPr="00AC375F" w:rsidRDefault="00AC375F" w:rsidP="00AC375F">
            <w:pPr>
              <w:jc w:val="center"/>
              <w:rPr>
                <w:sz w:val="18"/>
                <w:szCs w:val="18"/>
              </w:rPr>
            </w:pPr>
            <w:r w:rsidRPr="00AC375F">
              <w:rPr>
                <w:sz w:val="18"/>
                <w:szCs w:val="18"/>
              </w:rPr>
              <w:t>3,3</w:t>
            </w:r>
          </w:p>
        </w:tc>
      </w:tr>
      <w:tr w:rsidR="00AC375F" w:rsidRPr="00AC375F" w14:paraId="4DF336C1" w14:textId="77777777" w:rsidTr="00991955">
        <w:trPr>
          <w:trHeight w:val="237"/>
        </w:trPr>
        <w:tc>
          <w:tcPr>
            <w:tcW w:w="4390" w:type="dxa"/>
            <w:shd w:val="clear" w:color="auto" w:fill="auto"/>
            <w:noWrap/>
            <w:vAlign w:val="center"/>
          </w:tcPr>
          <w:p w14:paraId="21427EB7" w14:textId="77777777" w:rsidR="00AC375F" w:rsidRPr="00AC375F" w:rsidRDefault="00AC375F" w:rsidP="00AC375F">
            <w:pPr>
              <w:rPr>
                <w:b/>
                <w:bCs/>
                <w:sz w:val="18"/>
                <w:szCs w:val="18"/>
              </w:rPr>
            </w:pPr>
          </w:p>
        </w:tc>
        <w:tc>
          <w:tcPr>
            <w:tcW w:w="1417" w:type="dxa"/>
            <w:shd w:val="clear" w:color="auto" w:fill="auto"/>
            <w:noWrap/>
            <w:vAlign w:val="center"/>
          </w:tcPr>
          <w:p w14:paraId="0F040641"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auto"/>
            <w:noWrap/>
            <w:vAlign w:val="center"/>
          </w:tcPr>
          <w:p w14:paraId="2870A1F0" w14:textId="77777777" w:rsidR="00AC375F" w:rsidRPr="00AC375F" w:rsidRDefault="00AC375F" w:rsidP="00AC375F">
            <w:pPr>
              <w:jc w:val="center"/>
              <w:rPr>
                <w:sz w:val="18"/>
                <w:szCs w:val="18"/>
              </w:rPr>
            </w:pPr>
            <w:r w:rsidRPr="00AC375F">
              <w:rPr>
                <w:sz w:val="18"/>
                <w:szCs w:val="18"/>
              </w:rPr>
              <w:t>2</w:t>
            </w:r>
          </w:p>
        </w:tc>
        <w:tc>
          <w:tcPr>
            <w:tcW w:w="993" w:type="dxa"/>
            <w:shd w:val="clear" w:color="auto" w:fill="auto"/>
            <w:noWrap/>
            <w:vAlign w:val="center"/>
          </w:tcPr>
          <w:p w14:paraId="0401421E" w14:textId="77777777" w:rsidR="00AC375F" w:rsidRPr="00AC375F" w:rsidRDefault="00AC375F" w:rsidP="00AC375F">
            <w:pPr>
              <w:jc w:val="center"/>
              <w:rPr>
                <w:sz w:val="18"/>
                <w:szCs w:val="18"/>
              </w:rPr>
            </w:pPr>
            <w:r w:rsidRPr="00AC375F">
              <w:rPr>
                <w:sz w:val="18"/>
                <w:szCs w:val="18"/>
              </w:rPr>
              <w:t>travanj</w:t>
            </w:r>
          </w:p>
        </w:tc>
        <w:tc>
          <w:tcPr>
            <w:tcW w:w="1563" w:type="dxa"/>
            <w:shd w:val="clear" w:color="auto" w:fill="auto"/>
            <w:noWrap/>
            <w:vAlign w:val="center"/>
          </w:tcPr>
          <w:p w14:paraId="3F5228C7" w14:textId="77777777" w:rsidR="00AC375F" w:rsidRPr="00AC375F" w:rsidRDefault="00AC375F" w:rsidP="00AC375F">
            <w:pPr>
              <w:jc w:val="center"/>
              <w:rPr>
                <w:sz w:val="18"/>
                <w:szCs w:val="18"/>
              </w:rPr>
            </w:pPr>
            <w:r w:rsidRPr="00AC375F">
              <w:rPr>
                <w:sz w:val="18"/>
                <w:szCs w:val="18"/>
              </w:rPr>
              <w:t>2,2</w:t>
            </w:r>
          </w:p>
        </w:tc>
      </w:tr>
      <w:tr w:rsidR="00AC375F" w:rsidRPr="00AC375F" w14:paraId="646F04F8" w14:textId="77777777" w:rsidTr="00991955">
        <w:trPr>
          <w:trHeight w:val="237"/>
        </w:trPr>
        <w:tc>
          <w:tcPr>
            <w:tcW w:w="4390" w:type="dxa"/>
            <w:shd w:val="clear" w:color="auto" w:fill="auto"/>
            <w:noWrap/>
            <w:vAlign w:val="center"/>
          </w:tcPr>
          <w:p w14:paraId="06886980" w14:textId="77777777" w:rsidR="00AC375F" w:rsidRPr="00AC375F" w:rsidRDefault="00AC375F" w:rsidP="00AC375F">
            <w:pPr>
              <w:rPr>
                <w:b/>
                <w:bCs/>
                <w:sz w:val="18"/>
                <w:szCs w:val="18"/>
              </w:rPr>
            </w:pPr>
          </w:p>
        </w:tc>
        <w:tc>
          <w:tcPr>
            <w:tcW w:w="1417" w:type="dxa"/>
            <w:shd w:val="clear" w:color="auto" w:fill="auto"/>
            <w:noWrap/>
            <w:vAlign w:val="center"/>
          </w:tcPr>
          <w:p w14:paraId="3A440FBE" w14:textId="77777777" w:rsidR="00AC375F" w:rsidRPr="00AC375F" w:rsidRDefault="00AC375F" w:rsidP="00AC375F">
            <w:pPr>
              <w:jc w:val="center"/>
              <w:rPr>
                <w:sz w:val="18"/>
                <w:szCs w:val="18"/>
              </w:rPr>
            </w:pPr>
            <w:r w:rsidRPr="00AC375F">
              <w:rPr>
                <w:sz w:val="18"/>
                <w:szCs w:val="18"/>
              </w:rPr>
              <w:t>Amsterdam/virtualno</w:t>
            </w:r>
          </w:p>
        </w:tc>
        <w:tc>
          <w:tcPr>
            <w:tcW w:w="992" w:type="dxa"/>
            <w:shd w:val="clear" w:color="auto" w:fill="auto"/>
            <w:noWrap/>
            <w:vAlign w:val="center"/>
          </w:tcPr>
          <w:p w14:paraId="601CC75C" w14:textId="77777777" w:rsidR="00AC375F" w:rsidRPr="00AC375F" w:rsidRDefault="00AC375F" w:rsidP="00AC375F">
            <w:pPr>
              <w:jc w:val="center"/>
              <w:rPr>
                <w:sz w:val="18"/>
                <w:szCs w:val="18"/>
              </w:rPr>
            </w:pPr>
            <w:r w:rsidRPr="00AC375F">
              <w:rPr>
                <w:sz w:val="18"/>
                <w:szCs w:val="18"/>
              </w:rPr>
              <w:t>2</w:t>
            </w:r>
          </w:p>
        </w:tc>
        <w:tc>
          <w:tcPr>
            <w:tcW w:w="993" w:type="dxa"/>
            <w:shd w:val="clear" w:color="auto" w:fill="auto"/>
            <w:noWrap/>
            <w:vAlign w:val="center"/>
          </w:tcPr>
          <w:p w14:paraId="4B18FE5F" w14:textId="77777777" w:rsidR="00AC375F" w:rsidRPr="00AC375F" w:rsidRDefault="00AC375F" w:rsidP="00AC375F">
            <w:pPr>
              <w:jc w:val="center"/>
              <w:rPr>
                <w:sz w:val="18"/>
                <w:szCs w:val="18"/>
              </w:rPr>
            </w:pPr>
            <w:r w:rsidRPr="00AC375F">
              <w:rPr>
                <w:sz w:val="18"/>
                <w:szCs w:val="18"/>
              </w:rPr>
              <w:t>svibanj</w:t>
            </w:r>
          </w:p>
        </w:tc>
        <w:tc>
          <w:tcPr>
            <w:tcW w:w="1563" w:type="dxa"/>
            <w:shd w:val="clear" w:color="auto" w:fill="auto"/>
            <w:noWrap/>
            <w:vAlign w:val="center"/>
          </w:tcPr>
          <w:p w14:paraId="18E35636" w14:textId="77777777" w:rsidR="00AC375F" w:rsidRPr="00AC375F" w:rsidRDefault="00AC375F" w:rsidP="00AC375F">
            <w:pPr>
              <w:jc w:val="center"/>
              <w:rPr>
                <w:sz w:val="18"/>
                <w:szCs w:val="18"/>
              </w:rPr>
            </w:pPr>
            <w:r w:rsidRPr="00AC375F">
              <w:rPr>
                <w:sz w:val="18"/>
                <w:szCs w:val="18"/>
              </w:rPr>
              <w:t>3,3</w:t>
            </w:r>
          </w:p>
        </w:tc>
      </w:tr>
      <w:tr w:rsidR="00AC375F" w:rsidRPr="00AC375F" w14:paraId="1A112319" w14:textId="77777777" w:rsidTr="00991955">
        <w:trPr>
          <w:trHeight w:val="237"/>
        </w:trPr>
        <w:tc>
          <w:tcPr>
            <w:tcW w:w="4390" w:type="dxa"/>
            <w:shd w:val="clear" w:color="auto" w:fill="auto"/>
            <w:noWrap/>
            <w:vAlign w:val="center"/>
          </w:tcPr>
          <w:p w14:paraId="121E9682" w14:textId="77777777" w:rsidR="00AC375F" w:rsidRPr="00AC375F" w:rsidRDefault="00AC375F" w:rsidP="00AC375F">
            <w:pPr>
              <w:rPr>
                <w:b/>
                <w:bCs/>
                <w:sz w:val="18"/>
                <w:szCs w:val="18"/>
              </w:rPr>
            </w:pPr>
          </w:p>
        </w:tc>
        <w:tc>
          <w:tcPr>
            <w:tcW w:w="1417" w:type="dxa"/>
            <w:shd w:val="clear" w:color="auto" w:fill="auto"/>
            <w:noWrap/>
            <w:vAlign w:val="center"/>
          </w:tcPr>
          <w:p w14:paraId="3A80A8BB"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auto"/>
            <w:noWrap/>
            <w:vAlign w:val="center"/>
          </w:tcPr>
          <w:p w14:paraId="74D5EDEA" w14:textId="77777777" w:rsidR="00AC375F" w:rsidRPr="00AC375F" w:rsidRDefault="00AC375F" w:rsidP="00AC375F">
            <w:pPr>
              <w:jc w:val="center"/>
              <w:rPr>
                <w:sz w:val="18"/>
                <w:szCs w:val="18"/>
              </w:rPr>
            </w:pPr>
            <w:r w:rsidRPr="00AC375F">
              <w:rPr>
                <w:sz w:val="18"/>
                <w:szCs w:val="18"/>
              </w:rPr>
              <w:t>2</w:t>
            </w:r>
          </w:p>
        </w:tc>
        <w:tc>
          <w:tcPr>
            <w:tcW w:w="993" w:type="dxa"/>
            <w:shd w:val="clear" w:color="auto" w:fill="auto"/>
            <w:noWrap/>
            <w:vAlign w:val="center"/>
          </w:tcPr>
          <w:p w14:paraId="4E151DFF" w14:textId="77777777" w:rsidR="00AC375F" w:rsidRPr="00AC375F" w:rsidRDefault="00AC375F" w:rsidP="00AC375F">
            <w:pPr>
              <w:jc w:val="center"/>
              <w:rPr>
                <w:sz w:val="18"/>
                <w:szCs w:val="18"/>
              </w:rPr>
            </w:pPr>
            <w:r w:rsidRPr="00AC375F">
              <w:rPr>
                <w:sz w:val="18"/>
                <w:szCs w:val="18"/>
              </w:rPr>
              <w:t>lipanj</w:t>
            </w:r>
          </w:p>
        </w:tc>
        <w:tc>
          <w:tcPr>
            <w:tcW w:w="1563" w:type="dxa"/>
            <w:shd w:val="clear" w:color="auto" w:fill="auto"/>
            <w:noWrap/>
            <w:vAlign w:val="center"/>
          </w:tcPr>
          <w:p w14:paraId="1B2CA05F" w14:textId="77777777" w:rsidR="00AC375F" w:rsidRPr="00AC375F" w:rsidRDefault="00AC375F" w:rsidP="00AC375F">
            <w:pPr>
              <w:jc w:val="center"/>
              <w:rPr>
                <w:sz w:val="18"/>
                <w:szCs w:val="18"/>
              </w:rPr>
            </w:pPr>
            <w:r w:rsidRPr="00AC375F">
              <w:rPr>
                <w:sz w:val="18"/>
                <w:szCs w:val="18"/>
              </w:rPr>
              <w:t>2,2</w:t>
            </w:r>
          </w:p>
        </w:tc>
      </w:tr>
      <w:tr w:rsidR="00AC375F" w:rsidRPr="00AC375F" w14:paraId="189D4F15" w14:textId="77777777" w:rsidTr="00991955">
        <w:trPr>
          <w:trHeight w:val="237"/>
        </w:trPr>
        <w:tc>
          <w:tcPr>
            <w:tcW w:w="4390" w:type="dxa"/>
            <w:shd w:val="clear" w:color="auto" w:fill="auto"/>
            <w:noWrap/>
            <w:vAlign w:val="center"/>
          </w:tcPr>
          <w:p w14:paraId="1E7C2D9B" w14:textId="77777777" w:rsidR="00AC375F" w:rsidRPr="00AC375F" w:rsidRDefault="00AC375F" w:rsidP="00AC375F">
            <w:pPr>
              <w:rPr>
                <w:b/>
                <w:bCs/>
                <w:sz w:val="18"/>
                <w:szCs w:val="18"/>
              </w:rPr>
            </w:pPr>
          </w:p>
        </w:tc>
        <w:tc>
          <w:tcPr>
            <w:tcW w:w="1417" w:type="dxa"/>
            <w:shd w:val="clear" w:color="auto" w:fill="auto"/>
            <w:noWrap/>
            <w:vAlign w:val="center"/>
          </w:tcPr>
          <w:p w14:paraId="1CEE5DA4" w14:textId="77777777" w:rsidR="00AC375F" w:rsidRPr="00AC375F" w:rsidRDefault="00AC375F" w:rsidP="00AC375F">
            <w:pPr>
              <w:jc w:val="center"/>
              <w:rPr>
                <w:sz w:val="18"/>
                <w:szCs w:val="18"/>
              </w:rPr>
            </w:pPr>
            <w:r w:rsidRPr="00AC375F">
              <w:rPr>
                <w:sz w:val="18"/>
                <w:szCs w:val="18"/>
              </w:rPr>
              <w:t>Amsterdam/virtualno</w:t>
            </w:r>
          </w:p>
        </w:tc>
        <w:tc>
          <w:tcPr>
            <w:tcW w:w="992" w:type="dxa"/>
            <w:shd w:val="clear" w:color="auto" w:fill="auto"/>
            <w:noWrap/>
            <w:vAlign w:val="center"/>
          </w:tcPr>
          <w:p w14:paraId="7F8B173E" w14:textId="77777777" w:rsidR="00AC375F" w:rsidRPr="00AC375F" w:rsidRDefault="00AC375F" w:rsidP="00AC375F">
            <w:pPr>
              <w:jc w:val="center"/>
              <w:rPr>
                <w:sz w:val="18"/>
                <w:szCs w:val="18"/>
              </w:rPr>
            </w:pPr>
            <w:r w:rsidRPr="00AC375F">
              <w:rPr>
                <w:sz w:val="18"/>
                <w:szCs w:val="18"/>
              </w:rPr>
              <w:t>2</w:t>
            </w:r>
          </w:p>
        </w:tc>
        <w:tc>
          <w:tcPr>
            <w:tcW w:w="993" w:type="dxa"/>
            <w:shd w:val="clear" w:color="auto" w:fill="auto"/>
            <w:noWrap/>
            <w:vAlign w:val="center"/>
          </w:tcPr>
          <w:p w14:paraId="1607AE58" w14:textId="77777777" w:rsidR="00AC375F" w:rsidRPr="00AC375F" w:rsidRDefault="00AC375F" w:rsidP="00AC375F">
            <w:pPr>
              <w:jc w:val="center"/>
              <w:rPr>
                <w:sz w:val="18"/>
                <w:szCs w:val="18"/>
              </w:rPr>
            </w:pPr>
            <w:r w:rsidRPr="00AC375F">
              <w:rPr>
                <w:sz w:val="18"/>
                <w:szCs w:val="18"/>
              </w:rPr>
              <w:t>srpanj</w:t>
            </w:r>
          </w:p>
        </w:tc>
        <w:tc>
          <w:tcPr>
            <w:tcW w:w="1563" w:type="dxa"/>
            <w:shd w:val="clear" w:color="auto" w:fill="auto"/>
            <w:noWrap/>
            <w:vAlign w:val="center"/>
          </w:tcPr>
          <w:p w14:paraId="3FB83385" w14:textId="77777777" w:rsidR="00AC375F" w:rsidRPr="00AC375F" w:rsidRDefault="00AC375F" w:rsidP="00AC375F">
            <w:pPr>
              <w:jc w:val="center"/>
              <w:rPr>
                <w:sz w:val="18"/>
                <w:szCs w:val="18"/>
              </w:rPr>
            </w:pPr>
            <w:r w:rsidRPr="00AC375F">
              <w:rPr>
                <w:sz w:val="18"/>
                <w:szCs w:val="18"/>
              </w:rPr>
              <w:t>3,3</w:t>
            </w:r>
          </w:p>
        </w:tc>
      </w:tr>
      <w:tr w:rsidR="00AC375F" w:rsidRPr="00AC375F" w14:paraId="683382FF" w14:textId="77777777" w:rsidTr="00991955">
        <w:trPr>
          <w:trHeight w:val="237"/>
        </w:trPr>
        <w:tc>
          <w:tcPr>
            <w:tcW w:w="4390" w:type="dxa"/>
            <w:shd w:val="clear" w:color="auto" w:fill="auto"/>
            <w:noWrap/>
            <w:vAlign w:val="center"/>
          </w:tcPr>
          <w:p w14:paraId="65EFA355" w14:textId="77777777" w:rsidR="00AC375F" w:rsidRPr="00AC375F" w:rsidRDefault="00AC375F" w:rsidP="00AC375F">
            <w:pPr>
              <w:rPr>
                <w:b/>
                <w:bCs/>
                <w:sz w:val="18"/>
                <w:szCs w:val="18"/>
              </w:rPr>
            </w:pPr>
          </w:p>
        </w:tc>
        <w:tc>
          <w:tcPr>
            <w:tcW w:w="1417" w:type="dxa"/>
            <w:shd w:val="clear" w:color="auto" w:fill="auto"/>
            <w:noWrap/>
            <w:vAlign w:val="center"/>
          </w:tcPr>
          <w:p w14:paraId="3559D164"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auto"/>
            <w:noWrap/>
            <w:vAlign w:val="center"/>
          </w:tcPr>
          <w:p w14:paraId="51C2B72E" w14:textId="77777777" w:rsidR="00AC375F" w:rsidRPr="00AC375F" w:rsidRDefault="00AC375F" w:rsidP="00AC375F">
            <w:pPr>
              <w:jc w:val="center"/>
              <w:rPr>
                <w:sz w:val="18"/>
                <w:szCs w:val="18"/>
              </w:rPr>
            </w:pPr>
            <w:r w:rsidRPr="00AC375F">
              <w:rPr>
                <w:sz w:val="18"/>
                <w:szCs w:val="18"/>
              </w:rPr>
              <w:t>2</w:t>
            </w:r>
          </w:p>
        </w:tc>
        <w:tc>
          <w:tcPr>
            <w:tcW w:w="993" w:type="dxa"/>
            <w:shd w:val="clear" w:color="auto" w:fill="auto"/>
            <w:noWrap/>
            <w:vAlign w:val="center"/>
          </w:tcPr>
          <w:p w14:paraId="35FA2EFC" w14:textId="77777777" w:rsidR="00AC375F" w:rsidRPr="00AC375F" w:rsidRDefault="00AC375F" w:rsidP="00AC375F">
            <w:pPr>
              <w:jc w:val="center"/>
              <w:rPr>
                <w:sz w:val="18"/>
                <w:szCs w:val="18"/>
              </w:rPr>
            </w:pPr>
            <w:r w:rsidRPr="00AC375F">
              <w:rPr>
                <w:sz w:val="18"/>
                <w:szCs w:val="18"/>
              </w:rPr>
              <w:t>rujan</w:t>
            </w:r>
          </w:p>
        </w:tc>
        <w:tc>
          <w:tcPr>
            <w:tcW w:w="1563" w:type="dxa"/>
            <w:shd w:val="clear" w:color="auto" w:fill="auto"/>
            <w:noWrap/>
            <w:vAlign w:val="center"/>
          </w:tcPr>
          <w:p w14:paraId="59E95A21" w14:textId="77777777" w:rsidR="00AC375F" w:rsidRPr="00AC375F" w:rsidRDefault="00AC375F" w:rsidP="00AC375F">
            <w:pPr>
              <w:jc w:val="center"/>
              <w:rPr>
                <w:sz w:val="18"/>
                <w:szCs w:val="18"/>
              </w:rPr>
            </w:pPr>
            <w:r w:rsidRPr="00AC375F">
              <w:rPr>
                <w:sz w:val="18"/>
                <w:szCs w:val="18"/>
              </w:rPr>
              <w:t>3,3</w:t>
            </w:r>
          </w:p>
        </w:tc>
      </w:tr>
      <w:tr w:rsidR="00AC375F" w:rsidRPr="00AC375F" w14:paraId="2AD25C9C" w14:textId="77777777" w:rsidTr="00991955">
        <w:trPr>
          <w:trHeight w:val="237"/>
        </w:trPr>
        <w:tc>
          <w:tcPr>
            <w:tcW w:w="4390" w:type="dxa"/>
            <w:shd w:val="clear" w:color="auto" w:fill="auto"/>
            <w:noWrap/>
            <w:vAlign w:val="center"/>
          </w:tcPr>
          <w:p w14:paraId="1B3556C4" w14:textId="77777777" w:rsidR="00AC375F" w:rsidRPr="00AC375F" w:rsidRDefault="00AC375F" w:rsidP="00AC375F">
            <w:pPr>
              <w:rPr>
                <w:b/>
                <w:bCs/>
                <w:sz w:val="18"/>
                <w:szCs w:val="18"/>
              </w:rPr>
            </w:pPr>
          </w:p>
        </w:tc>
        <w:tc>
          <w:tcPr>
            <w:tcW w:w="1417" w:type="dxa"/>
            <w:shd w:val="clear" w:color="auto" w:fill="auto"/>
            <w:noWrap/>
            <w:vAlign w:val="center"/>
          </w:tcPr>
          <w:p w14:paraId="684E66C8" w14:textId="77777777" w:rsidR="00AC375F" w:rsidRPr="00AC375F" w:rsidRDefault="00AC375F" w:rsidP="00AC375F">
            <w:pPr>
              <w:jc w:val="center"/>
              <w:rPr>
                <w:sz w:val="18"/>
                <w:szCs w:val="18"/>
              </w:rPr>
            </w:pPr>
            <w:r w:rsidRPr="00AC375F">
              <w:rPr>
                <w:sz w:val="18"/>
                <w:szCs w:val="18"/>
              </w:rPr>
              <w:t>Amsterdam/virtualno</w:t>
            </w:r>
          </w:p>
        </w:tc>
        <w:tc>
          <w:tcPr>
            <w:tcW w:w="992" w:type="dxa"/>
            <w:shd w:val="clear" w:color="auto" w:fill="auto"/>
            <w:noWrap/>
            <w:vAlign w:val="center"/>
          </w:tcPr>
          <w:p w14:paraId="22C9EEBC" w14:textId="77777777" w:rsidR="00AC375F" w:rsidRPr="00AC375F" w:rsidRDefault="00AC375F" w:rsidP="00AC375F">
            <w:pPr>
              <w:jc w:val="center"/>
              <w:rPr>
                <w:sz w:val="18"/>
                <w:szCs w:val="18"/>
              </w:rPr>
            </w:pPr>
            <w:r w:rsidRPr="00AC375F">
              <w:rPr>
                <w:sz w:val="18"/>
                <w:szCs w:val="18"/>
              </w:rPr>
              <w:t>2</w:t>
            </w:r>
          </w:p>
        </w:tc>
        <w:tc>
          <w:tcPr>
            <w:tcW w:w="993" w:type="dxa"/>
            <w:shd w:val="clear" w:color="auto" w:fill="auto"/>
            <w:noWrap/>
            <w:vAlign w:val="center"/>
          </w:tcPr>
          <w:p w14:paraId="37D8613D" w14:textId="77777777" w:rsidR="00AC375F" w:rsidRPr="00AC375F" w:rsidRDefault="00AC375F" w:rsidP="00AC375F">
            <w:pPr>
              <w:jc w:val="center"/>
              <w:rPr>
                <w:sz w:val="18"/>
                <w:szCs w:val="18"/>
              </w:rPr>
            </w:pPr>
            <w:r w:rsidRPr="00AC375F">
              <w:rPr>
                <w:sz w:val="18"/>
                <w:szCs w:val="18"/>
              </w:rPr>
              <w:t>listopad</w:t>
            </w:r>
          </w:p>
        </w:tc>
        <w:tc>
          <w:tcPr>
            <w:tcW w:w="1563" w:type="dxa"/>
            <w:shd w:val="clear" w:color="auto" w:fill="auto"/>
            <w:noWrap/>
            <w:vAlign w:val="center"/>
          </w:tcPr>
          <w:p w14:paraId="03172AD2" w14:textId="77777777" w:rsidR="00AC375F" w:rsidRPr="00AC375F" w:rsidRDefault="00AC375F" w:rsidP="00AC375F">
            <w:pPr>
              <w:jc w:val="center"/>
              <w:rPr>
                <w:sz w:val="18"/>
                <w:szCs w:val="18"/>
              </w:rPr>
            </w:pPr>
            <w:r w:rsidRPr="00AC375F">
              <w:rPr>
                <w:sz w:val="18"/>
                <w:szCs w:val="18"/>
              </w:rPr>
              <w:t>3,3</w:t>
            </w:r>
          </w:p>
        </w:tc>
      </w:tr>
      <w:tr w:rsidR="00AC375F" w:rsidRPr="00AC375F" w14:paraId="63B5634C" w14:textId="77777777" w:rsidTr="00991955">
        <w:trPr>
          <w:trHeight w:val="237"/>
        </w:trPr>
        <w:tc>
          <w:tcPr>
            <w:tcW w:w="4390" w:type="dxa"/>
            <w:shd w:val="clear" w:color="auto" w:fill="auto"/>
            <w:noWrap/>
            <w:vAlign w:val="center"/>
          </w:tcPr>
          <w:p w14:paraId="6337877E" w14:textId="77777777" w:rsidR="00AC375F" w:rsidRPr="00AC375F" w:rsidRDefault="00AC375F" w:rsidP="00AC375F">
            <w:pPr>
              <w:rPr>
                <w:b/>
                <w:bCs/>
                <w:sz w:val="18"/>
                <w:szCs w:val="18"/>
              </w:rPr>
            </w:pPr>
          </w:p>
        </w:tc>
        <w:tc>
          <w:tcPr>
            <w:tcW w:w="1417" w:type="dxa"/>
            <w:shd w:val="clear" w:color="auto" w:fill="auto"/>
            <w:noWrap/>
            <w:vAlign w:val="center"/>
          </w:tcPr>
          <w:p w14:paraId="6455CDCE"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auto"/>
            <w:noWrap/>
            <w:vAlign w:val="center"/>
          </w:tcPr>
          <w:p w14:paraId="4AC53A4B" w14:textId="77777777" w:rsidR="00AC375F" w:rsidRPr="00AC375F" w:rsidRDefault="00AC375F" w:rsidP="00AC375F">
            <w:pPr>
              <w:jc w:val="center"/>
              <w:rPr>
                <w:sz w:val="18"/>
                <w:szCs w:val="18"/>
              </w:rPr>
            </w:pPr>
            <w:r w:rsidRPr="00AC375F">
              <w:rPr>
                <w:sz w:val="18"/>
                <w:szCs w:val="18"/>
              </w:rPr>
              <w:t>2</w:t>
            </w:r>
          </w:p>
        </w:tc>
        <w:tc>
          <w:tcPr>
            <w:tcW w:w="993" w:type="dxa"/>
            <w:shd w:val="clear" w:color="auto" w:fill="auto"/>
            <w:noWrap/>
            <w:vAlign w:val="center"/>
          </w:tcPr>
          <w:p w14:paraId="0B5A1CA7" w14:textId="77777777" w:rsidR="00AC375F" w:rsidRPr="00AC375F" w:rsidRDefault="00AC375F" w:rsidP="00AC375F">
            <w:pPr>
              <w:jc w:val="center"/>
              <w:rPr>
                <w:sz w:val="18"/>
                <w:szCs w:val="18"/>
              </w:rPr>
            </w:pPr>
            <w:r w:rsidRPr="00AC375F">
              <w:rPr>
                <w:sz w:val="18"/>
                <w:szCs w:val="18"/>
              </w:rPr>
              <w:t>studeni</w:t>
            </w:r>
          </w:p>
        </w:tc>
        <w:tc>
          <w:tcPr>
            <w:tcW w:w="1563" w:type="dxa"/>
            <w:shd w:val="clear" w:color="auto" w:fill="auto"/>
            <w:noWrap/>
            <w:vAlign w:val="center"/>
          </w:tcPr>
          <w:p w14:paraId="1B09D822" w14:textId="77777777" w:rsidR="00AC375F" w:rsidRPr="00AC375F" w:rsidRDefault="00AC375F" w:rsidP="00AC375F">
            <w:pPr>
              <w:jc w:val="center"/>
              <w:rPr>
                <w:sz w:val="18"/>
                <w:szCs w:val="18"/>
              </w:rPr>
            </w:pPr>
            <w:r w:rsidRPr="00AC375F">
              <w:rPr>
                <w:sz w:val="18"/>
                <w:szCs w:val="18"/>
              </w:rPr>
              <w:t>3,3</w:t>
            </w:r>
          </w:p>
        </w:tc>
      </w:tr>
      <w:tr w:rsidR="00AC375F" w:rsidRPr="00AC375F" w14:paraId="4AD228D2" w14:textId="77777777" w:rsidTr="00991955">
        <w:trPr>
          <w:trHeight w:val="237"/>
        </w:trPr>
        <w:tc>
          <w:tcPr>
            <w:tcW w:w="4390" w:type="dxa"/>
            <w:shd w:val="clear" w:color="auto" w:fill="auto"/>
            <w:noWrap/>
            <w:vAlign w:val="center"/>
          </w:tcPr>
          <w:p w14:paraId="40AF375F" w14:textId="77777777" w:rsidR="00AC375F" w:rsidRPr="00AC375F" w:rsidRDefault="00AC375F" w:rsidP="00AC375F">
            <w:pPr>
              <w:rPr>
                <w:b/>
                <w:bCs/>
                <w:sz w:val="18"/>
                <w:szCs w:val="18"/>
              </w:rPr>
            </w:pPr>
          </w:p>
        </w:tc>
        <w:tc>
          <w:tcPr>
            <w:tcW w:w="1417" w:type="dxa"/>
            <w:shd w:val="clear" w:color="auto" w:fill="auto"/>
            <w:noWrap/>
            <w:vAlign w:val="center"/>
          </w:tcPr>
          <w:p w14:paraId="1CEC0C68" w14:textId="77777777" w:rsidR="00AC375F" w:rsidRPr="00AC375F" w:rsidRDefault="00AC375F" w:rsidP="00AC375F">
            <w:pPr>
              <w:jc w:val="center"/>
              <w:rPr>
                <w:sz w:val="18"/>
                <w:szCs w:val="18"/>
              </w:rPr>
            </w:pPr>
            <w:r w:rsidRPr="00AC375F">
              <w:rPr>
                <w:sz w:val="18"/>
                <w:szCs w:val="18"/>
              </w:rPr>
              <w:t>Amsterdam/virtualno</w:t>
            </w:r>
          </w:p>
        </w:tc>
        <w:tc>
          <w:tcPr>
            <w:tcW w:w="992" w:type="dxa"/>
            <w:shd w:val="clear" w:color="auto" w:fill="auto"/>
            <w:noWrap/>
            <w:vAlign w:val="center"/>
          </w:tcPr>
          <w:p w14:paraId="26A4C3E8" w14:textId="77777777" w:rsidR="00AC375F" w:rsidRPr="00AC375F" w:rsidRDefault="00AC375F" w:rsidP="00AC375F">
            <w:pPr>
              <w:jc w:val="center"/>
              <w:rPr>
                <w:sz w:val="18"/>
                <w:szCs w:val="18"/>
              </w:rPr>
            </w:pPr>
            <w:r w:rsidRPr="00AC375F">
              <w:rPr>
                <w:sz w:val="18"/>
                <w:szCs w:val="18"/>
              </w:rPr>
              <w:t>1</w:t>
            </w:r>
          </w:p>
        </w:tc>
        <w:tc>
          <w:tcPr>
            <w:tcW w:w="993" w:type="dxa"/>
            <w:shd w:val="clear" w:color="auto" w:fill="auto"/>
            <w:noWrap/>
            <w:vAlign w:val="center"/>
          </w:tcPr>
          <w:p w14:paraId="19FC51C2" w14:textId="77777777" w:rsidR="00AC375F" w:rsidRPr="00AC375F" w:rsidRDefault="00AC375F" w:rsidP="00AC375F">
            <w:pPr>
              <w:jc w:val="center"/>
              <w:rPr>
                <w:sz w:val="18"/>
                <w:szCs w:val="18"/>
              </w:rPr>
            </w:pPr>
            <w:r w:rsidRPr="00AC375F">
              <w:rPr>
                <w:sz w:val="18"/>
                <w:szCs w:val="18"/>
              </w:rPr>
              <w:t>prosinac</w:t>
            </w:r>
          </w:p>
        </w:tc>
        <w:tc>
          <w:tcPr>
            <w:tcW w:w="1563" w:type="dxa"/>
            <w:shd w:val="clear" w:color="auto" w:fill="auto"/>
            <w:noWrap/>
            <w:vAlign w:val="center"/>
          </w:tcPr>
          <w:p w14:paraId="7FD934F9" w14:textId="77777777" w:rsidR="00AC375F" w:rsidRPr="00AC375F" w:rsidRDefault="00AC375F" w:rsidP="00AC375F">
            <w:pPr>
              <w:jc w:val="center"/>
              <w:rPr>
                <w:sz w:val="18"/>
                <w:szCs w:val="18"/>
              </w:rPr>
            </w:pPr>
            <w:r w:rsidRPr="00AC375F">
              <w:rPr>
                <w:sz w:val="18"/>
                <w:szCs w:val="18"/>
              </w:rPr>
              <w:t>3,3</w:t>
            </w:r>
          </w:p>
        </w:tc>
      </w:tr>
      <w:tr w:rsidR="00AC375F" w:rsidRPr="00AC375F" w14:paraId="1E882754" w14:textId="77777777" w:rsidTr="00991955">
        <w:trPr>
          <w:trHeight w:val="237"/>
        </w:trPr>
        <w:tc>
          <w:tcPr>
            <w:tcW w:w="4390" w:type="dxa"/>
            <w:shd w:val="clear" w:color="auto" w:fill="auto"/>
            <w:noWrap/>
            <w:vAlign w:val="center"/>
          </w:tcPr>
          <w:p w14:paraId="7B74DD92" w14:textId="77777777" w:rsidR="00AC375F" w:rsidRPr="00AC375F" w:rsidRDefault="00AC375F" w:rsidP="00AC375F">
            <w:pPr>
              <w:rPr>
                <w:b/>
                <w:bCs/>
                <w:sz w:val="18"/>
                <w:szCs w:val="18"/>
              </w:rPr>
            </w:pPr>
          </w:p>
        </w:tc>
        <w:tc>
          <w:tcPr>
            <w:tcW w:w="1417" w:type="dxa"/>
            <w:shd w:val="clear" w:color="auto" w:fill="auto"/>
            <w:noWrap/>
            <w:vAlign w:val="center"/>
          </w:tcPr>
          <w:p w14:paraId="4D652FB6" w14:textId="77777777" w:rsidR="00AC375F" w:rsidRPr="00AC375F" w:rsidRDefault="00AC375F" w:rsidP="00AC375F">
            <w:pPr>
              <w:jc w:val="center"/>
              <w:rPr>
                <w:sz w:val="18"/>
                <w:szCs w:val="18"/>
              </w:rPr>
            </w:pPr>
          </w:p>
        </w:tc>
        <w:tc>
          <w:tcPr>
            <w:tcW w:w="992" w:type="dxa"/>
            <w:shd w:val="clear" w:color="auto" w:fill="auto"/>
            <w:noWrap/>
            <w:vAlign w:val="center"/>
          </w:tcPr>
          <w:p w14:paraId="3DE434C1" w14:textId="77777777" w:rsidR="00AC375F" w:rsidRPr="00AC375F" w:rsidRDefault="00AC375F" w:rsidP="00AC375F">
            <w:pPr>
              <w:jc w:val="center"/>
              <w:rPr>
                <w:sz w:val="18"/>
                <w:szCs w:val="18"/>
              </w:rPr>
            </w:pPr>
          </w:p>
        </w:tc>
        <w:tc>
          <w:tcPr>
            <w:tcW w:w="993" w:type="dxa"/>
            <w:shd w:val="clear" w:color="auto" w:fill="auto"/>
            <w:noWrap/>
            <w:vAlign w:val="center"/>
          </w:tcPr>
          <w:p w14:paraId="76C8AF92" w14:textId="77777777" w:rsidR="00AC375F" w:rsidRPr="00AC375F" w:rsidRDefault="00AC375F" w:rsidP="00AC375F">
            <w:pPr>
              <w:jc w:val="center"/>
              <w:rPr>
                <w:sz w:val="18"/>
                <w:szCs w:val="18"/>
              </w:rPr>
            </w:pPr>
          </w:p>
        </w:tc>
        <w:tc>
          <w:tcPr>
            <w:tcW w:w="1563" w:type="dxa"/>
            <w:shd w:val="clear" w:color="auto" w:fill="auto"/>
            <w:noWrap/>
            <w:vAlign w:val="center"/>
          </w:tcPr>
          <w:p w14:paraId="0C045D9E" w14:textId="77777777" w:rsidR="00AC375F" w:rsidRPr="00AC375F" w:rsidRDefault="00AC375F" w:rsidP="00AC375F">
            <w:pPr>
              <w:jc w:val="center"/>
              <w:rPr>
                <w:sz w:val="18"/>
                <w:szCs w:val="18"/>
              </w:rPr>
            </w:pPr>
          </w:p>
        </w:tc>
      </w:tr>
      <w:tr w:rsidR="00AC375F" w:rsidRPr="00AC375F" w14:paraId="31C399DF" w14:textId="77777777" w:rsidTr="00991955">
        <w:trPr>
          <w:trHeight w:val="237"/>
        </w:trPr>
        <w:tc>
          <w:tcPr>
            <w:tcW w:w="4390" w:type="dxa"/>
            <w:shd w:val="clear" w:color="auto" w:fill="auto"/>
            <w:noWrap/>
            <w:vAlign w:val="center"/>
          </w:tcPr>
          <w:p w14:paraId="68598C71" w14:textId="77777777" w:rsidR="00AC375F" w:rsidRPr="00AC375F" w:rsidRDefault="00AC375F" w:rsidP="00AC375F">
            <w:pPr>
              <w:rPr>
                <w:b/>
                <w:bCs/>
                <w:sz w:val="18"/>
                <w:szCs w:val="18"/>
              </w:rPr>
            </w:pPr>
            <w:r w:rsidRPr="00AC375F">
              <w:rPr>
                <w:b/>
                <w:bCs/>
                <w:sz w:val="18"/>
                <w:szCs w:val="18"/>
              </w:rPr>
              <w:t>CMDh Working Group on ASMF Procedures</w:t>
            </w:r>
          </w:p>
        </w:tc>
        <w:tc>
          <w:tcPr>
            <w:tcW w:w="1417" w:type="dxa"/>
            <w:shd w:val="clear" w:color="auto" w:fill="auto"/>
            <w:noWrap/>
            <w:vAlign w:val="center"/>
          </w:tcPr>
          <w:p w14:paraId="4E6DBD77"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auto"/>
            <w:noWrap/>
            <w:vAlign w:val="center"/>
          </w:tcPr>
          <w:p w14:paraId="630A6614" w14:textId="77777777" w:rsidR="00AC375F" w:rsidRPr="00AC375F" w:rsidRDefault="00AC375F" w:rsidP="00AC375F">
            <w:pPr>
              <w:jc w:val="center"/>
              <w:rPr>
                <w:sz w:val="18"/>
                <w:szCs w:val="18"/>
              </w:rPr>
            </w:pPr>
            <w:r w:rsidRPr="00AC375F">
              <w:rPr>
                <w:sz w:val="18"/>
                <w:szCs w:val="18"/>
              </w:rPr>
              <w:t>1</w:t>
            </w:r>
          </w:p>
        </w:tc>
        <w:tc>
          <w:tcPr>
            <w:tcW w:w="993" w:type="dxa"/>
            <w:shd w:val="clear" w:color="auto" w:fill="auto"/>
            <w:noWrap/>
            <w:vAlign w:val="center"/>
          </w:tcPr>
          <w:p w14:paraId="20FB0407" w14:textId="77777777" w:rsidR="00AC375F" w:rsidRPr="00AC375F" w:rsidRDefault="00AC375F" w:rsidP="00AC375F">
            <w:pPr>
              <w:jc w:val="center"/>
              <w:rPr>
                <w:sz w:val="18"/>
                <w:szCs w:val="18"/>
              </w:rPr>
            </w:pPr>
            <w:r w:rsidRPr="00AC375F">
              <w:rPr>
                <w:sz w:val="18"/>
                <w:szCs w:val="18"/>
              </w:rPr>
              <w:t>siječanj</w:t>
            </w:r>
          </w:p>
        </w:tc>
        <w:tc>
          <w:tcPr>
            <w:tcW w:w="1563" w:type="dxa"/>
            <w:shd w:val="clear" w:color="auto" w:fill="auto"/>
            <w:noWrap/>
            <w:vAlign w:val="center"/>
          </w:tcPr>
          <w:p w14:paraId="58D6568F" w14:textId="77777777" w:rsidR="00AC375F" w:rsidRPr="00AC375F" w:rsidRDefault="00AC375F" w:rsidP="00AC375F">
            <w:pPr>
              <w:jc w:val="center"/>
              <w:rPr>
                <w:sz w:val="18"/>
                <w:szCs w:val="18"/>
              </w:rPr>
            </w:pPr>
            <w:r w:rsidRPr="00AC375F">
              <w:rPr>
                <w:sz w:val="18"/>
                <w:szCs w:val="18"/>
              </w:rPr>
              <w:t>0,25</w:t>
            </w:r>
          </w:p>
        </w:tc>
      </w:tr>
      <w:tr w:rsidR="00AC375F" w:rsidRPr="00AC375F" w14:paraId="384A625E" w14:textId="77777777" w:rsidTr="00991955">
        <w:trPr>
          <w:trHeight w:val="237"/>
        </w:trPr>
        <w:tc>
          <w:tcPr>
            <w:tcW w:w="4390" w:type="dxa"/>
            <w:shd w:val="clear" w:color="auto" w:fill="auto"/>
            <w:noWrap/>
            <w:vAlign w:val="center"/>
          </w:tcPr>
          <w:p w14:paraId="37F2C565" w14:textId="77777777" w:rsidR="00AC375F" w:rsidRPr="00AC375F" w:rsidRDefault="00AC375F" w:rsidP="00AC375F">
            <w:pPr>
              <w:rPr>
                <w:b/>
                <w:bCs/>
                <w:sz w:val="18"/>
                <w:szCs w:val="18"/>
              </w:rPr>
            </w:pPr>
          </w:p>
        </w:tc>
        <w:tc>
          <w:tcPr>
            <w:tcW w:w="1417" w:type="dxa"/>
            <w:shd w:val="clear" w:color="auto" w:fill="auto"/>
            <w:noWrap/>
            <w:vAlign w:val="center"/>
          </w:tcPr>
          <w:p w14:paraId="778B952C"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auto"/>
            <w:noWrap/>
            <w:vAlign w:val="center"/>
          </w:tcPr>
          <w:p w14:paraId="40E69EE3" w14:textId="77777777" w:rsidR="00AC375F" w:rsidRPr="00AC375F" w:rsidRDefault="00AC375F" w:rsidP="00AC375F">
            <w:pPr>
              <w:jc w:val="center"/>
              <w:rPr>
                <w:sz w:val="18"/>
                <w:szCs w:val="18"/>
              </w:rPr>
            </w:pPr>
            <w:r w:rsidRPr="00AC375F">
              <w:rPr>
                <w:sz w:val="18"/>
                <w:szCs w:val="18"/>
              </w:rPr>
              <w:t>1</w:t>
            </w:r>
          </w:p>
        </w:tc>
        <w:tc>
          <w:tcPr>
            <w:tcW w:w="993" w:type="dxa"/>
            <w:shd w:val="clear" w:color="auto" w:fill="auto"/>
            <w:noWrap/>
            <w:vAlign w:val="center"/>
          </w:tcPr>
          <w:p w14:paraId="6A6A4580" w14:textId="77777777" w:rsidR="00AC375F" w:rsidRPr="00AC375F" w:rsidRDefault="00AC375F" w:rsidP="00AC375F">
            <w:pPr>
              <w:jc w:val="center"/>
              <w:rPr>
                <w:sz w:val="18"/>
                <w:szCs w:val="18"/>
              </w:rPr>
            </w:pPr>
            <w:r w:rsidRPr="00AC375F">
              <w:rPr>
                <w:sz w:val="18"/>
                <w:szCs w:val="18"/>
              </w:rPr>
              <w:t>svibanj</w:t>
            </w:r>
          </w:p>
        </w:tc>
        <w:tc>
          <w:tcPr>
            <w:tcW w:w="1563" w:type="dxa"/>
            <w:shd w:val="clear" w:color="auto" w:fill="auto"/>
            <w:noWrap/>
            <w:vAlign w:val="center"/>
          </w:tcPr>
          <w:p w14:paraId="09F933F1" w14:textId="77777777" w:rsidR="00AC375F" w:rsidRPr="00AC375F" w:rsidRDefault="00AC375F" w:rsidP="00AC375F">
            <w:pPr>
              <w:jc w:val="center"/>
              <w:rPr>
                <w:sz w:val="18"/>
                <w:szCs w:val="18"/>
              </w:rPr>
            </w:pPr>
            <w:r w:rsidRPr="00AC375F">
              <w:rPr>
                <w:sz w:val="18"/>
                <w:szCs w:val="18"/>
              </w:rPr>
              <w:t>0,25</w:t>
            </w:r>
          </w:p>
        </w:tc>
      </w:tr>
      <w:tr w:rsidR="00AC375F" w:rsidRPr="00AC375F" w14:paraId="3B6DE63F" w14:textId="77777777" w:rsidTr="00991955">
        <w:trPr>
          <w:trHeight w:val="237"/>
        </w:trPr>
        <w:tc>
          <w:tcPr>
            <w:tcW w:w="4390" w:type="dxa"/>
            <w:shd w:val="clear" w:color="auto" w:fill="auto"/>
            <w:noWrap/>
            <w:vAlign w:val="center"/>
          </w:tcPr>
          <w:p w14:paraId="18AC845F" w14:textId="77777777" w:rsidR="00AC375F" w:rsidRPr="00AC375F" w:rsidRDefault="00AC375F" w:rsidP="00AC375F">
            <w:pPr>
              <w:rPr>
                <w:b/>
                <w:bCs/>
                <w:sz w:val="18"/>
                <w:szCs w:val="18"/>
              </w:rPr>
            </w:pPr>
          </w:p>
        </w:tc>
        <w:tc>
          <w:tcPr>
            <w:tcW w:w="1417" w:type="dxa"/>
            <w:shd w:val="clear" w:color="auto" w:fill="auto"/>
            <w:noWrap/>
            <w:vAlign w:val="center"/>
          </w:tcPr>
          <w:p w14:paraId="2D5EEA48"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auto"/>
            <w:noWrap/>
            <w:vAlign w:val="center"/>
          </w:tcPr>
          <w:p w14:paraId="2D4EA7B8" w14:textId="77777777" w:rsidR="00AC375F" w:rsidRPr="00AC375F" w:rsidRDefault="00AC375F" w:rsidP="00AC375F">
            <w:pPr>
              <w:jc w:val="center"/>
              <w:rPr>
                <w:sz w:val="18"/>
                <w:szCs w:val="18"/>
              </w:rPr>
            </w:pPr>
            <w:r w:rsidRPr="00AC375F">
              <w:rPr>
                <w:sz w:val="18"/>
                <w:szCs w:val="18"/>
              </w:rPr>
              <w:t>1</w:t>
            </w:r>
          </w:p>
        </w:tc>
        <w:tc>
          <w:tcPr>
            <w:tcW w:w="993" w:type="dxa"/>
            <w:shd w:val="clear" w:color="auto" w:fill="auto"/>
            <w:noWrap/>
            <w:vAlign w:val="center"/>
          </w:tcPr>
          <w:p w14:paraId="3D851656" w14:textId="77777777" w:rsidR="00AC375F" w:rsidRPr="00AC375F" w:rsidRDefault="00AC375F" w:rsidP="00AC375F">
            <w:pPr>
              <w:jc w:val="center"/>
              <w:rPr>
                <w:sz w:val="18"/>
                <w:szCs w:val="18"/>
              </w:rPr>
            </w:pPr>
            <w:r w:rsidRPr="00AC375F">
              <w:rPr>
                <w:sz w:val="18"/>
                <w:szCs w:val="18"/>
              </w:rPr>
              <w:t>listopad</w:t>
            </w:r>
          </w:p>
        </w:tc>
        <w:tc>
          <w:tcPr>
            <w:tcW w:w="1563" w:type="dxa"/>
            <w:shd w:val="clear" w:color="auto" w:fill="auto"/>
            <w:noWrap/>
            <w:vAlign w:val="center"/>
          </w:tcPr>
          <w:p w14:paraId="35B6A893" w14:textId="77777777" w:rsidR="00AC375F" w:rsidRPr="00AC375F" w:rsidRDefault="00AC375F" w:rsidP="00AC375F">
            <w:pPr>
              <w:jc w:val="center"/>
              <w:rPr>
                <w:sz w:val="18"/>
                <w:szCs w:val="18"/>
              </w:rPr>
            </w:pPr>
            <w:r w:rsidRPr="00AC375F">
              <w:rPr>
                <w:sz w:val="18"/>
                <w:szCs w:val="18"/>
              </w:rPr>
              <w:t>0,25</w:t>
            </w:r>
          </w:p>
        </w:tc>
      </w:tr>
      <w:tr w:rsidR="00AC375F" w:rsidRPr="00AC375F" w14:paraId="5F7FE55F" w14:textId="77777777" w:rsidTr="00991955">
        <w:trPr>
          <w:trHeight w:val="237"/>
        </w:trPr>
        <w:tc>
          <w:tcPr>
            <w:tcW w:w="4390" w:type="dxa"/>
            <w:shd w:val="clear" w:color="auto" w:fill="auto"/>
            <w:noWrap/>
            <w:vAlign w:val="center"/>
            <w:hideMark/>
          </w:tcPr>
          <w:p w14:paraId="0226C65F" w14:textId="77777777" w:rsidR="00AC375F" w:rsidRPr="00AC375F" w:rsidRDefault="00AC375F" w:rsidP="00AC375F">
            <w:pPr>
              <w:rPr>
                <w:b/>
                <w:bCs/>
                <w:sz w:val="18"/>
                <w:szCs w:val="18"/>
              </w:rPr>
            </w:pPr>
            <w:r w:rsidRPr="00AC375F">
              <w:rPr>
                <w:b/>
                <w:bCs/>
                <w:sz w:val="18"/>
                <w:szCs w:val="18"/>
              </w:rPr>
              <w:t>CMDh/CMDv Variation Regulation WP</w:t>
            </w:r>
          </w:p>
        </w:tc>
        <w:tc>
          <w:tcPr>
            <w:tcW w:w="1417" w:type="dxa"/>
            <w:shd w:val="clear" w:color="auto" w:fill="auto"/>
            <w:noWrap/>
            <w:vAlign w:val="center"/>
          </w:tcPr>
          <w:p w14:paraId="2494E8EE"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auto"/>
            <w:noWrap/>
            <w:vAlign w:val="center"/>
          </w:tcPr>
          <w:p w14:paraId="7FB8B1B3" w14:textId="77777777" w:rsidR="00AC375F" w:rsidRPr="00AC375F" w:rsidRDefault="00AC375F" w:rsidP="00AC375F">
            <w:pPr>
              <w:jc w:val="center"/>
              <w:rPr>
                <w:sz w:val="18"/>
                <w:szCs w:val="18"/>
              </w:rPr>
            </w:pPr>
            <w:r w:rsidRPr="00AC375F">
              <w:rPr>
                <w:sz w:val="18"/>
                <w:szCs w:val="18"/>
              </w:rPr>
              <w:t>2</w:t>
            </w:r>
          </w:p>
        </w:tc>
        <w:tc>
          <w:tcPr>
            <w:tcW w:w="993" w:type="dxa"/>
            <w:shd w:val="clear" w:color="auto" w:fill="auto"/>
            <w:noWrap/>
            <w:vAlign w:val="center"/>
          </w:tcPr>
          <w:p w14:paraId="6B861C8E" w14:textId="77777777" w:rsidR="00AC375F" w:rsidRPr="00AC375F" w:rsidRDefault="00AC375F" w:rsidP="00AC375F">
            <w:pPr>
              <w:jc w:val="center"/>
              <w:rPr>
                <w:sz w:val="18"/>
                <w:szCs w:val="18"/>
              </w:rPr>
            </w:pPr>
            <w:r w:rsidRPr="00AC375F">
              <w:rPr>
                <w:sz w:val="18"/>
                <w:szCs w:val="18"/>
              </w:rPr>
              <w:t>veljača</w:t>
            </w:r>
          </w:p>
        </w:tc>
        <w:tc>
          <w:tcPr>
            <w:tcW w:w="1563" w:type="dxa"/>
            <w:shd w:val="clear" w:color="auto" w:fill="auto"/>
            <w:noWrap/>
            <w:vAlign w:val="center"/>
          </w:tcPr>
          <w:p w14:paraId="13026F98" w14:textId="77777777" w:rsidR="00AC375F" w:rsidRPr="00AC375F" w:rsidRDefault="00AC375F" w:rsidP="00AC375F">
            <w:pPr>
              <w:jc w:val="center"/>
              <w:rPr>
                <w:sz w:val="18"/>
                <w:szCs w:val="18"/>
              </w:rPr>
            </w:pPr>
            <w:r w:rsidRPr="00AC375F">
              <w:rPr>
                <w:sz w:val="18"/>
                <w:szCs w:val="18"/>
              </w:rPr>
              <w:t>0,25; 0,25</w:t>
            </w:r>
          </w:p>
        </w:tc>
      </w:tr>
      <w:tr w:rsidR="00AC375F" w:rsidRPr="00AC375F" w14:paraId="7985FDD2" w14:textId="77777777" w:rsidTr="00991955">
        <w:trPr>
          <w:trHeight w:val="237"/>
        </w:trPr>
        <w:tc>
          <w:tcPr>
            <w:tcW w:w="4390" w:type="dxa"/>
            <w:shd w:val="clear" w:color="auto" w:fill="auto"/>
            <w:noWrap/>
            <w:vAlign w:val="center"/>
          </w:tcPr>
          <w:p w14:paraId="488F4E78" w14:textId="77777777" w:rsidR="00AC375F" w:rsidRPr="00AC375F" w:rsidRDefault="00AC375F" w:rsidP="00AC375F">
            <w:pPr>
              <w:rPr>
                <w:b/>
                <w:bCs/>
                <w:sz w:val="18"/>
                <w:szCs w:val="18"/>
              </w:rPr>
            </w:pPr>
          </w:p>
        </w:tc>
        <w:tc>
          <w:tcPr>
            <w:tcW w:w="1417" w:type="dxa"/>
            <w:shd w:val="clear" w:color="auto" w:fill="auto"/>
            <w:noWrap/>
            <w:vAlign w:val="center"/>
          </w:tcPr>
          <w:p w14:paraId="3CC22D15"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auto"/>
            <w:noWrap/>
            <w:vAlign w:val="center"/>
          </w:tcPr>
          <w:p w14:paraId="00485028" w14:textId="77777777" w:rsidR="00AC375F" w:rsidRPr="00AC375F" w:rsidRDefault="00AC375F" w:rsidP="00AC375F">
            <w:pPr>
              <w:jc w:val="center"/>
              <w:rPr>
                <w:sz w:val="18"/>
                <w:szCs w:val="18"/>
              </w:rPr>
            </w:pPr>
            <w:r w:rsidRPr="00AC375F">
              <w:rPr>
                <w:sz w:val="18"/>
                <w:szCs w:val="18"/>
              </w:rPr>
              <w:t>2</w:t>
            </w:r>
          </w:p>
        </w:tc>
        <w:tc>
          <w:tcPr>
            <w:tcW w:w="993" w:type="dxa"/>
            <w:shd w:val="clear" w:color="auto" w:fill="auto"/>
            <w:noWrap/>
            <w:vAlign w:val="center"/>
          </w:tcPr>
          <w:p w14:paraId="7137B39E" w14:textId="77777777" w:rsidR="00AC375F" w:rsidRPr="00AC375F" w:rsidRDefault="00AC375F" w:rsidP="00AC375F">
            <w:pPr>
              <w:jc w:val="center"/>
              <w:rPr>
                <w:sz w:val="18"/>
                <w:szCs w:val="18"/>
              </w:rPr>
            </w:pPr>
            <w:r w:rsidRPr="00AC375F">
              <w:rPr>
                <w:sz w:val="18"/>
                <w:szCs w:val="18"/>
              </w:rPr>
              <w:t>svibanj</w:t>
            </w:r>
          </w:p>
        </w:tc>
        <w:tc>
          <w:tcPr>
            <w:tcW w:w="1563" w:type="dxa"/>
            <w:shd w:val="clear" w:color="auto" w:fill="auto"/>
            <w:noWrap/>
            <w:vAlign w:val="center"/>
          </w:tcPr>
          <w:p w14:paraId="00F2B13C" w14:textId="77777777" w:rsidR="00AC375F" w:rsidRPr="00AC375F" w:rsidRDefault="00AC375F" w:rsidP="00AC375F">
            <w:pPr>
              <w:jc w:val="center"/>
              <w:rPr>
                <w:sz w:val="18"/>
                <w:szCs w:val="18"/>
              </w:rPr>
            </w:pPr>
            <w:r w:rsidRPr="00AC375F">
              <w:rPr>
                <w:sz w:val="18"/>
                <w:szCs w:val="18"/>
              </w:rPr>
              <w:t>0,25; 0,25</w:t>
            </w:r>
          </w:p>
        </w:tc>
      </w:tr>
      <w:tr w:rsidR="00AC375F" w:rsidRPr="00AC375F" w14:paraId="6524CAFA" w14:textId="77777777" w:rsidTr="00991955">
        <w:trPr>
          <w:trHeight w:val="237"/>
        </w:trPr>
        <w:tc>
          <w:tcPr>
            <w:tcW w:w="4390" w:type="dxa"/>
            <w:shd w:val="clear" w:color="auto" w:fill="auto"/>
            <w:noWrap/>
            <w:vAlign w:val="center"/>
          </w:tcPr>
          <w:p w14:paraId="246755E1" w14:textId="77777777" w:rsidR="00AC375F" w:rsidRPr="00AC375F" w:rsidRDefault="00AC375F" w:rsidP="00AC375F">
            <w:pPr>
              <w:rPr>
                <w:b/>
                <w:bCs/>
                <w:sz w:val="18"/>
                <w:szCs w:val="18"/>
              </w:rPr>
            </w:pPr>
          </w:p>
        </w:tc>
        <w:tc>
          <w:tcPr>
            <w:tcW w:w="1417" w:type="dxa"/>
            <w:shd w:val="clear" w:color="auto" w:fill="auto"/>
            <w:noWrap/>
            <w:vAlign w:val="center"/>
          </w:tcPr>
          <w:p w14:paraId="2B567008"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auto"/>
            <w:noWrap/>
            <w:vAlign w:val="center"/>
          </w:tcPr>
          <w:p w14:paraId="2E14ADD6" w14:textId="77777777" w:rsidR="00AC375F" w:rsidRPr="00AC375F" w:rsidRDefault="00AC375F" w:rsidP="00AC375F">
            <w:pPr>
              <w:jc w:val="center"/>
              <w:rPr>
                <w:sz w:val="18"/>
                <w:szCs w:val="18"/>
              </w:rPr>
            </w:pPr>
            <w:r w:rsidRPr="00AC375F">
              <w:rPr>
                <w:sz w:val="18"/>
                <w:szCs w:val="18"/>
              </w:rPr>
              <w:t>2</w:t>
            </w:r>
          </w:p>
        </w:tc>
        <w:tc>
          <w:tcPr>
            <w:tcW w:w="993" w:type="dxa"/>
            <w:shd w:val="clear" w:color="auto" w:fill="auto"/>
            <w:noWrap/>
            <w:vAlign w:val="center"/>
          </w:tcPr>
          <w:p w14:paraId="6A5DB6CB" w14:textId="77777777" w:rsidR="00AC375F" w:rsidRPr="00AC375F" w:rsidRDefault="00AC375F" w:rsidP="00AC375F">
            <w:pPr>
              <w:jc w:val="center"/>
              <w:rPr>
                <w:sz w:val="18"/>
                <w:szCs w:val="18"/>
              </w:rPr>
            </w:pPr>
            <w:r w:rsidRPr="00AC375F">
              <w:rPr>
                <w:sz w:val="18"/>
                <w:szCs w:val="18"/>
              </w:rPr>
              <w:t>rujan</w:t>
            </w:r>
          </w:p>
        </w:tc>
        <w:tc>
          <w:tcPr>
            <w:tcW w:w="1563" w:type="dxa"/>
            <w:shd w:val="clear" w:color="auto" w:fill="auto"/>
            <w:noWrap/>
            <w:vAlign w:val="center"/>
          </w:tcPr>
          <w:p w14:paraId="283A7199" w14:textId="77777777" w:rsidR="00AC375F" w:rsidRPr="00AC375F" w:rsidRDefault="00AC375F" w:rsidP="00AC375F">
            <w:pPr>
              <w:jc w:val="center"/>
              <w:rPr>
                <w:sz w:val="18"/>
                <w:szCs w:val="18"/>
              </w:rPr>
            </w:pPr>
            <w:r w:rsidRPr="00AC375F">
              <w:rPr>
                <w:sz w:val="18"/>
                <w:szCs w:val="18"/>
              </w:rPr>
              <w:t>0,25; 0,25</w:t>
            </w:r>
          </w:p>
        </w:tc>
      </w:tr>
      <w:tr w:rsidR="00AC375F" w:rsidRPr="00AC375F" w14:paraId="50E8F355" w14:textId="77777777" w:rsidTr="00991955">
        <w:trPr>
          <w:trHeight w:val="237"/>
        </w:trPr>
        <w:tc>
          <w:tcPr>
            <w:tcW w:w="4390" w:type="dxa"/>
            <w:shd w:val="clear" w:color="auto" w:fill="auto"/>
            <w:noWrap/>
            <w:vAlign w:val="center"/>
          </w:tcPr>
          <w:p w14:paraId="4F8BD533" w14:textId="77777777" w:rsidR="00AC375F" w:rsidRPr="00AC375F" w:rsidRDefault="00AC375F" w:rsidP="00AC375F">
            <w:pPr>
              <w:rPr>
                <w:b/>
                <w:bCs/>
                <w:sz w:val="18"/>
                <w:szCs w:val="18"/>
              </w:rPr>
            </w:pPr>
          </w:p>
        </w:tc>
        <w:tc>
          <w:tcPr>
            <w:tcW w:w="1417" w:type="dxa"/>
            <w:shd w:val="clear" w:color="auto" w:fill="auto"/>
            <w:noWrap/>
            <w:vAlign w:val="center"/>
          </w:tcPr>
          <w:p w14:paraId="427EF373"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auto"/>
            <w:noWrap/>
            <w:vAlign w:val="center"/>
          </w:tcPr>
          <w:p w14:paraId="1B4E482A" w14:textId="77777777" w:rsidR="00AC375F" w:rsidRPr="00AC375F" w:rsidRDefault="00AC375F" w:rsidP="00AC375F">
            <w:pPr>
              <w:jc w:val="center"/>
              <w:rPr>
                <w:sz w:val="18"/>
                <w:szCs w:val="18"/>
              </w:rPr>
            </w:pPr>
            <w:r w:rsidRPr="00AC375F">
              <w:rPr>
                <w:sz w:val="18"/>
                <w:szCs w:val="18"/>
              </w:rPr>
              <w:t>2</w:t>
            </w:r>
          </w:p>
        </w:tc>
        <w:tc>
          <w:tcPr>
            <w:tcW w:w="993" w:type="dxa"/>
            <w:shd w:val="clear" w:color="auto" w:fill="auto"/>
            <w:noWrap/>
            <w:vAlign w:val="center"/>
          </w:tcPr>
          <w:p w14:paraId="25332E61" w14:textId="77777777" w:rsidR="00AC375F" w:rsidRPr="00AC375F" w:rsidRDefault="00AC375F" w:rsidP="00AC375F">
            <w:pPr>
              <w:jc w:val="center"/>
              <w:rPr>
                <w:sz w:val="18"/>
                <w:szCs w:val="18"/>
              </w:rPr>
            </w:pPr>
            <w:r w:rsidRPr="00AC375F">
              <w:rPr>
                <w:sz w:val="18"/>
                <w:szCs w:val="18"/>
              </w:rPr>
              <w:t>prosinac</w:t>
            </w:r>
          </w:p>
        </w:tc>
        <w:tc>
          <w:tcPr>
            <w:tcW w:w="1563" w:type="dxa"/>
            <w:shd w:val="clear" w:color="auto" w:fill="auto"/>
            <w:noWrap/>
            <w:vAlign w:val="center"/>
          </w:tcPr>
          <w:p w14:paraId="3786FEC7" w14:textId="77777777" w:rsidR="00AC375F" w:rsidRPr="00AC375F" w:rsidRDefault="00AC375F" w:rsidP="00AC375F">
            <w:pPr>
              <w:jc w:val="center"/>
              <w:rPr>
                <w:sz w:val="18"/>
                <w:szCs w:val="18"/>
              </w:rPr>
            </w:pPr>
            <w:r w:rsidRPr="00AC375F">
              <w:rPr>
                <w:sz w:val="18"/>
                <w:szCs w:val="18"/>
              </w:rPr>
              <w:t>0,25; 0,25</w:t>
            </w:r>
          </w:p>
        </w:tc>
      </w:tr>
      <w:tr w:rsidR="00AC375F" w:rsidRPr="00AC375F" w14:paraId="6C445009" w14:textId="77777777" w:rsidTr="00991955">
        <w:trPr>
          <w:trHeight w:val="237"/>
        </w:trPr>
        <w:tc>
          <w:tcPr>
            <w:tcW w:w="4390" w:type="dxa"/>
            <w:shd w:val="clear" w:color="auto" w:fill="auto"/>
            <w:noWrap/>
            <w:vAlign w:val="center"/>
          </w:tcPr>
          <w:p w14:paraId="13CBD1F5" w14:textId="77777777" w:rsidR="00AC375F" w:rsidRPr="00AC375F" w:rsidRDefault="00AC375F" w:rsidP="00AC375F">
            <w:pPr>
              <w:rPr>
                <w:b/>
                <w:bCs/>
                <w:sz w:val="18"/>
                <w:szCs w:val="18"/>
              </w:rPr>
            </w:pPr>
            <w:r w:rsidRPr="00AC375F">
              <w:rPr>
                <w:b/>
                <w:bCs/>
                <w:sz w:val="18"/>
                <w:szCs w:val="18"/>
              </w:rPr>
              <w:t>CMDh Non-prescription medicinal products Task Force</w:t>
            </w:r>
          </w:p>
        </w:tc>
        <w:tc>
          <w:tcPr>
            <w:tcW w:w="1417" w:type="dxa"/>
            <w:shd w:val="clear" w:color="auto" w:fill="auto"/>
            <w:noWrap/>
            <w:vAlign w:val="center"/>
          </w:tcPr>
          <w:p w14:paraId="0D4261D3"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auto"/>
            <w:noWrap/>
            <w:vAlign w:val="center"/>
          </w:tcPr>
          <w:p w14:paraId="46AF8982" w14:textId="77777777" w:rsidR="00AC375F" w:rsidRPr="00AC375F" w:rsidRDefault="00AC375F" w:rsidP="00AC375F">
            <w:pPr>
              <w:jc w:val="center"/>
              <w:rPr>
                <w:sz w:val="18"/>
                <w:szCs w:val="18"/>
              </w:rPr>
            </w:pPr>
            <w:r w:rsidRPr="00AC375F">
              <w:rPr>
                <w:sz w:val="18"/>
                <w:szCs w:val="18"/>
              </w:rPr>
              <w:t>2</w:t>
            </w:r>
          </w:p>
        </w:tc>
        <w:tc>
          <w:tcPr>
            <w:tcW w:w="993" w:type="dxa"/>
            <w:shd w:val="clear" w:color="auto" w:fill="auto"/>
            <w:noWrap/>
            <w:vAlign w:val="center"/>
          </w:tcPr>
          <w:p w14:paraId="573B205C" w14:textId="77777777" w:rsidR="00AC375F" w:rsidRPr="00AC375F" w:rsidRDefault="00AC375F" w:rsidP="00AC375F">
            <w:pPr>
              <w:jc w:val="center"/>
              <w:rPr>
                <w:sz w:val="18"/>
                <w:szCs w:val="18"/>
              </w:rPr>
            </w:pPr>
            <w:r w:rsidRPr="00AC375F">
              <w:rPr>
                <w:sz w:val="18"/>
                <w:szCs w:val="18"/>
              </w:rPr>
              <w:t>siječanj</w:t>
            </w:r>
          </w:p>
        </w:tc>
        <w:tc>
          <w:tcPr>
            <w:tcW w:w="1563" w:type="dxa"/>
            <w:shd w:val="clear" w:color="auto" w:fill="auto"/>
            <w:noWrap/>
            <w:vAlign w:val="center"/>
          </w:tcPr>
          <w:p w14:paraId="125544FD" w14:textId="77777777" w:rsidR="00AC375F" w:rsidRPr="00AC375F" w:rsidRDefault="00AC375F" w:rsidP="00AC375F">
            <w:pPr>
              <w:jc w:val="center"/>
              <w:rPr>
                <w:sz w:val="18"/>
                <w:szCs w:val="18"/>
              </w:rPr>
            </w:pPr>
            <w:r w:rsidRPr="00AC375F">
              <w:rPr>
                <w:sz w:val="18"/>
                <w:szCs w:val="18"/>
              </w:rPr>
              <w:t>0,25; 0,25</w:t>
            </w:r>
          </w:p>
        </w:tc>
      </w:tr>
      <w:tr w:rsidR="00AC375F" w:rsidRPr="00AC375F" w14:paraId="4598E822" w14:textId="77777777" w:rsidTr="00991955">
        <w:trPr>
          <w:trHeight w:val="237"/>
        </w:trPr>
        <w:tc>
          <w:tcPr>
            <w:tcW w:w="4390" w:type="dxa"/>
            <w:shd w:val="clear" w:color="auto" w:fill="auto"/>
            <w:noWrap/>
            <w:vAlign w:val="center"/>
          </w:tcPr>
          <w:p w14:paraId="13BF56F8" w14:textId="77777777" w:rsidR="00AC375F" w:rsidRPr="00AC375F" w:rsidRDefault="00AC375F" w:rsidP="00AC375F">
            <w:pPr>
              <w:rPr>
                <w:b/>
                <w:bCs/>
                <w:sz w:val="18"/>
                <w:szCs w:val="18"/>
              </w:rPr>
            </w:pPr>
          </w:p>
        </w:tc>
        <w:tc>
          <w:tcPr>
            <w:tcW w:w="1417" w:type="dxa"/>
            <w:shd w:val="clear" w:color="auto" w:fill="auto"/>
            <w:noWrap/>
            <w:vAlign w:val="center"/>
          </w:tcPr>
          <w:p w14:paraId="2E781893" w14:textId="77777777" w:rsidR="00AC375F" w:rsidRPr="00AC375F" w:rsidRDefault="00AC375F" w:rsidP="00AC375F">
            <w:pPr>
              <w:jc w:val="center"/>
              <w:rPr>
                <w:sz w:val="18"/>
                <w:szCs w:val="18"/>
              </w:rPr>
            </w:pPr>
          </w:p>
        </w:tc>
        <w:tc>
          <w:tcPr>
            <w:tcW w:w="992" w:type="dxa"/>
            <w:shd w:val="clear" w:color="auto" w:fill="auto"/>
            <w:noWrap/>
            <w:vAlign w:val="center"/>
          </w:tcPr>
          <w:p w14:paraId="505386E2" w14:textId="77777777" w:rsidR="00AC375F" w:rsidRPr="00AC375F" w:rsidRDefault="00AC375F" w:rsidP="00AC375F">
            <w:pPr>
              <w:jc w:val="center"/>
              <w:rPr>
                <w:sz w:val="18"/>
                <w:szCs w:val="18"/>
              </w:rPr>
            </w:pPr>
          </w:p>
        </w:tc>
        <w:tc>
          <w:tcPr>
            <w:tcW w:w="993" w:type="dxa"/>
            <w:shd w:val="clear" w:color="auto" w:fill="auto"/>
            <w:noWrap/>
            <w:vAlign w:val="center"/>
          </w:tcPr>
          <w:p w14:paraId="2F6A70E2" w14:textId="77777777" w:rsidR="00AC375F" w:rsidRPr="00AC375F" w:rsidRDefault="00AC375F" w:rsidP="00AC375F">
            <w:pPr>
              <w:jc w:val="center"/>
              <w:rPr>
                <w:sz w:val="18"/>
                <w:szCs w:val="18"/>
              </w:rPr>
            </w:pPr>
          </w:p>
        </w:tc>
        <w:tc>
          <w:tcPr>
            <w:tcW w:w="1563" w:type="dxa"/>
            <w:shd w:val="clear" w:color="auto" w:fill="auto"/>
            <w:noWrap/>
            <w:vAlign w:val="center"/>
          </w:tcPr>
          <w:p w14:paraId="21794D58" w14:textId="77777777" w:rsidR="00AC375F" w:rsidRPr="00AC375F" w:rsidRDefault="00AC375F" w:rsidP="00AC375F">
            <w:pPr>
              <w:jc w:val="center"/>
              <w:rPr>
                <w:sz w:val="18"/>
                <w:szCs w:val="18"/>
              </w:rPr>
            </w:pPr>
          </w:p>
        </w:tc>
      </w:tr>
      <w:tr w:rsidR="00AC375F" w:rsidRPr="00AC375F" w14:paraId="0ABC47A1" w14:textId="77777777" w:rsidTr="00991955">
        <w:trPr>
          <w:trHeight w:val="237"/>
        </w:trPr>
        <w:tc>
          <w:tcPr>
            <w:tcW w:w="4390" w:type="dxa"/>
            <w:shd w:val="clear" w:color="auto" w:fill="auto"/>
            <w:noWrap/>
            <w:vAlign w:val="center"/>
          </w:tcPr>
          <w:p w14:paraId="160E3EEA" w14:textId="77777777" w:rsidR="00AC375F" w:rsidRPr="00AC375F" w:rsidRDefault="00AC375F" w:rsidP="00AC375F">
            <w:pPr>
              <w:rPr>
                <w:b/>
                <w:bCs/>
                <w:sz w:val="18"/>
                <w:szCs w:val="18"/>
              </w:rPr>
            </w:pPr>
            <w:r w:rsidRPr="00AC375F">
              <w:rPr>
                <w:b/>
                <w:bCs/>
                <w:sz w:val="18"/>
                <w:szCs w:val="18"/>
              </w:rPr>
              <w:t>CMDh CTS Working Group</w:t>
            </w:r>
          </w:p>
        </w:tc>
        <w:tc>
          <w:tcPr>
            <w:tcW w:w="1417" w:type="dxa"/>
            <w:shd w:val="clear" w:color="auto" w:fill="auto"/>
            <w:noWrap/>
            <w:vAlign w:val="center"/>
          </w:tcPr>
          <w:p w14:paraId="3B905353"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auto"/>
            <w:noWrap/>
            <w:vAlign w:val="center"/>
          </w:tcPr>
          <w:p w14:paraId="2AD97976" w14:textId="77777777" w:rsidR="00AC375F" w:rsidRPr="00AC375F" w:rsidRDefault="00AC375F" w:rsidP="00AC375F">
            <w:pPr>
              <w:jc w:val="center"/>
              <w:rPr>
                <w:sz w:val="18"/>
                <w:szCs w:val="18"/>
              </w:rPr>
            </w:pPr>
            <w:r w:rsidRPr="00AC375F">
              <w:rPr>
                <w:sz w:val="18"/>
                <w:szCs w:val="18"/>
              </w:rPr>
              <w:t>2</w:t>
            </w:r>
          </w:p>
        </w:tc>
        <w:tc>
          <w:tcPr>
            <w:tcW w:w="993" w:type="dxa"/>
            <w:shd w:val="clear" w:color="auto" w:fill="auto"/>
            <w:noWrap/>
            <w:vAlign w:val="center"/>
          </w:tcPr>
          <w:p w14:paraId="74156354" w14:textId="77777777" w:rsidR="00AC375F" w:rsidRPr="00AC375F" w:rsidRDefault="00AC375F" w:rsidP="00AC375F">
            <w:pPr>
              <w:jc w:val="center"/>
              <w:rPr>
                <w:rFonts w:cstheme="minorHAnsi"/>
                <w:iCs/>
                <w:sz w:val="18"/>
                <w:szCs w:val="18"/>
              </w:rPr>
            </w:pPr>
            <w:r w:rsidRPr="00AC375F">
              <w:rPr>
                <w:rFonts w:cstheme="minorHAnsi"/>
                <w:iCs/>
                <w:sz w:val="18"/>
                <w:szCs w:val="18"/>
              </w:rPr>
              <w:t>siječanj</w:t>
            </w:r>
          </w:p>
        </w:tc>
        <w:tc>
          <w:tcPr>
            <w:tcW w:w="1563" w:type="dxa"/>
            <w:shd w:val="clear" w:color="auto" w:fill="auto"/>
            <w:noWrap/>
            <w:vAlign w:val="center"/>
          </w:tcPr>
          <w:p w14:paraId="739087F2" w14:textId="77777777" w:rsidR="00AC375F" w:rsidRPr="00AC375F" w:rsidRDefault="00AC375F" w:rsidP="00AC375F">
            <w:pPr>
              <w:jc w:val="center"/>
              <w:rPr>
                <w:sz w:val="18"/>
                <w:szCs w:val="18"/>
              </w:rPr>
            </w:pPr>
            <w:r w:rsidRPr="00AC375F">
              <w:rPr>
                <w:sz w:val="18"/>
                <w:szCs w:val="18"/>
              </w:rPr>
              <w:t>0,25, 0,25</w:t>
            </w:r>
          </w:p>
        </w:tc>
      </w:tr>
      <w:tr w:rsidR="00AC375F" w:rsidRPr="00AC375F" w14:paraId="75FEB5C8" w14:textId="77777777" w:rsidTr="00991955">
        <w:trPr>
          <w:trHeight w:val="237"/>
        </w:trPr>
        <w:tc>
          <w:tcPr>
            <w:tcW w:w="4390" w:type="dxa"/>
            <w:shd w:val="clear" w:color="auto" w:fill="auto"/>
            <w:noWrap/>
            <w:vAlign w:val="center"/>
          </w:tcPr>
          <w:p w14:paraId="74149093" w14:textId="77777777" w:rsidR="00AC375F" w:rsidRPr="00AC375F" w:rsidRDefault="00AC375F" w:rsidP="00AC375F">
            <w:pPr>
              <w:rPr>
                <w:b/>
                <w:bCs/>
                <w:sz w:val="18"/>
                <w:szCs w:val="18"/>
              </w:rPr>
            </w:pPr>
          </w:p>
        </w:tc>
        <w:tc>
          <w:tcPr>
            <w:tcW w:w="1417" w:type="dxa"/>
            <w:shd w:val="clear" w:color="auto" w:fill="auto"/>
            <w:noWrap/>
            <w:vAlign w:val="center"/>
          </w:tcPr>
          <w:p w14:paraId="53FB543B"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auto"/>
            <w:noWrap/>
            <w:vAlign w:val="center"/>
          </w:tcPr>
          <w:p w14:paraId="6BDB4CF3" w14:textId="77777777" w:rsidR="00AC375F" w:rsidRPr="00AC375F" w:rsidRDefault="00AC375F" w:rsidP="00AC375F">
            <w:pPr>
              <w:jc w:val="center"/>
              <w:rPr>
                <w:sz w:val="18"/>
                <w:szCs w:val="18"/>
              </w:rPr>
            </w:pPr>
            <w:r w:rsidRPr="00AC375F">
              <w:rPr>
                <w:sz w:val="18"/>
                <w:szCs w:val="18"/>
              </w:rPr>
              <w:t>2</w:t>
            </w:r>
          </w:p>
        </w:tc>
        <w:tc>
          <w:tcPr>
            <w:tcW w:w="993" w:type="dxa"/>
            <w:shd w:val="clear" w:color="auto" w:fill="auto"/>
            <w:noWrap/>
            <w:vAlign w:val="center"/>
          </w:tcPr>
          <w:p w14:paraId="5723E73C" w14:textId="77777777" w:rsidR="00AC375F" w:rsidRPr="00AC375F" w:rsidRDefault="00AC375F" w:rsidP="00AC375F">
            <w:pPr>
              <w:jc w:val="center"/>
              <w:rPr>
                <w:rFonts w:cstheme="minorHAnsi"/>
                <w:iCs/>
                <w:sz w:val="18"/>
                <w:szCs w:val="18"/>
              </w:rPr>
            </w:pPr>
            <w:r w:rsidRPr="00AC375F">
              <w:rPr>
                <w:rFonts w:cstheme="minorHAnsi"/>
                <w:iCs/>
                <w:sz w:val="18"/>
                <w:szCs w:val="18"/>
              </w:rPr>
              <w:t>travanj</w:t>
            </w:r>
          </w:p>
        </w:tc>
        <w:tc>
          <w:tcPr>
            <w:tcW w:w="1563" w:type="dxa"/>
            <w:shd w:val="clear" w:color="auto" w:fill="auto"/>
            <w:noWrap/>
            <w:vAlign w:val="center"/>
          </w:tcPr>
          <w:p w14:paraId="176AC470" w14:textId="77777777" w:rsidR="00AC375F" w:rsidRPr="00AC375F" w:rsidRDefault="00AC375F" w:rsidP="00AC375F">
            <w:pPr>
              <w:jc w:val="center"/>
              <w:rPr>
                <w:sz w:val="18"/>
                <w:szCs w:val="18"/>
              </w:rPr>
            </w:pPr>
            <w:r w:rsidRPr="00AC375F">
              <w:rPr>
                <w:sz w:val="18"/>
                <w:szCs w:val="18"/>
              </w:rPr>
              <w:t>0,25, 0,25</w:t>
            </w:r>
          </w:p>
        </w:tc>
      </w:tr>
      <w:tr w:rsidR="00AC375F" w:rsidRPr="00AC375F" w14:paraId="345B7F4D" w14:textId="77777777" w:rsidTr="00991955">
        <w:trPr>
          <w:trHeight w:val="237"/>
        </w:trPr>
        <w:tc>
          <w:tcPr>
            <w:tcW w:w="4390" w:type="dxa"/>
            <w:shd w:val="clear" w:color="auto" w:fill="auto"/>
            <w:noWrap/>
            <w:vAlign w:val="center"/>
          </w:tcPr>
          <w:p w14:paraId="4790A33B" w14:textId="77777777" w:rsidR="00AC375F" w:rsidRPr="00AC375F" w:rsidRDefault="00AC375F" w:rsidP="00AC375F">
            <w:pPr>
              <w:rPr>
                <w:b/>
                <w:bCs/>
                <w:sz w:val="18"/>
                <w:szCs w:val="18"/>
              </w:rPr>
            </w:pPr>
          </w:p>
        </w:tc>
        <w:tc>
          <w:tcPr>
            <w:tcW w:w="1417" w:type="dxa"/>
            <w:shd w:val="clear" w:color="auto" w:fill="auto"/>
            <w:noWrap/>
            <w:vAlign w:val="center"/>
          </w:tcPr>
          <w:p w14:paraId="12D2E5BA"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auto"/>
            <w:noWrap/>
            <w:vAlign w:val="center"/>
          </w:tcPr>
          <w:p w14:paraId="3FC3DB80" w14:textId="77777777" w:rsidR="00AC375F" w:rsidRPr="00AC375F" w:rsidRDefault="00AC375F" w:rsidP="00AC375F">
            <w:pPr>
              <w:jc w:val="center"/>
              <w:rPr>
                <w:sz w:val="18"/>
                <w:szCs w:val="18"/>
              </w:rPr>
            </w:pPr>
            <w:r w:rsidRPr="00AC375F">
              <w:rPr>
                <w:sz w:val="18"/>
                <w:szCs w:val="18"/>
              </w:rPr>
              <w:t>2</w:t>
            </w:r>
          </w:p>
        </w:tc>
        <w:tc>
          <w:tcPr>
            <w:tcW w:w="993" w:type="dxa"/>
            <w:shd w:val="clear" w:color="auto" w:fill="auto"/>
            <w:noWrap/>
            <w:vAlign w:val="center"/>
          </w:tcPr>
          <w:p w14:paraId="57C8898D" w14:textId="77777777" w:rsidR="00AC375F" w:rsidRPr="00AC375F" w:rsidRDefault="00AC375F" w:rsidP="00AC375F">
            <w:pPr>
              <w:jc w:val="center"/>
              <w:rPr>
                <w:rFonts w:cstheme="minorHAnsi"/>
                <w:iCs/>
                <w:sz w:val="18"/>
                <w:szCs w:val="18"/>
              </w:rPr>
            </w:pPr>
            <w:r w:rsidRPr="00AC375F">
              <w:rPr>
                <w:rFonts w:cstheme="minorHAnsi"/>
                <w:iCs/>
                <w:sz w:val="18"/>
                <w:szCs w:val="18"/>
              </w:rPr>
              <w:t>rujan</w:t>
            </w:r>
          </w:p>
        </w:tc>
        <w:tc>
          <w:tcPr>
            <w:tcW w:w="1563" w:type="dxa"/>
            <w:shd w:val="clear" w:color="auto" w:fill="auto"/>
            <w:noWrap/>
            <w:vAlign w:val="center"/>
          </w:tcPr>
          <w:p w14:paraId="4351CE13" w14:textId="77777777" w:rsidR="00AC375F" w:rsidRPr="00AC375F" w:rsidRDefault="00AC375F" w:rsidP="00AC375F">
            <w:pPr>
              <w:jc w:val="center"/>
              <w:rPr>
                <w:sz w:val="18"/>
                <w:szCs w:val="18"/>
              </w:rPr>
            </w:pPr>
            <w:r w:rsidRPr="00AC375F">
              <w:rPr>
                <w:sz w:val="18"/>
                <w:szCs w:val="18"/>
              </w:rPr>
              <w:t>0,25; 0,25</w:t>
            </w:r>
          </w:p>
        </w:tc>
      </w:tr>
      <w:tr w:rsidR="00AC375F" w:rsidRPr="00AC375F" w14:paraId="62EA031E" w14:textId="77777777" w:rsidTr="00991955">
        <w:trPr>
          <w:trHeight w:val="237"/>
        </w:trPr>
        <w:tc>
          <w:tcPr>
            <w:tcW w:w="4390" w:type="dxa"/>
            <w:shd w:val="clear" w:color="auto" w:fill="auto"/>
            <w:noWrap/>
            <w:vAlign w:val="center"/>
          </w:tcPr>
          <w:p w14:paraId="352F82FE" w14:textId="77777777" w:rsidR="00AC375F" w:rsidRPr="00AC375F" w:rsidRDefault="00AC375F" w:rsidP="00AC375F">
            <w:pPr>
              <w:rPr>
                <w:b/>
                <w:bCs/>
                <w:sz w:val="18"/>
                <w:szCs w:val="18"/>
              </w:rPr>
            </w:pPr>
          </w:p>
        </w:tc>
        <w:tc>
          <w:tcPr>
            <w:tcW w:w="1417" w:type="dxa"/>
            <w:shd w:val="clear" w:color="auto" w:fill="auto"/>
            <w:noWrap/>
            <w:vAlign w:val="center"/>
          </w:tcPr>
          <w:p w14:paraId="7AC111D4"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auto"/>
            <w:noWrap/>
            <w:vAlign w:val="center"/>
          </w:tcPr>
          <w:p w14:paraId="5BD5DDC3" w14:textId="77777777" w:rsidR="00AC375F" w:rsidRPr="00AC375F" w:rsidRDefault="00AC375F" w:rsidP="00AC375F">
            <w:pPr>
              <w:jc w:val="center"/>
              <w:rPr>
                <w:sz w:val="18"/>
                <w:szCs w:val="18"/>
              </w:rPr>
            </w:pPr>
            <w:r w:rsidRPr="00AC375F">
              <w:rPr>
                <w:sz w:val="18"/>
                <w:szCs w:val="18"/>
              </w:rPr>
              <w:t>2</w:t>
            </w:r>
          </w:p>
        </w:tc>
        <w:tc>
          <w:tcPr>
            <w:tcW w:w="993" w:type="dxa"/>
            <w:shd w:val="clear" w:color="auto" w:fill="auto"/>
            <w:noWrap/>
            <w:vAlign w:val="center"/>
          </w:tcPr>
          <w:p w14:paraId="36A96379" w14:textId="77777777" w:rsidR="00AC375F" w:rsidRPr="00AC375F" w:rsidRDefault="00AC375F" w:rsidP="00AC375F">
            <w:pPr>
              <w:jc w:val="center"/>
              <w:rPr>
                <w:rFonts w:cstheme="minorHAnsi"/>
                <w:iCs/>
                <w:sz w:val="18"/>
                <w:szCs w:val="18"/>
              </w:rPr>
            </w:pPr>
            <w:r w:rsidRPr="00AC375F">
              <w:rPr>
                <w:rFonts w:cstheme="minorHAnsi"/>
                <w:iCs/>
                <w:sz w:val="18"/>
                <w:szCs w:val="18"/>
              </w:rPr>
              <w:t>studeni</w:t>
            </w:r>
          </w:p>
        </w:tc>
        <w:tc>
          <w:tcPr>
            <w:tcW w:w="1563" w:type="dxa"/>
            <w:shd w:val="clear" w:color="auto" w:fill="auto"/>
            <w:noWrap/>
            <w:vAlign w:val="center"/>
          </w:tcPr>
          <w:p w14:paraId="1B59E66F" w14:textId="77777777" w:rsidR="00AC375F" w:rsidRPr="00AC375F" w:rsidRDefault="00AC375F" w:rsidP="00AC375F">
            <w:pPr>
              <w:jc w:val="center"/>
              <w:rPr>
                <w:sz w:val="18"/>
                <w:szCs w:val="18"/>
              </w:rPr>
            </w:pPr>
            <w:r w:rsidRPr="00AC375F">
              <w:rPr>
                <w:sz w:val="18"/>
                <w:szCs w:val="18"/>
              </w:rPr>
              <w:t>0,25; 0,25</w:t>
            </w:r>
          </w:p>
        </w:tc>
      </w:tr>
      <w:tr w:rsidR="00AC375F" w:rsidRPr="00AC375F" w14:paraId="0B2397D5" w14:textId="77777777" w:rsidTr="00991955">
        <w:trPr>
          <w:trHeight w:val="237"/>
        </w:trPr>
        <w:tc>
          <w:tcPr>
            <w:tcW w:w="4390" w:type="dxa"/>
            <w:shd w:val="clear" w:color="auto" w:fill="auto"/>
            <w:noWrap/>
            <w:vAlign w:val="center"/>
          </w:tcPr>
          <w:p w14:paraId="46868B16" w14:textId="77777777" w:rsidR="00AC375F" w:rsidRPr="00AC375F" w:rsidRDefault="00AC375F" w:rsidP="00AC375F">
            <w:pPr>
              <w:rPr>
                <w:b/>
                <w:bCs/>
                <w:sz w:val="18"/>
                <w:szCs w:val="18"/>
              </w:rPr>
            </w:pPr>
          </w:p>
        </w:tc>
        <w:tc>
          <w:tcPr>
            <w:tcW w:w="1417" w:type="dxa"/>
            <w:shd w:val="clear" w:color="auto" w:fill="auto"/>
            <w:noWrap/>
            <w:vAlign w:val="center"/>
          </w:tcPr>
          <w:p w14:paraId="3292A821" w14:textId="77777777" w:rsidR="00AC375F" w:rsidRPr="00AC375F" w:rsidRDefault="00AC375F" w:rsidP="00AC375F">
            <w:pPr>
              <w:jc w:val="center"/>
              <w:rPr>
                <w:sz w:val="18"/>
                <w:szCs w:val="18"/>
              </w:rPr>
            </w:pPr>
          </w:p>
        </w:tc>
        <w:tc>
          <w:tcPr>
            <w:tcW w:w="992" w:type="dxa"/>
            <w:shd w:val="clear" w:color="auto" w:fill="auto"/>
            <w:noWrap/>
            <w:vAlign w:val="center"/>
          </w:tcPr>
          <w:p w14:paraId="3F48CB5C" w14:textId="77777777" w:rsidR="00AC375F" w:rsidRPr="00AC375F" w:rsidRDefault="00AC375F" w:rsidP="00AC375F">
            <w:pPr>
              <w:jc w:val="center"/>
              <w:rPr>
                <w:sz w:val="18"/>
                <w:szCs w:val="18"/>
              </w:rPr>
            </w:pPr>
          </w:p>
        </w:tc>
        <w:tc>
          <w:tcPr>
            <w:tcW w:w="993" w:type="dxa"/>
            <w:shd w:val="clear" w:color="auto" w:fill="auto"/>
            <w:noWrap/>
            <w:vAlign w:val="center"/>
          </w:tcPr>
          <w:p w14:paraId="66AE6C4D" w14:textId="77777777" w:rsidR="00AC375F" w:rsidRPr="00AC375F" w:rsidRDefault="00AC375F" w:rsidP="00AC375F">
            <w:pPr>
              <w:jc w:val="center"/>
              <w:rPr>
                <w:rFonts w:cstheme="minorHAnsi"/>
                <w:iCs/>
                <w:sz w:val="18"/>
                <w:szCs w:val="18"/>
              </w:rPr>
            </w:pPr>
          </w:p>
        </w:tc>
        <w:tc>
          <w:tcPr>
            <w:tcW w:w="1563" w:type="dxa"/>
            <w:shd w:val="clear" w:color="auto" w:fill="auto"/>
            <w:noWrap/>
            <w:vAlign w:val="center"/>
          </w:tcPr>
          <w:p w14:paraId="4C7DA4AE" w14:textId="77777777" w:rsidR="00AC375F" w:rsidRPr="00AC375F" w:rsidRDefault="00AC375F" w:rsidP="00AC375F">
            <w:pPr>
              <w:jc w:val="center"/>
              <w:rPr>
                <w:sz w:val="18"/>
                <w:szCs w:val="18"/>
              </w:rPr>
            </w:pPr>
          </w:p>
        </w:tc>
      </w:tr>
      <w:tr w:rsidR="00AC375F" w:rsidRPr="00AC375F" w14:paraId="2ED6B1AD" w14:textId="77777777" w:rsidTr="00991955">
        <w:trPr>
          <w:trHeight w:val="237"/>
        </w:trPr>
        <w:tc>
          <w:tcPr>
            <w:tcW w:w="4390" w:type="dxa"/>
            <w:shd w:val="clear" w:color="auto" w:fill="auto"/>
            <w:noWrap/>
            <w:vAlign w:val="center"/>
          </w:tcPr>
          <w:p w14:paraId="6F847A14" w14:textId="77777777" w:rsidR="00AC375F" w:rsidRPr="00AC375F" w:rsidRDefault="00AC375F" w:rsidP="00AC375F">
            <w:pPr>
              <w:rPr>
                <w:b/>
                <w:bCs/>
                <w:sz w:val="18"/>
                <w:szCs w:val="18"/>
              </w:rPr>
            </w:pPr>
            <w:r w:rsidRPr="00AC375F">
              <w:rPr>
                <w:b/>
                <w:bCs/>
                <w:sz w:val="18"/>
                <w:szCs w:val="18"/>
              </w:rPr>
              <w:t xml:space="preserve">CMDh </w:t>
            </w:r>
            <w:r w:rsidRPr="00AC375F">
              <w:rPr>
                <w:rFonts w:eastAsia="Times New Roman" w:cstheme="minorHAnsi"/>
                <w:b/>
                <w:iCs/>
                <w:sz w:val="18"/>
                <w:szCs w:val="18"/>
              </w:rPr>
              <w:t>Projekt harmonizacije plana upravljanja rizicima (HaRP)</w:t>
            </w:r>
          </w:p>
        </w:tc>
        <w:tc>
          <w:tcPr>
            <w:tcW w:w="1417" w:type="dxa"/>
            <w:shd w:val="clear" w:color="auto" w:fill="auto"/>
            <w:noWrap/>
            <w:vAlign w:val="center"/>
          </w:tcPr>
          <w:p w14:paraId="484C37D8"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auto"/>
            <w:noWrap/>
            <w:vAlign w:val="center"/>
          </w:tcPr>
          <w:p w14:paraId="2F072692" w14:textId="77777777" w:rsidR="00AC375F" w:rsidRPr="00AC375F" w:rsidRDefault="00AC375F" w:rsidP="00AC375F">
            <w:pPr>
              <w:jc w:val="center"/>
              <w:rPr>
                <w:sz w:val="18"/>
                <w:szCs w:val="18"/>
              </w:rPr>
            </w:pPr>
            <w:r w:rsidRPr="00AC375F">
              <w:rPr>
                <w:sz w:val="18"/>
                <w:szCs w:val="18"/>
              </w:rPr>
              <w:t>1</w:t>
            </w:r>
          </w:p>
        </w:tc>
        <w:tc>
          <w:tcPr>
            <w:tcW w:w="993" w:type="dxa"/>
            <w:shd w:val="clear" w:color="auto" w:fill="auto"/>
            <w:noWrap/>
            <w:vAlign w:val="center"/>
          </w:tcPr>
          <w:p w14:paraId="405F855B" w14:textId="77777777" w:rsidR="00AC375F" w:rsidRPr="00AC375F" w:rsidRDefault="00AC375F" w:rsidP="00AC375F">
            <w:pPr>
              <w:jc w:val="center"/>
              <w:rPr>
                <w:sz w:val="18"/>
                <w:szCs w:val="18"/>
              </w:rPr>
            </w:pPr>
            <w:r w:rsidRPr="00AC375F">
              <w:rPr>
                <w:sz w:val="18"/>
                <w:szCs w:val="18"/>
              </w:rPr>
              <w:t>siječanj</w:t>
            </w:r>
          </w:p>
        </w:tc>
        <w:tc>
          <w:tcPr>
            <w:tcW w:w="1563" w:type="dxa"/>
            <w:shd w:val="clear" w:color="auto" w:fill="auto"/>
            <w:noWrap/>
            <w:vAlign w:val="center"/>
          </w:tcPr>
          <w:p w14:paraId="2B8BD77D" w14:textId="77777777" w:rsidR="00AC375F" w:rsidRPr="00AC375F" w:rsidRDefault="00AC375F" w:rsidP="00AC375F">
            <w:pPr>
              <w:jc w:val="center"/>
              <w:rPr>
                <w:sz w:val="18"/>
                <w:szCs w:val="18"/>
              </w:rPr>
            </w:pPr>
            <w:r w:rsidRPr="00AC375F">
              <w:rPr>
                <w:sz w:val="18"/>
                <w:szCs w:val="18"/>
              </w:rPr>
              <w:t>0,25</w:t>
            </w:r>
          </w:p>
        </w:tc>
      </w:tr>
      <w:tr w:rsidR="00AC375F" w:rsidRPr="00AC375F" w14:paraId="61CE412B" w14:textId="77777777" w:rsidTr="00991955">
        <w:trPr>
          <w:trHeight w:val="237"/>
        </w:trPr>
        <w:tc>
          <w:tcPr>
            <w:tcW w:w="4390" w:type="dxa"/>
            <w:shd w:val="clear" w:color="auto" w:fill="auto"/>
            <w:noWrap/>
            <w:vAlign w:val="center"/>
          </w:tcPr>
          <w:p w14:paraId="7D6AF676" w14:textId="77777777" w:rsidR="00AC375F" w:rsidRPr="00AC375F" w:rsidRDefault="00AC375F" w:rsidP="00AC375F">
            <w:pPr>
              <w:rPr>
                <w:b/>
                <w:bCs/>
                <w:sz w:val="18"/>
                <w:szCs w:val="18"/>
              </w:rPr>
            </w:pPr>
          </w:p>
        </w:tc>
        <w:tc>
          <w:tcPr>
            <w:tcW w:w="1417" w:type="dxa"/>
            <w:shd w:val="clear" w:color="auto" w:fill="auto"/>
            <w:noWrap/>
            <w:vAlign w:val="center"/>
          </w:tcPr>
          <w:p w14:paraId="0B7E0B0D"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auto"/>
            <w:noWrap/>
            <w:vAlign w:val="center"/>
          </w:tcPr>
          <w:p w14:paraId="7D7AA0B3" w14:textId="77777777" w:rsidR="00AC375F" w:rsidRPr="00AC375F" w:rsidRDefault="00AC375F" w:rsidP="00AC375F">
            <w:pPr>
              <w:jc w:val="center"/>
              <w:rPr>
                <w:sz w:val="18"/>
                <w:szCs w:val="18"/>
              </w:rPr>
            </w:pPr>
            <w:r w:rsidRPr="00AC375F">
              <w:rPr>
                <w:sz w:val="18"/>
                <w:szCs w:val="18"/>
              </w:rPr>
              <w:t>1</w:t>
            </w:r>
          </w:p>
        </w:tc>
        <w:tc>
          <w:tcPr>
            <w:tcW w:w="993" w:type="dxa"/>
            <w:shd w:val="clear" w:color="auto" w:fill="auto"/>
            <w:noWrap/>
            <w:vAlign w:val="center"/>
          </w:tcPr>
          <w:p w14:paraId="6473EEF5" w14:textId="77777777" w:rsidR="00AC375F" w:rsidRPr="00AC375F" w:rsidRDefault="00AC375F" w:rsidP="00AC375F">
            <w:pPr>
              <w:jc w:val="center"/>
              <w:rPr>
                <w:sz w:val="18"/>
                <w:szCs w:val="18"/>
              </w:rPr>
            </w:pPr>
            <w:r w:rsidRPr="00AC375F">
              <w:rPr>
                <w:sz w:val="18"/>
                <w:szCs w:val="18"/>
              </w:rPr>
              <w:t>ožujak</w:t>
            </w:r>
          </w:p>
        </w:tc>
        <w:tc>
          <w:tcPr>
            <w:tcW w:w="1563" w:type="dxa"/>
            <w:shd w:val="clear" w:color="auto" w:fill="auto"/>
            <w:noWrap/>
            <w:vAlign w:val="center"/>
          </w:tcPr>
          <w:p w14:paraId="4EA317A0" w14:textId="77777777" w:rsidR="00AC375F" w:rsidRPr="00AC375F" w:rsidRDefault="00AC375F" w:rsidP="00AC375F">
            <w:pPr>
              <w:jc w:val="center"/>
              <w:rPr>
                <w:sz w:val="18"/>
                <w:szCs w:val="18"/>
              </w:rPr>
            </w:pPr>
            <w:r w:rsidRPr="00AC375F">
              <w:rPr>
                <w:sz w:val="18"/>
                <w:szCs w:val="18"/>
              </w:rPr>
              <w:t>0,25</w:t>
            </w:r>
          </w:p>
        </w:tc>
      </w:tr>
      <w:tr w:rsidR="00AC375F" w:rsidRPr="00AC375F" w14:paraId="4E23B3E6" w14:textId="77777777" w:rsidTr="00991955">
        <w:trPr>
          <w:trHeight w:val="237"/>
        </w:trPr>
        <w:tc>
          <w:tcPr>
            <w:tcW w:w="4390" w:type="dxa"/>
            <w:shd w:val="clear" w:color="auto" w:fill="auto"/>
            <w:noWrap/>
            <w:vAlign w:val="center"/>
          </w:tcPr>
          <w:p w14:paraId="40A70BFA" w14:textId="77777777" w:rsidR="00AC375F" w:rsidRPr="00AC375F" w:rsidRDefault="00AC375F" w:rsidP="00AC375F">
            <w:pPr>
              <w:rPr>
                <w:b/>
                <w:bCs/>
                <w:sz w:val="18"/>
                <w:szCs w:val="18"/>
              </w:rPr>
            </w:pPr>
          </w:p>
        </w:tc>
        <w:tc>
          <w:tcPr>
            <w:tcW w:w="1417" w:type="dxa"/>
            <w:shd w:val="clear" w:color="auto" w:fill="auto"/>
            <w:noWrap/>
            <w:vAlign w:val="center"/>
          </w:tcPr>
          <w:p w14:paraId="63834B3D"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auto"/>
            <w:noWrap/>
            <w:vAlign w:val="center"/>
          </w:tcPr>
          <w:p w14:paraId="3EEA3FB2" w14:textId="77777777" w:rsidR="00AC375F" w:rsidRPr="00AC375F" w:rsidRDefault="00AC375F" w:rsidP="00AC375F">
            <w:pPr>
              <w:jc w:val="center"/>
              <w:rPr>
                <w:sz w:val="18"/>
                <w:szCs w:val="18"/>
              </w:rPr>
            </w:pPr>
            <w:r w:rsidRPr="00AC375F">
              <w:rPr>
                <w:sz w:val="18"/>
                <w:szCs w:val="18"/>
              </w:rPr>
              <w:t>1</w:t>
            </w:r>
          </w:p>
        </w:tc>
        <w:tc>
          <w:tcPr>
            <w:tcW w:w="993" w:type="dxa"/>
            <w:shd w:val="clear" w:color="auto" w:fill="auto"/>
            <w:noWrap/>
            <w:vAlign w:val="center"/>
          </w:tcPr>
          <w:p w14:paraId="3B9A7604" w14:textId="77777777" w:rsidR="00AC375F" w:rsidRPr="00AC375F" w:rsidRDefault="00AC375F" w:rsidP="00AC375F">
            <w:pPr>
              <w:jc w:val="center"/>
              <w:rPr>
                <w:sz w:val="18"/>
                <w:szCs w:val="18"/>
              </w:rPr>
            </w:pPr>
            <w:r w:rsidRPr="00AC375F">
              <w:rPr>
                <w:sz w:val="18"/>
                <w:szCs w:val="18"/>
              </w:rPr>
              <w:t>svibanj</w:t>
            </w:r>
          </w:p>
        </w:tc>
        <w:tc>
          <w:tcPr>
            <w:tcW w:w="1563" w:type="dxa"/>
            <w:shd w:val="clear" w:color="auto" w:fill="auto"/>
            <w:noWrap/>
            <w:vAlign w:val="center"/>
          </w:tcPr>
          <w:p w14:paraId="2FAE55F0" w14:textId="77777777" w:rsidR="00AC375F" w:rsidRPr="00AC375F" w:rsidRDefault="00AC375F" w:rsidP="00AC375F">
            <w:pPr>
              <w:jc w:val="center"/>
              <w:rPr>
                <w:sz w:val="18"/>
                <w:szCs w:val="18"/>
              </w:rPr>
            </w:pPr>
            <w:r w:rsidRPr="00AC375F">
              <w:rPr>
                <w:sz w:val="18"/>
                <w:szCs w:val="18"/>
              </w:rPr>
              <w:t>0,25</w:t>
            </w:r>
          </w:p>
        </w:tc>
      </w:tr>
      <w:tr w:rsidR="00AC375F" w:rsidRPr="00AC375F" w14:paraId="649EDECA" w14:textId="77777777" w:rsidTr="00991955">
        <w:trPr>
          <w:trHeight w:val="237"/>
        </w:trPr>
        <w:tc>
          <w:tcPr>
            <w:tcW w:w="4390" w:type="dxa"/>
            <w:shd w:val="clear" w:color="auto" w:fill="auto"/>
            <w:noWrap/>
            <w:vAlign w:val="center"/>
          </w:tcPr>
          <w:p w14:paraId="4AB964FB" w14:textId="77777777" w:rsidR="00AC375F" w:rsidRPr="00AC375F" w:rsidRDefault="00AC375F" w:rsidP="00AC375F">
            <w:pPr>
              <w:rPr>
                <w:b/>
                <w:bCs/>
                <w:sz w:val="18"/>
                <w:szCs w:val="18"/>
              </w:rPr>
            </w:pPr>
          </w:p>
        </w:tc>
        <w:tc>
          <w:tcPr>
            <w:tcW w:w="1417" w:type="dxa"/>
            <w:shd w:val="clear" w:color="auto" w:fill="auto"/>
            <w:noWrap/>
            <w:vAlign w:val="center"/>
          </w:tcPr>
          <w:p w14:paraId="4563D6A3"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auto"/>
            <w:noWrap/>
            <w:vAlign w:val="center"/>
          </w:tcPr>
          <w:p w14:paraId="222E02CF" w14:textId="77777777" w:rsidR="00AC375F" w:rsidRPr="00AC375F" w:rsidRDefault="00AC375F" w:rsidP="00AC375F">
            <w:pPr>
              <w:jc w:val="center"/>
              <w:rPr>
                <w:sz w:val="18"/>
                <w:szCs w:val="18"/>
              </w:rPr>
            </w:pPr>
            <w:r w:rsidRPr="00AC375F">
              <w:rPr>
                <w:sz w:val="18"/>
                <w:szCs w:val="18"/>
              </w:rPr>
              <w:t>1</w:t>
            </w:r>
          </w:p>
        </w:tc>
        <w:tc>
          <w:tcPr>
            <w:tcW w:w="993" w:type="dxa"/>
            <w:shd w:val="clear" w:color="auto" w:fill="auto"/>
            <w:noWrap/>
            <w:vAlign w:val="center"/>
          </w:tcPr>
          <w:p w14:paraId="5A2E7FA3" w14:textId="77777777" w:rsidR="00AC375F" w:rsidRPr="00AC375F" w:rsidRDefault="00AC375F" w:rsidP="00AC375F">
            <w:pPr>
              <w:jc w:val="center"/>
              <w:rPr>
                <w:sz w:val="18"/>
                <w:szCs w:val="18"/>
              </w:rPr>
            </w:pPr>
            <w:r w:rsidRPr="00AC375F">
              <w:rPr>
                <w:sz w:val="18"/>
                <w:szCs w:val="18"/>
              </w:rPr>
              <w:t>rujan</w:t>
            </w:r>
          </w:p>
        </w:tc>
        <w:tc>
          <w:tcPr>
            <w:tcW w:w="1563" w:type="dxa"/>
            <w:shd w:val="clear" w:color="auto" w:fill="auto"/>
            <w:noWrap/>
            <w:vAlign w:val="center"/>
          </w:tcPr>
          <w:p w14:paraId="44E37225" w14:textId="77777777" w:rsidR="00AC375F" w:rsidRPr="00AC375F" w:rsidRDefault="00AC375F" w:rsidP="00AC375F">
            <w:pPr>
              <w:jc w:val="center"/>
              <w:rPr>
                <w:sz w:val="18"/>
                <w:szCs w:val="18"/>
              </w:rPr>
            </w:pPr>
            <w:r w:rsidRPr="00AC375F">
              <w:rPr>
                <w:sz w:val="18"/>
                <w:szCs w:val="18"/>
              </w:rPr>
              <w:t>0,25</w:t>
            </w:r>
          </w:p>
        </w:tc>
      </w:tr>
      <w:tr w:rsidR="00AC375F" w:rsidRPr="00AC375F" w14:paraId="1DEF2640" w14:textId="77777777" w:rsidTr="00991955">
        <w:trPr>
          <w:trHeight w:val="237"/>
        </w:trPr>
        <w:tc>
          <w:tcPr>
            <w:tcW w:w="4390" w:type="dxa"/>
            <w:shd w:val="clear" w:color="auto" w:fill="auto"/>
            <w:noWrap/>
            <w:vAlign w:val="center"/>
          </w:tcPr>
          <w:p w14:paraId="3DD5D40F" w14:textId="77777777" w:rsidR="00AC375F" w:rsidRPr="00AC375F" w:rsidRDefault="00AC375F" w:rsidP="00AC375F">
            <w:pPr>
              <w:rPr>
                <w:b/>
                <w:bCs/>
                <w:sz w:val="18"/>
                <w:szCs w:val="18"/>
              </w:rPr>
            </w:pPr>
          </w:p>
        </w:tc>
        <w:tc>
          <w:tcPr>
            <w:tcW w:w="1417" w:type="dxa"/>
            <w:shd w:val="clear" w:color="auto" w:fill="auto"/>
            <w:noWrap/>
            <w:vAlign w:val="center"/>
          </w:tcPr>
          <w:p w14:paraId="4F3513C6" w14:textId="77777777" w:rsidR="00AC375F" w:rsidRPr="00AC375F" w:rsidRDefault="00AC375F" w:rsidP="00AC375F">
            <w:pPr>
              <w:jc w:val="center"/>
              <w:rPr>
                <w:sz w:val="18"/>
                <w:szCs w:val="18"/>
              </w:rPr>
            </w:pPr>
          </w:p>
        </w:tc>
        <w:tc>
          <w:tcPr>
            <w:tcW w:w="992" w:type="dxa"/>
            <w:shd w:val="clear" w:color="auto" w:fill="auto"/>
            <w:noWrap/>
            <w:vAlign w:val="center"/>
          </w:tcPr>
          <w:p w14:paraId="424461FB" w14:textId="77777777" w:rsidR="00AC375F" w:rsidRPr="00AC375F" w:rsidRDefault="00AC375F" w:rsidP="00AC375F">
            <w:pPr>
              <w:jc w:val="center"/>
              <w:rPr>
                <w:sz w:val="18"/>
                <w:szCs w:val="18"/>
              </w:rPr>
            </w:pPr>
          </w:p>
        </w:tc>
        <w:tc>
          <w:tcPr>
            <w:tcW w:w="993" w:type="dxa"/>
            <w:shd w:val="clear" w:color="auto" w:fill="auto"/>
            <w:noWrap/>
            <w:vAlign w:val="center"/>
          </w:tcPr>
          <w:p w14:paraId="546FA5DC" w14:textId="77777777" w:rsidR="00AC375F" w:rsidRPr="00AC375F" w:rsidRDefault="00AC375F" w:rsidP="00AC375F">
            <w:pPr>
              <w:jc w:val="center"/>
              <w:rPr>
                <w:sz w:val="18"/>
                <w:szCs w:val="18"/>
              </w:rPr>
            </w:pPr>
          </w:p>
        </w:tc>
        <w:tc>
          <w:tcPr>
            <w:tcW w:w="1563" w:type="dxa"/>
            <w:shd w:val="clear" w:color="auto" w:fill="auto"/>
            <w:noWrap/>
            <w:vAlign w:val="center"/>
          </w:tcPr>
          <w:p w14:paraId="5A3AD44B" w14:textId="77777777" w:rsidR="00AC375F" w:rsidRPr="00AC375F" w:rsidRDefault="00AC375F" w:rsidP="00AC375F">
            <w:pPr>
              <w:jc w:val="center"/>
              <w:rPr>
                <w:sz w:val="18"/>
                <w:szCs w:val="18"/>
              </w:rPr>
            </w:pPr>
          </w:p>
        </w:tc>
      </w:tr>
      <w:tr w:rsidR="00AC375F" w:rsidRPr="00AC375F" w14:paraId="224EC48F" w14:textId="77777777" w:rsidTr="00991955">
        <w:trPr>
          <w:trHeight w:val="237"/>
        </w:trPr>
        <w:tc>
          <w:tcPr>
            <w:tcW w:w="4390" w:type="dxa"/>
            <w:shd w:val="clear" w:color="auto" w:fill="auto"/>
            <w:noWrap/>
            <w:vAlign w:val="center"/>
          </w:tcPr>
          <w:p w14:paraId="7A9B3964" w14:textId="77777777" w:rsidR="00AC375F" w:rsidRPr="00AC375F" w:rsidRDefault="00AC375F" w:rsidP="00AC375F">
            <w:pPr>
              <w:rPr>
                <w:b/>
                <w:bCs/>
                <w:sz w:val="18"/>
                <w:szCs w:val="18"/>
              </w:rPr>
            </w:pPr>
            <w:r w:rsidRPr="00AC375F">
              <w:rPr>
                <w:b/>
                <w:bCs/>
                <w:sz w:val="18"/>
                <w:szCs w:val="18"/>
              </w:rPr>
              <w:t xml:space="preserve">CMDh </w:t>
            </w:r>
            <w:r w:rsidRPr="00AC375F">
              <w:rPr>
                <w:rFonts w:cstheme="minorHAnsi"/>
                <w:b/>
                <w:iCs/>
                <w:sz w:val="18"/>
                <w:szCs w:val="18"/>
              </w:rPr>
              <w:t>Pharmacovigilance Work Sharing Procedures Working Party (PhV WSP WP)</w:t>
            </w:r>
          </w:p>
        </w:tc>
        <w:tc>
          <w:tcPr>
            <w:tcW w:w="1417" w:type="dxa"/>
            <w:shd w:val="clear" w:color="auto" w:fill="auto"/>
            <w:noWrap/>
            <w:vAlign w:val="center"/>
          </w:tcPr>
          <w:p w14:paraId="2FF5B0DB"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auto"/>
            <w:noWrap/>
            <w:vAlign w:val="center"/>
          </w:tcPr>
          <w:p w14:paraId="7F8EA163" w14:textId="77777777" w:rsidR="00AC375F" w:rsidRPr="00AC375F" w:rsidRDefault="00AC375F" w:rsidP="00AC375F">
            <w:pPr>
              <w:jc w:val="center"/>
              <w:rPr>
                <w:sz w:val="18"/>
                <w:szCs w:val="18"/>
              </w:rPr>
            </w:pPr>
            <w:r w:rsidRPr="00AC375F">
              <w:rPr>
                <w:sz w:val="18"/>
                <w:szCs w:val="18"/>
              </w:rPr>
              <w:t>1</w:t>
            </w:r>
          </w:p>
        </w:tc>
        <w:tc>
          <w:tcPr>
            <w:tcW w:w="993" w:type="dxa"/>
            <w:shd w:val="clear" w:color="auto" w:fill="auto"/>
            <w:noWrap/>
            <w:vAlign w:val="center"/>
          </w:tcPr>
          <w:p w14:paraId="1DD25F62" w14:textId="77777777" w:rsidR="00AC375F" w:rsidRPr="00AC375F" w:rsidRDefault="00AC375F" w:rsidP="00AC375F">
            <w:pPr>
              <w:jc w:val="center"/>
              <w:rPr>
                <w:rFonts w:cstheme="minorHAnsi"/>
                <w:iCs/>
                <w:sz w:val="18"/>
                <w:szCs w:val="18"/>
              </w:rPr>
            </w:pPr>
            <w:r w:rsidRPr="00AC375F">
              <w:rPr>
                <w:rFonts w:cstheme="minorHAnsi"/>
                <w:iCs/>
                <w:sz w:val="18"/>
                <w:szCs w:val="18"/>
              </w:rPr>
              <w:t>siječanj</w:t>
            </w:r>
          </w:p>
        </w:tc>
        <w:tc>
          <w:tcPr>
            <w:tcW w:w="1563" w:type="dxa"/>
            <w:shd w:val="clear" w:color="auto" w:fill="auto"/>
            <w:noWrap/>
            <w:vAlign w:val="center"/>
          </w:tcPr>
          <w:p w14:paraId="2AA1F55D" w14:textId="77777777" w:rsidR="00AC375F" w:rsidRPr="00AC375F" w:rsidRDefault="00AC375F" w:rsidP="00AC375F">
            <w:pPr>
              <w:jc w:val="center"/>
              <w:rPr>
                <w:sz w:val="18"/>
                <w:szCs w:val="18"/>
              </w:rPr>
            </w:pPr>
            <w:r w:rsidRPr="00AC375F">
              <w:rPr>
                <w:sz w:val="18"/>
                <w:szCs w:val="18"/>
              </w:rPr>
              <w:t>0,25</w:t>
            </w:r>
          </w:p>
        </w:tc>
      </w:tr>
      <w:tr w:rsidR="00AC375F" w:rsidRPr="00AC375F" w14:paraId="5DB6055C" w14:textId="77777777" w:rsidTr="00991955">
        <w:trPr>
          <w:trHeight w:val="237"/>
        </w:trPr>
        <w:tc>
          <w:tcPr>
            <w:tcW w:w="4390" w:type="dxa"/>
            <w:shd w:val="clear" w:color="auto" w:fill="auto"/>
            <w:noWrap/>
            <w:vAlign w:val="center"/>
          </w:tcPr>
          <w:p w14:paraId="42D75846" w14:textId="77777777" w:rsidR="00AC375F" w:rsidRPr="00AC375F" w:rsidRDefault="00AC375F" w:rsidP="00AC375F">
            <w:pPr>
              <w:rPr>
                <w:b/>
                <w:bCs/>
                <w:sz w:val="18"/>
                <w:szCs w:val="18"/>
              </w:rPr>
            </w:pPr>
          </w:p>
        </w:tc>
        <w:tc>
          <w:tcPr>
            <w:tcW w:w="1417" w:type="dxa"/>
            <w:shd w:val="clear" w:color="auto" w:fill="auto"/>
            <w:noWrap/>
            <w:vAlign w:val="center"/>
          </w:tcPr>
          <w:p w14:paraId="5A62435B"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auto"/>
            <w:noWrap/>
            <w:vAlign w:val="center"/>
          </w:tcPr>
          <w:p w14:paraId="06BED04E" w14:textId="77777777" w:rsidR="00AC375F" w:rsidRPr="00AC375F" w:rsidRDefault="00AC375F" w:rsidP="00AC375F">
            <w:pPr>
              <w:jc w:val="center"/>
              <w:rPr>
                <w:sz w:val="18"/>
                <w:szCs w:val="18"/>
              </w:rPr>
            </w:pPr>
            <w:r w:rsidRPr="00AC375F">
              <w:rPr>
                <w:sz w:val="18"/>
                <w:szCs w:val="18"/>
              </w:rPr>
              <w:t>1</w:t>
            </w:r>
          </w:p>
        </w:tc>
        <w:tc>
          <w:tcPr>
            <w:tcW w:w="993" w:type="dxa"/>
            <w:shd w:val="clear" w:color="auto" w:fill="auto"/>
            <w:noWrap/>
            <w:vAlign w:val="center"/>
          </w:tcPr>
          <w:p w14:paraId="6149F66F" w14:textId="77777777" w:rsidR="00AC375F" w:rsidRPr="00AC375F" w:rsidRDefault="00AC375F" w:rsidP="00AC375F">
            <w:pPr>
              <w:jc w:val="center"/>
              <w:rPr>
                <w:rFonts w:cstheme="minorHAnsi"/>
                <w:iCs/>
                <w:sz w:val="18"/>
                <w:szCs w:val="18"/>
              </w:rPr>
            </w:pPr>
            <w:r w:rsidRPr="00AC375F">
              <w:rPr>
                <w:rFonts w:cstheme="minorHAnsi"/>
                <w:iCs/>
                <w:sz w:val="18"/>
                <w:szCs w:val="18"/>
              </w:rPr>
              <w:t>ožujak</w:t>
            </w:r>
          </w:p>
        </w:tc>
        <w:tc>
          <w:tcPr>
            <w:tcW w:w="1563" w:type="dxa"/>
            <w:shd w:val="clear" w:color="auto" w:fill="auto"/>
            <w:noWrap/>
            <w:vAlign w:val="center"/>
          </w:tcPr>
          <w:p w14:paraId="6D7FDFB5" w14:textId="77777777" w:rsidR="00AC375F" w:rsidRPr="00AC375F" w:rsidRDefault="00AC375F" w:rsidP="00AC375F">
            <w:pPr>
              <w:jc w:val="center"/>
              <w:rPr>
                <w:sz w:val="18"/>
                <w:szCs w:val="18"/>
              </w:rPr>
            </w:pPr>
            <w:r w:rsidRPr="00AC375F">
              <w:rPr>
                <w:sz w:val="18"/>
                <w:szCs w:val="18"/>
              </w:rPr>
              <w:t>0,25</w:t>
            </w:r>
          </w:p>
        </w:tc>
      </w:tr>
      <w:tr w:rsidR="00AC375F" w:rsidRPr="00AC375F" w14:paraId="4B480529" w14:textId="77777777" w:rsidTr="00991955">
        <w:trPr>
          <w:trHeight w:val="237"/>
        </w:trPr>
        <w:tc>
          <w:tcPr>
            <w:tcW w:w="4390" w:type="dxa"/>
            <w:shd w:val="clear" w:color="auto" w:fill="auto"/>
            <w:noWrap/>
            <w:vAlign w:val="center"/>
          </w:tcPr>
          <w:p w14:paraId="2AF875C3" w14:textId="77777777" w:rsidR="00AC375F" w:rsidRPr="00AC375F" w:rsidRDefault="00AC375F" w:rsidP="00AC375F">
            <w:pPr>
              <w:rPr>
                <w:b/>
                <w:bCs/>
                <w:sz w:val="18"/>
                <w:szCs w:val="18"/>
              </w:rPr>
            </w:pPr>
          </w:p>
        </w:tc>
        <w:tc>
          <w:tcPr>
            <w:tcW w:w="1417" w:type="dxa"/>
            <w:shd w:val="clear" w:color="auto" w:fill="auto"/>
            <w:noWrap/>
            <w:vAlign w:val="center"/>
          </w:tcPr>
          <w:p w14:paraId="18CA7D6E"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auto"/>
            <w:noWrap/>
            <w:vAlign w:val="center"/>
          </w:tcPr>
          <w:p w14:paraId="2B3A924B" w14:textId="77777777" w:rsidR="00AC375F" w:rsidRPr="00AC375F" w:rsidRDefault="00AC375F" w:rsidP="00AC375F">
            <w:pPr>
              <w:jc w:val="center"/>
              <w:rPr>
                <w:sz w:val="18"/>
                <w:szCs w:val="18"/>
              </w:rPr>
            </w:pPr>
            <w:r w:rsidRPr="00AC375F">
              <w:rPr>
                <w:sz w:val="18"/>
                <w:szCs w:val="18"/>
              </w:rPr>
              <w:t>1</w:t>
            </w:r>
          </w:p>
        </w:tc>
        <w:tc>
          <w:tcPr>
            <w:tcW w:w="993" w:type="dxa"/>
            <w:shd w:val="clear" w:color="auto" w:fill="auto"/>
            <w:noWrap/>
            <w:vAlign w:val="center"/>
          </w:tcPr>
          <w:p w14:paraId="010B1CF8" w14:textId="77777777" w:rsidR="00AC375F" w:rsidRPr="00AC375F" w:rsidRDefault="00AC375F" w:rsidP="00AC375F">
            <w:pPr>
              <w:jc w:val="center"/>
              <w:rPr>
                <w:rFonts w:cstheme="minorHAnsi"/>
                <w:iCs/>
                <w:sz w:val="18"/>
                <w:szCs w:val="18"/>
              </w:rPr>
            </w:pPr>
            <w:r w:rsidRPr="00AC375F">
              <w:rPr>
                <w:rFonts w:cstheme="minorHAnsi"/>
                <w:iCs/>
                <w:sz w:val="18"/>
                <w:szCs w:val="18"/>
              </w:rPr>
              <w:t>svibanj</w:t>
            </w:r>
          </w:p>
        </w:tc>
        <w:tc>
          <w:tcPr>
            <w:tcW w:w="1563" w:type="dxa"/>
            <w:shd w:val="clear" w:color="auto" w:fill="auto"/>
            <w:noWrap/>
            <w:vAlign w:val="center"/>
          </w:tcPr>
          <w:p w14:paraId="226301C7" w14:textId="77777777" w:rsidR="00AC375F" w:rsidRPr="00AC375F" w:rsidRDefault="00AC375F" w:rsidP="00AC375F">
            <w:pPr>
              <w:jc w:val="center"/>
              <w:rPr>
                <w:sz w:val="18"/>
                <w:szCs w:val="18"/>
              </w:rPr>
            </w:pPr>
            <w:r w:rsidRPr="00AC375F">
              <w:rPr>
                <w:sz w:val="18"/>
                <w:szCs w:val="18"/>
              </w:rPr>
              <w:t>0,25</w:t>
            </w:r>
          </w:p>
        </w:tc>
      </w:tr>
      <w:tr w:rsidR="00AC375F" w:rsidRPr="00AC375F" w14:paraId="55474E34" w14:textId="77777777" w:rsidTr="00991955">
        <w:trPr>
          <w:trHeight w:val="237"/>
        </w:trPr>
        <w:tc>
          <w:tcPr>
            <w:tcW w:w="4390" w:type="dxa"/>
            <w:shd w:val="clear" w:color="auto" w:fill="auto"/>
            <w:noWrap/>
            <w:vAlign w:val="center"/>
          </w:tcPr>
          <w:p w14:paraId="24FAE162" w14:textId="77777777" w:rsidR="00AC375F" w:rsidRPr="00AC375F" w:rsidRDefault="00AC375F" w:rsidP="00AC375F">
            <w:pPr>
              <w:rPr>
                <w:b/>
                <w:bCs/>
                <w:sz w:val="18"/>
                <w:szCs w:val="18"/>
              </w:rPr>
            </w:pPr>
          </w:p>
        </w:tc>
        <w:tc>
          <w:tcPr>
            <w:tcW w:w="1417" w:type="dxa"/>
            <w:shd w:val="clear" w:color="auto" w:fill="auto"/>
            <w:noWrap/>
            <w:vAlign w:val="center"/>
          </w:tcPr>
          <w:p w14:paraId="47A5228D"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auto"/>
            <w:noWrap/>
            <w:vAlign w:val="center"/>
          </w:tcPr>
          <w:p w14:paraId="252B4CAC" w14:textId="77777777" w:rsidR="00AC375F" w:rsidRPr="00AC375F" w:rsidRDefault="00AC375F" w:rsidP="00AC375F">
            <w:pPr>
              <w:jc w:val="center"/>
              <w:rPr>
                <w:sz w:val="18"/>
                <w:szCs w:val="18"/>
              </w:rPr>
            </w:pPr>
            <w:r w:rsidRPr="00AC375F">
              <w:rPr>
                <w:sz w:val="18"/>
                <w:szCs w:val="18"/>
              </w:rPr>
              <w:t>1</w:t>
            </w:r>
          </w:p>
        </w:tc>
        <w:tc>
          <w:tcPr>
            <w:tcW w:w="993" w:type="dxa"/>
            <w:shd w:val="clear" w:color="auto" w:fill="auto"/>
            <w:noWrap/>
            <w:vAlign w:val="center"/>
          </w:tcPr>
          <w:p w14:paraId="092926F9" w14:textId="77777777" w:rsidR="00AC375F" w:rsidRPr="00AC375F" w:rsidRDefault="00AC375F" w:rsidP="00AC375F">
            <w:pPr>
              <w:jc w:val="center"/>
              <w:rPr>
                <w:rFonts w:cstheme="minorHAnsi"/>
                <w:iCs/>
                <w:sz w:val="18"/>
                <w:szCs w:val="18"/>
              </w:rPr>
            </w:pPr>
            <w:r w:rsidRPr="00AC375F">
              <w:rPr>
                <w:rFonts w:cstheme="minorHAnsi"/>
                <w:iCs/>
                <w:sz w:val="18"/>
                <w:szCs w:val="18"/>
              </w:rPr>
              <w:t>rujan</w:t>
            </w:r>
          </w:p>
        </w:tc>
        <w:tc>
          <w:tcPr>
            <w:tcW w:w="1563" w:type="dxa"/>
            <w:shd w:val="clear" w:color="auto" w:fill="auto"/>
            <w:noWrap/>
            <w:vAlign w:val="center"/>
          </w:tcPr>
          <w:p w14:paraId="0AC8D2B0" w14:textId="77777777" w:rsidR="00AC375F" w:rsidRPr="00AC375F" w:rsidRDefault="00AC375F" w:rsidP="00AC375F">
            <w:pPr>
              <w:jc w:val="center"/>
              <w:rPr>
                <w:sz w:val="18"/>
                <w:szCs w:val="18"/>
              </w:rPr>
            </w:pPr>
            <w:r w:rsidRPr="00AC375F">
              <w:rPr>
                <w:sz w:val="18"/>
                <w:szCs w:val="18"/>
              </w:rPr>
              <w:t>0,25</w:t>
            </w:r>
          </w:p>
        </w:tc>
      </w:tr>
      <w:tr w:rsidR="00AC375F" w:rsidRPr="00AC375F" w14:paraId="624EE83E" w14:textId="77777777" w:rsidTr="00991955">
        <w:trPr>
          <w:trHeight w:val="237"/>
        </w:trPr>
        <w:tc>
          <w:tcPr>
            <w:tcW w:w="4390" w:type="dxa"/>
            <w:shd w:val="clear" w:color="auto" w:fill="auto"/>
            <w:noWrap/>
            <w:vAlign w:val="center"/>
          </w:tcPr>
          <w:p w14:paraId="2B8FF76F" w14:textId="77777777" w:rsidR="00AC375F" w:rsidRPr="00AC375F" w:rsidRDefault="00AC375F" w:rsidP="00AC375F">
            <w:pPr>
              <w:rPr>
                <w:b/>
                <w:bCs/>
                <w:sz w:val="18"/>
                <w:szCs w:val="18"/>
              </w:rPr>
            </w:pPr>
          </w:p>
        </w:tc>
        <w:tc>
          <w:tcPr>
            <w:tcW w:w="1417" w:type="dxa"/>
            <w:shd w:val="clear" w:color="auto" w:fill="auto"/>
            <w:noWrap/>
            <w:vAlign w:val="center"/>
          </w:tcPr>
          <w:p w14:paraId="4D142F4C"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auto"/>
            <w:noWrap/>
            <w:vAlign w:val="center"/>
          </w:tcPr>
          <w:p w14:paraId="1A674583" w14:textId="77777777" w:rsidR="00AC375F" w:rsidRPr="00AC375F" w:rsidRDefault="00AC375F" w:rsidP="00AC375F">
            <w:pPr>
              <w:jc w:val="center"/>
              <w:rPr>
                <w:sz w:val="18"/>
                <w:szCs w:val="18"/>
              </w:rPr>
            </w:pPr>
            <w:r w:rsidRPr="00AC375F">
              <w:rPr>
                <w:sz w:val="18"/>
                <w:szCs w:val="18"/>
              </w:rPr>
              <w:t>1</w:t>
            </w:r>
          </w:p>
        </w:tc>
        <w:tc>
          <w:tcPr>
            <w:tcW w:w="993" w:type="dxa"/>
            <w:shd w:val="clear" w:color="auto" w:fill="auto"/>
            <w:noWrap/>
            <w:vAlign w:val="center"/>
          </w:tcPr>
          <w:p w14:paraId="06E27056" w14:textId="77777777" w:rsidR="00AC375F" w:rsidRPr="00AC375F" w:rsidRDefault="00AC375F" w:rsidP="00AC375F">
            <w:pPr>
              <w:jc w:val="center"/>
              <w:rPr>
                <w:rFonts w:cstheme="minorHAnsi"/>
                <w:iCs/>
                <w:sz w:val="18"/>
                <w:szCs w:val="18"/>
              </w:rPr>
            </w:pPr>
            <w:r w:rsidRPr="00AC375F">
              <w:rPr>
                <w:rFonts w:cstheme="minorHAnsi"/>
                <w:iCs/>
                <w:sz w:val="18"/>
                <w:szCs w:val="18"/>
              </w:rPr>
              <w:t>studeni</w:t>
            </w:r>
          </w:p>
        </w:tc>
        <w:tc>
          <w:tcPr>
            <w:tcW w:w="1563" w:type="dxa"/>
            <w:shd w:val="clear" w:color="auto" w:fill="auto"/>
            <w:noWrap/>
            <w:vAlign w:val="center"/>
          </w:tcPr>
          <w:p w14:paraId="37FC3A21" w14:textId="77777777" w:rsidR="00AC375F" w:rsidRPr="00AC375F" w:rsidRDefault="00AC375F" w:rsidP="00AC375F">
            <w:pPr>
              <w:jc w:val="center"/>
              <w:rPr>
                <w:sz w:val="18"/>
                <w:szCs w:val="18"/>
              </w:rPr>
            </w:pPr>
            <w:r w:rsidRPr="00AC375F">
              <w:rPr>
                <w:sz w:val="18"/>
                <w:szCs w:val="18"/>
              </w:rPr>
              <w:t>0,25</w:t>
            </w:r>
          </w:p>
        </w:tc>
      </w:tr>
      <w:tr w:rsidR="00AC375F" w:rsidRPr="00AC375F" w14:paraId="5D310728" w14:textId="77777777" w:rsidTr="00991955">
        <w:trPr>
          <w:trHeight w:val="227"/>
        </w:trPr>
        <w:tc>
          <w:tcPr>
            <w:tcW w:w="4390" w:type="dxa"/>
            <w:shd w:val="clear" w:color="auto" w:fill="auto"/>
            <w:noWrap/>
            <w:vAlign w:val="center"/>
          </w:tcPr>
          <w:p w14:paraId="08306DB7" w14:textId="77777777" w:rsidR="00AC375F" w:rsidRPr="00AC375F" w:rsidRDefault="00AC375F" w:rsidP="00AC375F">
            <w:pPr>
              <w:rPr>
                <w:rFonts w:eastAsia="Times New Roman" w:cstheme="minorHAnsi"/>
                <w:b/>
                <w:iCs/>
                <w:sz w:val="18"/>
                <w:szCs w:val="18"/>
                <w:lang w:val="en-GB"/>
              </w:rPr>
            </w:pPr>
          </w:p>
        </w:tc>
        <w:tc>
          <w:tcPr>
            <w:tcW w:w="1417" w:type="dxa"/>
            <w:shd w:val="clear" w:color="auto" w:fill="auto"/>
            <w:noWrap/>
            <w:vAlign w:val="center"/>
          </w:tcPr>
          <w:p w14:paraId="44EDBB21" w14:textId="77777777" w:rsidR="00AC375F" w:rsidRPr="00AC375F" w:rsidRDefault="00AC375F" w:rsidP="00AC375F">
            <w:pPr>
              <w:jc w:val="center"/>
              <w:rPr>
                <w:sz w:val="18"/>
                <w:szCs w:val="18"/>
              </w:rPr>
            </w:pPr>
          </w:p>
        </w:tc>
        <w:tc>
          <w:tcPr>
            <w:tcW w:w="992" w:type="dxa"/>
            <w:shd w:val="clear" w:color="auto" w:fill="auto"/>
            <w:noWrap/>
            <w:vAlign w:val="center"/>
          </w:tcPr>
          <w:p w14:paraId="6F30BCEC" w14:textId="77777777" w:rsidR="00AC375F" w:rsidRPr="00AC375F" w:rsidRDefault="00AC375F" w:rsidP="00AC375F">
            <w:pPr>
              <w:jc w:val="center"/>
              <w:rPr>
                <w:sz w:val="18"/>
                <w:szCs w:val="18"/>
              </w:rPr>
            </w:pPr>
          </w:p>
        </w:tc>
        <w:tc>
          <w:tcPr>
            <w:tcW w:w="993" w:type="dxa"/>
            <w:shd w:val="clear" w:color="auto" w:fill="auto"/>
            <w:noWrap/>
            <w:vAlign w:val="center"/>
          </w:tcPr>
          <w:p w14:paraId="3BCCA511" w14:textId="77777777" w:rsidR="00AC375F" w:rsidRPr="00AC375F" w:rsidRDefault="00AC375F" w:rsidP="00AC375F">
            <w:pPr>
              <w:jc w:val="center"/>
              <w:rPr>
                <w:rFonts w:cstheme="minorHAnsi"/>
                <w:iCs/>
                <w:sz w:val="18"/>
                <w:szCs w:val="18"/>
              </w:rPr>
            </w:pPr>
          </w:p>
        </w:tc>
        <w:tc>
          <w:tcPr>
            <w:tcW w:w="1563" w:type="dxa"/>
            <w:shd w:val="clear" w:color="auto" w:fill="auto"/>
            <w:noWrap/>
            <w:vAlign w:val="center"/>
          </w:tcPr>
          <w:p w14:paraId="34E5566B" w14:textId="77777777" w:rsidR="00AC375F" w:rsidRPr="00AC375F" w:rsidRDefault="00AC375F" w:rsidP="00AC375F">
            <w:pPr>
              <w:jc w:val="center"/>
              <w:rPr>
                <w:sz w:val="18"/>
                <w:szCs w:val="18"/>
              </w:rPr>
            </w:pPr>
          </w:p>
        </w:tc>
      </w:tr>
      <w:tr w:rsidR="00AC375F" w:rsidRPr="00AC375F" w14:paraId="441D2559" w14:textId="77777777" w:rsidTr="00991955">
        <w:trPr>
          <w:trHeight w:val="227"/>
        </w:trPr>
        <w:tc>
          <w:tcPr>
            <w:tcW w:w="4390" w:type="dxa"/>
            <w:shd w:val="clear" w:color="auto" w:fill="auto"/>
            <w:noWrap/>
            <w:vAlign w:val="center"/>
          </w:tcPr>
          <w:p w14:paraId="3CEC83E4" w14:textId="77777777" w:rsidR="00AC375F" w:rsidRPr="00AC375F" w:rsidRDefault="00AC375F" w:rsidP="00AC375F">
            <w:pPr>
              <w:rPr>
                <w:rFonts w:eastAsia="Times New Roman" w:cstheme="minorHAnsi"/>
                <w:b/>
                <w:iCs/>
                <w:sz w:val="18"/>
                <w:szCs w:val="18"/>
                <w:lang w:val="en-GB"/>
              </w:rPr>
            </w:pPr>
            <w:r w:rsidRPr="00AC375F">
              <w:rPr>
                <w:rFonts w:eastAsia="Times New Roman" w:cstheme="minorHAnsi"/>
                <w:b/>
                <w:iCs/>
                <w:sz w:val="18"/>
                <w:szCs w:val="18"/>
                <w:lang w:val="en-GB"/>
              </w:rPr>
              <w:t>IT Directors Group  (Working Group)</w:t>
            </w:r>
          </w:p>
        </w:tc>
        <w:tc>
          <w:tcPr>
            <w:tcW w:w="1417" w:type="dxa"/>
            <w:shd w:val="clear" w:color="auto" w:fill="auto"/>
            <w:noWrap/>
            <w:vAlign w:val="center"/>
          </w:tcPr>
          <w:p w14:paraId="588C8D0E" w14:textId="77777777" w:rsidR="00AC375F" w:rsidRPr="00AC375F" w:rsidRDefault="00AC375F" w:rsidP="00AC375F">
            <w:pPr>
              <w:jc w:val="center"/>
              <w:rPr>
                <w:sz w:val="18"/>
                <w:szCs w:val="18"/>
              </w:rPr>
            </w:pPr>
            <w:r w:rsidRPr="00AC375F">
              <w:rPr>
                <w:sz w:val="18"/>
                <w:szCs w:val="18"/>
              </w:rPr>
              <w:t>Uppsala</w:t>
            </w:r>
          </w:p>
        </w:tc>
        <w:tc>
          <w:tcPr>
            <w:tcW w:w="992" w:type="dxa"/>
            <w:shd w:val="clear" w:color="auto" w:fill="auto"/>
            <w:noWrap/>
            <w:vAlign w:val="center"/>
          </w:tcPr>
          <w:p w14:paraId="230C3A03" w14:textId="77777777" w:rsidR="00AC375F" w:rsidRPr="00AC375F" w:rsidRDefault="00AC375F" w:rsidP="00AC375F">
            <w:pPr>
              <w:jc w:val="center"/>
              <w:rPr>
                <w:sz w:val="18"/>
                <w:szCs w:val="18"/>
              </w:rPr>
            </w:pPr>
            <w:r w:rsidRPr="00AC375F">
              <w:rPr>
                <w:sz w:val="18"/>
                <w:szCs w:val="18"/>
              </w:rPr>
              <w:t>1</w:t>
            </w:r>
          </w:p>
        </w:tc>
        <w:tc>
          <w:tcPr>
            <w:tcW w:w="993" w:type="dxa"/>
            <w:shd w:val="clear" w:color="auto" w:fill="auto"/>
            <w:noWrap/>
            <w:vAlign w:val="center"/>
          </w:tcPr>
          <w:p w14:paraId="271A5C75" w14:textId="77777777" w:rsidR="00AC375F" w:rsidRPr="00AC375F" w:rsidRDefault="00AC375F" w:rsidP="00AC375F">
            <w:pPr>
              <w:jc w:val="center"/>
              <w:rPr>
                <w:rFonts w:cstheme="minorHAnsi"/>
                <w:iCs/>
                <w:sz w:val="18"/>
                <w:szCs w:val="18"/>
              </w:rPr>
            </w:pPr>
            <w:r w:rsidRPr="00AC375F">
              <w:rPr>
                <w:rFonts w:cstheme="minorHAnsi"/>
                <w:iCs/>
                <w:sz w:val="18"/>
                <w:szCs w:val="18"/>
              </w:rPr>
              <w:t>svibanj</w:t>
            </w:r>
          </w:p>
        </w:tc>
        <w:tc>
          <w:tcPr>
            <w:tcW w:w="1563" w:type="dxa"/>
            <w:shd w:val="clear" w:color="auto" w:fill="auto"/>
            <w:noWrap/>
            <w:vAlign w:val="center"/>
          </w:tcPr>
          <w:p w14:paraId="3959C667" w14:textId="77777777" w:rsidR="00AC375F" w:rsidRPr="00AC375F" w:rsidRDefault="00AC375F" w:rsidP="00AC375F">
            <w:pPr>
              <w:jc w:val="center"/>
              <w:rPr>
                <w:sz w:val="18"/>
                <w:szCs w:val="18"/>
              </w:rPr>
            </w:pPr>
            <w:r w:rsidRPr="00AC375F">
              <w:rPr>
                <w:sz w:val="18"/>
                <w:szCs w:val="18"/>
              </w:rPr>
              <w:t>2</w:t>
            </w:r>
          </w:p>
        </w:tc>
      </w:tr>
      <w:tr w:rsidR="00AC375F" w:rsidRPr="00AC375F" w14:paraId="62C412AA" w14:textId="77777777" w:rsidTr="00991955">
        <w:trPr>
          <w:trHeight w:val="227"/>
        </w:trPr>
        <w:tc>
          <w:tcPr>
            <w:tcW w:w="4390" w:type="dxa"/>
            <w:shd w:val="clear" w:color="auto" w:fill="auto"/>
            <w:noWrap/>
            <w:vAlign w:val="center"/>
          </w:tcPr>
          <w:p w14:paraId="2D2EAF8F" w14:textId="77777777" w:rsidR="00AC375F" w:rsidRPr="00AC375F" w:rsidRDefault="00AC375F" w:rsidP="00AC375F">
            <w:pPr>
              <w:rPr>
                <w:b/>
                <w:bCs/>
                <w:sz w:val="18"/>
                <w:szCs w:val="18"/>
              </w:rPr>
            </w:pPr>
          </w:p>
        </w:tc>
        <w:tc>
          <w:tcPr>
            <w:tcW w:w="1417" w:type="dxa"/>
            <w:shd w:val="clear" w:color="auto" w:fill="auto"/>
            <w:noWrap/>
            <w:vAlign w:val="center"/>
          </w:tcPr>
          <w:p w14:paraId="7311CDD3" w14:textId="77777777" w:rsidR="00AC375F" w:rsidRPr="00AC375F" w:rsidRDefault="00AC375F" w:rsidP="00AC375F">
            <w:pPr>
              <w:jc w:val="center"/>
              <w:rPr>
                <w:sz w:val="18"/>
                <w:szCs w:val="18"/>
              </w:rPr>
            </w:pPr>
            <w:r w:rsidRPr="00AC375F">
              <w:rPr>
                <w:sz w:val="18"/>
                <w:szCs w:val="18"/>
              </w:rPr>
              <w:t>Lograno</w:t>
            </w:r>
          </w:p>
        </w:tc>
        <w:tc>
          <w:tcPr>
            <w:tcW w:w="992" w:type="dxa"/>
            <w:shd w:val="clear" w:color="auto" w:fill="auto"/>
            <w:noWrap/>
            <w:vAlign w:val="center"/>
          </w:tcPr>
          <w:p w14:paraId="0D11FF6E" w14:textId="77777777" w:rsidR="00AC375F" w:rsidRPr="00AC375F" w:rsidRDefault="00AC375F" w:rsidP="00AC375F">
            <w:pPr>
              <w:jc w:val="center"/>
              <w:rPr>
                <w:sz w:val="18"/>
                <w:szCs w:val="18"/>
              </w:rPr>
            </w:pPr>
            <w:r w:rsidRPr="00AC375F">
              <w:rPr>
                <w:sz w:val="18"/>
                <w:szCs w:val="18"/>
              </w:rPr>
              <w:t>1</w:t>
            </w:r>
          </w:p>
        </w:tc>
        <w:tc>
          <w:tcPr>
            <w:tcW w:w="993" w:type="dxa"/>
            <w:shd w:val="clear" w:color="auto" w:fill="auto"/>
            <w:noWrap/>
            <w:vAlign w:val="center"/>
          </w:tcPr>
          <w:p w14:paraId="0680E878" w14:textId="77777777" w:rsidR="00AC375F" w:rsidRPr="00AC375F" w:rsidRDefault="00AC375F" w:rsidP="00AC375F">
            <w:pPr>
              <w:jc w:val="center"/>
              <w:rPr>
                <w:rFonts w:cstheme="minorHAnsi"/>
                <w:iCs/>
                <w:sz w:val="18"/>
                <w:szCs w:val="18"/>
              </w:rPr>
            </w:pPr>
            <w:r w:rsidRPr="00AC375F">
              <w:rPr>
                <w:rFonts w:cstheme="minorHAnsi"/>
                <w:iCs/>
                <w:sz w:val="18"/>
                <w:szCs w:val="18"/>
              </w:rPr>
              <w:t>rujan</w:t>
            </w:r>
          </w:p>
        </w:tc>
        <w:tc>
          <w:tcPr>
            <w:tcW w:w="1563" w:type="dxa"/>
            <w:shd w:val="clear" w:color="auto" w:fill="auto"/>
            <w:noWrap/>
            <w:vAlign w:val="center"/>
          </w:tcPr>
          <w:p w14:paraId="1A62FE57" w14:textId="77777777" w:rsidR="00AC375F" w:rsidRPr="00AC375F" w:rsidRDefault="00AC375F" w:rsidP="00AC375F">
            <w:pPr>
              <w:jc w:val="center"/>
              <w:rPr>
                <w:sz w:val="18"/>
                <w:szCs w:val="18"/>
              </w:rPr>
            </w:pPr>
            <w:r w:rsidRPr="00AC375F">
              <w:rPr>
                <w:sz w:val="18"/>
                <w:szCs w:val="18"/>
              </w:rPr>
              <w:t>2</w:t>
            </w:r>
          </w:p>
        </w:tc>
      </w:tr>
      <w:tr w:rsidR="00AC375F" w:rsidRPr="00AC375F" w14:paraId="6A3D856C" w14:textId="77777777" w:rsidTr="00991955">
        <w:trPr>
          <w:trHeight w:val="227"/>
        </w:trPr>
        <w:tc>
          <w:tcPr>
            <w:tcW w:w="4390" w:type="dxa"/>
            <w:shd w:val="clear" w:color="auto" w:fill="auto"/>
            <w:noWrap/>
            <w:vAlign w:val="center"/>
          </w:tcPr>
          <w:p w14:paraId="170CF367" w14:textId="77777777" w:rsidR="00AC375F" w:rsidRPr="00AC375F" w:rsidRDefault="00AC375F" w:rsidP="00AC375F">
            <w:pPr>
              <w:rPr>
                <w:b/>
                <w:bCs/>
                <w:sz w:val="18"/>
                <w:szCs w:val="18"/>
              </w:rPr>
            </w:pPr>
          </w:p>
        </w:tc>
        <w:tc>
          <w:tcPr>
            <w:tcW w:w="1417" w:type="dxa"/>
            <w:shd w:val="clear" w:color="auto" w:fill="auto"/>
            <w:noWrap/>
            <w:vAlign w:val="center"/>
          </w:tcPr>
          <w:p w14:paraId="66E2829E" w14:textId="77777777" w:rsidR="00AC375F" w:rsidRPr="00AC375F" w:rsidRDefault="00AC375F" w:rsidP="00AC375F">
            <w:pPr>
              <w:jc w:val="center"/>
              <w:rPr>
                <w:sz w:val="18"/>
                <w:szCs w:val="18"/>
              </w:rPr>
            </w:pPr>
          </w:p>
        </w:tc>
        <w:tc>
          <w:tcPr>
            <w:tcW w:w="992" w:type="dxa"/>
            <w:shd w:val="clear" w:color="auto" w:fill="auto"/>
            <w:noWrap/>
            <w:vAlign w:val="center"/>
          </w:tcPr>
          <w:p w14:paraId="1AB9DD30" w14:textId="77777777" w:rsidR="00AC375F" w:rsidRPr="00AC375F" w:rsidRDefault="00AC375F" w:rsidP="00AC375F">
            <w:pPr>
              <w:jc w:val="center"/>
              <w:rPr>
                <w:sz w:val="18"/>
                <w:szCs w:val="18"/>
              </w:rPr>
            </w:pPr>
          </w:p>
        </w:tc>
        <w:tc>
          <w:tcPr>
            <w:tcW w:w="993" w:type="dxa"/>
            <w:shd w:val="clear" w:color="auto" w:fill="auto"/>
            <w:noWrap/>
            <w:vAlign w:val="center"/>
          </w:tcPr>
          <w:p w14:paraId="67674297" w14:textId="77777777" w:rsidR="00AC375F" w:rsidRPr="00AC375F" w:rsidRDefault="00AC375F" w:rsidP="00AC375F">
            <w:pPr>
              <w:jc w:val="center"/>
              <w:rPr>
                <w:rFonts w:cstheme="minorHAnsi"/>
                <w:iCs/>
                <w:sz w:val="18"/>
                <w:szCs w:val="18"/>
              </w:rPr>
            </w:pPr>
          </w:p>
        </w:tc>
        <w:tc>
          <w:tcPr>
            <w:tcW w:w="1563" w:type="dxa"/>
            <w:shd w:val="clear" w:color="auto" w:fill="auto"/>
            <w:noWrap/>
            <w:vAlign w:val="center"/>
          </w:tcPr>
          <w:p w14:paraId="7F7297FB" w14:textId="77777777" w:rsidR="00AC375F" w:rsidRPr="00AC375F" w:rsidRDefault="00AC375F" w:rsidP="00AC375F">
            <w:pPr>
              <w:jc w:val="center"/>
              <w:rPr>
                <w:sz w:val="18"/>
                <w:szCs w:val="18"/>
              </w:rPr>
            </w:pPr>
          </w:p>
        </w:tc>
      </w:tr>
      <w:tr w:rsidR="00AC375F" w:rsidRPr="00AC375F" w14:paraId="5D99D76F" w14:textId="77777777" w:rsidTr="00991955">
        <w:trPr>
          <w:trHeight w:val="227"/>
        </w:trPr>
        <w:tc>
          <w:tcPr>
            <w:tcW w:w="4390" w:type="dxa"/>
            <w:shd w:val="clear" w:color="auto" w:fill="auto"/>
            <w:noWrap/>
            <w:vAlign w:val="center"/>
          </w:tcPr>
          <w:p w14:paraId="55346935" w14:textId="77777777" w:rsidR="00AC375F" w:rsidRPr="00AC375F" w:rsidRDefault="008B34CD" w:rsidP="00AC375F">
            <w:pPr>
              <w:rPr>
                <w:rFonts w:eastAsia="Times New Roman" w:cstheme="minorHAnsi"/>
                <w:b/>
                <w:iCs/>
                <w:sz w:val="18"/>
                <w:szCs w:val="18"/>
                <w:lang w:val="en-GB"/>
              </w:rPr>
            </w:pPr>
            <w:hyperlink r:id="rId41" w:history="1">
              <w:r w:rsidR="00AC375F" w:rsidRPr="00AC375F">
                <w:rPr>
                  <w:rFonts w:eastAsia="Times New Roman" w:cstheme="minorHAnsi"/>
                  <w:b/>
                  <w:iCs/>
                  <w:sz w:val="18"/>
                  <w:szCs w:val="18"/>
                  <w:lang w:val="en-GB"/>
                </w:rPr>
                <w:t>European Union Network Data Board</w:t>
              </w:r>
            </w:hyperlink>
            <w:r w:rsidR="00AC375F" w:rsidRPr="00AC375F">
              <w:rPr>
                <w:rFonts w:eastAsia="Times New Roman" w:cstheme="minorHAnsi"/>
                <w:b/>
                <w:iCs/>
                <w:sz w:val="18"/>
                <w:szCs w:val="18"/>
                <w:lang w:val="en-GB"/>
              </w:rPr>
              <w:t xml:space="preserve"> (EU NDB)</w:t>
            </w:r>
          </w:p>
        </w:tc>
        <w:tc>
          <w:tcPr>
            <w:tcW w:w="1417" w:type="dxa"/>
            <w:shd w:val="clear" w:color="auto" w:fill="auto"/>
            <w:noWrap/>
            <w:vAlign w:val="center"/>
          </w:tcPr>
          <w:p w14:paraId="56B50273"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auto"/>
            <w:noWrap/>
            <w:vAlign w:val="center"/>
          </w:tcPr>
          <w:p w14:paraId="792BDAB4" w14:textId="77777777" w:rsidR="00AC375F" w:rsidRPr="00AC375F" w:rsidRDefault="00AC375F" w:rsidP="00AC375F">
            <w:pPr>
              <w:jc w:val="center"/>
              <w:rPr>
                <w:sz w:val="18"/>
                <w:szCs w:val="18"/>
              </w:rPr>
            </w:pPr>
            <w:r w:rsidRPr="00AC375F">
              <w:rPr>
                <w:sz w:val="18"/>
                <w:szCs w:val="18"/>
              </w:rPr>
              <w:t>2</w:t>
            </w:r>
          </w:p>
        </w:tc>
        <w:tc>
          <w:tcPr>
            <w:tcW w:w="993" w:type="dxa"/>
            <w:shd w:val="clear" w:color="auto" w:fill="auto"/>
            <w:noWrap/>
            <w:vAlign w:val="center"/>
          </w:tcPr>
          <w:p w14:paraId="22721EEF" w14:textId="77777777" w:rsidR="00AC375F" w:rsidRPr="00AC375F" w:rsidRDefault="00AC375F" w:rsidP="00AC375F">
            <w:pPr>
              <w:jc w:val="center"/>
              <w:rPr>
                <w:rFonts w:cstheme="minorHAnsi"/>
                <w:iCs/>
                <w:sz w:val="18"/>
                <w:szCs w:val="18"/>
              </w:rPr>
            </w:pPr>
            <w:r w:rsidRPr="00AC375F">
              <w:rPr>
                <w:rFonts w:cstheme="minorHAnsi"/>
                <w:iCs/>
                <w:sz w:val="18"/>
                <w:szCs w:val="18"/>
              </w:rPr>
              <w:t>siječanj</w:t>
            </w:r>
          </w:p>
        </w:tc>
        <w:tc>
          <w:tcPr>
            <w:tcW w:w="1563" w:type="dxa"/>
            <w:shd w:val="clear" w:color="auto" w:fill="auto"/>
            <w:noWrap/>
            <w:vAlign w:val="center"/>
          </w:tcPr>
          <w:p w14:paraId="0F196DE6" w14:textId="77777777" w:rsidR="00AC375F" w:rsidRPr="00AC375F" w:rsidRDefault="00AC375F" w:rsidP="00AC375F">
            <w:pPr>
              <w:jc w:val="center"/>
              <w:rPr>
                <w:sz w:val="18"/>
                <w:szCs w:val="18"/>
              </w:rPr>
            </w:pPr>
            <w:r w:rsidRPr="00AC375F">
              <w:rPr>
                <w:sz w:val="18"/>
                <w:szCs w:val="18"/>
              </w:rPr>
              <w:t>0,25</w:t>
            </w:r>
          </w:p>
        </w:tc>
      </w:tr>
      <w:tr w:rsidR="00AC375F" w:rsidRPr="00AC375F" w14:paraId="7D441507" w14:textId="77777777" w:rsidTr="00991955">
        <w:trPr>
          <w:trHeight w:val="227"/>
        </w:trPr>
        <w:tc>
          <w:tcPr>
            <w:tcW w:w="4390" w:type="dxa"/>
            <w:shd w:val="clear" w:color="auto" w:fill="auto"/>
            <w:noWrap/>
            <w:vAlign w:val="center"/>
          </w:tcPr>
          <w:p w14:paraId="71EAB714" w14:textId="77777777" w:rsidR="00AC375F" w:rsidRPr="00AC375F" w:rsidRDefault="00AC375F" w:rsidP="00AC375F">
            <w:pPr>
              <w:rPr>
                <w:b/>
                <w:bCs/>
                <w:sz w:val="18"/>
                <w:szCs w:val="18"/>
              </w:rPr>
            </w:pPr>
          </w:p>
        </w:tc>
        <w:tc>
          <w:tcPr>
            <w:tcW w:w="1417" w:type="dxa"/>
            <w:shd w:val="clear" w:color="auto" w:fill="auto"/>
            <w:noWrap/>
            <w:vAlign w:val="center"/>
          </w:tcPr>
          <w:p w14:paraId="547E80D6"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auto"/>
            <w:noWrap/>
            <w:vAlign w:val="center"/>
          </w:tcPr>
          <w:p w14:paraId="14217447" w14:textId="77777777" w:rsidR="00AC375F" w:rsidRPr="00AC375F" w:rsidRDefault="00AC375F" w:rsidP="00AC375F">
            <w:pPr>
              <w:jc w:val="center"/>
              <w:rPr>
                <w:sz w:val="18"/>
                <w:szCs w:val="18"/>
              </w:rPr>
            </w:pPr>
            <w:r w:rsidRPr="00AC375F">
              <w:rPr>
                <w:sz w:val="18"/>
                <w:szCs w:val="18"/>
              </w:rPr>
              <w:t>2</w:t>
            </w:r>
          </w:p>
        </w:tc>
        <w:tc>
          <w:tcPr>
            <w:tcW w:w="993" w:type="dxa"/>
            <w:shd w:val="clear" w:color="auto" w:fill="auto"/>
            <w:noWrap/>
            <w:vAlign w:val="center"/>
          </w:tcPr>
          <w:p w14:paraId="627675CC" w14:textId="77777777" w:rsidR="00AC375F" w:rsidRPr="00AC375F" w:rsidRDefault="00AC375F" w:rsidP="00AC375F">
            <w:pPr>
              <w:jc w:val="center"/>
              <w:rPr>
                <w:rFonts w:cstheme="minorHAnsi"/>
                <w:iCs/>
                <w:sz w:val="18"/>
                <w:szCs w:val="18"/>
              </w:rPr>
            </w:pPr>
            <w:r w:rsidRPr="00AC375F">
              <w:rPr>
                <w:rFonts w:cstheme="minorHAnsi"/>
                <w:iCs/>
                <w:sz w:val="18"/>
                <w:szCs w:val="18"/>
              </w:rPr>
              <w:t>veljača</w:t>
            </w:r>
          </w:p>
        </w:tc>
        <w:tc>
          <w:tcPr>
            <w:tcW w:w="1563" w:type="dxa"/>
            <w:shd w:val="clear" w:color="auto" w:fill="auto"/>
            <w:noWrap/>
          </w:tcPr>
          <w:p w14:paraId="7592012D" w14:textId="77777777" w:rsidR="00AC375F" w:rsidRPr="00AC375F" w:rsidRDefault="00AC375F" w:rsidP="00AC375F">
            <w:pPr>
              <w:jc w:val="center"/>
              <w:rPr>
                <w:sz w:val="18"/>
                <w:szCs w:val="18"/>
              </w:rPr>
            </w:pPr>
            <w:r w:rsidRPr="00AC375F">
              <w:rPr>
                <w:sz w:val="18"/>
                <w:szCs w:val="18"/>
              </w:rPr>
              <w:t>0,25</w:t>
            </w:r>
          </w:p>
        </w:tc>
      </w:tr>
      <w:tr w:rsidR="00AC375F" w:rsidRPr="00AC375F" w14:paraId="1CB0D2F3" w14:textId="77777777" w:rsidTr="00991955">
        <w:trPr>
          <w:trHeight w:val="227"/>
        </w:trPr>
        <w:tc>
          <w:tcPr>
            <w:tcW w:w="4390" w:type="dxa"/>
            <w:shd w:val="clear" w:color="auto" w:fill="auto"/>
            <w:noWrap/>
            <w:vAlign w:val="center"/>
          </w:tcPr>
          <w:p w14:paraId="37E7AD26" w14:textId="77777777" w:rsidR="00AC375F" w:rsidRPr="00AC375F" w:rsidRDefault="00AC375F" w:rsidP="00AC375F">
            <w:pPr>
              <w:rPr>
                <w:b/>
                <w:bCs/>
                <w:sz w:val="18"/>
                <w:szCs w:val="18"/>
              </w:rPr>
            </w:pPr>
          </w:p>
        </w:tc>
        <w:tc>
          <w:tcPr>
            <w:tcW w:w="1417" w:type="dxa"/>
            <w:shd w:val="clear" w:color="auto" w:fill="auto"/>
            <w:noWrap/>
            <w:vAlign w:val="center"/>
          </w:tcPr>
          <w:p w14:paraId="4DEA4B2B"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auto"/>
            <w:noWrap/>
            <w:vAlign w:val="center"/>
          </w:tcPr>
          <w:p w14:paraId="30528B96" w14:textId="77777777" w:rsidR="00AC375F" w:rsidRPr="00AC375F" w:rsidRDefault="00AC375F" w:rsidP="00AC375F">
            <w:pPr>
              <w:jc w:val="center"/>
              <w:rPr>
                <w:sz w:val="18"/>
                <w:szCs w:val="18"/>
              </w:rPr>
            </w:pPr>
            <w:r w:rsidRPr="00AC375F">
              <w:rPr>
                <w:sz w:val="18"/>
                <w:szCs w:val="18"/>
              </w:rPr>
              <w:t>2</w:t>
            </w:r>
          </w:p>
        </w:tc>
        <w:tc>
          <w:tcPr>
            <w:tcW w:w="993" w:type="dxa"/>
            <w:shd w:val="clear" w:color="auto" w:fill="auto"/>
            <w:noWrap/>
            <w:vAlign w:val="center"/>
          </w:tcPr>
          <w:p w14:paraId="69C1C099" w14:textId="77777777" w:rsidR="00AC375F" w:rsidRPr="00AC375F" w:rsidRDefault="00AC375F" w:rsidP="00AC375F">
            <w:pPr>
              <w:jc w:val="center"/>
              <w:rPr>
                <w:rFonts w:cstheme="minorHAnsi"/>
                <w:iCs/>
                <w:sz w:val="18"/>
                <w:szCs w:val="18"/>
              </w:rPr>
            </w:pPr>
            <w:r w:rsidRPr="00AC375F">
              <w:rPr>
                <w:rFonts w:cstheme="minorHAnsi"/>
                <w:iCs/>
                <w:sz w:val="18"/>
                <w:szCs w:val="18"/>
              </w:rPr>
              <w:t>ožujak</w:t>
            </w:r>
          </w:p>
        </w:tc>
        <w:tc>
          <w:tcPr>
            <w:tcW w:w="1563" w:type="dxa"/>
            <w:shd w:val="clear" w:color="auto" w:fill="auto"/>
            <w:noWrap/>
          </w:tcPr>
          <w:p w14:paraId="490695E2" w14:textId="77777777" w:rsidR="00AC375F" w:rsidRPr="00AC375F" w:rsidRDefault="00AC375F" w:rsidP="00AC375F">
            <w:pPr>
              <w:jc w:val="center"/>
              <w:rPr>
                <w:sz w:val="18"/>
                <w:szCs w:val="18"/>
              </w:rPr>
            </w:pPr>
            <w:r w:rsidRPr="00AC375F">
              <w:rPr>
                <w:sz w:val="18"/>
                <w:szCs w:val="18"/>
              </w:rPr>
              <w:t>0,25</w:t>
            </w:r>
          </w:p>
        </w:tc>
      </w:tr>
      <w:tr w:rsidR="00AC375F" w:rsidRPr="00AC375F" w14:paraId="7414FB6C" w14:textId="77777777" w:rsidTr="00991955">
        <w:trPr>
          <w:trHeight w:val="227"/>
        </w:trPr>
        <w:tc>
          <w:tcPr>
            <w:tcW w:w="4390" w:type="dxa"/>
            <w:shd w:val="clear" w:color="auto" w:fill="auto"/>
            <w:noWrap/>
            <w:vAlign w:val="center"/>
          </w:tcPr>
          <w:p w14:paraId="46997192" w14:textId="77777777" w:rsidR="00AC375F" w:rsidRPr="00AC375F" w:rsidRDefault="00AC375F" w:rsidP="00AC375F">
            <w:pPr>
              <w:rPr>
                <w:b/>
                <w:bCs/>
                <w:sz w:val="18"/>
                <w:szCs w:val="18"/>
              </w:rPr>
            </w:pPr>
          </w:p>
        </w:tc>
        <w:tc>
          <w:tcPr>
            <w:tcW w:w="1417" w:type="dxa"/>
            <w:shd w:val="clear" w:color="auto" w:fill="auto"/>
            <w:noWrap/>
            <w:vAlign w:val="center"/>
          </w:tcPr>
          <w:p w14:paraId="07A6B7D9"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auto"/>
            <w:noWrap/>
            <w:vAlign w:val="center"/>
          </w:tcPr>
          <w:p w14:paraId="21E7B017" w14:textId="77777777" w:rsidR="00AC375F" w:rsidRPr="00AC375F" w:rsidRDefault="00AC375F" w:rsidP="00AC375F">
            <w:pPr>
              <w:jc w:val="center"/>
              <w:rPr>
                <w:sz w:val="18"/>
                <w:szCs w:val="18"/>
              </w:rPr>
            </w:pPr>
            <w:r w:rsidRPr="00AC375F">
              <w:rPr>
                <w:sz w:val="18"/>
                <w:szCs w:val="18"/>
              </w:rPr>
              <w:t>2</w:t>
            </w:r>
          </w:p>
        </w:tc>
        <w:tc>
          <w:tcPr>
            <w:tcW w:w="993" w:type="dxa"/>
            <w:shd w:val="clear" w:color="auto" w:fill="auto"/>
            <w:noWrap/>
            <w:vAlign w:val="center"/>
          </w:tcPr>
          <w:p w14:paraId="505B14EE" w14:textId="77777777" w:rsidR="00AC375F" w:rsidRPr="00AC375F" w:rsidRDefault="00AC375F" w:rsidP="00AC375F">
            <w:pPr>
              <w:jc w:val="center"/>
              <w:rPr>
                <w:rFonts w:cstheme="minorHAnsi"/>
                <w:iCs/>
                <w:sz w:val="18"/>
                <w:szCs w:val="18"/>
              </w:rPr>
            </w:pPr>
            <w:r w:rsidRPr="00AC375F">
              <w:rPr>
                <w:rFonts w:cstheme="minorHAnsi"/>
                <w:iCs/>
                <w:sz w:val="18"/>
                <w:szCs w:val="18"/>
              </w:rPr>
              <w:t>travanj</w:t>
            </w:r>
          </w:p>
        </w:tc>
        <w:tc>
          <w:tcPr>
            <w:tcW w:w="1563" w:type="dxa"/>
            <w:shd w:val="clear" w:color="auto" w:fill="auto"/>
            <w:noWrap/>
          </w:tcPr>
          <w:p w14:paraId="513EDF9A" w14:textId="77777777" w:rsidR="00AC375F" w:rsidRPr="00AC375F" w:rsidRDefault="00AC375F" w:rsidP="00AC375F">
            <w:pPr>
              <w:jc w:val="center"/>
              <w:rPr>
                <w:sz w:val="18"/>
                <w:szCs w:val="18"/>
              </w:rPr>
            </w:pPr>
            <w:r w:rsidRPr="00AC375F">
              <w:rPr>
                <w:sz w:val="18"/>
                <w:szCs w:val="18"/>
              </w:rPr>
              <w:t>0,25</w:t>
            </w:r>
          </w:p>
        </w:tc>
      </w:tr>
      <w:tr w:rsidR="00AC375F" w:rsidRPr="00AC375F" w14:paraId="0F7171D0" w14:textId="77777777" w:rsidTr="00991955">
        <w:trPr>
          <w:trHeight w:val="227"/>
        </w:trPr>
        <w:tc>
          <w:tcPr>
            <w:tcW w:w="4390" w:type="dxa"/>
            <w:shd w:val="clear" w:color="auto" w:fill="auto"/>
            <w:noWrap/>
            <w:vAlign w:val="center"/>
          </w:tcPr>
          <w:p w14:paraId="63FE4E53" w14:textId="77777777" w:rsidR="00AC375F" w:rsidRPr="00AC375F" w:rsidRDefault="00AC375F" w:rsidP="00AC375F">
            <w:pPr>
              <w:rPr>
                <w:b/>
                <w:bCs/>
                <w:sz w:val="18"/>
                <w:szCs w:val="18"/>
              </w:rPr>
            </w:pPr>
          </w:p>
        </w:tc>
        <w:tc>
          <w:tcPr>
            <w:tcW w:w="1417" w:type="dxa"/>
            <w:shd w:val="clear" w:color="auto" w:fill="auto"/>
            <w:noWrap/>
            <w:vAlign w:val="center"/>
          </w:tcPr>
          <w:p w14:paraId="2E0FBC2A"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auto"/>
            <w:noWrap/>
            <w:vAlign w:val="center"/>
          </w:tcPr>
          <w:p w14:paraId="2CB27452" w14:textId="77777777" w:rsidR="00AC375F" w:rsidRPr="00AC375F" w:rsidRDefault="00AC375F" w:rsidP="00AC375F">
            <w:pPr>
              <w:jc w:val="center"/>
              <w:rPr>
                <w:sz w:val="18"/>
                <w:szCs w:val="18"/>
              </w:rPr>
            </w:pPr>
            <w:r w:rsidRPr="00AC375F">
              <w:rPr>
                <w:sz w:val="18"/>
                <w:szCs w:val="18"/>
              </w:rPr>
              <w:t>2</w:t>
            </w:r>
          </w:p>
        </w:tc>
        <w:tc>
          <w:tcPr>
            <w:tcW w:w="993" w:type="dxa"/>
            <w:shd w:val="clear" w:color="auto" w:fill="auto"/>
            <w:noWrap/>
            <w:vAlign w:val="center"/>
          </w:tcPr>
          <w:p w14:paraId="55253831" w14:textId="77777777" w:rsidR="00AC375F" w:rsidRPr="00AC375F" w:rsidRDefault="00AC375F" w:rsidP="00AC375F">
            <w:pPr>
              <w:jc w:val="center"/>
              <w:rPr>
                <w:rFonts w:cstheme="minorHAnsi"/>
                <w:iCs/>
                <w:sz w:val="18"/>
                <w:szCs w:val="18"/>
              </w:rPr>
            </w:pPr>
            <w:r w:rsidRPr="00AC375F">
              <w:rPr>
                <w:rFonts w:cstheme="minorHAnsi"/>
                <w:iCs/>
                <w:sz w:val="18"/>
                <w:szCs w:val="18"/>
              </w:rPr>
              <w:t>svibanj</w:t>
            </w:r>
          </w:p>
        </w:tc>
        <w:tc>
          <w:tcPr>
            <w:tcW w:w="1563" w:type="dxa"/>
            <w:shd w:val="clear" w:color="auto" w:fill="auto"/>
            <w:noWrap/>
          </w:tcPr>
          <w:p w14:paraId="0FE997CE" w14:textId="77777777" w:rsidR="00AC375F" w:rsidRPr="00AC375F" w:rsidRDefault="00AC375F" w:rsidP="00AC375F">
            <w:pPr>
              <w:jc w:val="center"/>
              <w:rPr>
                <w:sz w:val="18"/>
                <w:szCs w:val="18"/>
              </w:rPr>
            </w:pPr>
            <w:r w:rsidRPr="00AC375F">
              <w:rPr>
                <w:sz w:val="18"/>
                <w:szCs w:val="18"/>
              </w:rPr>
              <w:t>0,25</w:t>
            </w:r>
          </w:p>
        </w:tc>
      </w:tr>
      <w:tr w:rsidR="00AC375F" w:rsidRPr="00AC375F" w14:paraId="3A24BE53" w14:textId="77777777" w:rsidTr="00991955">
        <w:trPr>
          <w:trHeight w:val="227"/>
        </w:trPr>
        <w:tc>
          <w:tcPr>
            <w:tcW w:w="4390" w:type="dxa"/>
            <w:shd w:val="clear" w:color="auto" w:fill="auto"/>
            <w:noWrap/>
            <w:vAlign w:val="center"/>
          </w:tcPr>
          <w:p w14:paraId="0E27DFFA" w14:textId="77777777" w:rsidR="00AC375F" w:rsidRPr="00AC375F" w:rsidRDefault="00AC375F" w:rsidP="00AC375F">
            <w:pPr>
              <w:rPr>
                <w:b/>
                <w:bCs/>
                <w:sz w:val="18"/>
                <w:szCs w:val="18"/>
              </w:rPr>
            </w:pPr>
          </w:p>
        </w:tc>
        <w:tc>
          <w:tcPr>
            <w:tcW w:w="1417" w:type="dxa"/>
            <w:shd w:val="clear" w:color="auto" w:fill="auto"/>
            <w:noWrap/>
            <w:vAlign w:val="center"/>
          </w:tcPr>
          <w:p w14:paraId="2AC84221" w14:textId="77777777" w:rsidR="00AC375F" w:rsidRPr="00AC375F" w:rsidRDefault="00AC375F" w:rsidP="00AC375F">
            <w:pPr>
              <w:jc w:val="center"/>
              <w:rPr>
                <w:sz w:val="18"/>
                <w:szCs w:val="18"/>
              </w:rPr>
            </w:pPr>
            <w:r w:rsidRPr="00AC375F">
              <w:rPr>
                <w:sz w:val="18"/>
                <w:szCs w:val="18"/>
              </w:rPr>
              <w:t>Amsterdam</w:t>
            </w:r>
          </w:p>
        </w:tc>
        <w:tc>
          <w:tcPr>
            <w:tcW w:w="992" w:type="dxa"/>
            <w:shd w:val="clear" w:color="auto" w:fill="auto"/>
            <w:noWrap/>
            <w:vAlign w:val="center"/>
          </w:tcPr>
          <w:p w14:paraId="5F9DAA54" w14:textId="77777777" w:rsidR="00AC375F" w:rsidRPr="00AC375F" w:rsidRDefault="00AC375F" w:rsidP="00AC375F">
            <w:pPr>
              <w:jc w:val="center"/>
              <w:rPr>
                <w:sz w:val="18"/>
                <w:szCs w:val="18"/>
              </w:rPr>
            </w:pPr>
            <w:r w:rsidRPr="00AC375F">
              <w:rPr>
                <w:sz w:val="18"/>
                <w:szCs w:val="18"/>
              </w:rPr>
              <w:t>1</w:t>
            </w:r>
          </w:p>
        </w:tc>
        <w:tc>
          <w:tcPr>
            <w:tcW w:w="993" w:type="dxa"/>
            <w:shd w:val="clear" w:color="auto" w:fill="auto"/>
            <w:noWrap/>
            <w:vAlign w:val="center"/>
          </w:tcPr>
          <w:p w14:paraId="3E9C3727" w14:textId="77777777" w:rsidR="00AC375F" w:rsidRPr="00AC375F" w:rsidRDefault="00AC375F" w:rsidP="00AC375F">
            <w:pPr>
              <w:jc w:val="center"/>
              <w:rPr>
                <w:rFonts w:cstheme="minorHAnsi"/>
                <w:iCs/>
                <w:sz w:val="18"/>
                <w:szCs w:val="18"/>
              </w:rPr>
            </w:pPr>
            <w:r w:rsidRPr="00AC375F">
              <w:rPr>
                <w:rFonts w:cstheme="minorHAnsi"/>
                <w:iCs/>
                <w:sz w:val="18"/>
                <w:szCs w:val="18"/>
              </w:rPr>
              <w:t>lipanj</w:t>
            </w:r>
          </w:p>
        </w:tc>
        <w:tc>
          <w:tcPr>
            <w:tcW w:w="1563" w:type="dxa"/>
            <w:shd w:val="clear" w:color="auto" w:fill="auto"/>
            <w:noWrap/>
            <w:vAlign w:val="center"/>
          </w:tcPr>
          <w:p w14:paraId="09FC9675" w14:textId="77777777" w:rsidR="00AC375F" w:rsidRPr="00AC375F" w:rsidRDefault="00AC375F" w:rsidP="00AC375F">
            <w:pPr>
              <w:jc w:val="center"/>
              <w:rPr>
                <w:sz w:val="18"/>
                <w:szCs w:val="18"/>
              </w:rPr>
            </w:pPr>
            <w:r w:rsidRPr="00AC375F">
              <w:rPr>
                <w:sz w:val="18"/>
                <w:szCs w:val="18"/>
              </w:rPr>
              <w:t>1</w:t>
            </w:r>
          </w:p>
        </w:tc>
      </w:tr>
      <w:tr w:rsidR="00AC375F" w:rsidRPr="00AC375F" w14:paraId="36A28A96" w14:textId="77777777" w:rsidTr="00991955">
        <w:trPr>
          <w:trHeight w:val="227"/>
        </w:trPr>
        <w:tc>
          <w:tcPr>
            <w:tcW w:w="4390" w:type="dxa"/>
            <w:shd w:val="clear" w:color="auto" w:fill="auto"/>
            <w:noWrap/>
            <w:vAlign w:val="center"/>
          </w:tcPr>
          <w:p w14:paraId="2EA65C5B" w14:textId="77777777" w:rsidR="00AC375F" w:rsidRPr="00AC375F" w:rsidRDefault="00AC375F" w:rsidP="00AC375F">
            <w:pPr>
              <w:rPr>
                <w:b/>
                <w:bCs/>
                <w:sz w:val="18"/>
                <w:szCs w:val="18"/>
              </w:rPr>
            </w:pPr>
          </w:p>
        </w:tc>
        <w:tc>
          <w:tcPr>
            <w:tcW w:w="1417" w:type="dxa"/>
            <w:shd w:val="clear" w:color="auto" w:fill="auto"/>
            <w:noWrap/>
            <w:vAlign w:val="center"/>
          </w:tcPr>
          <w:p w14:paraId="3F31DF9B"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auto"/>
            <w:noWrap/>
            <w:vAlign w:val="center"/>
          </w:tcPr>
          <w:p w14:paraId="775C2143" w14:textId="77777777" w:rsidR="00AC375F" w:rsidRPr="00AC375F" w:rsidRDefault="00AC375F" w:rsidP="00AC375F">
            <w:pPr>
              <w:jc w:val="center"/>
              <w:rPr>
                <w:sz w:val="18"/>
                <w:szCs w:val="18"/>
              </w:rPr>
            </w:pPr>
            <w:r w:rsidRPr="00AC375F">
              <w:rPr>
                <w:sz w:val="18"/>
                <w:szCs w:val="18"/>
              </w:rPr>
              <w:t>2</w:t>
            </w:r>
          </w:p>
        </w:tc>
        <w:tc>
          <w:tcPr>
            <w:tcW w:w="993" w:type="dxa"/>
            <w:shd w:val="clear" w:color="auto" w:fill="auto"/>
            <w:noWrap/>
            <w:vAlign w:val="center"/>
          </w:tcPr>
          <w:p w14:paraId="2474ED05" w14:textId="77777777" w:rsidR="00AC375F" w:rsidRPr="00AC375F" w:rsidRDefault="00AC375F" w:rsidP="00AC375F">
            <w:pPr>
              <w:jc w:val="center"/>
              <w:rPr>
                <w:rFonts w:cstheme="minorHAnsi"/>
                <w:iCs/>
                <w:sz w:val="18"/>
                <w:szCs w:val="18"/>
              </w:rPr>
            </w:pPr>
            <w:r w:rsidRPr="00AC375F">
              <w:rPr>
                <w:rFonts w:cstheme="minorHAnsi"/>
                <w:iCs/>
                <w:sz w:val="18"/>
                <w:szCs w:val="18"/>
              </w:rPr>
              <w:t>rujan</w:t>
            </w:r>
          </w:p>
        </w:tc>
        <w:tc>
          <w:tcPr>
            <w:tcW w:w="1563" w:type="dxa"/>
            <w:shd w:val="clear" w:color="auto" w:fill="auto"/>
            <w:noWrap/>
            <w:vAlign w:val="center"/>
          </w:tcPr>
          <w:p w14:paraId="34B59F06" w14:textId="77777777" w:rsidR="00AC375F" w:rsidRPr="00AC375F" w:rsidRDefault="00AC375F" w:rsidP="00AC375F">
            <w:pPr>
              <w:jc w:val="center"/>
              <w:rPr>
                <w:sz w:val="18"/>
                <w:szCs w:val="18"/>
              </w:rPr>
            </w:pPr>
            <w:r w:rsidRPr="00AC375F">
              <w:rPr>
                <w:sz w:val="18"/>
                <w:szCs w:val="18"/>
              </w:rPr>
              <w:t>0,5</w:t>
            </w:r>
          </w:p>
        </w:tc>
      </w:tr>
      <w:tr w:rsidR="00AC375F" w:rsidRPr="00AC375F" w14:paraId="28EEB356" w14:textId="77777777" w:rsidTr="00991955">
        <w:trPr>
          <w:trHeight w:val="227"/>
        </w:trPr>
        <w:tc>
          <w:tcPr>
            <w:tcW w:w="4390" w:type="dxa"/>
            <w:shd w:val="clear" w:color="auto" w:fill="auto"/>
            <w:noWrap/>
            <w:vAlign w:val="center"/>
          </w:tcPr>
          <w:p w14:paraId="14AB7B6E" w14:textId="77777777" w:rsidR="00AC375F" w:rsidRPr="00AC375F" w:rsidRDefault="00AC375F" w:rsidP="00AC375F">
            <w:pPr>
              <w:rPr>
                <w:b/>
                <w:bCs/>
                <w:sz w:val="18"/>
                <w:szCs w:val="18"/>
              </w:rPr>
            </w:pPr>
          </w:p>
        </w:tc>
        <w:tc>
          <w:tcPr>
            <w:tcW w:w="1417" w:type="dxa"/>
            <w:shd w:val="clear" w:color="auto" w:fill="auto"/>
            <w:noWrap/>
            <w:vAlign w:val="center"/>
          </w:tcPr>
          <w:p w14:paraId="11AAE3C2"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auto"/>
            <w:noWrap/>
            <w:vAlign w:val="center"/>
          </w:tcPr>
          <w:p w14:paraId="63F0572D" w14:textId="77777777" w:rsidR="00AC375F" w:rsidRPr="00AC375F" w:rsidRDefault="00AC375F" w:rsidP="00AC375F">
            <w:pPr>
              <w:jc w:val="center"/>
              <w:rPr>
                <w:sz w:val="18"/>
                <w:szCs w:val="18"/>
              </w:rPr>
            </w:pPr>
            <w:r w:rsidRPr="00AC375F">
              <w:rPr>
                <w:sz w:val="18"/>
                <w:szCs w:val="18"/>
              </w:rPr>
              <w:t>2</w:t>
            </w:r>
          </w:p>
        </w:tc>
        <w:tc>
          <w:tcPr>
            <w:tcW w:w="993" w:type="dxa"/>
            <w:shd w:val="clear" w:color="auto" w:fill="auto"/>
            <w:noWrap/>
            <w:vAlign w:val="center"/>
          </w:tcPr>
          <w:p w14:paraId="164D410D" w14:textId="77777777" w:rsidR="00AC375F" w:rsidRPr="00AC375F" w:rsidRDefault="00AC375F" w:rsidP="00AC375F">
            <w:pPr>
              <w:jc w:val="center"/>
              <w:rPr>
                <w:rFonts w:cstheme="minorHAnsi"/>
                <w:iCs/>
                <w:sz w:val="18"/>
                <w:szCs w:val="18"/>
              </w:rPr>
            </w:pPr>
            <w:r w:rsidRPr="00AC375F">
              <w:rPr>
                <w:rFonts w:cstheme="minorHAnsi"/>
                <w:iCs/>
                <w:sz w:val="18"/>
                <w:szCs w:val="18"/>
              </w:rPr>
              <w:t>listopad</w:t>
            </w:r>
          </w:p>
        </w:tc>
        <w:tc>
          <w:tcPr>
            <w:tcW w:w="1563" w:type="dxa"/>
            <w:shd w:val="clear" w:color="auto" w:fill="auto"/>
            <w:noWrap/>
          </w:tcPr>
          <w:p w14:paraId="2CC55230" w14:textId="77777777" w:rsidR="00AC375F" w:rsidRPr="00AC375F" w:rsidRDefault="00AC375F" w:rsidP="00AC375F">
            <w:pPr>
              <w:jc w:val="center"/>
              <w:rPr>
                <w:sz w:val="18"/>
                <w:szCs w:val="18"/>
              </w:rPr>
            </w:pPr>
            <w:r w:rsidRPr="00AC375F">
              <w:rPr>
                <w:sz w:val="18"/>
                <w:szCs w:val="18"/>
              </w:rPr>
              <w:t>0,25</w:t>
            </w:r>
          </w:p>
        </w:tc>
      </w:tr>
      <w:tr w:rsidR="00AC375F" w:rsidRPr="00AC375F" w14:paraId="4E9A91AC" w14:textId="77777777" w:rsidTr="00991955">
        <w:trPr>
          <w:trHeight w:val="227"/>
        </w:trPr>
        <w:tc>
          <w:tcPr>
            <w:tcW w:w="4390" w:type="dxa"/>
            <w:shd w:val="clear" w:color="auto" w:fill="auto"/>
            <w:noWrap/>
            <w:vAlign w:val="center"/>
          </w:tcPr>
          <w:p w14:paraId="6862B10C" w14:textId="77777777" w:rsidR="00AC375F" w:rsidRPr="00AC375F" w:rsidRDefault="00AC375F" w:rsidP="00AC375F">
            <w:pPr>
              <w:rPr>
                <w:b/>
                <w:bCs/>
                <w:sz w:val="18"/>
                <w:szCs w:val="18"/>
              </w:rPr>
            </w:pPr>
          </w:p>
        </w:tc>
        <w:tc>
          <w:tcPr>
            <w:tcW w:w="1417" w:type="dxa"/>
            <w:shd w:val="clear" w:color="auto" w:fill="auto"/>
            <w:noWrap/>
            <w:vAlign w:val="center"/>
          </w:tcPr>
          <w:p w14:paraId="2D2F0C27"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auto"/>
            <w:noWrap/>
            <w:vAlign w:val="center"/>
          </w:tcPr>
          <w:p w14:paraId="00F1F223" w14:textId="77777777" w:rsidR="00AC375F" w:rsidRPr="00AC375F" w:rsidRDefault="00AC375F" w:rsidP="00AC375F">
            <w:pPr>
              <w:jc w:val="center"/>
              <w:rPr>
                <w:sz w:val="18"/>
                <w:szCs w:val="18"/>
              </w:rPr>
            </w:pPr>
            <w:r w:rsidRPr="00AC375F">
              <w:rPr>
                <w:sz w:val="18"/>
                <w:szCs w:val="18"/>
              </w:rPr>
              <w:t>2</w:t>
            </w:r>
          </w:p>
        </w:tc>
        <w:tc>
          <w:tcPr>
            <w:tcW w:w="993" w:type="dxa"/>
            <w:shd w:val="clear" w:color="auto" w:fill="auto"/>
            <w:noWrap/>
            <w:vAlign w:val="center"/>
          </w:tcPr>
          <w:p w14:paraId="5CE2E482" w14:textId="77777777" w:rsidR="00AC375F" w:rsidRPr="00AC375F" w:rsidRDefault="00AC375F" w:rsidP="00AC375F">
            <w:pPr>
              <w:jc w:val="center"/>
              <w:rPr>
                <w:rFonts w:cstheme="minorHAnsi"/>
                <w:iCs/>
                <w:sz w:val="18"/>
                <w:szCs w:val="18"/>
              </w:rPr>
            </w:pPr>
            <w:r w:rsidRPr="00AC375F">
              <w:rPr>
                <w:rFonts w:cstheme="minorHAnsi"/>
                <w:iCs/>
                <w:sz w:val="18"/>
                <w:szCs w:val="18"/>
              </w:rPr>
              <w:t>studeni</w:t>
            </w:r>
          </w:p>
        </w:tc>
        <w:tc>
          <w:tcPr>
            <w:tcW w:w="1563" w:type="dxa"/>
            <w:shd w:val="clear" w:color="auto" w:fill="auto"/>
            <w:noWrap/>
          </w:tcPr>
          <w:p w14:paraId="0765271F" w14:textId="77777777" w:rsidR="00AC375F" w:rsidRPr="00AC375F" w:rsidRDefault="00AC375F" w:rsidP="00AC375F">
            <w:pPr>
              <w:jc w:val="center"/>
              <w:rPr>
                <w:sz w:val="18"/>
                <w:szCs w:val="18"/>
              </w:rPr>
            </w:pPr>
            <w:r w:rsidRPr="00AC375F">
              <w:rPr>
                <w:sz w:val="18"/>
                <w:szCs w:val="18"/>
              </w:rPr>
              <w:t>0,25</w:t>
            </w:r>
          </w:p>
        </w:tc>
      </w:tr>
      <w:tr w:rsidR="00AC375F" w:rsidRPr="00AC375F" w14:paraId="5E3AF24D" w14:textId="77777777" w:rsidTr="00991955">
        <w:trPr>
          <w:trHeight w:val="227"/>
        </w:trPr>
        <w:tc>
          <w:tcPr>
            <w:tcW w:w="4390" w:type="dxa"/>
            <w:shd w:val="clear" w:color="auto" w:fill="auto"/>
            <w:noWrap/>
            <w:vAlign w:val="center"/>
          </w:tcPr>
          <w:p w14:paraId="1AD36348" w14:textId="77777777" w:rsidR="00AC375F" w:rsidRPr="00AC375F" w:rsidRDefault="00AC375F" w:rsidP="00AC375F">
            <w:pPr>
              <w:rPr>
                <w:b/>
                <w:bCs/>
                <w:sz w:val="18"/>
                <w:szCs w:val="18"/>
              </w:rPr>
            </w:pPr>
          </w:p>
        </w:tc>
        <w:tc>
          <w:tcPr>
            <w:tcW w:w="1417" w:type="dxa"/>
            <w:shd w:val="clear" w:color="auto" w:fill="auto"/>
            <w:noWrap/>
            <w:vAlign w:val="center"/>
          </w:tcPr>
          <w:p w14:paraId="3A9474EF"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auto"/>
            <w:noWrap/>
            <w:vAlign w:val="center"/>
          </w:tcPr>
          <w:p w14:paraId="6C56BC01" w14:textId="77777777" w:rsidR="00AC375F" w:rsidRPr="00AC375F" w:rsidRDefault="00AC375F" w:rsidP="00AC375F">
            <w:pPr>
              <w:jc w:val="center"/>
              <w:rPr>
                <w:sz w:val="18"/>
                <w:szCs w:val="18"/>
              </w:rPr>
            </w:pPr>
            <w:r w:rsidRPr="00AC375F">
              <w:rPr>
                <w:sz w:val="18"/>
                <w:szCs w:val="18"/>
              </w:rPr>
              <w:t>2</w:t>
            </w:r>
          </w:p>
        </w:tc>
        <w:tc>
          <w:tcPr>
            <w:tcW w:w="993" w:type="dxa"/>
            <w:shd w:val="clear" w:color="auto" w:fill="auto"/>
            <w:noWrap/>
            <w:vAlign w:val="center"/>
          </w:tcPr>
          <w:p w14:paraId="567761A1" w14:textId="77777777" w:rsidR="00AC375F" w:rsidRPr="00AC375F" w:rsidRDefault="00AC375F" w:rsidP="00AC375F">
            <w:pPr>
              <w:jc w:val="center"/>
              <w:rPr>
                <w:rFonts w:cstheme="minorHAnsi"/>
                <w:iCs/>
                <w:sz w:val="18"/>
                <w:szCs w:val="18"/>
              </w:rPr>
            </w:pPr>
            <w:r w:rsidRPr="00AC375F">
              <w:rPr>
                <w:rFonts w:cstheme="minorHAnsi"/>
                <w:iCs/>
                <w:sz w:val="18"/>
                <w:szCs w:val="18"/>
              </w:rPr>
              <w:t>prosinac</w:t>
            </w:r>
          </w:p>
        </w:tc>
        <w:tc>
          <w:tcPr>
            <w:tcW w:w="1563" w:type="dxa"/>
            <w:shd w:val="clear" w:color="auto" w:fill="auto"/>
            <w:noWrap/>
          </w:tcPr>
          <w:p w14:paraId="3CE953A7" w14:textId="77777777" w:rsidR="00AC375F" w:rsidRPr="00AC375F" w:rsidRDefault="00AC375F" w:rsidP="00AC375F">
            <w:pPr>
              <w:jc w:val="center"/>
              <w:rPr>
                <w:sz w:val="18"/>
                <w:szCs w:val="18"/>
              </w:rPr>
            </w:pPr>
            <w:r w:rsidRPr="00AC375F">
              <w:rPr>
                <w:sz w:val="18"/>
                <w:szCs w:val="18"/>
              </w:rPr>
              <w:t>0,25</w:t>
            </w:r>
          </w:p>
        </w:tc>
      </w:tr>
      <w:tr w:rsidR="00AC375F" w:rsidRPr="00AC375F" w14:paraId="4449F83B" w14:textId="77777777" w:rsidTr="00991955">
        <w:trPr>
          <w:trHeight w:val="227"/>
        </w:trPr>
        <w:tc>
          <w:tcPr>
            <w:tcW w:w="4390" w:type="dxa"/>
            <w:shd w:val="clear" w:color="auto" w:fill="auto"/>
            <w:noWrap/>
            <w:vAlign w:val="center"/>
          </w:tcPr>
          <w:p w14:paraId="166E5C80" w14:textId="77777777" w:rsidR="00AC375F" w:rsidRPr="00AC375F" w:rsidRDefault="00AC375F" w:rsidP="00AC375F">
            <w:pPr>
              <w:rPr>
                <w:b/>
                <w:bCs/>
                <w:sz w:val="18"/>
                <w:szCs w:val="18"/>
              </w:rPr>
            </w:pPr>
          </w:p>
        </w:tc>
        <w:tc>
          <w:tcPr>
            <w:tcW w:w="1417" w:type="dxa"/>
            <w:shd w:val="clear" w:color="auto" w:fill="auto"/>
            <w:noWrap/>
            <w:vAlign w:val="center"/>
          </w:tcPr>
          <w:p w14:paraId="22DF5CE3" w14:textId="77777777" w:rsidR="00AC375F" w:rsidRPr="00AC375F" w:rsidRDefault="00AC375F" w:rsidP="00AC375F">
            <w:pPr>
              <w:jc w:val="center"/>
              <w:rPr>
                <w:sz w:val="18"/>
                <w:szCs w:val="18"/>
              </w:rPr>
            </w:pPr>
          </w:p>
        </w:tc>
        <w:tc>
          <w:tcPr>
            <w:tcW w:w="992" w:type="dxa"/>
            <w:shd w:val="clear" w:color="auto" w:fill="auto"/>
            <w:noWrap/>
            <w:vAlign w:val="center"/>
          </w:tcPr>
          <w:p w14:paraId="6DFB47C1" w14:textId="77777777" w:rsidR="00AC375F" w:rsidRPr="00AC375F" w:rsidRDefault="00AC375F" w:rsidP="00AC375F">
            <w:pPr>
              <w:jc w:val="center"/>
              <w:rPr>
                <w:sz w:val="18"/>
                <w:szCs w:val="18"/>
              </w:rPr>
            </w:pPr>
          </w:p>
        </w:tc>
        <w:tc>
          <w:tcPr>
            <w:tcW w:w="993" w:type="dxa"/>
            <w:shd w:val="clear" w:color="auto" w:fill="auto"/>
            <w:noWrap/>
            <w:vAlign w:val="center"/>
          </w:tcPr>
          <w:p w14:paraId="5BFCA867" w14:textId="77777777" w:rsidR="00AC375F" w:rsidRPr="00AC375F" w:rsidRDefault="00AC375F" w:rsidP="00AC375F">
            <w:pPr>
              <w:jc w:val="center"/>
              <w:rPr>
                <w:rFonts w:cstheme="minorHAnsi"/>
                <w:iCs/>
                <w:sz w:val="18"/>
                <w:szCs w:val="18"/>
              </w:rPr>
            </w:pPr>
          </w:p>
        </w:tc>
        <w:tc>
          <w:tcPr>
            <w:tcW w:w="1563" w:type="dxa"/>
            <w:shd w:val="clear" w:color="auto" w:fill="auto"/>
            <w:noWrap/>
            <w:vAlign w:val="center"/>
          </w:tcPr>
          <w:p w14:paraId="06D569D6" w14:textId="77777777" w:rsidR="00AC375F" w:rsidRPr="00AC375F" w:rsidRDefault="00AC375F" w:rsidP="00AC375F">
            <w:pPr>
              <w:jc w:val="center"/>
              <w:rPr>
                <w:sz w:val="18"/>
                <w:szCs w:val="18"/>
              </w:rPr>
            </w:pPr>
          </w:p>
        </w:tc>
      </w:tr>
      <w:tr w:rsidR="00AC375F" w:rsidRPr="00AC375F" w14:paraId="0AE20E5D" w14:textId="77777777" w:rsidTr="00991955">
        <w:trPr>
          <w:trHeight w:val="227"/>
        </w:trPr>
        <w:tc>
          <w:tcPr>
            <w:tcW w:w="4390" w:type="dxa"/>
            <w:shd w:val="clear" w:color="auto" w:fill="auto"/>
            <w:noWrap/>
            <w:vAlign w:val="center"/>
          </w:tcPr>
          <w:p w14:paraId="64C4BFD4" w14:textId="77777777" w:rsidR="00AC375F" w:rsidRPr="00AC375F" w:rsidRDefault="00AC375F" w:rsidP="00AC375F">
            <w:pPr>
              <w:rPr>
                <w:b/>
                <w:bCs/>
                <w:sz w:val="18"/>
                <w:szCs w:val="18"/>
              </w:rPr>
            </w:pPr>
            <w:r w:rsidRPr="00AC375F">
              <w:rPr>
                <w:b/>
                <w:bCs/>
                <w:sz w:val="18"/>
                <w:szCs w:val="18"/>
              </w:rPr>
              <w:t xml:space="preserve">SPOR Task Force </w:t>
            </w:r>
          </w:p>
        </w:tc>
        <w:tc>
          <w:tcPr>
            <w:tcW w:w="1417" w:type="dxa"/>
            <w:shd w:val="clear" w:color="auto" w:fill="auto"/>
            <w:noWrap/>
            <w:vAlign w:val="center"/>
          </w:tcPr>
          <w:p w14:paraId="6B002465"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auto"/>
            <w:noWrap/>
            <w:vAlign w:val="center"/>
          </w:tcPr>
          <w:p w14:paraId="7F81249C" w14:textId="77777777" w:rsidR="00AC375F" w:rsidRPr="00AC375F" w:rsidRDefault="00AC375F" w:rsidP="00AC375F">
            <w:pPr>
              <w:jc w:val="center"/>
              <w:rPr>
                <w:sz w:val="18"/>
                <w:szCs w:val="18"/>
              </w:rPr>
            </w:pPr>
            <w:r w:rsidRPr="00AC375F">
              <w:rPr>
                <w:sz w:val="18"/>
                <w:szCs w:val="18"/>
              </w:rPr>
              <w:t>1</w:t>
            </w:r>
          </w:p>
        </w:tc>
        <w:tc>
          <w:tcPr>
            <w:tcW w:w="993" w:type="dxa"/>
            <w:shd w:val="clear" w:color="auto" w:fill="auto"/>
            <w:noWrap/>
            <w:vAlign w:val="center"/>
          </w:tcPr>
          <w:p w14:paraId="1866607F" w14:textId="77777777" w:rsidR="00AC375F" w:rsidRPr="00AC375F" w:rsidRDefault="00AC375F" w:rsidP="00AC375F">
            <w:pPr>
              <w:jc w:val="center"/>
              <w:rPr>
                <w:rFonts w:cstheme="minorHAnsi"/>
                <w:iCs/>
                <w:sz w:val="18"/>
                <w:szCs w:val="18"/>
              </w:rPr>
            </w:pPr>
            <w:r w:rsidRPr="00AC375F">
              <w:rPr>
                <w:rFonts w:cstheme="minorHAnsi"/>
                <w:iCs/>
                <w:sz w:val="18"/>
                <w:szCs w:val="18"/>
              </w:rPr>
              <w:t>siječanj</w:t>
            </w:r>
          </w:p>
        </w:tc>
        <w:tc>
          <w:tcPr>
            <w:tcW w:w="1563" w:type="dxa"/>
            <w:shd w:val="clear" w:color="auto" w:fill="auto"/>
            <w:noWrap/>
            <w:vAlign w:val="center"/>
          </w:tcPr>
          <w:p w14:paraId="2A90AA4D" w14:textId="77777777" w:rsidR="00AC375F" w:rsidRPr="00AC375F" w:rsidRDefault="00AC375F" w:rsidP="00AC375F">
            <w:pPr>
              <w:jc w:val="center"/>
              <w:rPr>
                <w:sz w:val="18"/>
                <w:szCs w:val="18"/>
              </w:rPr>
            </w:pPr>
            <w:r w:rsidRPr="00AC375F">
              <w:rPr>
                <w:sz w:val="18"/>
                <w:szCs w:val="18"/>
              </w:rPr>
              <w:t>0,1875</w:t>
            </w:r>
          </w:p>
        </w:tc>
      </w:tr>
      <w:tr w:rsidR="00AC375F" w:rsidRPr="00AC375F" w14:paraId="6352C936" w14:textId="77777777" w:rsidTr="00991955">
        <w:trPr>
          <w:trHeight w:val="237"/>
        </w:trPr>
        <w:tc>
          <w:tcPr>
            <w:tcW w:w="4390" w:type="dxa"/>
            <w:shd w:val="clear" w:color="auto" w:fill="auto"/>
            <w:noWrap/>
            <w:vAlign w:val="center"/>
          </w:tcPr>
          <w:p w14:paraId="1D4DB6B7" w14:textId="77777777" w:rsidR="00AC375F" w:rsidRPr="00AC375F" w:rsidRDefault="00AC375F" w:rsidP="00AC375F">
            <w:pPr>
              <w:rPr>
                <w:rFonts w:eastAsia="Times New Roman" w:cstheme="minorHAnsi"/>
                <w:b/>
                <w:iCs/>
                <w:sz w:val="18"/>
                <w:szCs w:val="18"/>
                <w:lang w:val="en-GB"/>
              </w:rPr>
            </w:pPr>
          </w:p>
        </w:tc>
        <w:tc>
          <w:tcPr>
            <w:tcW w:w="1417" w:type="dxa"/>
            <w:shd w:val="clear" w:color="auto" w:fill="auto"/>
            <w:noWrap/>
            <w:vAlign w:val="center"/>
          </w:tcPr>
          <w:p w14:paraId="49675569" w14:textId="77777777" w:rsidR="00AC375F" w:rsidRPr="00AC375F" w:rsidRDefault="00AC375F" w:rsidP="00AC375F">
            <w:pPr>
              <w:jc w:val="center"/>
              <w:rPr>
                <w:sz w:val="18"/>
                <w:szCs w:val="18"/>
              </w:rPr>
            </w:pPr>
          </w:p>
        </w:tc>
        <w:tc>
          <w:tcPr>
            <w:tcW w:w="992" w:type="dxa"/>
            <w:shd w:val="clear" w:color="auto" w:fill="auto"/>
            <w:noWrap/>
            <w:vAlign w:val="center"/>
          </w:tcPr>
          <w:p w14:paraId="1C446933" w14:textId="77777777" w:rsidR="00AC375F" w:rsidRPr="00AC375F" w:rsidRDefault="00AC375F" w:rsidP="00AC375F">
            <w:pPr>
              <w:jc w:val="center"/>
              <w:rPr>
                <w:sz w:val="18"/>
                <w:szCs w:val="18"/>
              </w:rPr>
            </w:pPr>
          </w:p>
        </w:tc>
        <w:tc>
          <w:tcPr>
            <w:tcW w:w="993" w:type="dxa"/>
            <w:shd w:val="clear" w:color="auto" w:fill="auto"/>
            <w:noWrap/>
            <w:vAlign w:val="center"/>
          </w:tcPr>
          <w:p w14:paraId="07848B05" w14:textId="77777777" w:rsidR="00AC375F" w:rsidRPr="00AC375F" w:rsidRDefault="00AC375F" w:rsidP="00AC375F">
            <w:pPr>
              <w:jc w:val="center"/>
              <w:rPr>
                <w:rFonts w:cstheme="minorHAnsi"/>
                <w:iCs/>
                <w:sz w:val="18"/>
                <w:szCs w:val="18"/>
              </w:rPr>
            </w:pPr>
          </w:p>
        </w:tc>
        <w:tc>
          <w:tcPr>
            <w:tcW w:w="1563" w:type="dxa"/>
            <w:shd w:val="clear" w:color="auto" w:fill="auto"/>
            <w:noWrap/>
            <w:vAlign w:val="center"/>
          </w:tcPr>
          <w:p w14:paraId="02D5E8DB" w14:textId="77777777" w:rsidR="00AC375F" w:rsidRPr="00AC375F" w:rsidRDefault="00AC375F" w:rsidP="00AC375F">
            <w:pPr>
              <w:jc w:val="center"/>
              <w:rPr>
                <w:sz w:val="18"/>
                <w:szCs w:val="18"/>
              </w:rPr>
            </w:pPr>
          </w:p>
        </w:tc>
      </w:tr>
      <w:tr w:rsidR="00AC375F" w:rsidRPr="00AC375F" w14:paraId="4839ACCE" w14:textId="77777777" w:rsidTr="00991955">
        <w:trPr>
          <w:trHeight w:val="227"/>
        </w:trPr>
        <w:tc>
          <w:tcPr>
            <w:tcW w:w="4390" w:type="dxa"/>
            <w:shd w:val="clear" w:color="auto" w:fill="auto"/>
            <w:noWrap/>
            <w:vAlign w:val="center"/>
          </w:tcPr>
          <w:p w14:paraId="79FE0A89" w14:textId="77777777" w:rsidR="00AC375F" w:rsidRPr="00AC375F" w:rsidRDefault="00AC375F" w:rsidP="00AC375F">
            <w:pPr>
              <w:rPr>
                <w:b/>
                <w:bCs/>
                <w:sz w:val="18"/>
                <w:szCs w:val="18"/>
              </w:rPr>
            </w:pPr>
            <w:r w:rsidRPr="00AC375F">
              <w:rPr>
                <w:b/>
                <w:bCs/>
                <w:sz w:val="18"/>
                <w:szCs w:val="18"/>
              </w:rPr>
              <w:t>SPOC Working Party</w:t>
            </w:r>
          </w:p>
        </w:tc>
        <w:tc>
          <w:tcPr>
            <w:tcW w:w="1417" w:type="dxa"/>
            <w:shd w:val="clear" w:color="auto" w:fill="auto"/>
            <w:noWrap/>
            <w:vAlign w:val="center"/>
          </w:tcPr>
          <w:p w14:paraId="21E72C86"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auto"/>
            <w:noWrap/>
            <w:vAlign w:val="center"/>
          </w:tcPr>
          <w:p w14:paraId="3CA3C2CF" w14:textId="77777777" w:rsidR="00AC375F" w:rsidRPr="00AC375F" w:rsidRDefault="00AC375F" w:rsidP="00AC375F">
            <w:pPr>
              <w:jc w:val="center"/>
              <w:rPr>
                <w:sz w:val="18"/>
                <w:szCs w:val="18"/>
              </w:rPr>
            </w:pPr>
            <w:r w:rsidRPr="00AC375F">
              <w:rPr>
                <w:sz w:val="18"/>
                <w:szCs w:val="18"/>
              </w:rPr>
              <w:t>2</w:t>
            </w:r>
          </w:p>
        </w:tc>
        <w:tc>
          <w:tcPr>
            <w:tcW w:w="993" w:type="dxa"/>
            <w:shd w:val="clear" w:color="auto" w:fill="auto"/>
            <w:noWrap/>
            <w:vAlign w:val="center"/>
          </w:tcPr>
          <w:p w14:paraId="71754687" w14:textId="77777777" w:rsidR="00AC375F" w:rsidRPr="00AC375F" w:rsidRDefault="00AC375F" w:rsidP="00AC375F">
            <w:pPr>
              <w:jc w:val="center"/>
              <w:rPr>
                <w:sz w:val="18"/>
                <w:szCs w:val="18"/>
              </w:rPr>
            </w:pPr>
            <w:r w:rsidRPr="00AC375F">
              <w:rPr>
                <w:sz w:val="18"/>
                <w:szCs w:val="18"/>
              </w:rPr>
              <w:t>siječanj</w:t>
            </w:r>
          </w:p>
        </w:tc>
        <w:tc>
          <w:tcPr>
            <w:tcW w:w="1563" w:type="dxa"/>
            <w:shd w:val="clear" w:color="auto" w:fill="auto"/>
            <w:noWrap/>
            <w:vAlign w:val="center"/>
          </w:tcPr>
          <w:p w14:paraId="3B1FA640" w14:textId="77777777" w:rsidR="00AC375F" w:rsidRPr="00AC375F" w:rsidRDefault="00AC375F" w:rsidP="00AC375F">
            <w:pPr>
              <w:jc w:val="center"/>
              <w:rPr>
                <w:sz w:val="18"/>
                <w:szCs w:val="18"/>
              </w:rPr>
            </w:pPr>
            <w:r w:rsidRPr="00AC375F">
              <w:rPr>
                <w:sz w:val="18"/>
                <w:szCs w:val="18"/>
              </w:rPr>
              <w:t>1</w:t>
            </w:r>
          </w:p>
        </w:tc>
      </w:tr>
      <w:tr w:rsidR="00AC375F" w:rsidRPr="00AC375F" w14:paraId="6FE53BCD" w14:textId="77777777" w:rsidTr="00991955">
        <w:trPr>
          <w:trHeight w:val="227"/>
        </w:trPr>
        <w:tc>
          <w:tcPr>
            <w:tcW w:w="4390" w:type="dxa"/>
            <w:shd w:val="clear" w:color="auto" w:fill="auto"/>
            <w:noWrap/>
            <w:vAlign w:val="center"/>
          </w:tcPr>
          <w:p w14:paraId="67A74695" w14:textId="77777777" w:rsidR="00AC375F" w:rsidRPr="00AC375F" w:rsidRDefault="00AC375F" w:rsidP="00AC375F">
            <w:pPr>
              <w:rPr>
                <w:b/>
                <w:bCs/>
                <w:sz w:val="18"/>
                <w:szCs w:val="18"/>
              </w:rPr>
            </w:pPr>
          </w:p>
        </w:tc>
        <w:tc>
          <w:tcPr>
            <w:tcW w:w="1417" w:type="dxa"/>
            <w:shd w:val="clear" w:color="auto" w:fill="auto"/>
            <w:noWrap/>
            <w:vAlign w:val="center"/>
          </w:tcPr>
          <w:p w14:paraId="174BA39D"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auto"/>
            <w:noWrap/>
            <w:vAlign w:val="center"/>
          </w:tcPr>
          <w:p w14:paraId="4BD07D93" w14:textId="77777777" w:rsidR="00AC375F" w:rsidRPr="00AC375F" w:rsidRDefault="00AC375F" w:rsidP="00AC375F">
            <w:pPr>
              <w:jc w:val="center"/>
              <w:rPr>
                <w:sz w:val="18"/>
                <w:szCs w:val="18"/>
              </w:rPr>
            </w:pPr>
            <w:r w:rsidRPr="00AC375F">
              <w:rPr>
                <w:sz w:val="18"/>
                <w:szCs w:val="18"/>
              </w:rPr>
              <w:t>2</w:t>
            </w:r>
          </w:p>
        </w:tc>
        <w:tc>
          <w:tcPr>
            <w:tcW w:w="993" w:type="dxa"/>
            <w:shd w:val="clear" w:color="auto" w:fill="auto"/>
            <w:noWrap/>
            <w:vAlign w:val="center"/>
          </w:tcPr>
          <w:p w14:paraId="186E4B71" w14:textId="77777777" w:rsidR="00AC375F" w:rsidRPr="00AC375F" w:rsidRDefault="00AC375F" w:rsidP="00AC375F">
            <w:pPr>
              <w:jc w:val="center"/>
              <w:rPr>
                <w:sz w:val="18"/>
                <w:szCs w:val="18"/>
              </w:rPr>
            </w:pPr>
            <w:r w:rsidRPr="00AC375F">
              <w:rPr>
                <w:sz w:val="18"/>
                <w:szCs w:val="18"/>
              </w:rPr>
              <w:t>veljača</w:t>
            </w:r>
          </w:p>
        </w:tc>
        <w:tc>
          <w:tcPr>
            <w:tcW w:w="1563" w:type="dxa"/>
            <w:shd w:val="clear" w:color="auto" w:fill="auto"/>
            <w:noWrap/>
            <w:vAlign w:val="center"/>
          </w:tcPr>
          <w:p w14:paraId="5A50FC20" w14:textId="77777777" w:rsidR="00AC375F" w:rsidRPr="00AC375F" w:rsidRDefault="00AC375F" w:rsidP="00AC375F">
            <w:pPr>
              <w:jc w:val="center"/>
              <w:rPr>
                <w:sz w:val="18"/>
                <w:szCs w:val="18"/>
              </w:rPr>
            </w:pPr>
            <w:r w:rsidRPr="00AC375F">
              <w:rPr>
                <w:sz w:val="18"/>
                <w:szCs w:val="18"/>
              </w:rPr>
              <w:t>1</w:t>
            </w:r>
          </w:p>
        </w:tc>
      </w:tr>
      <w:tr w:rsidR="00AC375F" w:rsidRPr="00AC375F" w14:paraId="3168222F" w14:textId="77777777" w:rsidTr="00991955">
        <w:trPr>
          <w:trHeight w:val="227"/>
        </w:trPr>
        <w:tc>
          <w:tcPr>
            <w:tcW w:w="4390" w:type="dxa"/>
            <w:shd w:val="clear" w:color="auto" w:fill="auto"/>
            <w:noWrap/>
            <w:vAlign w:val="center"/>
          </w:tcPr>
          <w:p w14:paraId="4834220E" w14:textId="77777777" w:rsidR="00AC375F" w:rsidRPr="00AC375F" w:rsidRDefault="00AC375F" w:rsidP="00AC375F">
            <w:pPr>
              <w:rPr>
                <w:b/>
                <w:bCs/>
                <w:sz w:val="18"/>
                <w:szCs w:val="18"/>
              </w:rPr>
            </w:pPr>
          </w:p>
        </w:tc>
        <w:tc>
          <w:tcPr>
            <w:tcW w:w="1417" w:type="dxa"/>
            <w:shd w:val="clear" w:color="auto" w:fill="auto"/>
            <w:noWrap/>
            <w:vAlign w:val="center"/>
          </w:tcPr>
          <w:p w14:paraId="130B5339"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auto"/>
            <w:noWrap/>
            <w:vAlign w:val="center"/>
          </w:tcPr>
          <w:p w14:paraId="348466E8" w14:textId="77777777" w:rsidR="00AC375F" w:rsidRPr="00AC375F" w:rsidRDefault="00AC375F" w:rsidP="00AC375F">
            <w:pPr>
              <w:jc w:val="center"/>
              <w:rPr>
                <w:sz w:val="18"/>
                <w:szCs w:val="18"/>
              </w:rPr>
            </w:pPr>
            <w:r w:rsidRPr="00AC375F">
              <w:rPr>
                <w:sz w:val="18"/>
                <w:szCs w:val="18"/>
              </w:rPr>
              <w:t>2</w:t>
            </w:r>
          </w:p>
        </w:tc>
        <w:tc>
          <w:tcPr>
            <w:tcW w:w="993" w:type="dxa"/>
            <w:shd w:val="clear" w:color="auto" w:fill="auto"/>
            <w:noWrap/>
            <w:vAlign w:val="center"/>
          </w:tcPr>
          <w:p w14:paraId="566CAAC5" w14:textId="77777777" w:rsidR="00AC375F" w:rsidRPr="00AC375F" w:rsidRDefault="00AC375F" w:rsidP="00AC375F">
            <w:pPr>
              <w:jc w:val="center"/>
              <w:rPr>
                <w:sz w:val="18"/>
                <w:szCs w:val="18"/>
              </w:rPr>
            </w:pPr>
            <w:r w:rsidRPr="00AC375F">
              <w:rPr>
                <w:sz w:val="18"/>
                <w:szCs w:val="18"/>
              </w:rPr>
              <w:t>ožujak</w:t>
            </w:r>
          </w:p>
        </w:tc>
        <w:tc>
          <w:tcPr>
            <w:tcW w:w="1563" w:type="dxa"/>
            <w:shd w:val="clear" w:color="auto" w:fill="auto"/>
            <w:noWrap/>
            <w:vAlign w:val="center"/>
          </w:tcPr>
          <w:p w14:paraId="21E03543" w14:textId="77777777" w:rsidR="00AC375F" w:rsidRPr="00AC375F" w:rsidRDefault="00AC375F" w:rsidP="00AC375F">
            <w:pPr>
              <w:jc w:val="center"/>
              <w:rPr>
                <w:sz w:val="18"/>
                <w:szCs w:val="18"/>
              </w:rPr>
            </w:pPr>
            <w:r w:rsidRPr="00AC375F">
              <w:rPr>
                <w:sz w:val="18"/>
                <w:szCs w:val="18"/>
              </w:rPr>
              <w:t>1</w:t>
            </w:r>
          </w:p>
        </w:tc>
      </w:tr>
      <w:tr w:rsidR="00AC375F" w:rsidRPr="00AC375F" w14:paraId="079649C2" w14:textId="77777777" w:rsidTr="00991955">
        <w:trPr>
          <w:trHeight w:val="227"/>
        </w:trPr>
        <w:tc>
          <w:tcPr>
            <w:tcW w:w="4390" w:type="dxa"/>
            <w:shd w:val="clear" w:color="auto" w:fill="auto"/>
            <w:noWrap/>
          </w:tcPr>
          <w:p w14:paraId="02F42C8F" w14:textId="77777777" w:rsidR="00AC375F" w:rsidRPr="00AC375F" w:rsidRDefault="00AC375F" w:rsidP="00AC375F">
            <w:pPr>
              <w:rPr>
                <w:b/>
                <w:sz w:val="18"/>
                <w:szCs w:val="18"/>
                <w:lang w:val="en"/>
              </w:rPr>
            </w:pPr>
          </w:p>
        </w:tc>
        <w:tc>
          <w:tcPr>
            <w:tcW w:w="1417" w:type="dxa"/>
            <w:shd w:val="clear" w:color="auto" w:fill="auto"/>
            <w:noWrap/>
          </w:tcPr>
          <w:p w14:paraId="6C5E285D"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auto"/>
            <w:noWrap/>
          </w:tcPr>
          <w:p w14:paraId="733F5D63" w14:textId="77777777" w:rsidR="00AC375F" w:rsidRPr="00AC375F" w:rsidRDefault="00AC375F" w:rsidP="00AC375F">
            <w:pPr>
              <w:jc w:val="center"/>
              <w:rPr>
                <w:sz w:val="18"/>
                <w:szCs w:val="18"/>
              </w:rPr>
            </w:pPr>
            <w:r w:rsidRPr="00AC375F">
              <w:rPr>
                <w:sz w:val="18"/>
                <w:szCs w:val="18"/>
              </w:rPr>
              <w:t>2</w:t>
            </w:r>
          </w:p>
        </w:tc>
        <w:tc>
          <w:tcPr>
            <w:tcW w:w="993" w:type="dxa"/>
            <w:shd w:val="clear" w:color="auto" w:fill="auto"/>
            <w:noWrap/>
          </w:tcPr>
          <w:p w14:paraId="60EE9B92" w14:textId="77777777" w:rsidR="00AC375F" w:rsidRPr="00AC375F" w:rsidRDefault="00AC375F" w:rsidP="00AC375F">
            <w:pPr>
              <w:jc w:val="center"/>
              <w:rPr>
                <w:sz w:val="18"/>
                <w:szCs w:val="18"/>
              </w:rPr>
            </w:pPr>
            <w:r w:rsidRPr="00AC375F">
              <w:rPr>
                <w:sz w:val="18"/>
                <w:szCs w:val="18"/>
              </w:rPr>
              <w:t>travanj</w:t>
            </w:r>
          </w:p>
        </w:tc>
        <w:tc>
          <w:tcPr>
            <w:tcW w:w="1563" w:type="dxa"/>
            <w:shd w:val="clear" w:color="auto" w:fill="auto"/>
            <w:noWrap/>
          </w:tcPr>
          <w:p w14:paraId="3CD30C93" w14:textId="77777777" w:rsidR="00AC375F" w:rsidRPr="00AC375F" w:rsidRDefault="00AC375F" w:rsidP="00AC375F">
            <w:pPr>
              <w:jc w:val="center"/>
              <w:rPr>
                <w:sz w:val="18"/>
                <w:szCs w:val="18"/>
              </w:rPr>
            </w:pPr>
            <w:r w:rsidRPr="00AC375F">
              <w:rPr>
                <w:sz w:val="18"/>
                <w:szCs w:val="18"/>
              </w:rPr>
              <w:t>1</w:t>
            </w:r>
          </w:p>
        </w:tc>
      </w:tr>
      <w:tr w:rsidR="00AC375F" w:rsidRPr="00AC375F" w14:paraId="7F00BD17" w14:textId="77777777" w:rsidTr="00991955">
        <w:trPr>
          <w:trHeight w:val="227"/>
        </w:trPr>
        <w:tc>
          <w:tcPr>
            <w:tcW w:w="4390" w:type="dxa"/>
            <w:shd w:val="clear" w:color="auto" w:fill="auto"/>
            <w:noWrap/>
          </w:tcPr>
          <w:p w14:paraId="2B984F99" w14:textId="77777777" w:rsidR="00AC375F" w:rsidRPr="00AC375F" w:rsidRDefault="00AC375F" w:rsidP="00AC375F">
            <w:pPr>
              <w:rPr>
                <w:b/>
                <w:sz w:val="18"/>
                <w:szCs w:val="18"/>
                <w:lang w:val="en"/>
              </w:rPr>
            </w:pPr>
          </w:p>
        </w:tc>
        <w:tc>
          <w:tcPr>
            <w:tcW w:w="1417" w:type="dxa"/>
            <w:shd w:val="clear" w:color="auto" w:fill="auto"/>
            <w:noWrap/>
          </w:tcPr>
          <w:p w14:paraId="0D327C4C"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auto"/>
            <w:noWrap/>
          </w:tcPr>
          <w:p w14:paraId="64D72FAC" w14:textId="77777777" w:rsidR="00AC375F" w:rsidRPr="00AC375F" w:rsidRDefault="00AC375F" w:rsidP="00AC375F">
            <w:pPr>
              <w:jc w:val="center"/>
              <w:rPr>
                <w:sz w:val="18"/>
                <w:szCs w:val="18"/>
              </w:rPr>
            </w:pPr>
            <w:r w:rsidRPr="00AC375F">
              <w:rPr>
                <w:sz w:val="18"/>
                <w:szCs w:val="18"/>
              </w:rPr>
              <w:t>2</w:t>
            </w:r>
          </w:p>
        </w:tc>
        <w:tc>
          <w:tcPr>
            <w:tcW w:w="993" w:type="dxa"/>
            <w:shd w:val="clear" w:color="auto" w:fill="auto"/>
            <w:noWrap/>
          </w:tcPr>
          <w:p w14:paraId="2E4CBEF0" w14:textId="77777777" w:rsidR="00AC375F" w:rsidRPr="00AC375F" w:rsidRDefault="00AC375F" w:rsidP="00AC375F">
            <w:pPr>
              <w:jc w:val="center"/>
              <w:rPr>
                <w:sz w:val="18"/>
                <w:szCs w:val="18"/>
              </w:rPr>
            </w:pPr>
            <w:r w:rsidRPr="00AC375F">
              <w:rPr>
                <w:sz w:val="18"/>
                <w:szCs w:val="18"/>
              </w:rPr>
              <w:t>svibanj</w:t>
            </w:r>
          </w:p>
        </w:tc>
        <w:tc>
          <w:tcPr>
            <w:tcW w:w="1563" w:type="dxa"/>
            <w:shd w:val="clear" w:color="auto" w:fill="auto"/>
            <w:noWrap/>
          </w:tcPr>
          <w:p w14:paraId="5145D4C7" w14:textId="77777777" w:rsidR="00AC375F" w:rsidRPr="00AC375F" w:rsidRDefault="00AC375F" w:rsidP="00AC375F">
            <w:pPr>
              <w:jc w:val="center"/>
              <w:rPr>
                <w:sz w:val="18"/>
                <w:szCs w:val="18"/>
              </w:rPr>
            </w:pPr>
            <w:r w:rsidRPr="00AC375F">
              <w:rPr>
                <w:sz w:val="18"/>
                <w:szCs w:val="18"/>
              </w:rPr>
              <w:t>1</w:t>
            </w:r>
          </w:p>
        </w:tc>
      </w:tr>
      <w:tr w:rsidR="00AC375F" w:rsidRPr="00AC375F" w14:paraId="6F508DA7" w14:textId="77777777" w:rsidTr="00991955">
        <w:trPr>
          <w:trHeight w:val="227"/>
        </w:trPr>
        <w:tc>
          <w:tcPr>
            <w:tcW w:w="4390" w:type="dxa"/>
            <w:shd w:val="clear" w:color="auto" w:fill="auto"/>
            <w:noWrap/>
          </w:tcPr>
          <w:p w14:paraId="5A6323A6" w14:textId="77777777" w:rsidR="00AC375F" w:rsidRPr="00AC375F" w:rsidRDefault="00AC375F" w:rsidP="00AC375F">
            <w:pPr>
              <w:rPr>
                <w:b/>
                <w:sz w:val="18"/>
                <w:szCs w:val="18"/>
                <w:lang w:val="en"/>
              </w:rPr>
            </w:pPr>
          </w:p>
        </w:tc>
        <w:tc>
          <w:tcPr>
            <w:tcW w:w="1417" w:type="dxa"/>
            <w:shd w:val="clear" w:color="auto" w:fill="auto"/>
            <w:noWrap/>
          </w:tcPr>
          <w:p w14:paraId="285B80BB"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auto"/>
            <w:noWrap/>
          </w:tcPr>
          <w:p w14:paraId="59664F36" w14:textId="77777777" w:rsidR="00AC375F" w:rsidRPr="00AC375F" w:rsidRDefault="00AC375F" w:rsidP="00AC375F">
            <w:pPr>
              <w:jc w:val="center"/>
              <w:rPr>
                <w:sz w:val="18"/>
                <w:szCs w:val="18"/>
              </w:rPr>
            </w:pPr>
            <w:r w:rsidRPr="00AC375F">
              <w:rPr>
                <w:sz w:val="18"/>
                <w:szCs w:val="18"/>
              </w:rPr>
              <w:t>2</w:t>
            </w:r>
          </w:p>
        </w:tc>
        <w:tc>
          <w:tcPr>
            <w:tcW w:w="993" w:type="dxa"/>
            <w:shd w:val="clear" w:color="auto" w:fill="auto"/>
            <w:noWrap/>
          </w:tcPr>
          <w:p w14:paraId="44F9BD2F" w14:textId="77777777" w:rsidR="00AC375F" w:rsidRPr="00AC375F" w:rsidRDefault="00AC375F" w:rsidP="00AC375F">
            <w:pPr>
              <w:jc w:val="center"/>
              <w:rPr>
                <w:sz w:val="18"/>
                <w:szCs w:val="18"/>
              </w:rPr>
            </w:pPr>
            <w:r w:rsidRPr="00AC375F">
              <w:rPr>
                <w:sz w:val="18"/>
                <w:szCs w:val="18"/>
              </w:rPr>
              <w:t>lipanj</w:t>
            </w:r>
          </w:p>
        </w:tc>
        <w:tc>
          <w:tcPr>
            <w:tcW w:w="1563" w:type="dxa"/>
            <w:shd w:val="clear" w:color="auto" w:fill="auto"/>
            <w:noWrap/>
          </w:tcPr>
          <w:p w14:paraId="3BDB8380" w14:textId="77777777" w:rsidR="00AC375F" w:rsidRPr="00AC375F" w:rsidRDefault="00AC375F" w:rsidP="00AC375F">
            <w:pPr>
              <w:jc w:val="center"/>
              <w:rPr>
                <w:sz w:val="18"/>
                <w:szCs w:val="18"/>
              </w:rPr>
            </w:pPr>
            <w:r w:rsidRPr="00AC375F">
              <w:rPr>
                <w:sz w:val="18"/>
                <w:szCs w:val="18"/>
              </w:rPr>
              <w:t>1</w:t>
            </w:r>
          </w:p>
        </w:tc>
      </w:tr>
      <w:tr w:rsidR="00AC375F" w:rsidRPr="00AC375F" w14:paraId="734C3D08" w14:textId="77777777" w:rsidTr="00991955">
        <w:trPr>
          <w:trHeight w:val="227"/>
        </w:trPr>
        <w:tc>
          <w:tcPr>
            <w:tcW w:w="4390" w:type="dxa"/>
            <w:shd w:val="clear" w:color="auto" w:fill="auto"/>
            <w:noWrap/>
          </w:tcPr>
          <w:p w14:paraId="00573CCD" w14:textId="77777777" w:rsidR="00AC375F" w:rsidRPr="00AC375F" w:rsidRDefault="00AC375F" w:rsidP="00AC375F">
            <w:pPr>
              <w:rPr>
                <w:b/>
                <w:sz w:val="18"/>
                <w:szCs w:val="18"/>
                <w:lang w:val="en"/>
              </w:rPr>
            </w:pPr>
          </w:p>
        </w:tc>
        <w:tc>
          <w:tcPr>
            <w:tcW w:w="1417" w:type="dxa"/>
            <w:shd w:val="clear" w:color="auto" w:fill="auto"/>
            <w:noWrap/>
          </w:tcPr>
          <w:p w14:paraId="2DC44523"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auto"/>
            <w:noWrap/>
          </w:tcPr>
          <w:p w14:paraId="5D9D2030" w14:textId="77777777" w:rsidR="00AC375F" w:rsidRPr="00AC375F" w:rsidRDefault="00AC375F" w:rsidP="00AC375F">
            <w:pPr>
              <w:jc w:val="center"/>
              <w:rPr>
                <w:sz w:val="18"/>
                <w:szCs w:val="18"/>
              </w:rPr>
            </w:pPr>
            <w:r w:rsidRPr="00AC375F">
              <w:rPr>
                <w:sz w:val="18"/>
                <w:szCs w:val="18"/>
              </w:rPr>
              <w:t>1</w:t>
            </w:r>
          </w:p>
        </w:tc>
        <w:tc>
          <w:tcPr>
            <w:tcW w:w="993" w:type="dxa"/>
            <w:shd w:val="clear" w:color="auto" w:fill="auto"/>
            <w:noWrap/>
          </w:tcPr>
          <w:p w14:paraId="6FE8BCCF" w14:textId="77777777" w:rsidR="00AC375F" w:rsidRPr="00AC375F" w:rsidRDefault="00AC375F" w:rsidP="00AC375F">
            <w:pPr>
              <w:jc w:val="center"/>
              <w:rPr>
                <w:sz w:val="18"/>
                <w:szCs w:val="18"/>
              </w:rPr>
            </w:pPr>
            <w:r w:rsidRPr="00AC375F">
              <w:rPr>
                <w:sz w:val="18"/>
                <w:szCs w:val="18"/>
              </w:rPr>
              <w:t>srpanj</w:t>
            </w:r>
          </w:p>
        </w:tc>
        <w:tc>
          <w:tcPr>
            <w:tcW w:w="1563" w:type="dxa"/>
            <w:shd w:val="clear" w:color="auto" w:fill="auto"/>
            <w:noWrap/>
          </w:tcPr>
          <w:p w14:paraId="4EA03634" w14:textId="77777777" w:rsidR="00AC375F" w:rsidRPr="00AC375F" w:rsidRDefault="00AC375F" w:rsidP="00AC375F">
            <w:pPr>
              <w:jc w:val="center"/>
              <w:rPr>
                <w:sz w:val="18"/>
                <w:szCs w:val="18"/>
              </w:rPr>
            </w:pPr>
            <w:r w:rsidRPr="00AC375F">
              <w:rPr>
                <w:sz w:val="18"/>
                <w:szCs w:val="18"/>
              </w:rPr>
              <w:t>1</w:t>
            </w:r>
          </w:p>
        </w:tc>
      </w:tr>
      <w:tr w:rsidR="00AC375F" w:rsidRPr="00AC375F" w14:paraId="16BFFF61" w14:textId="77777777" w:rsidTr="00991955">
        <w:trPr>
          <w:trHeight w:val="227"/>
        </w:trPr>
        <w:tc>
          <w:tcPr>
            <w:tcW w:w="4390" w:type="dxa"/>
            <w:shd w:val="clear" w:color="auto" w:fill="auto"/>
            <w:noWrap/>
          </w:tcPr>
          <w:p w14:paraId="4ECE5B6F" w14:textId="77777777" w:rsidR="00AC375F" w:rsidRPr="00AC375F" w:rsidRDefault="00AC375F" w:rsidP="00AC375F">
            <w:pPr>
              <w:rPr>
                <w:b/>
                <w:sz w:val="18"/>
                <w:szCs w:val="18"/>
                <w:lang w:val="en"/>
              </w:rPr>
            </w:pPr>
          </w:p>
        </w:tc>
        <w:tc>
          <w:tcPr>
            <w:tcW w:w="1417" w:type="dxa"/>
            <w:shd w:val="clear" w:color="auto" w:fill="auto"/>
            <w:noWrap/>
          </w:tcPr>
          <w:p w14:paraId="5D969128"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auto"/>
            <w:noWrap/>
          </w:tcPr>
          <w:p w14:paraId="744B9195" w14:textId="77777777" w:rsidR="00AC375F" w:rsidRPr="00AC375F" w:rsidRDefault="00AC375F" w:rsidP="00AC375F">
            <w:pPr>
              <w:jc w:val="center"/>
              <w:rPr>
                <w:sz w:val="18"/>
                <w:szCs w:val="18"/>
              </w:rPr>
            </w:pPr>
            <w:r w:rsidRPr="00AC375F">
              <w:rPr>
                <w:sz w:val="18"/>
                <w:szCs w:val="18"/>
              </w:rPr>
              <w:t>2</w:t>
            </w:r>
          </w:p>
        </w:tc>
        <w:tc>
          <w:tcPr>
            <w:tcW w:w="993" w:type="dxa"/>
            <w:shd w:val="clear" w:color="auto" w:fill="auto"/>
            <w:noWrap/>
          </w:tcPr>
          <w:p w14:paraId="121CEA1B" w14:textId="77777777" w:rsidR="00AC375F" w:rsidRPr="00AC375F" w:rsidRDefault="00AC375F" w:rsidP="00AC375F">
            <w:pPr>
              <w:jc w:val="center"/>
              <w:rPr>
                <w:sz w:val="18"/>
                <w:szCs w:val="18"/>
              </w:rPr>
            </w:pPr>
            <w:r w:rsidRPr="00AC375F">
              <w:rPr>
                <w:sz w:val="18"/>
                <w:szCs w:val="18"/>
              </w:rPr>
              <w:t>rujan</w:t>
            </w:r>
          </w:p>
        </w:tc>
        <w:tc>
          <w:tcPr>
            <w:tcW w:w="1563" w:type="dxa"/>
            <w:shd w:val="clear" w:color="auto" w:fill="auto"/>
            <w:noWrap/>
          </w:tcPr>
          <w:p w14:paraId="7A4DD3B7" w14:textId="77777777" w:rsidR="00AC375F" w:rsidRPr="00AC375F" w:rsidRDefault="00AC375F" w:rsidP="00AC375F">
            <w:pPr>
              <w:jc w:val="center"/>
              <w:rPr>
                <w:sz w:val="18"/>
                <w:szCs w:val="18"/>
              </w:rPr>
            </w:pPr>
            <w:r w:rsidRPr="00AC375F">
              <w:rPr>
                <w:sz w:val="18"/>
                <w:szCs w:val="18"/>
              </w:rPr>
              <w:t>1</w:t>
            </w:r>
          </w:p>
        </w:tc>
      </w:tr>
      <w:tr w:rsidR="00AC375F" w:rsidRPr="00AC375F" w14:paraId="5786BA7A" w14:textId="77777777" w:rsidTr="00991955">
        <w:trPr>
          <w:trHeight w:val="227"/>
        </w:trPr>
        <w:tc>
          <w:tcPr>
            <w:tcW w:w="4390" w:type="dxa"/>
            <w:shd w:val="clear" w:color="auto" w:fill="auto"/>
            <w:noWrap/>
          </w:tcPr>
          <w:p w14:paraId="5EB4F54B" w14:textId="77777777" w:rsidR="00AC375F" w:rsidRPr="00AC375F" w:rsidRDefault="00AC375F" w:rsidP="00AC375F">
            <w:pPr>
              <w:rPr>
                <w:b/>
                <w:sz w:val="18"/>
                <w:szCs w:val="18"/>
                <w:lang w:val="en"/>
              </w:rPr>
            </w:pPr>
          </w:p>
        </w:tc>
        <w:tc>
          <w:tcPr>
            <w:tcW w:w="1417" w:type="dxa"/>
            <w:shd w:val="clear" w:color="auto" w:fill="auto"/>
            <w:noWrap/>
          </w:tcPr>
          <w:p w14:paraId="5F331BE8"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auto"/>
            <w:noWrap/>
          </w:tcPr>
          <w:p w14:paraId="46C26F11" w14:textId="77777777" w:rsidR="00AC375F" w:rsidRPr="00AC375F" w:rsidRDefault="00AC375F" w:rsidP="00AC375F">
            <w:pPr>
              <w:jc w:val="center"/>
              <w:rPr>
                <w:sz w:val="18"/>
                <w:szCs w:val="18"/>
              </w:rPr>
            </w:pPr>
            <w:r w:rsidRPr="00AC375F">
              <w:rPr>
                <w:sz w:val="18"/>
                <w:szCs w:val="18"/>
              </w:rPr>
              <w:t>2</w:t>
            </w:r>
          </w:p>
        </w:tc>
        <w:tc>
          <w:tcPr>
            <w:tcW w:w="993" w:type="dxa"/>
            <w:shd w:val="clear" w:color="auto" w:fill="auto"/>
            <w:noWrap/>
          </w:tcPr>
          <w:p w14:paraId="2C2BCC93" w14:textId="77777777" w:rsidR="00AC375F" w:rsidRPr="00AC375F" w:rsidRDefault="00AC375F" w:rsidP="00AC375F">
            <w:pPr>
              <w:jc w:val="center"/>
              <w:rPr>
                <w:sz w:val="18"/>
                <w:szCs w:val="18"/>
              </w:rPr>
            </w:pPr>
            <w:r w:rsidRPr="00AC375F">
              <w:rPr>
                <w:sz w:val="18"/>
                <w:szCs w:val="18"/>
              </w:rPr>
              <w:t>rujan</w:t>
            </w:r>
          </w:p>
        </w:tc>
        <w:tc>
          <w:tcPr>
            <w:tcW w:w="1563" w:type="dxa"/>
            <w:shd w:val="clear" w:color="auto" w:fill="auto"/>
            <w:noWrap/>
          </w:tcPr>
          <w:p w14:paraId="2753DE5F" w14:textId="77777777" w:rsidR="00AC375F" w:rsidRPr="00AC375F" w:rsidRDefault="00AC375F" w:rsidP="00AC375F">
            <w:pPr>
              <w:jc w:val="center"/>
              <w:rPr>
                <w:sz w:val="18"/>
                <w:szCs w:val="18"/>
              </w:rPr>
            </w:pPr>
            <w:r w:rsidRPr="00AC375F">
              <w:rPr>
                <w:sz w:val="18"/>
                <w:szCs w:val="18"/>
              </w:rPr>
              <w:t>1</w:t>
            </w:r>
          </w:p>
        </w:tc>
      </w:tr>
      <w:tr w:rsidR="00AC375F" w:rsidRPr="00AC375F" w14:paraId="3EC588EA" w14:textId="77777777" w:rsidTr="00991955">
        <w:trPr>
          <w:trHeight w:val="227"/>
        </w:trPr>
        <w:tc>
          <w:tcPr>
            <w:tcW w:w="4390" w:type="dxa"/>
            <w:shd w:val="clear" w:color="auto" w:fill="auto"/>
            <w:noWrap/>
          </w:tcPr>
          <w:p w14:paraId="66ACBD99" w14:textId="77777777" w:rsidR="00AC375F" w:rsidRPr="00AC375F" w:rsidRDefault="00AC375F" w:rsidP="00AC375F">
            <w:pPr>
              <w:rPr>
                <w:b/>
                <w:sz w:val="18"/>
                <w:szCs w:val="18"/>
                <w:lang w:val="en"/>
              </w:rPr>
            </w:pPr>
          </w:p>
        </w:tc>
        <w:tc>
          <w:tcPr>
            <w:tcW w:w="1417" w:type="dxa"/>
            <w:shd w:val="clear" w:color="auto" w:fill="auto"/>
            <w:noWrap/>
          </w:tcPr>
          <w:p w14:paraId="0BF28A46"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auto"/>
            <w:noWrap/>
          </w:tcPr>
          <w:p w14:paraId="72AF6449" w14:textId="77777777" w:rsidR="00AC375F" w:rsidRPr="00AC375F" w:rsidRDefault="00AC375F" w:rsidP="00AC375F">
            <w:pPr>
              <w:jc w:val="center"/>
              <w:rPr>
                <w:sz w:val="18"/>
                <w:szCs w:val="18"/>
              </w:rPr>
            </w:pPr>
            <w:r w:rsidRPr="00AC375F">
              <w:rPr>
                <w:sz w:val="18"/>
                <w:szCs w:val="18"/>
              </w:rPr>
              <w:t>2</w:t>
            </w:r>
          </w:p>
        </w:tc>
        <w:tc>
          <w:tcPr>
            <w:tcW w:w="993" w:type="dxa"/>
            <w:shd w:val="clear" w:color="auto" w:fill="auto"/>
            <w:noWrap/>
          </w:tcPr>
          <w:p w14:paraId="4DA741F3" w14:textId="77777777" w:rsidR="00AC375F" w:rsidRPr="00AC375F" w:rsidRDefault="00AC375F" w:rsidP="00AC375F">
            <w:pPr>
              <w:jc w:val="center"/>
              <w:rPr>
                <w:sz w:val="18"/>
                <w:szCs w:val="18"/>
              </w:rPr>
            </w:pPr>
            <w:r w:rsidRPr="00AC375F">
              <w:rPr>
                <w:sz w:val="18"/>
                <w:szCs w:val="18"/>
              </w:rPr>
              <w:t>rujan</w:t>
            </w:r>
          </w:p>
        </w:tc>
        <w:tc>
          <w:tcPr>
            <w:tcW w:w="1563" w:type="dxa"/>
            <w:shd w:val="clear" w:color="auto" w:fill="auto"/>
            <w:noWrap/>
          </w:tcPr>
          <w:p w14:paraId="2499E3D1" w14:textId="77777777" w:rsidR="00AC375F" w:rsidRPr="00AC375F" w:rsidRDefault="00AC375F" w:rsidP="00AC375F">
            <w:pPr>
              <w:jc w:val="center"/>
              <w:rPr>
                <w:sz w:val="18"/>
                <w:szCs w:val="18"/>
              </w:rPr>
            </w:pPr>
            <w:r w:rsidRPr="00AC375F">
              <w:rPr>
                <w:sz w:val="18"/>
                <w:szCs w:val="18"/>
              </w:rPr>
              <w:t>1</w:t>
            </w:r>
          </w:p>
        </w:tc>
      </w:tr>
      <w:tr w:rsidR="00AC375F" w:rsidRPr="00AC375F" w14:paraId="423C3819" w14:textId="77777777" w:rsidTr="00991955">
        <w:trPr>
          <w:trHeight w:val="227"/>
        </w:trPr>
        <w:tc>
          <w:tcPr>
            <w:tcW w:w="4390" w:type="dxa"/>
            <w:shd w:val="clear" w:color="auto" w:fill="auto"/>
            <w:noWrap/>
          </w:tcPr>
          <w:p w14:paraId="3B22577E" w14:textId="77777777" w:rsidR="00AC375F" w:rsidRPr="00AC375F" w:rsidRDefault="00AC375F" w:rsidP="00AC375F">
            <w:pPr>
              <w:rPr>
                <w:b/>
                <w:sz w:val="18"/>
                <w:szCs w:val="18"/>
                <w:lang w:val="en"/>
              </w:rPr>
            </w:pPr>
          </w:p>
        </w:tc>
        <w:tc>
          <w:tcPr>
            <w:tcW w:w="1417" w:type="dxa"/>
            <w:shd w:val="clear" w:color="auto" w:fill="auto"/>
            <w:noWrap/>
          </w:tcPr>
          <w:p w14:paraId="2F83587D"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auto"/>
            <w:noWrap/>
          </w:tcPr>
          <w:p w14:paraId="5CE67379" w14:textId="77777777" w:rsidR="00AC375F" w:rsidRPr="00AC375F" w:rsidRDefault="00AC375F" w:rsidP="00AC375F">
            <w:pPr>
              <w:jc w:val="center"/>
              <w:rPr>
                <w:sz w:val="18"/>
                <w:szCs w:val="18"/>
              </w:rPr>
            </w:pPr>
            <w:r w:rsidRPr="00AC375F">
              <w:rPr>
                <w:sz w:val="18"/>
                <w:szCs w:val="18"/>
              </w:rPr>
              <w:t>2</w:t>
            </w:r>
          </w:p>
        </w:tc>
        <w:tc>
          <w:tcPr>
            <w:tcW w:w="993" w:type="dxa"/>
            <w:shd w:val="clear" w:color="auto" w:fill="auto"/>
            <w:noWrap/>
          </w:tcPr>
          <w:p w14:paraId="0FE8CE6A" w14:textId="77777777" w:rsidR="00AC375F" w:rsidRPr="00AC375F" w:rsidRDefault="00AC375F" w:rsidP="00AC375F">
            <w:pPr>
              <w:jc w:val="center"/>
              <w:rPr>
                <w:sz w:val="18"/>
                <w:szCs w:val="18"/>
              </w:rPr>
            </w:pPr>
            <w:r w:rsidRPr="00AC375F">
              <w:rPr>
                <w:sz w:val="18"/>
                <w:szCs w:val="18"/>
              </w:rPr>
              <w:t>rujan</w:t>
            </w:r>
          </w:p>
        </w:tc>
        <w:tc>
          <w:tcPr>
            <w:tcW w:w="1563" w:type="dxa"/>
            <w:shd w:val="clear" w:color="auto" w:fill="auto"/>
            <w:noWrap/>
          </w:tcPr>
          <w:p w14:paraId="714369BC" w14:textId="77777777" w:rsidR="00AC375F" w:rsidRPr="00AC375F" w:rsidRDefault="00AC375F" w:rsidP="00AC375F">
            <w:pPr>
              <w:jc w:val="center"/>
              <w:rPr>
                <w:sz w:val="18"/>
                <w:szCs w:val="18"/>
              </w:rPr>
            </w:pPr>
            <w:r w:rsidRPr="00AC375F">
              <w:rPr>
                <w:sz w:val="18"/>
                <w:szCs w:val="18"/>
              </w:rPr>
              <w:t>1</w:t>
            </w:r>
          </w:p>
        </w:tc>
      </w:tr>
      <w:tr w:rsidR="00AC375F" w:rsidRPr="00AC375F" w14:paraId="00F48964" w14:textId="77777777" w:rsidTr="00991955">
        <w:trPr>
          <w:trHeight w:val="227"/>
        </w:trPr>
        <w:tc>
          <w:tcPr>
            <w:tcW w:w="4390" w:type="dxa"/>
            <w:shd w:val="clear" w:color="auto" w:fill="auto"/>
            <w:noWrap/>
          </w:tcPr>
          <w:p w14:paraId="1B40F904" w14:textId="77777777" w:rsidR="00AC375F" w:rsidRPr="00AC375F" w:rsidRDefault="00AC375F" w:rsidP="00AC375F">
            <w:pPr>
              <w:rPr>
                <w:b/>
                <w:sz w:val="18"/>
                <w:szCs w:val="18"/>
                <w:lang w:val="en"/>
              </w:rPr>
            </w:pPr>
          </w:p>
        </w:tc>
        <w:tc>
          <w:tcPr>
            <w:tcW w:w="1417" w:type="dxa"/>
            <w:shd w:val="clear" w:color="auto" w:fill="auto"/>
            <w:noWrap/>
          </w:tcPr>
          <w:p w14:paraId="269DD171"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auto"/>
            <w:noWrap/>
          </w:tcPr>
          <w:p w14:paraId="0F789E5E" w14:textId="77777777" w:rsidR="00AC375F" w:rsidRPr="00AC375F" w:rsidRDefault="00AC375F" w:rsidP="00AC375F">
            <w:pPr>
              <w:jc w:val="center"/>
              <w:rPr>
                <w:sz w:val="18"/>
                <w:szCs w:val="18"/>
              </w:rPr>
            </w:pPr>
            <w:r w:rsidRPr="00AC375F">
              <w:rPr>
                <w:sz w:val="18"/>
                <w:szCs w:val="18"/>
              </w:rPr>
              <w:t>2</w:t>
            </w:r>
          </w:p>
        </w:tc>
        <w:tc>
          <w:tcPr>
            <w:tcW w:w="993" w:type="dxa"/>
            <w:shd w:val="clear" w:color="auto" w:fill="auto"/>
            <w:noWrap/>
          </w:tcPr>
          <w:p w14:paraId="2160261C" w14:textId="77777777" w:rsidR="00AC375F" w:rsidRPr="00AC375F" w:rsidRDefault="00AC375F" w:rsidP="00AC375F">
            <w:pPr>
              <w:jc w:val="center"/>
              <w:rPr>
                <w:sz w:val="18"/>
                <w:szCs w:val="18"/>
              </w:rPr>
            </w:pPr>
            <w:r w:rsidRPr="00AC375F">
              <w:rPr>
                <w:sz w:val="18"/>
                <w:szCs w:val="18"/>
              </w:rPr>
              <w:t>listopad</w:t>
            </w:r>
          </w:p>
        </w:tc>
        <w:tc>
          <w:tcPr>
            <w:tcW w:w="1563" w:type="dxa"/>
            <w:shd w:val="clear" w:color="auto" w:fill="auto"/>
            <w:noWrap/>
          </w:tcPr>
          <w:p w14:paraId="00A2CF3A" w14:textId="77777777" w:rsidR="00AC375F" w:rsidRPr="00AC375F" w:rsidRDefault="00AC375F" w:rsidP="00AC375F">
            <w:pPr>
              <w:jc w:val="center"/>
              <w:rPr>
                <w:sz w:val="18"/>
                <w:szCs w:val="18"/>
              </w:rPr>
            </w:pPr>
            <w:r w:rsidRPr="00AC375F">
              <w:rPr>
                <w:sz w:val="18"/>
                <w:szCs w:val="18"/>
              </w:rPr>
              <w:t>1</w:t>
            </w:r>
          </w:p>
        </w:tc>
      </w:tr>
      <w:tr w:rsidR="00AC375F" w:rsidRPr="00AC375F" w14:paraId="32D7B497" w14:textId="77777777" w:rsidTr="00991955">
        <w:trPr>
          <w:trHeight w:val="227"/>
        </w:trPr>
        <w:tc>
          <w:tcPr>
            <w:tcW w:w="4390" w:type="dxa"/>
            <w:shd w:val="clear" w:color="auto" w:fill="auto"/>
            <w:noWrap/>
          </w:tcPr>
          <w:p w14:paraId="40475FFA" w14:textId="77777777" w:rsidR="00AC375F" w:rsidRPr="00AC375F" w:rsidRDefault="00AC375F" w:rsidP="00AC375F">
            <w:pPr>
              <w:rPr>
                <w:b/>
                <w:sz w:val="18"/>
                <w:szCs w:val="18"/>
                <w:lang w:val="en"/>
              </w:rPr>
            </w:pPr>
          </w:p>
        </w:tc>
        <w:tc>
          <w:tcPr>
            <w:tcW w:w="1417" w:type="dxa"/>
            <w:shd w:val="clear" w:color="auto" w:fill="auto"/>
            <w:noWrap/>
          </w:tcPr>
          <w:p w14:paraId="0D39C3F7"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auto"/>
            <w:noWrap/>
          </w:tcPr>
          <w:p w14:paraId="7C1F8031" w14:textId="77777777" w:rsidR="00AC375F" w:rsidRPr="00AC375F" w:rsidRDefault="00AC375F" w:rsidP="00AC375F">
            <w:pPr>
              <w:jc w:val="center"/>
              <w:rPr>
                <w:sz w:val="18"/>
                <w:szCs w:val="18"/>
              </w:rPr>
            </w:pPr>
            <w:r w:rsidRPr="00AC375F">
              <w:rPr>
                <w:sz w:val="18"/>
                <w:szCs w:val="18"/>
              </w:rPr>
              <w:t>2</w:t>
            </w:r>
          </w:p>
        </w:tc>
        <w:tc>
          <w:tcPr>
            <w:tcW w:w="993" w:type="dxa"/>
            <w:shd w:val="clear" w:color="auto" w:fill="auto"/>
            <w:noWrap/>
          </w:tcPr>
          <w:p w14:paraId="5F85D11C" w14:textId="77777777" w:rsidR="00AC375F" w:rsidRPr="00AC375F" w:rsidRDefault="00AC375F" w:rsidP="00AC375F">
            <w:pPr>
              <w:jc w:val="center"/>
              <w:rPr>
                <w:sz w:val="18"/>
                <w:szCs w:val="18"/>
              </w:rPr>
            </w:pPr>
            <w:r w:rsidRPr="00AC375F">
              <w:rPr>
                <w:sz w:val="18"/>
                <w:szCs w:val="18"/>
              </w:rPr>
              <w:t>studeni</w:t>
            </w:r>
          </w:p>
        </w:tc>
        <w:tc>
          <w:tcPr>
            <w:tcW w:w="1563" w:type="dxa"/>
            <w:shd w:val="clear" w:color="auto" w:fill="auto"/>
            <w:noWrap/>
          </w:tcPr>
          <w:p w14:paraId="2BB3FC02" w14:textId="77777777" w:rsidR="00AC375F" w:rsidRPr="00AC375F" w:rsidRDefault="00AC375F" w:rsidP="00AC375F">
            <w:pPr>
              <w:jc w:val="center"/>
              <w:rPr>
                <w:sz w:val="18"/>
                <w:szCs w:val="18"/>
              </w:rPr>
            </w:pPr>
            <w:r w:rsidRPr="00AC375F">
              <w:rPr>
                <w:sz w:val="18"/>
                <w:szCs w:val="18"/>
              </w:rPr>
              <w:t>1</w:t>
            </w:r>
          </w:p>
        </w:tc>
      </w:tr>
      <w:tr w:rsidR="00AC375F" w:rsidRPr="00AC375F" w14:paraId="307E8C94" w14:textId="77777777" w:rsidTr="00991955">
        <w:trPr>
          <w:trHeight w:val="227"/>
        </w:trPr>
        <w:tc>
          <w:tcPr>
            <w:tcW w:w="4390" w:type="dxa"/>
            <w:shd w:val="clear" w:color="auto" w:fill="auto"/>
            <w:noWrap/>
          </w:tcPr>
          <w:p w14:paraId="1837D2DC" w14:textId="77777777" w:rsidR="00AC375F" w:rsidRPr="00AC375F" w:rsidRDefault="00AC375F" w:rsidP="00AC375F">
            <w:pPr>
              <w:rPr>
                <w:b/>
                <w:sz w:val="18"/>
                <w:szCs w:val="18"/>
                <w:lang w:val="en"/>
              </w:rPr>
            </w:pPr>
          </w:p>
        </w:tc>
        <w:tc>
          <w:tcPr>
            <w:tcW w:w="1417" w:type="dxa"/>
            <w:shd w:val="clear" w:color="auto" w:fill="auto"/>
            <w:noWrap/>
          </w:tcPr>
          <w:p w14:paraId="30A0F8C5"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auto"/>
            <w:noWrap/>
          </w:tcPr>
          <w:p w14:paraId="2A7475E9" w14:textId="77777777" w:rsidR="00AC375F" w:rsidRPr="00AC375F" w:rsidRDefault="00AC375F" w:rsidP="00AC375F">
            <w:pPr>
              <w:jc w:val="center"/>
              <w:rPr>
                <w:sz w:val="18"/>
                <w:szCs w:val="18"/>
              </w:rPr>
            </w:pPr>
            <w:r w:rsidRPr="00AC375F">
              <w:rPr>
                <w:sz w:val="18"/>
                <w:szCs w:val="18"/>
              </w:rPr>
              <w:t>2</w:t>
            </w:r>
          </w:p>
        </w:tc>
        <w:tc>
          <w:tcPr>
            <w:tcW w:w="993" w:type="dxa"/>
            <w:shd w:val="clear" w:color="auto" w:fill="auto"/>
            <w:noWrap/>
          </w:tcPr>
          <w:p w14:paraId="50DC250A" w14:textId="77777777" w:rsidR="00AC375F" w:rsidRPr="00AC375F" w:rsidRDefault="00AC375F" w:rsidP="00AC375F">
            <w:pPr>
              <w:jc w:val="center"/>
              <w:rPr>
                <w:sz w:val="18"/>
                <w:szCs w:val="18"/>
              </w:rPr>
            </w:pPr>
            <w:r w:rsidRPr="00AC375F">
              <w:rPr>
                <w:sz w:val="18"/>
                <w:szCs w:val="18"/>
              </w:rPr>
              <w:t>prosinac</w:t>
            </w:r>
          </w:p>
        </w:tc>
        <w:tc>
          <w:tcPr>
            <w:tcW w:w="1563" w:type="dxa"/>
            <w:shd w:val="clear" w:color="auto" w:fill="auto"/>
            <w:noWrap/>
          </w:tcPr>
          <w:p w14:paraId="2885CFB8" w14:textId="77777777" w:rsidR="00AC375F" w:rsidRPr="00AC375F" w:rsidRDefault="00AC375F" w:rsidP="00AC375F">
            <w:pPr>
              <w:jc w:val="center"/>
              <w:rPr>
                <w:sz w:val="18"/>
                <w:szCs w:val="18"/>
              </w:rPr>
            </w:pPr>
            <w:r w:rsidRPr="00AC375F">
              <w:rPr>
                <w:sz w:val="18"/>
                <w:szCs w:val="18"/>
              </w:rPr>
              <w:t>1</w:t>
            </w:r>
          </w:p>
        </w:tc>
      </w:tr>
      <w:tr w:rsidR="00AC375F" w:rsidRPr="00AC375F" w14:paraId="589F6562" w14:textId="77777777" w:rsidTr="00991955">
        <w:trPr>
          <w:trHeight w:val="227"/>
        </w:trPr>
        <w:tc>
          <w:tcPr>
            <w:tcW w:w="4390" w:type="dxa"/>
            <w:shd w:val="clear" w:color="auto" w:fill="auto"/>
            <w:noWrap/>
          </w:tcPr>
          <w:p w14:paraId="01E3CF3A" w14:textId="77777777" w:rsidR="00AC375F" w:rsidRPr="00AC375F" w:rsidRDefault="00AC375F" w:rsidP="00AC375F">
            <w:pPr>
              <w:rPr>
                <w:b/>
                <w:sz w:val="18"/>
                <w:szCs w:val="18"/>
                <w:lang w:val="en"/>
              </w:rPr>
            </w:pPr>
          </w:p>
        </w:tc>
        <w:tc>
          <w:tcPr>
            <w:tcW w:w="1417" w:type="dxa"/>
            <w:shd w:val="clear" w:color="auto" w:fill="auto"/>
            <w:noWrap/>
          </w:tcPr>
          <w:p w14:paraId="1B91A629" w14:textId="77777777" w:rsidR="00AC375F" w:rsidRPr="00AC375F" w:rsidRDefault="00AC375F" w:rsidP="00AC375F">
            <w:pPr>
              <w:jc w:val="center"/>
              <w:rPr>
                <w:sz w:val="18"/>
                <w:szCs w:val="18"/>
              </w:rPr>
            </w:pPr>
          </w:p>
        </w:tc>
        <w:tc>
          <w:tcPr>
            <w:tcW w:w="992" w:type="dxa"/>
            <w:shd w:val="clear" w:color="auto" w:fill="auto"/>
            <w:noWrap/>
          </w:tcPr>
          <w:p w14:paraId="3DA02E51" w14:textId="77777777" w:rsidR="00AC375F" w:rsidRPr="00AC375F" w:rsidRDefault="00AC375F" w:rsidP="00AC375F">
            <w:pPr>
              <w:jc w:val="center"/>
              <w:rPr>
                <w:sz w:val="18"/>
                <w:szCs w:val="18"/>
              </w:rPr>
            </w:pPr>
          </w:p>
        </w:tc>
        <w:tc>
          <w:tcPr>
            <w:tcW w:w="993" w:type="dxa"/>
            <w:shd w:val="clear" w:color="auto" w:fill="auto"/>
            <w:noWrap/>
          </w:tcPr>
          <w:p w14:paraId="451DA57A" w14:textId="77777777" w:rsidR="00AC375F" w:rsidRPr="00AC375F" w:rsidRDefault="00AC375F" w:rsidP="00AC375F">
            <w:pPr>
              <w:jc w:val="center"/>
              <w:rPr>
                <w:sz w:val="18"/>
                <w:szCs w:val="18"/>
              </w:rPr>
            </w:pPr>
          </w:p>
        </w:tc>
        <w:tc>
          <w:tcPr>
            <w:tcW w:w="1563" w:type="dxa"/>
            <w:shd w:val="clear" w:color="auto" w:fill="auto"/>
            <w:noWrap/>
          </w:tcPr>
          <w:p w14:paraId="1D62212C" w14:textId="77777777" w:rsidR="00AC375F" w:rsidRPr="00AC375F" w:rsidRDefault="00AC375F" w:rsidP="00AC375F">
            <w:pPr>
              <w:jc w:val="center"/>
              <w:rPr>
                <w:sz w:val="18"/>
                <w:szCs w:val="18"/>
              </w:rPr>
            </w:pPr>
          </w:p>
        </w:tc>
      </w:tr>
      <w:tr w:rsidR="00AC375F" w:rsidRPr="00AC375F" w14:paraId="04250799" w14:textId="77777777" w:rsidTr="00991955">
        <w:trPr>
          <w:trHeight w:val="227"/>
        </w:trPr>
        <w:tc>
          <w:tcPr>
            <w:tcW w:w="4390" w:type="dxa"/>
            <w:shd w:val="clear" w:color="auto" w:fill="auto"/>
            <w:noWrap/>
            <w:vAlign w:val="center"/>
          </w:tcPr>
          <w:p w14:paraId="7601369E" w14:textId="77777777" w:rsidR="00AC375F" w:rsidRPr="00AC375F" w:rsidRDefault="00AC375F" w:rsidP="00AC375F">
            <w:pPr>
              <w:rPr>
                <w:b/>
                <w:bCs/>
                <w:sz w:val="18"/>
                <w:szCs w:val="18"/>
              </w:rPr>
            </w:pPr>
            <w:r w:rsidRPr="00AC375F">
              <w:rPr>
                <w:b/>
                <w:sz w:val="18"/>
                <w:szCs w:val="18"/>
                <w:lang w:val="en"/>
              </w:rPr>
              <w:t>Pharmacovigilance Inspectors Working Group,</w:t>
            </w:r>
            <w:r w:rsidRPr="00AC375F">
              <w:rPr>
                <w:b/>
                <w:sz w:val="18"/>
                <w:szCs w:val="18"/>
              </w:rPr>
              <w:t xml:space="preserve"> PhV IWG</w:t>
            </w:r>
          </w:p>
        </w:tc>
        <w:tc>
          <w:tcPr>
            <w:tcW w:w="1417" w:type="dxa"/>
            <w:shd w:val="clear" w:color="auto" w:fill="auto"/>
            <w:noWrap/>
            <w:vAlign w:val="center"/>
          </w:tcPr>
          <w:p w14:paraId="27993952"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auto"/>
            <w:noWrap/>
            <w:vAlign w:val="center"/>
          </w:tcPr>
          <w:p w14:paraId="3C38C440" w14:textId="77777777" w:rsidR="00AC375F" w:rsidRPr="00AC375F" w:rsidRDefault="00AC375F" w:rsidP="00AC375F">
            <w:pPr>
              <w:jc w:val="center"/>
              <w:rPr>
                <w:sz w:val="18"/>
                <w:szCs w:val="18"/>
              </w:rPr>
            </w:pPr>
            <w:r w:rsidRPr="00AC375F">
              <w:rPr>
                <w:sz w:val="18"/>
                <w:szCs w:val="18"/>
              </w:rPr>
              <w:t>2</w:t>
            </w:r>
          </w:p>
        </w:tc>
        <w:tc>
          <w:tcPr>
            <w:tcW w:w="993" w:type="dxa"/>
            <w:shd w:val="clear" w:color="auto" w:fill="auto"/>
            <w:noWrap/>
            <w:vAlign w:val="center"/>
          </w:tcPr>
          <w:p w14:paraId="68CD8D56" w14:textId="77777777" w:rsidR="00AC375F" w:rsidRPr="00AC375F" w:rsidRDefault="00AC375F" w:rsidP="00AC375F">
            <w:pPr>
              <w:jc w:val="center"/>
              <w:rPr>
                <w:sz w:val="18"/>
                <w:szCs w:val="18"/>
              </w:rPr>
            </w:pPr>
            <w:r w:rsidRPr="00AC375F">
              <w:rPr>
                <w:sz w:val="18"/>
                <w:szCs w:val="18"/>
              </w:rPr>
              <w:t>lipanj</w:t>
            </w:r>
          </w:p>
        </w:tc>
        <w:tc>
          <w:tcPr>
            <w:tcW w:w="1563" w:type="dxa"/>
            <w:shd w:val="clear" w:color="auto" w:fill="auto"/>
            <w:noWrap/>
            <w:vAlign w:val="center"/>
          </w:tcPr>
          <w:p w14:paraId="30B3FE06" w14:textId="77777777" w:rsidR="00AC375F" w:rsidRPr="00AC375F" w:rsidRDefault="00AC375F" w:rsidP="00AC375F">
            <w:pPr>
              <w:jc w:val="center"/>
              <w:rPr>
                <w:sz w:val="18"/>
                <w:szCs w:val="18"/>
              </w:rPr>
            </w:pPr>
            <w:r w:rsidRPr="00AC375F">
              <w:rPr>
                <w:sz w:val="18"/>
                <w:szCs w:val="18"/>
              </w:rPr>
              <w:t>2</w:t>
            </w:r>
          </w:p>
        </w:tc>
      </w:tr>
      <w:tr w:rsidR="00AC375F" w:rsidRPr="00AC375F" w14:paraId="5DA171FA" w14:textId="77777777" w:rsidTr="00991955">
        <w:trPr>
          <w:trHeight w:val="227"/>
        </w:trPr>
        <w:tc>
          <w:tcPr>
            <w:tcW w:w="4390" w:type="dxa"/>
            <w:shd w:val="clear" w:color="auto" w:fill="auto"/>
            <w:noWrap/>
            <w:vAlign w:val="center"/>
          </w:tcPr>
          <w:p w14:paraId="1BA11CC6" w14:textId="77777777" w:rsidR="00AC375F" w:rsidRPr="00AC375F" w:rsidRDefault="00AC375F" w:rsidP="00AC375F">
            <w:pPr>
              <w:rPr>
                <w:b/>
                <w:sz w:val="18"/>
                <w:szCs w:val="18"/>
              </w:rPr>
            </w:pPr>
          </w:p>
        </w:tc>
        <w:tc>
          <w:tcPr>
            <w:tcW w:w="1417" w:type="dxa"/>
            <w:shd w:val="clear" w:color="auto" w:fill="auto"/>
            <w:noWrap/>
            <w:vAlign w:val="center"/>
          </w:tcPr>
          <w:p w14:paraId="0ED9A782"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auto"/>
            <w:noWrap/>
            <w:vAlign w:val="center"/>
          </w:tcPr>
          <w:p w14:paraId="4EFBD5F5" w14:textId="77777777" w:rsidR="00AC375F" w:rsidRPr="00AC375F" w:rsidRDefault="00AC375F" w:rsidP="00AC375F">
            <w:pPr>
              <w:jc w:val="center"/>
              <w:rPr>
                <w:sz w:val="18"/>
                <w:szCs w:val="18"/>
              </w:rPr>
            </w:pPr>
            <w:r w:rsidRPr="00AC375F">
              <w:rPr>
                <w:sz w:val="18"/>
                <w:szCs w:val="18"/>
              </w:rPr>
              <w:t>2</w:t>
            </w:r>
          </w:p>
        </w:tc>
        <w:tc>
          <w:tcPr>
            <w:tcW w:w="993" w:type="dxa"/>
            <w:shd w:val="clear" w:color="auto" w:fill="auto"/>
            <w:noWrap/>
            <w:vAlign w:val="center"/>
          </w:tcPr>
          <w:p w14:paraId="2E4BE688" w14:textId="77777777" w:rsidR="00AC375F" w:rsidRPr="00AC375F" w:rsidRDefault="00AC375F" w:rsidP="00AC375F">
            <w:pPr>
              <w:jc w:val="center"/>
              <w:rPr>
                <w:sz w:val="18"/>
                <w:szCs w:val="18"/>
              </w:rPr>
            </w:pPr>
            <w:r w:rsidRPr="00AC375F">
              <w:rPr>
                <w:sz w:val="18"/>
                <w:szCs w:val="18"/>
              </w:rPr>
              <w:t>rujan</w:t>
            </w:r>
          </w:p>
        </w:tc>
        <w:tc>
          <w:tcPr>
            <w:tcW w:w="1563" w:type="dxa"/>
            <w:shd w:val="clear" w:color="auto" w:fill="auto"/>
            <w:noWrap/>
            <w:vAlign w:val="center"/>
          </w:tcPr>
          <w:p w14:paraId="30D7B0AC" w14:textId="77777777" w:rsidR="00AC375F" w:rsidRPr="00AC375F" w:rsidRDefault="00AC375F" w:rsidP="00AC375F">
            <w:pPr>
              <w:jc w:val="center"/>
              <w:rPr>
                <w:sz w:val="18"/>
                <w:szCs w:val="18"/>
              </w:rPr>
            </w:pPr>
            <w:r w:rsidRPr="00AC375F">
              <w:rPr>
                <w:sz w:val="18"/>
                <w:szCs w:val="18"/>
              </w:rPr>
              <w:t>2</w:t>
            </w:r>
          </w:p>
        </w:tc>
      </w:tr>
      <w:tr w:rsidR="00AC375F" w:rsidRPr="00AC375F" w14:paraId="6B6EFBAF" w14:textId="77777777" w:rsidTr="00991955">
        <w:trPr>
          <w:trHeight w:val="227"/>
        </w:trPr>
        <w:tc>
          <w:tcPr>
            <w:tcW w:w="4390" w:type="dxa"/>
            <w:shd w:val="clear" w:color="auto" w:fill="auto"/>
            <w:noWrap/>
            <w:vAlign w:val="center"/>
          </w:tcPr>
          <w:p w14:paraId="159E6634" w14:textId="77777777" w:rsidR="00AC375F" w:rsidRPr="00AC375F" w:rsidRDefault="00AC375F" w:rsidP="00AC375F">
            <w:pPr>
              <w:rPr>
                <w:b/>
                <w:sz w:val="18"/>
                <w:szCs w:val="18"/>
              </w:rPr>
            </w:pPr>
          </w:p>
        </w:tc>
        <w:tc>
          <w:tcPr>
            <w:tcW w:w="1417" w:type="dxa"/>
            <w:shd w:val="clear" w:color="auto" w:fill="auto"/>
            <w:noWrap/>
            <w:vAlign w:val="center"/>
          </w:tcPr>
          <w:p w14:paraId="78C39F52" w14:textId="77777777" w:rsidR="00AC375F" w:rsidRPr="00AC375F" w:rsidRDefault="00AC375F" w:rsidP="00AC375F">
            <w:pPr>
              <w:jc w:val="center"/>
              <w:rPr>
                <w:sz w:val="18"/>
                <w:szCs w:val="18"/>
              </w:rPr>
            </w:pPr>
            <w:r w:rsidRPr="00AC375F">
              <w:rPr>
                <w:sz w:val="18"/>
                <w:szCs w:val="18"/>
              </w:rPr>
              <w:t>Amsterdam</w:t>
            </w:r>
          </w:p>
        </w:tc>
        <w:tc>
          <w:tcPr>
            <w:tcW w:w="992" w:type="dxa"/>
            <w:shd w:val="clear" w:color="auto" w:fill="auto"/>
            <w:noWrap/>
            <w:vAlign w:val="center"/>
          </w:tcPr>
          <w:p w14:paraId="03C4031B" w14:textId="77777777" w:rsidR="00AC375F" w:rsidRPr="00AC375F" w:rsidRDefault="00AC375F" w:rsidP="00AC375F">
            <w:pPr>
              <w:jc w:val="center"/>
              <w:rPr>
                <w:sz w:val="18"/>
                <w:szCs w:val="18"/>
              </w:rPr>
            </w:pPr>
            <w:r w:rsidRPr="00AC375F">
              <w:rPr>
                <w:sz w:val="18"/>
                <w:szCs w:val="18"/>
              </w:rPr>
              <w:t>2</w:t>
            </w:r>
          </w:p>
        </w:tc>
        <w:tc>
          <w:tcPr>
            <w:tcW w:w="993" w:type="dxa"/>
            <w:shd w:val="clear" w:color="auto" w:fill="auto"/>
            <w:noWrap/>
            <w:vAlign w:val="center"/>
          </w:tcPr>
          <w:p w14:paraId="11B7CF18" w14:textId="77777777" w:rsidR="00AC375F" w:rsidRPr="00AC375F" w:rsidRDefault="00AC375F" w:rsidP="00AC375F">
            <w:pPr>
              <w:jc w:val="center"/>
              <w:rPr>
                <w:sz w:val="18"/>
                <w:szCs w:val="18"/>
              </w:rPr>
            </w:pPr>
            <w:r w:rsidRPr="00AC375F">
              <w:rPr>
                <w:sz w:val="18"/>
                <w:szCs w:val="18"/>
              </w:rPr>
              <w:t>prosinac</w:t>
            </w:r>
          </w:p>
        </w:tc>
        <w:tc>
          <w:tcPr>
            <w:tcW w:w="1563" w:type="dxa"/>
            <w:shd w:val="clear" w:color="auto" w:fill="auto"/>
            <w:noWrap/>
            <w:vAlign w:val="center"/>
          </w:tcPr>
          <w:p w14:paraId="53908C9B" w14:textId="77777777" w:rsidR="00AC375F" w:rsidRPr="00AC375F" w:rsidRDefault="00AC375F" w:rsidP="00AC375F">
            <w:pPr>
              <w:jc w:val="center"/>
              <w:rPr>
                <w:sz w:val="18"/>
                <w:szCs w:val="18"/>
              </w:rPr>
            </w:pPr>
            <w:r w:rsidRPr="00AC375F">
              <w:rPr>
                <w:sz w:val="18"/>
                <w:szCs w:val="18"/>
              </w:rPr>
              <w:t>2</w:t>
            </w:r>
          </w:p>
        </w:tc>
      </w:tr>
      <w:tr w:rsidR="00AC375F" w:rsidRPr="00AC375F" w14:paraId="6300F3BE" w14:textId="77777777" w:rsidTr="00991955">
        <w:trPr>
          <w:trHeight w:val="227"/>
        </w:trPr>
        <w:tc>
          <w:tcPr>
            <w:tcW w:w="4390" w:type="dxa"/>
            <w:shd w:val="clear" w:color="auto" w:fill="auto"/>
            <w:noWrap/>
            <w:vAlign w:val="center"/>
          </w:tcPr>
          <w:p w14:paraId="1BBA5F90" w14:textId="77777777" w:rsidR="00AC375F" w:rsidRPr="00AC375F" w:rsidRDefault="00AC375F" w:rsidP="00AC375F">
            <w:pPr>
              <w:rPr>
                <w:b/>
                <w:sz w:val="18"/>
                <w:szCs w:val="18"/>
              </w:rPr>
            </w:pPr>
          </w:p>
        </w:tc>
        <w:tc>
          <w:tcPr>
            <w:tcW w:w="1417" w:type="dxa"/>
            <w:shd w:val="clear" w:color="auto" w:fill="auto"/>
            <w:noWrap/>
            <w:vAlign w:val="center"/>
          </w:tcPr>
          <w:p w14:paraId="57F0DBDF" w14:textId="77777777" w:rsidR="00AC375F" w:rsidRPr="00AC375F" w:rsidRDefault="00AC375F" w:rsidP="00AC375F">
            <w:pPr>
              <w:jc w:val="center"/>
              <w:rPr>
                <w:sz w:val="18"/>
                <w:szCs w:val="18"/>
              </w:rPr>
            </w:pPr>
          </w:p>
        </w:tc>
        <w:tc>
          <w:tcPr>
            <w:tcW w:w="992" w:type="dxa"/>
            <w:shd w:val="clear" w:color="auto" w:fill="auto"/>
            <w:noWrap/>
            <w:vAlign w:val="center"/>
          </w:tcPr>
          <w:p w14:paraId="4E2FDB91" w14:textId="77777777" w:rsidR="00AC375F" w:rsidRPr="00AC375F" w:rsidRDefault="00AC375F" w:rsidP="00AC375F">
            <w:pPr>
              <w:jc w:val="center"/>
              <w:rPr>
                <w:sz w:val="18"/>
                <w:szCs w:val="18"/>
              </w:rPr>
            </w:pPr>
          </w:p>
        </w:tc>
        <w:tc>
          <w:tcPr>
            <w:tcW w:w="993" w:type="dxa"/>
            <w:shd w:val="clear" w:color="auto" w:fill="auto"/>
            <w:noWrap/>
            <w:vAlign w:val="center"/>
          </w:tcPr>
          <w:p w14:paraId="1D07368D" w14:textId="77777777" w:rsidR="00AC375F" w:rsidRPr="00AC375F" w:rsidRDefault="00AC375F" w:rsidP="00AC375F">
            <w:pPr>
              <w:jc w:val="center"/>
              <w:rPr>
                <w:sz w:val="18"/>
                <w:szCs w:val="18"/>
              </w:rPr>
            </w:pPr>
          </w:p>
        </w:tc>
        <w:tc>
          <w:tcPr>
            <w:tcW w:w="1563" w:type="dxa"/>
            <w:shd w:val="clear" w:color="auto" w:fill="auto"/>
            <w:noWrap/>
            <w:vAlign w:val="center"/>
          </w:tcPr>
          <w:p w14:paraId="38C46FC7" w14:textId="77777777" w:rsidR="00AC375F" w:rsidRPr="00AC375F" w:rsidRDefault="00AC375F" w:rsidP="00AC375F">
            <w:pPr>
              <w:jc w:val="center"/>
              <w:rPr>
                <w:sz w:val="18"/>
                <w:szCs w:val="18"/>
              </w:rPr>
            </w:pPr>
          </w:p>
        </w:tc>
      </w:tr>
      <w:tr w:rsidR="00AC375F" w:rsidRPr="00AC375F" w14:paraId="36925AF6" w14:textId="77777777" w:rsidTr="00991955">
        <w:trPr>
          <w:trHeight w:val="227"/>
        </w:trPr>
        <w:tc>
          <w:tcPr>
            <w:tcW w:w="4390" w:type="dxa"/>
            <w:shd w:val="clear" w:color="auto" w:fill="auto"/>
            <w:noWrap/>
            <w:vAlign w:val="center"/>
          </w:tcPr>
          <w:p w14:paraId="3693A0AF" w14:textId="77777777" w:rsidR="00AC375F" w:rsidRPr="00AC375F" w:rsidRDefault="00AC375F" w:rsidP="00AC375F">
            <w:pPr>
              <w:rPr>
                <w:b/>
                <w:bCs/>
                <w:sz w:val="18"/>
                <w:szCs w:val="18"/>
              </w:rPr>
            </w:pPr>
            <w:r w:rsidRPr="00AC375F">
              <w:rPr>
                <w:b/>
                <w:sz w:val="18"/>
                <w:szCs w:val="18"/>
              </w:rPr>
              <w:lastRenderedPageBreak/>
              <w:t>GMP/GDP Inspectors Working Group</w:t>
            </w:r>
            <w:r w:rsidRPr="00AC375F">
              <w:rPr>
                <w:rFonts w:eastAsia="Times New Roman" w:cstheme="minorHAnsi"/>
                <w:b/>
                <w:sz w:val="18"/>
                <w:szCs w:val="18"/>
              </w:rPr>
              <w:t>, GMDP IWG</w:t>
            </w:r>
          </w:p>
        </w:tc>
        <w:tc>
          <w:tcPr>
            <w:tcW w:w="1417" w:type="dxa"/>
            <w:shd w:val="clear" w:color="auto" w:fill="auto"/>
            <w:noWrap/>
            <w:vAlign w:val="center"/>
          </w:tcPr>
          <w:p w14:paraId="58881930"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auto"/>
            <w:noWrap/>
            <w:vAlign w:val="center"/>
          </w:tcPr>
          <w:p w14:paraId="783B2871" w14:textId="77777777" w:rsidR="00AC375F" w:rsidRPr="00AC375F" w:rsidRDefault="00AC375F" w:rsidP="00AC375F">
            <w:pPr>
              <w:jc w:val="center"/>
              <w:rPr>
                <w:sz w:val="18"/>
                <w:szCs w:val="18"/>
              </w:rPr>
            </w:pPr>
            <w:r w:rsidRPr="00AC375F">
              <w:rPr>
                <w:sz w:val="18"/>
                <w:szCs w:val="18"/>
              </w:rPr>
              <w:t>1</w:t>
            </w:r>
          </w:p>
        </w:tc>
        <w:tc>
          <w:tcPr>
            <w:tcW w:w="993" w:type="dxa"/>
            <w:shd w:val="clear" w:color="auto" w:fill="auto"/>
            <w:noWrap/>
            <w:vAlign w:val="center"/>
          </w:tcPr>
          <w:p w14:paraId="108B675F" w14:textId="77777777" w:rsidR="00AC375F" w:rsidRPr="00AC375F" w:rsidRDefault="00AC375F" w:rsidP="00AC375F">
            <w:pPr>
              <w:jc w:val="center"/>
              <w:rPr>
                <w:sz w:val="18"/>
                <w:szCs w:val="18"/>
              </w:rPr>
            </w:pPr>
            <w:r w:rsidRPr="00AC375F">
              <w:rPr>
                <w:sz w:val="18"/>
                <w:szCs w:val="18"/>
              </w:rPr>
              <w:t>ožujak</w:t>
            </w:r>
          </w:p>
        </w:tc>
        <w:tc>
          <w:tcPr>
            <w:tcW w:w="1563" w:type="dxa"/>
            <w:shd w:val="clear" w:color="auto" w:fill="auto"/>
            <w:noWrap/>
            <w:vAlign w:val="center"/>
          </w:tcPr>
          <w:p w14:paraId="4F0965C7" w14:textId="77777777" w:rsidR="00AC375F" w:rsidRPr="00AC375F" w:rsidRDefault="00AC375F" w:rsidP="00AC375F">
            <w:pPr>
              <w:jc w:val="center"/>
              <w:rPr>
                <w:sz w:val="18"/>
                <w:szCs w:val="18"/>
              </w:rPr>
            </w:pPr>
            <w:r w:rsidRPr="00AC375F">
              <w:rPr>
                <w:sz w:val="18"/>
                <w:szCs w:val="18"/>
              </w:rPr>
              <w:t>3</w:t>
            </w:r>
          </w:p>
        </w:tc>
      </w:tr>
      <w:tr w:rsidR="00AC375F" w:rsidRPr="00AC375F" w14:paraId="7519FC15" w14:textId="77777777" w:rsidTr="00991955">
        <w:trPr>
          <w:trHeight w:val="227"/>
        </w:trPr>
        <w:tc>
          <w:tcPr>
            <w:tcW w:w="4390" w:type="dxa"/>
            <w:shd w:val="clear" w:color="auto" w:fill="auto"/>
            <w:noWrap/>
            <w:vAlign w:val="center"/>
          </w:tcPr>
          <w:p w14:paraId="27B856C7" w14:textId="77777777" w:rsidR="00AC375F" w:rsidRPr="00AC375F" w:rsidRDefault="00AC375F" w:rsidP="00AC375F">
            <w:pPr>
              <w:rPr>
                <w:b/>
                <w:bCs/>
                <w:sz w:val="18"/>
                <w:szCs w:val="18"/>
              </w:rPr>
            </w:pPr>
          </w:p>
        </w:tc>
        <w:tc>
          <w:tcPr>
            <w:tcW w:w="1417" w:type="dxa"/>
            <w:shd w:val="clear" w:color="auto" w:fill="auto"/>
            <w:noWrap/>
            <w:vAlign w:val="center"/>
          </w:tcPr>
          <w:p w14:paraId="65E5C7BD" w14:textId="77777777" w:rsidR="00AC375F" w:rsidRPr="00AC375F" w:rsidRDefault="00AC375F" w:rsidP="00AC375F">
            <w:pPr>
              <w:jc w:val="center"/>
              <w:rPr>
                <w:sz w:val="18"/>
                <w:szCs w:val="18"/>
              </w:rPr>
            </w:pPr>
            <w:r w:rsidRPr="00AC375F">
              <w:rPr>
                <w:sz w:val="18"/>
                <w:szCs w:val="18"/>
              </w:rPr>
              <w:t>Amsterdam</w:t>
            </w:r>
          </w:p>
        </w:tc>
        <w:tc>
          <w:tcPr>
            <w:tcW w:w="992" w:type="dxa"/>
            <w:shd w:val="clear" w:color="auto" w:fill="auto"/>
            <w:noWrap/>
            <w:vAlign w:val="center"/>
          </w:tcPr>
          <w:p w14:paraId="3B2C8762" w14:textId="77777777" w:rsidR="00AC375F" w:rsidRPr="00AC375F" w:rsidRDefault="00AC375F" w:rsidP="00AC375F">
            <w:pPr>
              <w:jc w:val="center"/>
              <w:rPr>
                <w:sz w:val="18"/>
                <w:szCs w:val="18"/>
              </w:rPr>
            </w:pPr>
            <w:r w:rsidRPr="00AC375F">
              <w:rPr>
                <w:sz w:val="18"/>
                <w:szCs w:val="18"/>
              </w:rPr>
              <w:t>1</w:t>
            </w:r>
          </w:p>
        </w:tc>
        <w:tc>
          <w:tcPr>
            <w:tcW w:w="993" w:type="dxa"/>
            <w:shd w:val="clear" w:color="auto" w:fill="auto"/>
            <w:noWrap/>
            <w:vAlign w:val="center"/>
          </w:tcPr>
          <w:p w14:paraId="36529FC1" w14:textId="77777777" w:rsidR="00AC375F" w:rsidRPr="00AC375F" w:rsidRDefault="00AC375F" w:rsidP="00AC375F">
            <w:pPr>
              <w:jc w:val="center"/>
              <w:rPr>
                <w:sz w:val="18"/>
                <w:szCs w:val="18"/>
              </w:rPr>
            </w:pPr>
            <w:r w:rsidRPr="00AC375F">
              <w:rPr>
                <w:sz w:val="18"/>
                <w:szCs w:val="18"/>
              </w:rPr>
              <w:t>lipanj</w:t>
            </w:r>
          </w:p>
        </w:tc>
        <w:tc>
          <w:tcPr>
            <w:tcW w:w="1563" w:type="dxa"/>
            <w:shd w:val="clear" w:color="auto" w:fill="auto"/>
            <w:noWrap/>
            <w:vAlign w:val="center"/>
          </w:tcPr>
          <w:p w14:paraId="1AC79132" w14:textId="77777777" w:rsidR="00AC375F" w:rsidRPr="00AC375F" w:rsidRDefault="00AC375F" w:rsidP="00AC375F">
            <w:pPr>
              <w:jc w:val="center"/>
              <w:rPr>
                <w:sz w:val="18"/>
                <w:szCs w:val="18"/>
              </w:rPr>
            </w:pPr>
            <w:r w:rsidRPr="00AC375F">
              <w:rPr>
                <w:sz w:val="18"/>
                <w:szCs w:val="18"/>
              </w:rPr>
              <w:t>3</w:t>
            </w:r>
          </w:p>
        </w:tc>
      </w:tr>
      <w:tr w:rsidR="00AC375F" w:rsidRPr="00AC375F" w14:paraId="4B4A8D7E" w14:textId="77777777" w:rsidTr="00991955">
        <w:trPr>
          <w:trHeight w:val="227"/>
        </w:trPr>
        <w:tc>
          <w:tcPr>
            <w:tcW w:w="4390" w:type="dxa"/>
            <w:shd w:val="clear" w:color="auto" w:fill="auto"/>
            <w:noWrap/>
            <w:vAlign w:val="center"/>
          </w:tcPr>
          <w:p w14:paraId="00E8B86E" w14:textId="77777777" w:rsidR="00AC375F" w:rsidRPr="00AC375F" w:rsidRDefault="00AC375F" w:rsidP="00AC375F">
            <w:pPr>
              <w:rPr>
                <w:b/>
                <w:bCs/>
                <w:sz w:val="18"/>
                <w:szCs w:val="18"/>
              </w:rPr>
            </w:pPr>
          </w:p>
        </w:tc>
        <w:tc>
          <w:tcPr>
            <w:tcW w:w="1417" w:type="dxa"/>
            <w:shd w:val="clear" w:color="auto" w:fill="auto"/>
            <w:noWrap/>
            <w:vAlign w:val="center"/>
          </w:tcPr>
          <w:p w14:paraId="7AF7FEBE"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auto"/>
            <w:noWrap/>
            <w:vAlign w:val="center"/>
          </w:tcPr>
          <w:p w14:paraId="16F4B45D" w14:textId="77777777" w:rsidR="00AC375F" w:rsidRPr="00AC375F" w:rsidRDefault="00AC375F" w:rsidP="00AC375F">
            <w:pPr>
              <w:jc w:val="center"/>
              <w:rPr>
                <w:sz w:val="18"/>
                <w:szCs w:val="18"/>
              </w:rPr>
            </w:pPr>
            <w:r w:rsidRPr="00AC375F">
              <w:rPr>
                <w:sz w:val="18"/>
                <w:szCs w:val="18"/>
              </w:rPr>
              <w:t>1</w:t>
            </w:r>
          </w:p>
        </w:tc>
        <w:tc>
          <w:tcPr>
            <w:tcW w:w="993" w:type="dxa"/>
            <w:shd w:val="clear" w:color="auto" w:fill="auto"/>
            <w:noWrap/>
            <w:vAlign w:val="center"/>
          </w:tcPr>
          <w:p w14:paraId="44B82409" w14:textId="77777777" w:rsidR="00AC375F" w:rsidRPr="00AC375F" w:rsidRDefault="00AC375F" w:rsidP="00AC375F">
            <w:pPr>
              <w:jc w:val="center"/>
              <w:rPr>
                <w:sz w:val="18"/>
                <w:szCs w:val="18"/>
              </w:rPr>
            </w:pPr>
            <w:r w:rsidRPr="00AC375F">
              <w:rPr>
                <w:rFonts w:cstheme="minorHAnsi"/>
                <w:iCs/>
                <w:sz w:val="18"/>
                <w:szCs w:val="18"/>
              </w:rPr>
              <w:t>rujan</w:t>
            </w:r>
          </w:p>
        </w:tc>
        <w:tc>
          <w:tcPr>
            <w:tcW w:w="1563" w:type="dxa"/>
            <w:shd w:val="clear" w:color="auto" w:fill="auto"/>
            <w:noWrap/>
            <w:vAlign w:val="center"/>
          </w:tcPr>
          <w:p w14:paraId="674B3559" w14:textId="77777777" w:rsidR="00AC375F" w:rsidRPr="00AC375F" w:rsidRDefault="00AC375F" w:rsidP="00AC375F">
            <w:pPr>
              <w:jc w:val="center"/>
              <w:rPr>
                <w:sz w:val="18"/>
                <w:szCs w:val="18"/>
              </w:rPr>
            </w:pPr>
            <w:r w:rsidRPr="00AC375F">
              <w:rPr>
                <w:sz w:val="18"/>
                <w:szCs w:val="18"/>
              </w:rPr>
              <w:t>3</w:t>
            </w:r>
          </w:p>
        </w:tc>
      </w:tr>
      <w:tr w:rsidR="00AC375F" w:rsidRPr="00AC375F" w14:paraId="1A8B8FEE" w14:textId="77777777" w:rsidTr="00991955">
        <w:trPr>
          <w:trHeight w:val="227"/>
        </w:trPr>
        <w:tc>
          <w:tcPr>
            <w:tcW w:w="4390" w:type="dxa"/>
            <w:shd w:val="clear" w:color="auto" w:fill="auto"/>
            <w:noWrap/>
            <w:vAlign w:val="center"/>
          </w:tcPr>
          <w:p w14:paraId="062305C6" w14:textId="77777777" w:rsidR="00AC375F" w:rsidRPr="00AC375F" w:rsidRDefault="00AC375F" w:rsidP="00AC375F">
            <w:pPr>
              <w:rPr>
                <w:b/>
                <w:bCs/>
                <w:sz w:val="18"/>
                <w:szCs w:val="18"/>
              </w:rPr>
            </w:pPr>
          </w:p>
        </w:tc>
        <w:tc>
          <w:tcPr>
            <w:tcW w:w="1417" w:type="dxa"/>
            <w:shd w:val="clear" w:color="auto" w:fill="auto"/>
            <w:noWrap/>
            <w:vAlign w:val="center"/>
          </w:tcPr>
          <w:p w14:paraId="08A13F18"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auto"/>
            <w:noWrap/>
            <w:vAlign w:val="center"/>
          </w:tcPr>
          <w:p w14:paraId="2CFE3E1B" w14:textId="77777777" w:rsidR="00AC375F" w:rsidRPr="00AC375F" w:rsidRDefault="00AC375F" w:rsidP="00AC375F">
            <w:pPr>
              <w:jc w:val="center"/>
              <w:rPr>
                <w:sz w:val="18"/>
                <w:szCs w:val="18"/>
              </w:rPr>
            </w:pPr>
            <w:r w:rsidRPr="00AC375F">
              <w:rPr>
                <w:sz w:val="18"/>
                <w:szCs w:val="18"/>
              </w:rPr>
              <w:t>1</w:t>
            </w:r>
          </w:p>
        </w:tc>
        <w:tc>
          <w:tcPr>
            <w:tcW w:w="993" w:type="dxa"/>
            <w:shd w:val="clear" w:color="auto" w:fill="auto"/>
            <w:noWrap/>
            <w:vAlign w:val="center"/>
          </w:tcPr>
          <w:p w14:paraId="30A1691A" w14:textId="77777777" w:rsidR="00AC375F" w:rsidRPr="00AC375F" w:rsidRDefault="00AC375F" w:rsidP="00AC375F">
            <w:pPr>
              <w:jc w:val="center"/>
              <w:rPr>
                <w:sz w:val="18"/>
                <w:szCs w:val="18"/>
              </w:rPr>
            </w:pPr>
            <w:r w:rsidRPr="00AC375F">
              <w:rPr>
                <w:rFonts w:cstheme="minorHAnsi"/>
                <w:iCs/>
                <w:sz w:val="18"/>
                <w:szCs w:val="18"/>
              </w:rPr>
              <w:t>listopad</w:t>
            </w:r>
          </w:p>
        </w:tc>
        <w:tc>
          <w:tcPr>
            <w:tcW w:w="1563" w:type="dxa"/>
            <w:shd w:val="clear" w:color="auto" w:fill="auto"/>
            <w:noWrap/>
            <w:vAlign w:val="center"/>
          </w:tcPr>
          <w:p w14:paraId="3B49D560" w14:textId="77777777" w:rsidR="00AC375F" w:rsidRPr="00AC375F" w:rsidRDefault="00AC375F" w:rsidP="00AC375F">
            <w:pPr>
              <w:jc w:val="center"/>
              <w:rPr>
                <w:sz w:val="18"/>
                <w:szCs w:val="18"/>
              </w:rPr>
            </w:pPr>
            <w:r w:rsidRPr="00AC375F">
              <w:rPr>
                <w:sz w:val="18"/>
                <w:szCs w:val="18"/>
              </w:rPr>
              <w:t>1</w:t>
            </w:r>
          </w:p>
        </w:tc>
      </w:tr>
      <w:tr w:rsidR="00AC375F" w:rsidRPr="00AC375F" w14:paraId="040F52FA" w14:textId="77777777" w:rsidTr="00991955">
        <w:trPr>
          <w:trHeight w:val="227"/>
        </w:trPr>
        <w:tc>
          <w:tcPr>
            <w:tcW w:w="4390" w:type="dxa"/>
            <w:shd w:val="clear" w:color="auto" w:fill="auto"/>
            <w:noWrap/>
            <w:vAlign w:val="center"/>
          </w:tcPr>
          <w:p w14:paraId="771D5EF2" w14:textId="77777777" w:rsidR="00AC375F" w:rsidRPr="00AC375F" w:rsidRDefault="00AC375F" w:rsidP="00AC375F">
            <w:pPr>
              <w:rPr>
                <w:b/>
                <w:bCs/>
                <w:sz w:val="18"/>
                <w:szCs w:val="18"/>
              </w:rPr>
            </w:pPr>
          </w:p>
        </w:tc>
        <w:tc>
          <w:tcPr>
            <w:tcW w:w="1417" w:type="dxa"/>
            <w:shd w:val="clear" w:color="auto" w:fill="auto"/>
            <w:noWrap/>
            <w:vAlign w:val="center"/>
          </w:tcPr>
          <w:p w14:paraId="3CD060AD" w14:textId="77777777" w:rsidR="00AC375F" w:rsidRPr="00AC375F" w:rsidRDefault="00AC375F" w:rsidP="00AC375F">
            <w:pPr>
              <w:jc w:val="center"/>
              <w:rPr>
                <w:sz w:val="18"/>
                <w:szCs w:val="18"/>
              </w:rPr>
            </w:pPr>
          </w:p>
        </w:tc>
        <w:tc>
          <w:tcPr>
            <w:tcW w:w="992" w:type="dxa"/>
            <w:shd w:val="clear" w:color="auto" w:fill="auto"/>
            <w:noWrap/>
            <w:vAlign w:val="center"/>
          </w:tcPr>
          <w:p w14:paraId="2119A2F1" w14:textId="77777777" w:rsidR="00AC375F" w:rsidRPr="00AC375F" w:rsidRDefault="00AC375F" w:rsidP="00AC375F">
            <w:pPr>
              <w:jc w:val="center"/>
              <w:rPr>
                <w:sz w:val="18"/>
                <w:szCs w:val="18"/>
              </w:rPr>
            </w:pPr>
          </w:p>
        </w:tc>
        <w:tc>
          <w:tcPr>
            <w:tcW w:w="993" w:type="dxa"/>
            <w:shd w:val="clear" w:color="auto" w:fill="auto"/>
            <w:noWrap/>
            <w:vAlign w:val="center"/>
          </w:tcPr>
          <w:p w14:paraId="6F8CC613" w14:textId="77777777" w:rsidR="00AC375F" w:rsidRPr="00AC375F" w:rsidRDefault="00AC375F" w:rsidP="00AC375F">
            <w:pPr>
              <w:jc w:val="center"/>
              <w:rPr>
                <w:rFonts w:cstheme="minorHAnsi"/>
                <w:iCs/>
                <w:sz w:val="18"/>
                <w:szCs w:val="18"/>
              </w:rPr>
            </w:pPr>
          </w:p>
        </w:tc>
        <w:tc>
          <w:tcPr>
            <w:tcW w:w="1563" w:type="dxa"/>
            <w:shd w:val="clear" w:color="auto" w:fill="auto"/>
            <w:noWrap/>
            <w:vAlign w:val="center"/>
          </w:tcPr>
          <w:p w14:paraId="0697AE88" w14:textId="77777777" w:rsidR="00AC375F" w:rsidRPr="00AC375F" w:rsidRDefault="00AC375F" w:rsidP="00AC375F">
            <w:pPr>
              <w:jc w:val="center"/>
              <w:rPr>
                <w:sz w:val="18"/>
                <w:szCs w:val="18"/>
              </w:rPr>
            </w:pPr>
          </w:p>
        </w:tc>
      </w:tr>
      <w:tr w:rsidR="00AC375F" w:rsidRPr="00AC375F" w14:paraId="6A5408FF" w14:textId="77777777" w:rsidTr="00991955">
        <w:trPr>
          <w:trHeight w:val="227"/>
        </w:trPr>
        <w:tc>
          <w:tcPr>
            <w:tcW w:w="4390" w:type="dxa"/>
            <w:shd w:val="clear" w:color="auto" w:fill="auto"/>
            <w:noWrap/>
            <w:vAlign w:val="center"/>
          </w:tcPr>
          <w:p w14:paraId="5AEF03CE" w14:textId="77777777" w:rsidR="00AC375F" w:rsidRPr="00AC375F" w:rsidRDefault="00AC375F" w:rsidP="00AC375F">
            <w:pPr>
              <w:rPr>
                <w:b/>
                <w:bCs/>
                <w:sz w:val="18"/>
                <w:szCs w:val="18"/>
              </w:rPr>
            </w:pPr>
            <w:r w:rsidRPr="00AC375F">
              <w:rPr>
                <w:b/>
                <w:sz w:val="18"/>
                <w:szCs w:val="18"/>
              </w:rPr>
              <w:t>Good Clinical Practice Inspectors Working Group (GCP IWG)</w:t>
            </w:r>
          </w:p>
        </w:tc>
        <w:tc>
          <w:tcPr>
            <w:tcW w:w="1417" w:type="dxa"/>
            <w:shd w:val="clear" w:color="auto" w:fill="auto"/>
            <w:noWrap/>
            <w:vAlign w:val="center"/>
          </w:tcPr>
          <w:p w14:paraId="1E71DE83"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auto"/>
            <w:noWrap/>
            <w:vAlign w:val="center"/>
          </w:tcPr>
          <w:p w14:paraId="117217EB" w14:textId="77777777" w:rsidR="00AC375F" w:rsidRPr="00AC375F" w:rsidRDefault="00AC375F" w:rsidP="00AC375F">
            <w:pPr>
              <w:jc w:val="center"/>
              <w:rPr>
                <w:sz w:val="18"/>
                <w:szCs w:val="18"/>
              </w:rPr>
            </w:pPr>
            <w:r w:rsidRPr="00AC375F">
              <w:rPr>
                <w:sz w:val="18"/>
                <w:szCs w:val="18"/>
              </w:rPr>
              <w:t>1</w:t>
            </w:r>
          </w:p>
        </w:tc>
        <w:tc>
          <w:tcPr>
            <w:tcW w:w="993" w:type="dxa"/>
            <w:shd w:val="clear" w:color="auto" w:fill="auto"/>
            <w:noWrap/>
            <w:vAlign w:val="center"/>
          </w:tcPr>
          <w:p w14:paraId="610C3B0E" w14:textId="77777777" w:rsidR="00AC375F" w:rsidRPr="00AC375F" w:rsidRDefault="00AC375F" w:rsidP="00AC375F">
            <w:pPr>
              <w:jc w:val="center"/>
              <w:rPr>
                <w:rFonts w:cstheme="minorHAnsi"/>
                <w:iCs/>
                <w:sz w:val="18"/>
                <w:szCs w:val="18"/>
              </w:rPr>
            </w:pPr>
            <w:r w:rsidRPr="00AC375F">
              <w:rPr>
                <w:rFonts w:cstheme="minorHAnsi"/>
                <w:iCs/>
                <w:sz w:val="18"/>
                <w:szCs w:val="18"/>
              </w:rPr>
              <w:t>svibanj</w:t>
            </w:r>
          </w:p>
        </w:tc>
        <w:tc>
          <w:tcPr>
            <w:tcW w:w="1563" w:type="dxa"/>
            <w:shd w:val="clear" w:color="auto" w:fill="auto"/>
            <w:noWrap/>
            <w:vAlign w:val="center"/>
          </w:tcPr>
          <w:p w14:paraId="2D427A21" w14:textId="77777777" w:rsidR="00AC375F" w:rsidRPr="00AC375F" w:rsidRDefault="00AC375F" w:rsidP="00AC375F">
            <w:pPr>
              <w:jc w:val="center"/>
              <w:rPr>
                <w:sz w:val="18"/>
                <w:szCs w:val="18"/>
              </w:rPr>
            </w:pPr>
            <w:r w:rsidRPr="00AC375F">
              <w:rPr>
                <w:sz w:val="18"/>
                <w:szCs w:val="18"/>
              </w:rPr>
              <w:t>1</w:t>
            </w:r>
          </w:p>
        </w:tc>
      </w:tr>
      <w:tr w:rsidR="00AC375F" w:rsidRPr="00AC375F" w14:paraId="2CE18703" w14:textId="77777777" w:rsidTr="00991955">
        <w:trPr>
          <w:trHeight w:val="227"/>
        </w:trPr>
        <w:tc>
          <w:tcPr>
            <w:tcW w:w="4390" w:type="dxa"/>
            <w:shd w:val="clear" w:color="auto" w:fill="auto"/>
            <w:noWrap/>
            <w:vAlign w:val="center"/>
          </w:tcPr>
          <w:p w14:paraId="34EA03A4" w14:textId="77777777" w:rsidR="00AC375F" w:rsidRPr="00AC375F" w:rsidRDefault="00AC375F" w:rsidP="00AC375F">
            <w:pPr>
              <w:rPr>
                <w:b/>
                <w:sz w:val="18"/>
                <w:szCs w:val="18"/>
              </w:rPr>
            </w:pPr>
          </w:p>
        </w:tc>
        <w:tc>
          <w:tcPr>
            <w:tcW w:w="1417" w:type="dxa"/>
            <w:shd w:val="clear" w:color="auto" w:fill="auto"/>
            <w:noWrap/>
            <w:vAlign w:val="center"/>
          </w:tcPr>
          <w:p w14:paraId="109A7EBA"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auto"/>
            <w:noWrap/>
            <w:vAlign w:val="center"/>
          </w:tcPr>
          <w:p w14:paraId="11FC5860" w14:textId="77777777" w:rsidR="00AC375F" w:rsidRPr="00AC375F" w:rsidRDefault="00AC375F" w:rsidP="00AC375F">
            <w:pPr>
              <w:jc w:val="center"/>
              <w:rPr>
                <w:sz w:val="18"/>
                <w:szCs w:val="18"/>
              </w:rPr>
            </w:pPr>
            <w:r w:rsidRPr="00AC375F">
              <w:rPr>
                <w:sz w:val="18"/>
                <w:szCs w:val="18"/>
              </w:rPr>
              <w:t>1</w:t>
            </w:r>
          </w:p>
        </w:tc>
        <w:tc>
          <w:tcPr>
            <w:tcW w:w="993" w:type="dxa"/>
            <w:shd w:val="clear" w:color="auto" w:fill="auto"/>
            <w:noWrap/>
            <w:vAlign w:val="center"/>
          </w:tcPr>
          <w:p w14:paraId="18D71433" w14:textId="77777777" w:rsidR="00AC375F" w:rsidRPr="00AC375F" w:rsidRDefault="00AC375F" w:rsidP="00AC375F">
            <w:pPr>
              <w:jc w:val="center"/>
              <w:rPr>
                <w:rFonts w:cstheme="minorHAnsi"/>
                <w:iCs/>
                <w:sz w:val="18"/>
                <w:szCs w:val="18"/>
              </w:rPr>
            </w:pPr>
            <w:r w:rsidRPr="00AC375F">
              <w:rPr>
                <w:rFonts w:cstheme="minorHAnsi"/>
                <w:iCs/>
                <w:sz w:val="18"/>
                <w:szCs w:val="18"/>
              </w:rPr>
              <w:t>lipanj</w:t>
            </w:r>
          </w:p>
        </w:tc>
        <w:tc>
          <w:tcPr>
            <w:tcW w:w="1563" w:type="dxa"/>
            <w:shd w:val="clear" w:color="auto" w:fill="auto"/>
            <w:noWrap/>
            <w:vAlign w:val="center"/>
          </w:tcPr>
          <w:p w14:paraId="0E2E9A48" w14:textId="77777777" w:rsidR="00AC375F" w:rsidRPr="00AC375F" w:rsidRDefault="00AC375F" w:rsidP="00AC375F">
            <w:pPr>
              <w:jc w:val="center"/>
              <w:rPr>
                <w:sz w:val="18"/>
                <w:szCs w:val="18"/>
              </w:rPr>
            </w:pPr>
            <w:r w:rsidRPr="00AC375F">
              <w:rPr>
                <w:sz w:val="18"/>
                <w:szCs w:val="18"/>
              </w:rPr>
              <w:t>2</w:t>
            </w:r>
          </w:p>
        </w:tc>
      </w:tr>
      <w:tr w:rsidR="00AC375F" w:rsidRPr="00AC375F" w14:paraId="51019F21" w14:textId="77777777" w:rsidTr="00991955">
        <w:trPr>
          <w:trHeight w:val="227"/>
        </w:trPr>
        <w:tc>
          <w:tcPr>
            <w:tcW w:w="4390" w:type="dxa"/>
            <w:shd w:val="clear" w:color="auto" w:fill="auto"/>
            <w:noWrap/>
            <w:vAlign w:val="center"/>
          </w:tcPr>
          <w:p w14:paraId="6305432C" w14:textId="77777777" w:rsidR="00AC375F" w:rsidRPr="00AC375F" w:rsidRDefault="00AC375F" w:rsidP="00AC375F">
            <w:pPr>
              <w:rPr>
                <w:b/>
                <w:sz w:val="18"/>
                <w:szCs w:val="18"/>
              </w:rPr>
            </w:pPr>
          </w:p>
        </w:tc>
        <w:tc>
          <w:tcPr>
            <w:tcW w:w="1417" w:type="dxa"/>
            <w:shd w:val="clear" w:color="auto" w:fill="auto"/>
            <w:noWrap/>
            <w:vAlign w:val="center"/>
          </w:tcPr>
          <w:p w14:paraId="5BEEDAF4"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auto"/>
            <w:noWrap/>
            <w:vAlign w:val="center"/>
          </w:tcPr>
          <w:p w14:paraId="7552B906" w14:textId="77777777" w:rsidR="00AC375F" w:rsidRPr="00AC375F" w:rsidRDefault="00AC375F" w:rsidP="00AC375F">
            <w:pPr>
              <w:jc w:val="center"/>
              <w:rPr>
                <w:sz w:val="18"/>
                <w:szCs w:val="18"/>
              </w:rPr>
            </w:pPr>
            <w:r w:rsidRPr="00AC375F">
              <w:rPr>
                <w:sz w:val="18"/>
                <w:szCs w:val="18"/>
              </w:rPr>
              <w:t>1</w:t>
            </w:r>
          </w:p>
        </w:tc>
        <w:tc>
          <w:tcPr>
            <w:tcW w:w="993" w:type="dxa"/>
            <w:shd w:val="clear" w:color="auto" w:fill="auto"/>
            <w:noWrap/>
            <w:vAlign w:val="center"/>
          </w:tcPr>
          <w:p w14:paraId="01911B16" w14:textId="77777777" w:rsidR="00AC375F" w:rsidRPr="00AC375F" w:rsidRDefault="00AC375F" w:rsidP="00AC375F">
            <w:pPr>
              <w:jc w:val="center"/>
              <w:rPr>
                <w:rFonts w:cstheme="minorHAnsi"/>
                <w:iCs/>
                <w:sz w:val="18"/>
                <w:szCs w:val="18"/>
              </w:rPr>
            </w:pPr>
            <w:r w:rsidRPr="00AC375F">
              <w:rPr>
                <w:rFonts w:cstheme="minorHAnsi"/>
                <w:iCs/>
                <w:sz w:val="18"/>
                <w:szCs w:val="18"/>
              </w:rPr>
              <w:t>rujan</w:t>
            </w:r>
          </w:p>
        </w:tc>
        <w:tc>
          <w:tcPr>
            <w:tcW w:w="1563" w:type="dxa"/>
            <w:shd w:val="clear" w:color="auto" w:fill="auto"/>
            <w:noWrap/>
            <w:vAlign w:val="center"/>
          </w:tcPr>
          <w:p w14:paraId="36C8D0DE" w14:textId="77777777" w:rsidR="00AC375F" w:rsidRPr="00AC375F" w:rsidRDefault="00AC375F" w:rsidP="00AC375F">
            <w:pPr>
              <w:jc w:val="center"/>
              <w:rPr>
                <w:sz w:val="18"/>
                <w:szCs w:val="18"/>
              </w:rPr>
            </w:pPr>
            <w:r w:rsidRPr="00AC375F">
              <w:rPr>
                <w:sz w:val="18"/>
                <w:szCs w:val="18"/>
              </w:rPr>
              <w:t>2</w:t>
            </w:r>
          </w:p>
        </w:tc>
      </w:tr>
      <w:tr w:rsidR="00AC375F" w:rsidRPr="00AC375F" w14:paraId="6CECFB95" w14:textId="77777777" w:rsidTr="00991955">
        <w:trPr>
          <w:trHeight w:val="227"/>
        </w:trPr>
        <w:tc>
          <w:tcPr>
            <w:tcW w:w="4390" w:type="dxa"/>
            <w:shd w:val="clear" w:color="auto" w:fill="auto"/>
            <w:noWrap/>
            <w:vAlign w:val="center"/>
          </w:tcPr>
          <w:p w14:paraId="4642890F" w14:textId="77777777" w:rsidR="00AC375F" w:rsidRPr="00AC375F" w:rsidRDefault="00AC375F" w:rsidP="00AC375F">
            <w:pPr>
              <w:rPr>
                <w:b/>
                <w:sz w:val="18"/>
                <w:szCs w:val="18"/>
              </w:rPr>
            </w:pPr>
          </w:p>
        </w:tc>
        <w:tc>
          <w:tcPr>
            <w:tcW w:w="1417" w:type="dxa"/>
            <w:shd w:val="clear" w:color="auto" w:fill="auto"/>
            <w:noWrap/>
            <w:vAlign w:val="center"/>
          </w:tcPr>
          <w:p w14:paraId="0190D6A6"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auto"/>
            <w:noWrap/>
            <w:vAlign w:val="center"/>
          </w:tcPr>
          <w:p w14:paraId="2C875BBF" w14:textId="77777777" w:rsidR="00AC375F" w:rsidRPr="00AC375F" w:rsidRDefault="00AC375F" w:rsidP="00AC375F">
            <w:pPr>
              <w:jc w:val="center"/>
              <w:rPr>
                <w:sz w:val="18"/>
                <w:szCs w:val="18"/>
              </w:rPr>
            </w:pPr>
            <w:r w:rsidRPr="00AC375F">
              <w:rPr>
                <w:sz w:val="18"/>
                <w:szCs w:val="18"/>
              </w:rPr>
              <w:t>1</w:t>
            </w:r>
          </w:p>
        </w:tc>
        <w:tc>
          <w:tcPr>
            <w:tcW w:w="993" w:type="dxa"/>
            <w:shd w:val="clear" w:color="auto" w:fill="auto"/>
            <w:noWrap/>
            <w:vAlign w:val="center"/>
          </w:tcPr>
          <w:p w14:paraId="5FD78621" w14:textId="77777777" w:rsidR="00AC375F" w:rsidRPr="00AC375F" w:rsidRDefault="00AC375F" w:rsidP="00AC375F">
            <w:pPr>
              <w:jc w:val="center"/>
              <w:rPr>
                <w:rFonts w:cstheme="minorHAnsi"/>
                <w:iCs/>
                <w:sz w:val="18"/>
                <w:szCs w:val="18"/>
              </w:rPr>
            </w:pPr>
            <w:r w:rsidRPr="00AC375F">
              <w:rPr>
                <w:rFonts w:cstheme="minorHAnsi"/>
                <w:iCs/>
                <w:sz w:val="18"/>
                <w:szCs w:val="18"/>
              </w:rPr>
              <w:t>studeni</w:t>
            </w:r>
          </w:p>
        </w:tc>
        <w:tc>
          <w:tcPr>
            <w:tcW w:w="1563" w:type="dxa"/>
            <w:shd w:val="clear" w:color="auto" w:fill="auto"/>
            <w:noWrap/>
            <w:vAlign w:val="center"/>
          </w:tcPr>
          <w:p w14:paraId="6A4179DD" w14:textId="77777777" w:rsidR="00AC375F" w:rsidRPr="00AC375F" w:rsidRDefault="00AC375F" w:rsidP="00AC375F">
            <w:pPr>
              <w:jc w:val="center"/>
              <w:rPr>
                <w:sz w:val="18"/>
                <w:szCs w:val="18"/>
              </w:rPr>
            </w:pPr>
            <w:r w:rsidRPr="00AC375F">
              <w:rPr>
                <w:sz w:val="18"/>
                <w:szCs w:val="18"/>
              </w:rPr>
              <w:t>2</w:t>
            </w:r>
          </w:p>
        </w:tc>
      </w:tr>
      <w:tr w:rsidR="00AC375F" w:rsidRPr="00AC375F" w14:paraId="2F159935" w14:textId="77777777" w:rsidTr="00991955">
        <w:trPr>
          <w:trHeight w:val="227"/>
        </w:trPr>
        <w:tc>
          <w:tcPr>
            <w:tcW w:w="4390" w:type="dxa"/>
            <w:shd w:val="clear" w:color="auto" w:fill="auto"/>
            <w:noWrap/>
            <w:vAlign w:val="center"/>
          </w:tcPr>
          <w:p w14:paraId="5A7C7D56" w14:textId="77777777" w:rsidR="00AC375F" w:rsidRPr="00AC375F" w:rsidRDefault="00AC375F" w:rsidP="00AC375F">
            <w:pPr>
              <w:rPr>
                <w:b/>
                <w:bCs/>
                <w:sz w:val="18"/>
                <w:szCs w:val="18"/>
              </w:rPr>
            </w:pPr>
          </w:p>
        </w:tc>
        <w:tc>
          <w:tcPr>
            <w:tcW w:w="1417" w:type="dxa"/>
            <w:shd w:val="clear" w:color="auto" w:fill="auto"/>
            <w:noWrap/>
            <w:vAlign w:val="center"/>
          </w:tcPr>
          <w:p w14:paraId="74E12FF8" w14:textId="77777777" w:rsidR="00AC375F" w:rsidRPr="00AC375F" w:rsidRDefault="00AC375F" w:rsidP="00AC375F">
            <w:pPr>
              <w:jc w:val="center"/>
              <w:rPr>
                <w:sz w:val="18"/>
                <w:szCs w:val="18"/>
              </w:rPr>
            </w:pPr>
          </w:p>
        </w:tc>
        <w:tc>
          <w:tcPr>
            <w:tcW w:w="992" w:type="dxa"/>
            <w:shd w:val="clear" w:color="auto" w:fill="auto"/>
            <w:noWrap/>
            <w:vAlign w:val="center"/>
          </w:tcPr>
          <w:p w14:paraId="7DFA343A" w14:textId="77777777" w:rsidR="00AC375F" w:rsidRPr="00AC375F" w:rsidRDefault="00AC375F" w:rsidP="00AC375F">
            <w:pPr>
              <w:jc w:val="center"/>
              <w:rPr>
                <w:sz w:val="18"/>
                <w:szCs w:val="18"/>
              </w:rPr>
            </w:pPr>
          </w:p>
        </w:tc>
        <w:tc>
          <w:tcPr>
            <w:tcW w:w="993" w:type="dxa"/>
            <w:shd w:val="clear" w:color="auto" w:fill="auto"/>
            <w:noWrap/>
            <w:vAlign w:val="center"/>
          </w:tcPr>
          <w:p w14:paraId="02B28E15" w14:textId="77777777" w:rsidR="00AC375F" w:rsidRPr="00AC375F" w:rsidRDefault="00AC375F" w:rsidP="00AC375F">
            <w:pPr>
              <w:jc w:val="center"/>
              <w:rPr>
                <w:rFonts w:cstheme="minorHAnsi"/>
                <w:iCs/>
                <w:sz w:val="18"/>
                <w:szCs w:val="18"/>
              </w:rPr>
            </w:pPr>
          </w:p>
        </w:tc>
        <w:tc>
          <w:tcPr>
            <w:tcW w:w="1563" w:type="dxa"/>
            <w:shd w:val="clear" w:color="auto" w:fill="auto"/>
            <w:noWrap/>
            <w:vAlign w:val="center"/>
          </w:tcPr>
          <w:p w14:paraId="17017C98" w14:textId="77777777" w:rsidR="00AC375F" w:rsidRPr="00AC375F" w:rsidRDefault="00AC375F" w:rsidP="00AC375F">
            <w:pPr>
              <w:jc w:val="center"/>
              <w:rPr>
                <w:sz w:val="18"/>
                <w:szCs w:val="18"/>
              </w:rPr>
            </w:pPr>
          </w:p>
        </w:tc>
      </w:tr>
      <w:tr w:rsidR="00AC375F" w:rsidRPr="00AC375F" w14:paraId="287F720F" w14:textId="77777777" w:rsidTr="00991955">
        <w:trPr>
          <w:trHeight w:val="227"/>
        </w:trPr>
        <w:tc>
          <w:tcPr>
            <w:tcW w:w="4390" w:type="dxa"/>
            <w:shd w:val="clear" w:color="auto" w:fill="auto"/>
            <w:noWrap/>
            <w:vAlign w:val="center"/>
          </w:tcPr>
          <w:p w14:paraId="6AA34365" w14:textId="77777777" w:rsidR="00AC375F" w:rsidRPr="00AC375F" w:rsidRDefault="00AC375F" w:rsidP="00AC375F">
            <w:pPr>
              <w:rPr>
                <w:b/>
                <w:bCs/>
                <w:sz w:val="18"/>
                <w:szCs w:val="18"/>
              </w:rPr>
            </w:pPr>
            <w:r w:rsidRPr="00AC375F">
              <w:rPr>
                <w:b/>
                <w:bCs/>
                <w:sz w:val="18"/>
                <w:szCs w:val="18"/>
              </w:rPr>
              <w:t>CTCG Plenary meeting</w:t>
            </w:r>
          </w:p>
        </w:tc>
        <w:tc>
          <w:tcPr>
            <w:tcW w:w="1417" w:type="dxa"/>
            <w:shd w:val="clear" w:color="auto" w:fill="auto"/>
            <w:noWrap/>
            <w:vAlign w:val="center"/>
          </w:tcPr>
          <w:p w14:paraId="145D5BED" w14:textId="77777777" w:rsidR="00AC375F" w:rsidRPr="00AC375F" w:rsidRDefault="00AC375F" w:rsidP="00AC375F">
            <w:pPr>
              <w:jc w:val="center"/>
              <w:rPr>
                <w:sz w:val="18"/>
                <w:szCs w:val="18"/>
              </w:rPr>
            </w:pPr>
            <w:r w:rsidRPr="00AC375F">
              <w:rPr>
                <w:sz w:val="18"/>
                <w:szCs w:val="18"/>
              </w:rPr>
              <w:t xml:space="preserve">Amsterdam </w:t>
            </w:r>
          </w:p>
        </w:tc>
        <w:tc>
          <w:tcPr>
            <w:tcW w:w="992" w:type="dxa"/>
            <w:shd w:val="clear" w:color="auto" w:fill="auto"/>
            <w:noWrap/>
            <w:vAlign w:val="center"/>
          </w:tcPr>
          <w:p w14:paraId="5C9C4B98" w14:textId="77777777" w:rsidR="00AC375F" w:rsidRPr="00AC375F" w:rsidRDefault="00AC375F" w:rsidP="00AC375F">
            <w:pPr>
              <w:jc w:val="center"/>
              <w:rPr>
                <w:sz w:val="18"/>
                <w:szCs w:val="18"/>
              </w:rPr>
            </w:pPr>
            <w:r w:rsidRPr="00AC375F">
              <w:rPr>
                <w:sz w:val="18"/>
                <w:szCs w:val="18"/>
              </w:rPr>
              <w:t>1</w:t>
            </w:r>
          </w:p>
        </w:tc>
        <w:tc>
          <w:tcPr>
            <w:tcW w:w="993" w:type="dxa"/>
            <w:shd w:val="clear" w:color="auto" w:fill="auto"/>
            <w:noWrap/>
            <w:vAlign w:val="center"/>
          </w:tcPr>
          <w:p w14:paraId="730CDE68" w14:textId="77777777" w:rsidR="00AC375F" w:rsidRPr="00AC375F" w:rsidRDefault="00AC375F" w:rsidP="00AC375F">
            <w:pPr>
              <w:jc w:val="center"/>
              <w:rPr>
                <w:rFonts w:cstheme="minorHAnsi"/>
                <w:iCs/>
                <w:sz w:val="18"/>
                <w:szCs w:val="18"/>
              </w:rPr>
            </w:pPr>
            <w:r w:rsidRPr="00AC375F">
              <w:rPr>
                <w:rFonts w:cstheme="minorHAnsi"/>
                <w:iCs/>
                <w:sz w:val="18"/>
                <w:szCs w:val="18"/>
              </w:rPr>
              <w:t>siječanj</w:t>
            </w:r>
          </w:p>
        </w:tc>
        <w:tc>
          <w:tcPr>
            <w:tcW w:w="1563" w:type="dxa"/>
            <w:shd w:val="clear" w:color="auto" w:fill="auto"/>
            <w:noWrap/>
            <w:vAlign w:val="center"/>
          </w:tcPr>
          <w:p w14:paraId="4FBD33F7" w14:textId="77777777" w:rsidR="00AC375F" w:rsidRPr="00AC375F" w:rsidRDefault="00AC375F" w:rsidP="00AC375F">
            <w:pPr>
              <w:jc w:val="center"/>
              <w:rPr>
                <w:sz w:val="18"/>
                <w:szCs w:val="18"/>
              </w:rPr>
            </w:pPr>
            <w:r w:rsidRPr="00AC375F">
              <w:rPr>
                <w:sz w:val="18"/>
                <w:szCs w:val="18"/>
              </w:rPr>
              <w:t>2</w:t>
            </w:r>
          </w:p>
        </w:tc>
      </w:tr>
      <w:tr w:rsidR="00AC375F" w:rsidRPr="00AC375F" w14:paraId="446B964E" w14:textId="77777777" w:rsidTr="00991955">
        <w:trPr>
          <w:trHeight w:val="227"/>
        </w:trPr>
        <w:tc>
          <w:tcPr>
            <w:tcW w:w="4390" w:type="dxa"/>
            <w:shd w:val="clear" w:color="auto" w:fill="auto"/>
            <w:noWrap/>
            <w:vAlign w:val="center"/>
          </w:tcPr>
          <w:p w14:paraId="3C476F6F" w14:textId="77777777" w:rsidR="00AC375F" w:rsidRPr="00AC375F" w:rsidRDefault="00AC375F" w:rsidP="00AC375F">
            <w:pPr>
              <w:rPr>
                <w:b/>
                <w:bCs/>
                <w:sz w:val="18"/>
                <w:szCs w:val="18"/>
              </w:rPr>
            </w:pPr>
          </w:p>
        </w:tc>
        <w:tc>
          <w:tcPr>
            <w:tcW w:w="1417" w:type="dxa"/>
            <w:shd w:val="clear" w:color="auto" w:fill="auto"/>
            <w:noWrap/>
            <w:vAlign w:val="center"/>
          </w:tcPr>
          <w:p w14:paraId="1B8AC1D4"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auto"/>
            <w:noWrap/>
            <w:vAlign w:val="center"/>
          </w:tcPr>
          <w:p w14:paraId="353AA6F3" w14:textId="77777777" w:rsidR="00AC375F" w:rsidRPr="00AC375F" w:rsidRDefault="00AC375F" w:rsidP="00AC375F">
            <w:pPr>
              <w:jc w:val="center"/>
              <w:rPr>
                <w:sz w:val="18"/>
                <w:szCs w:val="18"/>
              </w:rPr>
            </w:pPr>
            <w:r w:rsidRPr="00AC375F">
              <w:rPr>
                <w:sz w:val="18"/>
                <w:szCs w:val="18"/>
              </w:rPr>
              <w:t>2</w:t>
            </w:r>
          </w:p>
        </w:tc>
        <w:tc>
          <w:tcPr>
            <w:tcW w:w="993" w:type="dxa"/>
            <w:shd w:val="clear" w:color="auto" w:fill="auto"/>
            <w:noWrap/>
            <w:vAlign w:val="center"/>
          </w:tcPr>
          <w:p w14:paraId="26239650" w14:textId="77777777" w:rsidR="00AC375F" w:rsidRPr="00AC375F" w:rsidRDefault="00AC375F" w:rsidP="00AC375F">
            <w:pPr>
              <w:jc w:val="center"/>
              <w:rPr>
                <w:rFonts w:cstheme="minorHAnsi"/>
                <w:iCs/>
                <w:sz w:val="18"/>
                <w:szCs w:val="18"/>
              </w:rPr>
            </w:pPr>
            <w:r w:rsidRPr="00AC375F">
              <w:rPr>
                <w:rFonts w:cstheme="minorHAnsi"/>
                <w:iCs/>
                <w:sz w:val="18"/>
                <w:szCs w:val="18"/>
              </w:rPr>
              <w:t>veljača</w:t>
            </w:r>
          </w:p>
        </w:tc>
        <w:tc>
          <w:tcPr>
            <w:tcW w:w="1563" w:type="dxa"/>
            <w:shd w:val="clear" w:color="auto" w:fill="auto"/>
            <w:noWrap/>
            <w:vAlign w:val="center"/>
          </w:tcPr>
          <w:p w14:paraId="3E4A5354" w14:textId="77777777" w:rsidR="00AC375F" w:rsidRPr="00AC375F" w:rsidRDefault="00AC375F" w:rsidP="00AC375F">
            <w:pPr>
              <w:jc w:val="center"/>
              <w:rPr>
                <w:sz w:val="18"/>
                <w:szCs w:val="18"/>
              </w:rPr>
            </w:pPr>
            <w:r w:rsidRPr="00AC375F">
              <w:rPr>
                <w:sz w:val="18"/>
                <w:szCs w:val="18"/>
              </w:rPr>
              <w:t>2</w:t>
            </w:r>
          </w:p>
        </w:tc>
      </w:tr>
      <w:tr w:rsidR="00AC375F" w:rsidRPr="00AC375F" w14:paraId="33BF8E2C" w14:textId="77777777" w:rsidTr="00991955">
        <w:trPr>
          <w:trHeight w:val="227"/>
        </w:trPr>
        <w:tc>
          <w:tcPr>
            <w:tcW w:w="4390" w:type="dxa"/>
            <w:shd w:val="clear" w:color="auto" w:fill="auto"/>
            <w:noWrap/>
            <w:vAlign w:val="center"/>
          </w:tcPr>
          <w:p w14:paraId="6E72118A" w14:textId="77777777" w:rsidR="00AC375F" w:rsidRPr="00AC375F" w:rsidRDefault="00AC375F" w:rsidP="00AC375F">
            <w:pPr>
              <w:rPr>
                <w:b/>
                <w:bCs/>
                <w:sz w:val="18"/>
                <w:szCs w:val="18"/>
              </w:rPr>
            </w:pPr>
          </w:p>
        </w:tc>
        <w:tc>
          <w:tcPr>
            <w:tcW w:w="1417" w:type="dxa"/>
            <w:shd w:val="clear" w:color="auto" w:fill="auto"/>
            <w:noWrap/>
            <w:vAlign w:val="center"/>
          </w:tcPr>
          <w:p w14:paraId="2917C7DB"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auto"/>
            <w:noWrap/>
            <w:vAlign w:val="center"/>
          </w:tcPr>
          <w:p w14:paraId="105AE59E" w14:textId="77777777" w:rsidR="00AC375F" w:rsidRPr="00AC375F" w:rsidRDefault="00AC375F" w:rsidP="00AC375F">
            <w:pPr>
              <w:jc w:val="center"/>
              <w:rPr>
                <w:sz w:val="18"/>
                <w:szCs w:val="18"/>
              </w:rPr>
            </w:pPr>
            <w:r w:rsidRPr="00AC375F">
              <w:rPr>
                <w:sz w:val="18"/>
                <w:szCs w:val="18"/>
              </w:rPr>
              <w:t>2</w:t>
            </w:r>
          </w:p>
        </w:tc>
        <w:tc>
          <w:tcPr>
            <w:tcW w:w="993" w:type="dxa"/>
            <w:shd w:val="clear" w:color="auto" w:fill="auto"/>
            <w:noWrap/>
            <w:vAlign w:val="center"/>
          </w:tcPr>
          <w:p w14:paraId="0A2795B3" w14:textId="77777777" w:rsidR="00AC375F" w:rsidRPr="00AC375F" w:rsidRDefault="00AC375F" w:rsidP="00AC375F">
            <w:pPr>
              <w:jc w:val="center"/>
              <w:rPr>
                <w:rFonts w:cstheme="minorHAnsi"/>
                <w:iCs/>
                <w:sz w:val="18"/>
                <w:szCs w:val="18"/>
              </w:rPr>
            </w:pPr>
            <w:r w:rsidRPr="00AC375F">
              <w:rPr>
                <w:rFonts w:cstheme="minorHAnsi"/>
                <w:iCs/>
                <w:sz w:val="18"/>
                <w:szCs w:val="18"/>
              </w:rPr>
              <w:t>ožujak</w:t>
            </w:r>
          </w:p>
        </w:tc>
        <w:tc>
          <w:tcPr>
            <w:tcW w:w="1563" w:type="dxa"/>
            <w:shd w:val="clear" w:color="auto" w:fill="auto"/>
            <w:noWrap/>
            <w:vAlign w:val="center"/>
          </w:tcPr>
          <w:p w14:paraId="2BA6A974" w14:textId="77777777" w:rsidR="00AC375F" w:rsidRPr="00AC375F" w:rsidRDefault="00AC375F" w:rsidP="00AC375F">
            <w:pPr>
              <w:jc w:val="center"/>
              <w:rPr>
                <w:sz w:val="18"/>
                <w:szCs w:val="18"/>
              </w:rPr>
            </w:pPr>
            <w:r w:rsidRPr="00AC375F">
              <w:rPr>
                <w:sz w:val="18"/>
                <w:szCs w:val="18"/>
              </w:rPr>
              <w:t>2</w:t>
            </w:r>
          </w:p>
        </w:tc>
      </w:tr>
      <w:tr w:rsidR="00AC375F" w:rsidRPr="00AC375F" w14:paraId="656449FD" w14:textId="77777777" w:rsidTr="00991955">
        <w:trPr>
          <w:trHeight w:val="227"/>
        </w:trPr>
        <w:tc>
          <w:tcPr>
            <w:tcW w:w="4390" w:type="dxa"/>
            <w:shd w:val="clear" w:color="auto" w:fill="auto"/>
            <w:noWrap/>
            <w:vAlign w:val="center"/>
          </w:tcPr>
          <w:p w14:paraId="56BE0F51" w14:textId="77777777" w:rsidR="00AC375F" w:rsidRPr="00AC375F" w:rsidRDefault="00AC375F" w:rsidP="00AC375F">
            <w:pPr>
              <w:rPr>
                <w:b/>
                <w:bCs/>
                <w:sz w:val="18"/>
                <w:szCs w:val="18"/>
              </w:rPr>
            </w:pPr>
          </w:p>
        </w:tc>
        <w:tc>
          <w:tcPr>
            <w:tcW w:w="1417" w:type="dxa"/>
            <w:shd w:val="clear" w:color="auto" w:fill="auto"/>
            <w:noWrap/>
            <w:vAlign w:val="center"/>
          </w:tcPr>
          <w:p w14:paraId="545E6E64" w14:textId="77777777" w:rsidR="00AC375F" w:rsidRPr="00AC375F" w:rsidRDefault="00AC375F" w:rsidP="00AC375F">
            <w:pPr>
              <w:jc w:val="center"/>
              <w:rPr>
                <w:sz w:val="18"/>
                <w:szCs w:val="18"/>
              </w:rPr>
            </w:pPr>
            <w:r w:rsidRPr="00AC375F">
              <w:rPr>
                <w:sz w:val="18"/>
                <w:szCs w:val="18"/>
              </w:rPr>
              <w:t>Amsterdam</w:t>
            </w:r>
          </w:p>
        </w:tc>
        <w:tc>
          <w:tcPr>
            <w:tcW w:w="992" w:type="dxa"/>
            <w:shd w:val="clear" w:color="auto" w:fill="auto"/>
            <w:noWrap/>
            <w:vAlign w:val="center"/>
          </w:tcPr>
          <w:p w14:paraId="45BDD59C" w14:textId="77777777" w:rsidR="00AC375F" w:rsidRPr="00AC375F" w:rsidRDefault="00AC375F" w:rsidP="00AC375F">
            <w:pPr>
              <w:jc w:val="center"/>
              <w:rPr>
                <w:sz w:val="18"/>
                <w:szCs w:val="18"/>
              </w:rPr>
            </w:pPr>
            <w:r w:rsidRPr="00AC375F">
              <w:rPr>
                <w:sz w:val="18"/>
                <w:szCs w:val="18"/>
              </w:rPr>
              <w:t>2</w:t>
            </w:r>
          </w:p>
        </w:tc>
        <w:tc>
          <w:tcPr>
            <w:tcW w:w="993" w:type="dxa"/>
            <w:shd w:val="clear" w:color="auto" w:fill="auto"/>
            <w:noWrap/>
            <w:vAlign w:val="center"/>
          </w:tcPr>
          <w:p w14:paraId="1EB88F00" w14:textId="77777777" w:rsidR="00AC375F" w:rsidRPr="00AC375F" w:rsidRDefault="00AC375F" w:rsidP="00AC375F">
            <w:pPr>
              <w:jc w:val="center"/>
              <w:rPr>
                <w:rFonts w:cstheme="minorHAnsi"/>
                <w:iCs/>
                <w:sz w:val="18"/>
                <w:szCs w:val="18"/>
              </w:rPr>
            </w:pPr>
            <w:r w:rsidRPr="00AC375F">
              <w:rPr>
                <w:rFonts w:cstheme="minorHAnsi"/>
                <w:iCs/>
                <w:sz w:val="18"/>
                <w:szCs w:val="18"/>
              </w:rPr>
              <w:t>travanj</w:t>
            </w:r>
          </w:p>
        </w:tc>
        <w:tc>
          <w:tcPr>
            <w:tcW w:w="1563" w:type="dxa"/>
            <w:shd w:val="clear" w:color="auto" w:fill="auto"/>
            <w:noWrap/>
            <w:vAlign w:val="center"/>
          </w:tcPr>
          <w:p w14:paraId="2952B7DC" w14:textId="77777777" w:rsidR="00AC375F" w:rsidRPr="00AC375F" w:rsidRDefault="00AC375F" w:rsidP="00AC375F">
            <w:pPr>
              <w:jc w:val="center"/>
              <w:rPr>
                <w:sz w:val="18"/>
                <w:szCs w:val="18"/>
              </w:rPr>
            </w:pPr>
            <w:r w:rsidRPr="00AC375F">
              <w:rPr>
                <w:sz w:val="18"/>
                <w:szCs w:val="18"/>
              </w:rPr>
              <w:t>2</w:t>
            </w:r>
          </w:p>
        </w:tc>
      </w:tr>
      <w:tr w:rsidR="00AC375F" w:rsidRPr="00AC375F" w14:paraId="0C4C3194" w14:textId="77777777" w:rsidTr="00991955">
        <w:trPr>
          <w:trHeight w:val="227"/>
        </w:trPr>
        <w:tc>
          <w:tcPr>
            <w:tcW w:w="4390" w:type="dxa"/>
            <w:shd w:val="clear" w:color="auto" w:fill="auto"/>
            <w:noWrap/>
            <w:vAlign w:val="center"/>
          </w:tcPr>
          <w:p w14:paraId="53774B4C" w14:textId="77777777" w:rsidR="00AC375F" w:rsidRPr="00AC375F" w:rsidRDefault="00AC375F" w:rsidP="00AC375F">
            <w:pPr>
              <w:rPr>
                <w:b/>
                <w:bCs/>
                <w:sz w:val="18"/>
                <w:szCs w:val="18"/>
              </w:rPr>
            </w:pPr>
          </w:p>
        </w:tc>
        <w:tc>
          <w:tcPr>
            <w:tcW w:w="1417" w:type="dxa"/>
            <w:shd w:val="clear" w:color="auto" w:fill="auto"/>
            <w:noWrap/>
            <w:vAlign w:val="center"/>
          </w:tcPr>
          <w:p w14:paraId="22907B07"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auto"/>
            <w:noWrap/>
            <w:vAlign w:val="center"/>
          </w:tcPr>
          <w:p w14:paraId="1BCC7BE9" w14:textId="77777777" w:rsidR="00AC375F" w:rsidRPr="00AC375F" w:rsidRDefault="00AC375F" w:rsidP="00AC375F">
            <w:pPr>
              <w:jc w:val="center"/>
              <w:rPr>
                <w:sz w:val="18"/>
                <w:szCs w:val="18"/>
              </w:rPr>
            </w:pPr>
            <w:r w:rsidRPr="00AC375F">
              <w:rPr>
                <w:sz w:val="18"/>
                <w:szCs w:val="18"/>
              </w:rPr>
              <w:t>2</w:t>
            </w:r>
          </w:p>
        </w:tc>
        <w:tc>
          <w:tcPr>
            <w:tcW w:w="993" w:type="dxa"/>
            <w:shd w:val="clear" w:color="auto" w:fill="auto"/>
            <w:noWrap/>
            <w:vAlign w:val="center"/>
          </w:tcPr>
          <w:p w14:paraId="0EBA4E3F" w14:textId="77777777" w:rsidR="00AC375F" w:rsidRPr="00AC375F" w:rsidRDefault="00AC375F" w:rsidP="00AC375F">
            <w:pPr>
              <w:jc w:val="center"/>
              <w:rPr>
                <w:rFonts w:cstheme="minorHAnsi"/>
                <w:iCs/>
                <w:sz w:val="18"/>
                <w:szCs w:val="18"/>
              </w:rPr>
            </w:pPr>
            <w:r w:rsidRPr="00AC375F">
              <w:rPr>
                <w:rFonts w:cstheme="minorHAnsi"/>
                <w:iCs/>
                <w:sz w:val="18"/>
                <w:szCs w:val="18"/>
              </w:rPr>
              <w:t>svibanj</w:t>
            </w:r>
          </w:p>
        </w:tc>
        <w:tc>
          <w:tcPr>
            <w:tcW w:w="1563" w:type="dxa"/>
            <w:shd w:val="clear" w:color="auto" w:fill="auto"/>
            <w:noWrap/>
            <w:vAlign w:val="center"/>
          </w:tcPr>
          <w:p w14:paraId="1C588DFF" w14:textId="77777777" w:rsidR="00AC375F" w:rsidRPr="00AC375F" w:rsidRDefault="00AC375F" w:rsidP="00AC375F">
            <w:pPr>
              <w:jc w:val="center"/>
              <w:rPr>
                <w:sz w:val="18"/>
                <w:szCs w:val="18"/>
              </w:rPr>
            </w:pPr>
            <w:r w:rsidRPr="00AC375F">
              <w:rPr>
                <w:sz w:val="18"/>
                <w:szCs w:val="18"/>
              </w:rPr>
              <w:t>2</w:t>
            </w:r>
          </w:p>
        </w:tc>
      </w:tr>
      <w:tr w:rsidR="00AC375F" w:rsidRPr="00AC375F" w14:paraId="607FE3F6" w14:textId="77777777" w:rsidTr="00991955">
        <w:trPr>
          <w:trHeight w:val="227"/>
        </w:trPr>
        <w:tc>
          <w:tcPr>
            <w:tcW w:w="4390" w:type="dxa"/>
            <w:shd w:val="clear" w:color="auto" w:fill="auto"/>
            <w:noWrap/>
            <w:vAlign w:val="center"/>
          </w:tcPr>
          <w:p w14:paraId="6216A83F" w14:textId="77777777" w:rsidR="00AC375F" w:rsidRPr="00AC375F" w:rsidRDefault="00AC375F" w:rsidP="00AC375F">
            <w:pPr>
              <w:rPr>
                <w:b/>
                <w:bCs/>
                <w:sz w:val="18"/>
                <w:szCs w:val="18"/>
              </w:rPr>
            </w:pPr>
          </w:p>
        </w:tc>
        <w:tc>
          <w:tcPr>
            <w:tcW w:w="1417" w:type="dxa"/>
            <w:shd w:val="clear" w:color="auto" w:fill="auto"/>
            <w:noWrap/>
            <w:vAlign w:val="center"/>
          </w:tcPr>
          <w:p w14:paraId="1A415C8B"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auto"/>
            <w:noWrap/>
            <w:vAlign w:val="center"/>
          </w:tcPr>
          <w:p w14:paraId="58880A4D" w14:textId="77777777" w:rsidR="00AC375F" w:rsidRPr="00AC375F" w:rsidRDefault="00AC375F" w:rsidP="00AC375F">
            <w:pPr>
              <w:jc w:val="center"/>
              <w:rPr>
                <w:sz w:val="18"/>
                <w:szCs w:val="18"/>
              </w:rPr>
            </w:pPr>
            <w:r w:rsidRPr="00AC375F">
              <w:rPr>
                <w:sz w:val="18"/>
                <w:szCs w:val="18"/>
              </w:rPr>
              <w:t>1</w:t>
            </w:r>
          </w:p>
        </w:tc>
        <w:tc>
          <w:tcPr>
            <w:tcW w:w="993" w:type="dxa"/>
            <w:shd w:val="clear" w:color="auto" w:fill="auto"/>
            <w:noWrap/>
            <w:vAlign w:val="center"/>
          </w:tcPr>
          <w:p w14:paraId="76000296" w14:textId="77777777" w:rsidR="00AC375F" w:rsidRPr="00AC375F" w:rsidRDefault="00AC375F" w:rsidP="00AC375F">
            <w:pPr>
              <w:jc w:val="center"/>
              <w:rPr>
                <w:rFonts w:cstheme="minorHAnsi"/>
                <w:iCs/>
                <w:sz w:val="18"/>
                <w:szCs w:val="18"/>
              </w:rPr>
            </w:pPr>
            <w:r w:rsidRPr="00AC375F">
              <w:rPr>
                <w:rFonts w:cstheme="minorHAnsi"/>
                <w:iCs/>
                <w:sz w:val="18"/>
                <w:szCs w:val="18"/>
              </w:rPr>
              <w:t>lipanj</w:t>
            </w:r>
          </w:p>
        </w:tc>
        <w:tc>
          <w:tcPr>
            <w:tcW w:w="1563" w:type="dxa"/>
            <w:shd w:val="clear" w:color="auto" w:fill="auto"/>
            <w:noWrap/>
            <w:vAlign w:val="center"/>
          </w:tcPr>
          <w:p w14:paraId="797033CB" w14:textId="77777777" w:rsidR="00AC375F" w:rsidRPr="00AC375F" w:rsidRDefault="00AC375F" w:rsidP="00AC375F">
            <w:pPr>
              <w:jc w:val="center"/>
              <w:rPr>
                <w:sz w:val="18"/>
                <w:szCs w:val="18"/>
              </w:rPr>
            </w:pPr>
            <w:r w:rsidRPr="00AC375F">
              <w:rPr>
                <w:sz w:val="18"/>
                <w:szCs w:val="18"/>
              </w:rPr>
              <w:t>1</w:t>
            </w:r>
          </w:p>
        </w:tc>
      </w:tr>
      <w:tr w:rsidR="00AC375F" w:rsidRPr="00AC375F" w14:paraId="786CBFE1" w14:textId="77777777" w:rsidTr="00991955">
        <w:trPr>
          <w:trHeight w:val="227"/>
        </w:trPr>
        <w:tc>
          <w:tcPr>
            <w:tcW w:w="4390" w:type="dxa"/>
            <w:shd w:val="clear" w:color="auto" w:fill="auto"/>
            <w:noWrap/>
            <w:vAlign w:val="center"/>
          </w:tcPr>
          <w:p w14:paraId="25593FE4" w14:textId="77777777" w:rsidR="00AC375F" w:rsidRPr="00AC375F" w:rsidRDefault="00AC375F" w:rsidP="00AC375F">
            <w:pPr>
              <w:rPr>
                <w:b/>
                <w:bCs/>
                <w:sz w:val="18"/>
                <w:szCs w:val="18"/>
              </w:rPr>
            </w:pPr>
          </w:p>
        </w:tc>
        <w:tc>
          <w:tcPr>
            <w:tcW w:w="1417" w:type="dxa"/>
            <w:shd w:val="clear" w:color="auto" w:fill="auto"/>
            <w:noWrap/>
            <w:vAlign w:val="center"/>
          </w:tcPr>
          <w:p w14:paraId="6BF4DA67"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auto"/>
            <w:noWrap/>
            <w:vAlign w:val="center"/>
          </w:tcPr>
          <w:p w14:paraId="2B6B93AF" w14:textId="77777777" w:rsidR="00AC375F" w:rsidRPr="00AC375F" w:rsidRDefault="00AC375F" w:rsidP="00AC375F">
            <w:pPr>
              <w:jc w:val="center"/>
              <w:rPr>
                <w:sz w:val="18"/>
                <w:szCs w:val="18"/>
              </w:rPr>
            </w:pPr>
            <w:r w:rsidRPr="00AC375F">
              <w:rPr>
                <w:sz w:val="18"/>
                <w:szCs w:val="18"/>
              </w:rPr>
              <w:t>1</w:t>
            </w:r>
          </w:p>
        </w:tc>
        <w:tc>
          <w:tcPr>
            <w:tcW w:w="993" w:type="dxa"/>
            <w:shd w:val="clear" w:color="auto" w:fill="auto"/>
            <w:noWrap/>
            <w:vAlign w:val="center"/>
          </w:tcPr>
          <w:p w14:paraId="590D7A90" w14:textId="77777777" w:rsidR="00AC375F" w:rsidRPr="00AC375F" w:rsidRDefault="00AC375F" w:rsidP="00AC375F">
            <w:pPr>
              <w:jc w:val="center"/>
              <w:rPr>
                <w:rFonts w:cstheme="minorHAnsi"/>
                <w:iCs/>
                <w:sz w:val="18"/>
                <w:szCs w:val="18"/>
              </w:rPr>
            </w:pPr>
            <w:r w:rsidRPr="00AC375F">
              <w:rPr>
                <w:rFonts w:cstheme="minorHAnsi"/>
                <w:iCs/>
                <w:sz w:val="18"/>
                <w:szCs w:val="18"/>
              </w:rPr>
              <w:t>rujan</w:t>
            </w:r>
          </w:p>
        </w:tc>
        <w:tc>
          <w:tcPr>
            <w:tcW w:w="1563" w:type="dxa"/>
            <w:shd w:val="clear" w:color="auto" w:fill="auto"/>
            <w:noWrap/>
            <w:vAlign w:val="center"/>
          </w:tcPr>
          <w:p w14:paraId="7523C5EB" w14:textId="77777777" w:rsidR="00AC375F" w:rsidRPr="00AC375F" w:rsidRDefault="00AC375F" w:rsidP="00AC375F">
            <w:pPr>
              <w:jc w:val="center"/>
              <w:rPr>
                <w:sz w:val="18"/>
                <w:szCs w:val="18"/>
              </w:rPr>
            </w:pPr>
            <w:r w:rsidRPr="00AC375F">
              <w:rPr>
                <w:sz w:val="18"/>
                <w:szCs w:val="18"/>
              </w:rPr>
              <w:t>2</w:t>
            </w:r>
          </w:p>
        </w:tc>
      </w:tr>
      <w:tr w:rsidR="00AC375F" w:rsidRPr="00AC375F" w14:paraId="36B5672A" w14:textId="77777777" w:rsidTr="00991955">
        <w:trPr>
          <w:trHeight w:val="227"/>
        </w:trPr>
        <w:tc>
          <w:tcPr>
            <w:tcW w:w="4390" w:type="dxa"/>
            <w:shd w:val="clear" w:color="auto" w:fill="auto"/>
            <w:noWrap/>
            <w:vAlign w:val="center"/>
          </w:tcPr>
          <w:p w14:paraId="7F0A1026" w14:textId="77777777" w:rsidR="00AC375F" w:rsidRPr="00AC375F" w:rsidRDefault="00AC375F" w:rsidP="00AC375F">
            <w:pPr>
              <w:rPr>
                <w:b/>
                <w:bCs/>
                <w:sz w:val="18"/>
                <w:szCs w:val="18"/>
              </w:rPr>
            </w:pPr>
          </w:p>
        </w:tc>
        <w:tc>
          <w:tcPr>
            <w:tcW w:w="1417" w:type="dxa"/>
            <w:shd w:val="clear" w:color="auto" w:fill="auto"/>
            <w:noWrap/>
            <w:vAlign w:val="center"/>
          </w:tcPr>
          <w:p w14:paraId="401A73EC" w14:textId="77777777" w:rsidR="00AC375F" w:rsidRPr="00AC375F" w:rsidRDefault="00AC375F" w:rsidP="00AC375F">
            <w:pPr>
              <w:jc w:val="center"/>
              <w:rPr>
                <w:sz w:val="18"/>
                <w:szCs w:val="18"/>
              </w:rPr>
            </w:pPr>
            <w:r w:rsidRPr="00AC375F">
              <w:rPr>
                <w:sz w:val="18"/>
                <w:szCs w:val="18"/>
              </w:rPr>
              <w:t>Madrid</w:t>
            </w:r>
          </w:p>
        </w:tc>
        <w:tc>
          <w:tcPr>
            <w:tcW w:w="992" w:type="dxa"/>
            <w:shd w:val="clear" w:color="auto" w:fill="auto"/>
            <w:noWrap/>
            <w:vAlign w:val="center"/>
          </w:tcPr>
          <w:p w14:paraId="51DDF0C9" w14:textId="77777777" w:rsidR="00AC375F" w:rsidRPr="00AC375F" w:rsidRDefault="00AC375F" w:rsidP="00AC375F">
            <w:pPr>
              <w:jc w:val="center"/>
              <w:rPr>
                <w:sz w:val="18"/>
                <w:szCs w:val="18"/>
              </w:rPr>
            </w:pPr>
            <w:r w:rsidRPr="00AC375F">
              <w:rPr>
                <w:sz w:val="18"/>
                <w:szCs w:val="18"/>
              </w:rPr>
              <w:t>1</w:t>
            </w:r>
          </w:p>
        </w:tc>
        <w:tc>
          <w:tcPr>
            <w:tcW w:w="993" w:type="dxa"/>
            <w:shd w:val="clear" w:color="auto" w:fill="auto"/>
            <w:noWrap/>
            <w:vAlign w:val="center"/>
          </w:tcPr>
          <w:p w14:paraId="4A6B36DF" w14:textId="77777777" w:rsidR="00AC375F" w:rsidRPr="00AC375F" w:rsidRDefault="00AC375F" w:rsidP="00AC375F">
            <w:pPr>
              <w:jc w:val="center"/>
              <w:rPr>
                <w:rFonts w:cstheme="minorHAnsi"/>
                <w:iCs/>
                <w:sz w:val="18"/>
                <w:szCs w:val="18"/>
              </w:rPr>
            </w:pPr>
            <w:r w:rsidRPr="00AC375F">
              <w:rPr>
                <w:rFonts w:cstheme="minorHAnsi"/>
                <w:iCs/>
                <w:sz w:val="18"/>
                <w:szCs w:val="18"/>
              </w:rPr>
              <w:t>listopad</w:t>
            </w:r>
          </w:p>
        </w:tc>
        <w:tc>
          <w:tcPr>
            <w:tcW w:w="1563" w:type="dxa"/>
            <w:shd w:val="clear" w:color="auto" w:fill="auto"/>
            <w:noWrap/>
            <w:vAlign w:val="center"/>
          </w:tcPr>
          <w:p w14:paraId="0E24D96A" w14:textId="77777777" w:rsidR="00AC375F" w:rsidRPr="00AC375F" w:rsidRDefault="00AC375F" w:rsidP="00AC375F">
            <w:pPr>
              <w:jc w:val="center"/>
              <w:rPr>
                <w:sz w:val="18"/>
                <w:szCs w:val="18"/>
              </w:rPr>
            </w:pPr>
            <w:r w:rsidRPr="00AC375F">
              <w:rPr>
                <w:sz w:val="18"/>
                <w:szCs w:val="18"/>
              </w:rPr>
              <w:t>2</w:t>
            </w:r>
          </w:p>
        </w:tc>
      </w:tr>
      <w:tr w:rsidR="00AC375F" w:rsidRPr="00AC375F" w14:paraId="4C68DA39" w14:textId="77777777" w:rsidTr="00991955">
        <w:trPr>
          <w:trHeight w:val="227"/>
        </w:trPr>
        <w:tc>
          <w:tcPr>
            <w:tcW w:w="4390" w:type="dxa"/>
            <w:shd w:val="clear" w:color="auto" w:fill="auto"/>
            <w:noWrap/>
            <w:vAlign w:val="center"/>
          </w:tcPr>
          <w:p w14:paraId="68437DD0" w14:textId="77777777" w:rsidR="00AC375F" w:rsidRPr="00AC375F" w:rsidRDefault="00AC375F" w:rsidP="00AC375F">
            <w:pPr>
              <w:rPr>
                <w:b/>
                <w:bCs/>
                <w:sz w:val="18"/>
                <w:szCs w:val="18"/>
              </w:rPr>
            </w:pPr>
          </w:p>
        </w:tc>
        <w:tc>
          <w:tcPr>
            <w:tcW w:w="1417" w:type="dxa"/>
            <w:shd w:val="clear" w:color="auto" w:fill="auto"/>
            <w:noWrap/>
            <w:vAlign w:val="center"/>
          </w:tcPr>
          <w:p w14:paraId="003E8050"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auto"/>
            <w:noWrap/>
            <w:vAlign w:val="center"/>
          </w:tcPr>
          <w:p w14:paraId="78CD382E" w14:textId="77777777" w:rsidR="00AC375F" w:rsidRPr="00AC375F" w:rsidRDefault="00AC375F" w:rsidP="00AC375F">
            <w:pPr>
              <w:jc w:val="center"/>
              <w:rPr>
                <w:sz w:val="18"/>
                <w:szCs w:val="18"/>
              </w:rPr>
            </w:pPr>
            <w:r w:rsidRPr="00AC375F">
              <w:rPr>
                <w:sz w:val="18"/>
                <w:szCs w:val="18"/>
              </w:rPr>
              <w:t>2</w:t>
            </w:r>
          </w:p>
        </w:tc>
        <w:tc>
          <w:tcPr>
            <w:tcW w:w="993" w:type="dxa"/>
            <w:shd w:val="clear" w:color="auto" w:fill="auto"/>
            <w:noWrap/>
            <w:vAlign w:val="center"/>
          </w:tcPr>
          <w:p w14:paraId="73F1229D" w14:textId="77777777" w:rsidR="00AC375F" w:rsidRPr="00AC375F" w:rsidRDefault="00AC375F" w:rsidP="00AC375F">
            <w:pPr>
              <w:jc w:val="center"/>
              <w:rPr>
                <w:rFonts w:cstheme="minorHAnsi"/>
                <w:iCs/>
                <w:sz w:val="18"/>
                <w:szCs w:val="18"/>
              </w:rPr>
            </w:pPr>
            <w:r w:rsidRPr="00AC375F">
              <w:rPr>
                <w:rFonts w:cstheme="minorHAnsi"/>
                <w:iCs/>
                <w:sz w:val="18"/>
                <w:szCs w:val="18"/>
              </w:rPr>
              <w:t>studeni</w:t>
            </w:r>
          </w:p>
        </w:tc>
        <w:tc>
          <w:tcPr>
            <w:tcW w:w="1563" w:type="dxa"/>
            <w:shd w:val="clear" w:color="auto" w:fill="auto"/>
            <w:noWrap/>
            <w:vAlign w:val="center"/>
          </w:tcPr>
          <w:p w14:paraId="04C9CA77" w14:textId="77777777" w:rsidR="00AC375F" w:rsidRPr="00AC375F" w:rsidRDefault="00AC375F" w:rsidP="00AC375F">
            <w:pPr>
              <w:jc w:val="center"/>
              <w:rPr>
                <w:sz w:val="18"/>
                <w:szCs w:val="18"/>
              </w:rPr>
            </w:pPr>
            <w:r w:rsidRPr="00AC375F">
              <w:rPr>
                <w:sz w:val="18"/>
                <w:szCs w:val="18"/>
              </w:rPr>
              <w:t>2</w:t>
            </w:r>
          </w:p>
        </w:tc>
      </w:tr>
      <w:tr w:rsidR="00AC375F" w:rsidRPr="00AC375F" w14:paraId="4A453225" w14:textId="77777777" w:rsidTr="00991955">
        <w:trPr>
          <w:trHeight w:val="227"/>
        </w:trPr>
        <w:tc>
          <w:tcPr>
            <w:tcW w:w="4390" w:type="dxa"/>
            <w:shd w:val="clear" w:color="auto" w:fill="auto"/>
            <w:noWrap/>
            <w:vAlign w:val="center"/>
          </w:tcPr>
          <w:p w14:paraId="6D888FE0" w14:textId="77777777" w:rsidR="00AC375F" w:rsidRPr="00AC375F" w:rsidRDefault="00AC375F" w:rsidP="00AC375F">
            <w:pPr>
              <w:rPr>
                <w:b/>
                <w:bCs/>
                <w:sz w:val="18"/>
                <w:szCs w:val="18"/>
              </w:rPr>
            </w:pPr>
          </w:p>
        </w:tc>
        <w:tc>
          <w:tcPr>
            <w:tcW w:w="1417" w:type="dxa"/>
            <w:shd w:val="clear" w:color="auto" w:fill="auto"/>
            <w:noWrap/>
            <w:vAlign w:val="center"/>
          </w:tcPr>
          <w:p w14:paraId="2B04760B" w14:textId="77777777" w:rsidR="00AC375F" w:rsidRPr="00AC375F" w:rsidRDefault="00AC375F" w:rsidP="00AC375F">
            <w:pPr>
              <w:jc w:val="center"/>
              <w:rPr>
                <w:sz w:val="18"/>
                <w:szCs w:val="18"/>
              </w:rPr>
            </w:pPr>
            <w:r w:rsidRPr="00AC375F">
              <w:rPr>
                <w:sz w:val="18"/>
                <w:szCs w:val="18"/>
              </w:rPr>
              <w:t>Amsterdam</w:t>
            </w:r>
          </w:p>
        </w:tc>
        <w:tc>
          <w:tcPr>
            <w:tcW w:w="992" w:type="dxa"/>
            <w:shd w:val="clear" w:color="auto" w:fill="auto"/>
            <w:noWrap/>
            <w:vAlign w:val="center"/>
          </w:tcPr>
          <w:p w14:paraId="65314C9A" w14:textId="77777777" w:rsidR="00AC375F" w:rsidRPr="00AC375F" w:rsidRDefault="00AC375F" w:rsidP="00AC375F">
            <w:pPr>
              <w:jc w:val="center"/>
              <w:rPr>
                <w:sz w:val="18"/>
                <w:szCs w:val="18"/>
              </w:rPr>
            </w:pPr>
            <w:r w:rsidRPr="00AC375F">
              <w:rPr>
                <w:sz w:val="18"/>
                <w:szCs w:val="18"/>
              </w:rPr>
              <w:t>2</w:t>
            </w:r>
          </w:p>
        </w:tc>
        <w:tc>
          <w:tcPr>
            <w:tcW w:w="993" w:type="dxa"/>
            <w:shd w:val="clear" w:color="auto" w:fill="auto"/>
            <w:noWrap/>
            <w:vAlign w:val="center"/>
          </w:tcPr>
          <w:p w14:paraId="2F548A29" w14:textId="77777777" w:rsidR="00AC375F" w:rsidRPr="00AC375F" w:rsidRDefault="00AC375F" w:rsidP="00AC375F">
            <w:pPr>
              <w:jc w:val="center"/>
              <w:rPr>
                <w:rFonts w:cstheme="minorHAnsi"/>
                <w:iCs/>
                <w:sz w:val="18"/>
                <w:szCs w:val="18"/>
              </w:rPr>
            </w:pPr>
            <w:r w:rsidRPr="00AC375F">
              <w:rPr>
                <w:rFonts w:cstheme="minorHAnsi"/>
                <w:iCs/>
                <w:sz w:val="18"/>
                <w:szCs w:val="18"/>
              </w:rPr>
              <w:t>prosinac</w:t>
            </w:r>
          </w:p>
        </w:tc>
        <w:tc>
          <w:tcPr>
            <w:tcW w:w="1563" w:type="dxa"/>
            <w:shd w:val="clear" w:color="auto" w:fill="auto"/>
            <w:noWrap/>
            <w:vAlign w:val="center"/>
          </w:tcPr>
          <w:p w14:paraId="5945150B" w14:textId="77777777" w:rsidR="00AC375F" w:rsidRPr="00AC375F" w:rsidRDefault="00AC375F" w:rsidP="00AC375F">
            <w:pPr>
              <w:jc w:val="center"/>
              <w:rPr>
                <w:sz w:val="18"/>
                <w:szCs w:val="18"/>
              </w:rPr>
            </w:pPr>
            <w:r w:rsidRPr="00AC375F">
              <w:rPr>
                <w:sz w:val="18"/>
                <w:szCs w:val="18"/>
              </w:rPr>
              <w:t>2</w:t>
            </w:r>
          </w:p>
        </w:tc>
      </w:tr>
      <w:tr w:rsidR="00AC375F" w:rsidRPr="00AC375F" w14:paraId="3E2880D3" w14:textId="77777777" w:rsidTr="00991955">
        <w:trPr>
          <w:trHeight w:val="227"/>
        </w:trPr>
        <w:tc>
          <w:tcPr>
            <w:tcW w:w="4390" w:type="dxa"/>
            <w:shd w:val="clear" w:color="auto" w:fill="auto"/>
            <w:noWrap/>
            <w:vAlign w:val="center"/>
          </w:tcPr>
          <w:p w14:paraId="5BA1858A" w14:textId="77777777" w:rsidR="00AC375F" w:rsidRPr="00AC375F" w:rsidRDefault="00AC375F" w:rsidP="00AC375F">
            <w:pPr>
              <w:rPr>
                <w:b/>
                <w:bCs/>
                <w:sz w:val="18"/>
                <w:szCs w:val="18"/>
              </w:rPr>
            </w:pPr>
            <w:r w:rsidRPr="00AC375F">
              <w:rPr>
                <w:b/>
                <w:bCs/>
                <w:sz w:val="18"/>
                <w:szCs w:val="18"/>
              </w:rPr>
              <w:t>CTCG Safety subgroup</w:t>
            </w:r>
          </w:p>
        </w:tc>
        <w:tc>
          <w:tcPr>
            <w:tcW w:w="1417" w:type="dxa"/>
            <w:shd w:val="clear" w:color="auto" w:fill="auto"/>
            <w:noWrap/>
            <w:vAlign w:val="center"/>
          </w:tcPr>
          <w:p w14:paraId="5E8CDFA4"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auto"/>
            <w:noWrap/>
            <w:vAlign w:val="center"/>
          </w:tcPr>
          <w:p w14:paraId="5D6C6E9E" w14:textId="77777777" w:rsidR="00AC375F" w:rsidRPr="00AC375F" w:rsidRDefault="00AC375F" w:rsidP="00AC375F">
            <w:pPr>
              <w:jc w:val="center"/>
              <w:rPr>
                <w:sz w:val="18"/>
                <w:szCs w:val="18"/>
              </w:rPr>
            </w:pPr>
            <w:r w:rsidRPr="00AC375F">
              <w:rPr>
                <w:sz w:val="18"/>
                <w:szCs w:val="18"/>
              </w:rPr>
              <w:t>1</w:t>
            </w:r>
          </w:p>
        </w:tc>
        <w:tc>
          <w:tcPr>
            <w:tcW w:w="993" w:type="dxa"/>
            <w:shd w:val="clear" w:color="auto" w:fill="auto"/>
            <w:noWrap/>
            <w:vAlign w:val="center"/>
          </w:tcPr>
          <w:p w14:paraId="23DC8DA6" w14:textId="77777777" w:rsidR="00AC375F" w:rsidRPr="00AC375F" w:rsidRDefault="00AC375F" w:rsidP="00AC375F">
            <w:pPr>
              <w:jc w:val="center"/>
              <w:rPr>
                <w:rFonts w:cstheme="minorHAnsi"/>
                <w:iCs/>
                <w:sz w:val="18"/>
                <w:szCs w:val="18"/>
              </w:rPr>
            </w:pPr>
            <w:r w:rsidRPr="00AC375F">
              <w:rPr>
                <w:rFonts w:cstheme="minorHAnsi"/>
                <w:iCs/>
                <w:sz w:val="18"/>
                <w:szCs w:val="18"/>
              </w:rPr>
              <w:t>veljača</w:t>
            </w:r>
          </w:p>
        </w:tc>
        <w:tc>
          <w:tcPr>
            <w:tcW w:w="1563" w:type="dxa"/>
            <w:shd w:val="clear" w:color="auto" w:fill="auto"/>
            <w:noWrap/>
            <w:vAlign w:val="center"/>
          </w:tcPr>
          <w:p w14:paraId="5F32E282" w14:textId="77777777" w:rsidR="00AC375F" w:rsidRPr="00AC375F" w:rsidRDefault="00AC375F" w:rsidP="00AC375F">
            <w:pPr>
              <w:jc w:val="center"/>
              <w:rPr>
                <w:sz w:val="18"/>
                <w:szCs w:val="18"/>
              </w:rPr>
            </w:pPr>
            <w:r w:rsidRPr="00AC375F">
              <w:rPr>
                <w:sz w:val="18"/>
                <w:szCs w:val="18"/>
              </w:rPr>
              <w:t>0,25</w:t>
            </w:r>
          </w:p>
        </w:tc>
      </w:tr>
      <w:tr w:rsidR="00AC375F" w:rsidRPr="00AC375F" w14:paraId="4A0E9583" w14:textId="77777777" w:rsidTr="00991955">
        <w:trPr>
          <w:trHeight w:val="227"/>
        </w:trPr>
        <w:tc>
          <w:tcPr>
            <w:tcW w:w="4390" w:type="dxa"/>
            <w:shd w:val="clear" w:color="auto" w:fill="auto"/>
            <w:noWrap/>
            <w:vAlign w:val="center"/>
          </w:tcPr>
          <w:p w14:paraId="32E2F233" w14:textId="77777777" w:rsidR="00AC375F" w:rsidRPr="00AC375F" w:rsidRDefault="00AC375F" w:rsidP="00AC375F">
            <w:pPr>
              <w:rPr>
                <w:b/>
                <w:bCs/>
                <w:sz w:val="18"/>
                <w:szCs w:val="18"/>
              </w:rPr>
            </w:pPr>
          </w:p>
        </w:tc>
        <w:tc>
          <w:tcPr>
            <w:tcW w:w="1417" w:type="dxa"/>
            <w:shd w:val="clear" w:color="auto" w:fill="auto"/>
            <w:noWrap/>
            <w:vAlign w:val="center"/>
          </w:tcPr>
          <w:p w14:paraId="4772564F"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auto"/>
            <w:noWrap/>
            <w:vAlign w:val="center"/>
          </w:tcPr>
          <w:p w14:paraId="0865EEFE" w14:textId="77777777" w:rsidR="00AC375F" w:rsidRPr="00AC375F" w:rsidRDefault="00AC375F" w:rsidP="00AC375F">
            <w:pPr>
              <w:jc w:val="center"/>
              <w:rPr>
                <w:sz w:val="18"/>
                <w:szCs w:val="18"/>
              </w:rPr>
            </w:pPr>
            <w:r w:rsidRPr="00AC375F">
              <w:rPr>
                <w:sz w:val="18"/>
                <w:szCs w:val="18"/>
              </w:rPr>
              <w:t>1</w:t>
            </w:r>
          </w:p>
        </w:tc>
        <w:tc>
          <w:tcPr>
            <w:tcW w:w="993" w:type="dxa"/>
            <w:shd w:val="clear" w:color="auto" w:fill="auto"/>
            <w:noWrap/>
            <w:vAlign w:val="center"/>
          </w:tcPr>
          <w:p w14:paraId="498E3507" w14:textId="77777777" w:rsidR="00AC375F" w:rsidRPr="00AC375F" w:rsidRDefault="00AC375F" w:rsidP="00AC375F">
            <w:pPr>
              <w:jc w:val="center"/>
              <w:rPr>
                <w:rFonts w:cstheme="minorHAnsi"/>
                <w:iCs/>
                <w:sz w:val="18"/>
                <w:szCs w:val="18"/>
              </w:rPr>
            </w:pPr>
            <w:r w:rsidRPr="00AC375F">
              <w:rPr>
                <w:rFonts w:cstheme="minorHAnsi"/>
                <w:iCs/>
                <w:sz w:val="18"/>
                <w:szCs w:val="18"/>
              </w:rPr>
              <w:t>travanj</w:t>
            </w:r>
          </w:p>
        </w:tc>
        <w:tc>
          <w:tcPr>
            <w:tcW w:w="1563" w:type="dxa"/>
            <w:shd w:val="clear" w:color="auto" w:fill="auto"/>
            <w:noWrap/>
            <w:vAlign w:val="center"/>
          </w:tcPr>
          <w:p w14:paraId="6F953491" w14:textId="77777777" w:rsidR="00AC375F" w:rsidRPr="00AC375F" w:rsidRDefault="00AC375F" w:rsidP="00AC375F">
            <w:pPr>
              <w:jc w:val="center"/>
              <w:rPr>
                <w:sz w:val="18"/>
                <w:szCs w:val="18"/>
              </w:rPr>
            </w:pPr>
            <w:r w:rsidRPr="00AC375F">
              <w:rPr>
                <w:sz w:val="18"/>
                <w:szCs w:val="18"/>
              </w:rPr>
              <w:t>0,25</w:t>
            </w:r>
          </w:p>
        </w:tc>
      </w:tr>
      <w:tr w:rsidR="00AC375F" w:rsidRPr="00AC375F" w14:paraId="16E70EBA" w14:textId="77777777" w:rsidTr="00991955">
        <w:trPr>
          <w:trHeight w:val="227"/>
        </w:trPr>
        <w:tc>
          <w:tcPr>
            <w:tcW w:w="4390" w:type="dxa"/>
            <w:shd w:val="clear" w:color="auto" w:fill="auto"/>
            <w:noWrap/>
            <w:vAlign w:val="center"/>
          </w:tcPr>
          <w:p w14:paraId="2C8A9FBA" w14:textId="77777777" w:rsidR="00AC375F" w:rsidRPr="00AC375F" w:rsidRDefault="00AC375F" w:rsidP="00AC375F">
            <w:pPr>
              <w:rPr>
                <w:b/>
                <w:bCs/>
                <w:sz w:val="18"/>
                <w:szCs w:val="18"/>
              </w:rPr>
            </w:pPr>
          </w:p>
        </w:tc>
        <w:tc>
          <w:tcPr>
            <w:tcW w:w="1417" w:type="dxa"/>
            <w:shd w:val="clear" w:color="auto" w:fill="auto"/>
            <w:noWrap/>
            <w:vAlign w:val="center"/>
          </w:tcPr>
          <w:p w14:paraId="5D1E73F1"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auto"/>
            <w:noWrap/>
            <w:vAlign w:val="center"/>
          </w:tcPr>
          <w:p w14:paraId="7452C86D" w14:textId="77777777" w:rsidR="00AC375F" w:rsidRPr="00AC375F" w:rsidRDefault="00AC375F" w:rsidP="00AC375F">
            <w:pPr>
              <w:jc w:val="center"/>
              <w:rPr>
                <w:sz w:val="18"/>
                <w:szCs w:val="18"/>
              </w:rPr>
            </w:pPr>
            <w:r w:rsidRPr="00AC375F">
              <w:rPr>
                <w:sz w:val="18"/>
                <w:szCs w:val="18"/>
              </w:rPr>
              <w:t>1</w:t>
            </w:r>
          </w:p>
        </w:tc>
        <w:tc>
          <w:tcPr>
            <w:tcW w:w="993" w:type="dxa"/>
            <w:shd w:val="clear" w:color="auto" w:fill="auto"/>
            <w:noWrap/>
            <w:vAlign w:val="center"/>
          </w:tcPr>
          <w:p w14:paraId="26E002AC" w14:textId="77777777" w:rsidR="00AC375F" w:rsidRPr="00AC375F" w:rsidRDefault="00AC375F" w:rsidP="00AC375F">
            <w:pPr>
              <w:jc w:val="center"/>
              <w:rPr>
                <w:rFonts w:cstheme="minorHAnsi"/>
                <w:iCs/>
                <w:sz w:val="18"/>
                <w:szCs w:val="18"/>
              </w:rPr>
            </w:pPr>
            <w:r w:rsidRPr="00AC375F">
              <w:rPr>
                <w:rFonts w:cstheme="minorHAnsi"/>
                <w:iCs/>
                <w:sz w:val="18"/>
                <w:szCs w:val="18"/>
              </w:rPr>
              <w:t>lipanj</w:t>
            </w:r>
          </w:p>
        </w:tc>
        <w:tc>
          <w:tcPr>
            <w:tcW w:w="1563" w:type="dxa"/>
            <w:shd w:val="clear" w:color="auto" w:fill="auto"/>
            <w:noWrap/>
            <w:vAlign w:val="center"/>
          </w:tcPr>
          <w:p w14:paraId="7AD34ABC" w14:textId="77777777" w:rsidR="00AC375F" w:rsidRPr="00AC375F" w:rsidRDefault="00AC375F" w:rsidP="00AC375F">
            <w:pPr>
              <w:jc w:val="center"/>
              <w:rPr>
                <w:sz w:val="18"/>
                <w:szCs w:val="18"/>
              </w:rPr>
            </w:pPr>
            <w:r w:rsidRPr="00AC375F">
              <w:rPr>
                <w:sz w:val="18"/>
                <w:szCs w:val="18"/>
              </w:rPr>
              <w:t>0,25</w:t>
            </w:r>
          </w:p>
        </w:tc>
      </w:tr>
      <w:tr w:rsidR="00AC375F" w:rsidRPr="00AC375F" w14:paraId="3228B178" w14:textId="77777777" w:rsidTr="00991955">
        <w:trPr>
          <w:trHeight w:val="237"/>
        </w:trPr>
        <w:tc>
          <w:tcPr>
            <w:tcW w:w="4390" w:type="dxa"/>
            <w:shd w:val="clear" w:color="auto" w:fill="auto"/>
            <w:noWrap/>
            <w:vAlign w:val="center"/>
          </w:tcPr>
          <w:p w14:paraId="392CB5EF" w14:textId="77777777" w:rsidR="00AC375F" w:rsidRPr="00AC375F" w:rsidRDefault="00AC375F" w:rsidP="00AC375F">
            <w:pPr>
              <w:rPr>
                <w:b/>
                <w:bCs/>
                <w:sz w:val="18"/>
                <w:szCs w:val="18"/>
              </w:rPr>
            </w:pPr>
          </w:p>
        </w:tc>
        <w:tc>
          <w:tcPr>
            <w:tcW w:w="1417" w:type="dxa"/>
            <w:shd w:val="clear" w:color="auto" w:fill="auto"/>
            <w:noWrap/>
            <w:vAlign w:val="center"/>
          </w:tcPr>
          <w:p w14:paraId="034C6CCB" w14:textId="77777777" w:rsidR="00AC375F" w:rsidRPr="00AC375F" w:rsidRDefault="00AC375F" w:rsidP="00AC375F">
            <w:pPr>
              <w:jc w:val="center"/>
              <w:rPr>
                <w:sz w:val="18"/>
                <w:szCs w:val="18"/>
              </w:rPr>
            </w:pPr>
            <w:r w:rsidRPr="00AC375F">
              <w:rPr>
                <w:sz w:val="18"/>
                <w:szCs w:val="18"/>
              </w:rPr>
              <w:t>virtualno</w:t>
            </w:r>
          </w:p>
        </w:tc>
        <w:tc>
          <w:tcPr>
            <w:tcW w:w="992" w:type="dxa"/>
            <w:shd w:val="clear" w:color="auto" w:fill="auto"/>
            <w:noWrap/>
            <w:vAlign w:val="center"/>
          </w:tcPr>
          <w:p w14:paraId="25F6487E" w14:textId="77777777" w:rsidR="00AC375F" w:rsidRPr="00AC375F" w:rsidRDefault="00AC375F" w:rsidP="00AC375F">
            <w:pPr>
              <w:jc w:val="center"/>
              <w:rPr>
                <w:sz w:val="18"/>
                <w:szCs w:val="18"/>
              </w:rPr>
            </w:pPr>
            <w:r w:rsidRPr="00AC375F">
              <w:rPr>
                <w:sz w:val="18"/>
                <w:szCs w:val="18"/>
              </w:rPr>
              <w:t>1</w:t>
            </w:r>
          </w:p>
        </w:tc>
        <w:tc>
          <w:tcPr>
            <w:tcW w:w="993" w:type="dxa"/>
            <w:shd w:val="clear" w:color="auto" w:fill="auto"/>
            <w:noWrap/>
            <w:vAlign w:val="center"/>
          </w:tcPr>
          <w:p w14:paraId="7447CBB6" w14:textId="77777777" w:rsidR="00AC375F" w:rsidRPr="00AC375F" w:rsidRDefault="00AC375F" w:rsidP="00AC375F">
            <w:pPr>
              <w:jc w:val="center"/>
              <w:rPr>
                <w:rFonts w:cstheme="minorHAnsi"/>
                <w:iCs/>
                <w:sz w:val="18"/>
                <w:szCs w:val="18"/>
              </w:rPr>
            </w:pPr>
            <w:r w:rsidRPr="00AC375F">
              <w:rPr>
                <w:rFonts w:cstheme="minorHAnsi"/>
                <w:iCs/>
                <w:sz w:val="18"/>
                <w:szCs w:val="18"/>
              </w:rPr>
              <w:t xml:space="preserve">rujan </w:t>
            </w:r>
          </w:p>
        </w:tc>
        <w:tc>
          <w:tcPr>
            <w:tcW w:w="1563" w:type="dxa"/>
            <w:shd w:val="clear" w:color="auto" w:fill="auto"/>
            <w:noWrap/>
            <w:vAlign w:val="center"/>
          </w:tcPr>
          <w:p w14:paraId="015EEFF8" w14:textId="77777777" w:rsidR="00AC375F" w:rsidRPr="00AC375F" w:rsidRDefault="00AC375F" w:rsidP="00AC375F">
            <w:pPr>
              <w:jc w:val="center"/>
              <w:rPr>
                <w:sz w:val="18"/>
                <w:szCs w:val="18"/>
              </w:rPr>
            </w:pPr>
            <w:r w:rsidRPr="00AC375F">
              <w:rPr>
                <w:sz w:val="18"/>
                <w:szCs w:val="18"/>
              </w:rPr>
              <w:t>0,25</w:t>
            </w:r>
          </w:p>
        </w:tc>
      </w:tr>
    </w:tbl>
    <w:p w14:paraId="5E2D2129" w14:textId="77777777" w:rsidR="00AC375F" w:rsidRPr="00AC375F" w:rsidRDefault="00AC375F" w:rsidP="00AC375F"/>
    <w:tbl>
      <w:tblPr>
        <w:tblpPr w:leftFromText="180" w:rightFromText="180" w:vertAnchor="text" w:horzAnchor="margin" w:tblpY="-61"/>
        <w:tblOverlap w:val="neve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9"/>
        <w:gridCol w:w="1413"/>
        <w:gridCol w:w="940"/>
        <w:gridCol w:w="1283"/>
        <w:gridCol w:w="1449"/>
      </w:tblGrid>
      <w:tr w:rsidR="00AC375F" w:rsidRPr="00AC375F" w14:paraId="22271C07" w14:textId="77777777" w:rsidTr="00991955">
        <w:trPr>
          <w:trHeight w:val="480"/>
        </w:trPr>
        <w:tc>
          <w:tcPr>
            <w:tcW w:w="4439" w:type="dxa"/>
            <w:shd w:val="clear" w:color="auto" w:fill="A3E7FF"/>
            <w:noWrap/>
            <w:hideMark/>
          </w:tcPr>
          <w:bookmarkEnd w:id="369"/>
          <w:bookmarkEnd w:id="370"/>
          <w:bookmarkEnd w:id="371"/>
          <w:bookmarkEnd w:id="372"/>
          <w:bookmarkEnd w:id="373"/>
          <w:bookmarkEnd w:id="374"/>
          <w:bookmarkEnd w:id="375"/>
          <w:p w14:paraId="045DFBB3" w14:textId="77777777" w:rsidR="00AC375F" w:rsidRPr="00AC375F" w:rsidRDefault="00AC375F" w:rsidP="00AC375F">
            <w:pPr>
              <w:pBdr>
                <w:bar w:val="single" w:sz="4" w:color="auto"/>
              </w:pBdr>
              <w:jc w:val="both"/>
              <w:rPr>
                <w:rFonts w:eastAsia="Times New Roman" w:cstheme="minorHAnsi"/>
                <w:b/>
                <w:bCs/>
                <w:color w:val="000000"/>
                <w:sz w:val="18"/>
                <w:szCs w:val="18"/>
                <w:lang w:eastAsia="hr-HR"/>
              </w:rPr>
            </w:pPr>
            <w:r w:rsidRPr="00AC375F">
              <w:rPr>
                <w:rFonts w:eastAsia="Times New Roman" w:cstheme="minorHAnsi"/>
                <w:b/>
                <w:bCs/>
                <w:color w:val="000000"/>
                <w:sz w:val="18"/>
                <w:szCs w:val="18"/>
                <w:lang w:eastAsia="hr-HR"/>
              </w:rPr>
              <w:lastRenderedPageBreak/>
              <w:t>EDQM</w:t>
            </w:r>
          </w:p>
        </w:tc>
        <w:tc>
          <w:tcPr>
            <w:tcW w:w="1413" w:type="dxa"/>
            <w:shd w:val="clear" w:color="auto" w:fill="A3E7FF"/>
            <w:noWrap/>
            <w:hideMark/>
          </w:tcPr>
          <w:p w14:paraId="248DBD13" w14:textId="77777777" w:rsidR="00AC375F" w:rsidRPr="00AC375F" w:rsidRDefault="00AC375F" w:rsidP="00AC375F">
            <w:pPr>
              <w:pBdr>
                <w:bar w:val="single" w:sz="4" w:color="auto"/>
              </w:pBdr>
              <w:jc w:val="both"/>
              <w:rPr>
                <w:rFonts w:eastAsia="Times New Roman" w:cstheme="minorHAnsi"/>
                <w:b/>
                <w:bCs/>
                <w:color w:val="000000"/>
                <w:sz w:val="18"/>
                <w:szCs w:val="18"/>
                <w:lang w:eastAsia="hr-HR"/>
              </w:rPr>
            </w:pPr>
          </w:p>
        </w:tc>
        <w:tc>
          <w:tcPr>
            <w:tcW w:w="940" w:type="dxa"/>
            <w:shd w:val="clear" w:color="auto" w:fill="A3E7FF"/>
            <w:noWrap/>
            <w:hideMark/>
          </w:tcPr>
          <w:p w14:paraId="6C9B3A79" w14:textId="77777777" w:rsidR="00AC375F" w:rsidRPr="00AC375F" w:rsidRDefault="00AC375F" w:rsidP="00AC375F">
            <w:pPr>
              <w:pBdr>
                <w:bar w:val="single" w:sz="4" w:color="auto"/>
              </w:pBdr>
              <w:jc w:val="both"/>
              <w:rPr>
                <w:rFonts w:eastAsia="Times New Roman" w:cstheme="minorHAnsi"/>
                <w:b/>
                <w:bCs/>
                <w:color w:val="000000"/>
                <w:sz w:val="18"/>
                <w:szCs w:val="18"/>
                <w:lang w:eastAsia="hr-HR"/>
              </w:rPr>
            </w:pPr>
          </w:p>
        </w:tc>
        <w:tc>
          <w:tcPr>
            <w:tcW w:w="1283" w:type="dxa"/>
            <w:shd w:val="clear" w:color="auto" w:fill="A3E7FF"/>
            <w:noWrap/>
            <w:hideMark/>
          </w:tcPr>
          <w:p w14:paraId="1A1F131E" w14:textId="77777777" w:rsidR="00AC375F" w:rsidRPr="00AC375F" w:rsidRDefault="00AC375F" w:rsidP="00AC375F">
            <w:pPr>
              <w:pBdr>
                <w:bar w:val="single" w:sz="4" w:color="auto"/>
              </w:pBdr>
              <w:jc w:val="both"/>
              <w:rPr>
                <w:rFonts w:eastAsia="Times New Roman" w:cstheme="minorHAnsi"/>
                <w:b/>
                <w:bCs/>
                <w:color w:val="000000"/>
                <w:sz w:val="18"/>
                <w:szCs w:val="18"/>
                <w:lang w:eastAsia="hr-HR"/>
              </w:rPr>
            </w:pPr>
          </w:p>
        </w:tc>
        <w:tc>
          <w:tcPr>
            <w:tcW w:w="1449" w:type="dxa"/>
            <w:shd w:val="clear" w:color="auto" w:fill="A3E7FF"/>
            <w:noWrap/>
            <w:hideMark/>
          </w:tcPr>
          <w:p w14:paraId="352D33C0" w14:textId="77777777" w:rsidR="00AC375F" w:rsidRPr="00AC375F" w:rsidRDefault="00AC375F" w:rsidP="00AC375F">
            <w:pPr>
              <w:pBdr>
                <w:bar w:val="single" w:sz="4" w:color="auto"/>
              </w:pBdr>
              <w:jc w:val="both"/>
              <w:rPr>
                <w:rFonts w:eastAsia="Times New Roman" w:cstheme="minorHAnsi"/>
                <w:b/>
                <w:bCs/>
                <w:color w:val="000000"/>
                <w:sz w:val="18"/>
                <w:szCs w:val="18"/>
                <w:lang w:eastAsia="hr-HR"/>
              </w:rPr>
            </w:pPr>
          </w:p>
        </w:tc>
      </w:tr>
      <w:tr w:rsidR="00AC375F" w:rsidRPr="00AC375F" w14:paraId="398DDFE5" w14:textId="77777777" w:rsidTr="00991955">
        <w:trPr>
          <w:trHeight w:val="498"/>
        </w:trPr>
        <w:tc>
          <w:tcPr>
            <w:tcW w:w="4439" w:type="dxa"/>
            <w:shd w:val="clear" w:color="auto" w:fill="auto"/>
            <w:noWrap/>
            <w:hideMark/>
          </w:tcPr>
          <w:p w14:paraId="516AF2C3" w14:textId="77777777" w:rsidR="00AC375F" w:rsidRPr="00AC375F" w:rsidRDefault="00AC375F" w:rsidP="00AC375F">
            <w:pPr>
              <w:pBdr>
                <w:bar w:val="single" w:sz="4" w:color="auto"/>
              </w:pBdr>
              <w:rPr>
                <w:i/>
                <w:iCs/>
                <w:sz w:val="18"/>
                <w:szCs w:val="18"/>
              </w:rPr>
            </w:pPr>
            <w:r w:rsidRPr="00AC375F">
              <w:rPr>
                <w:i/>
                <w:iCs/>
                <w:sz w:val="18"/>
                <w:szCs w:val="18"/>
              </w:rPr>
              <w:t>naziv skupine</w:t>
            </w:r>
          </w:p>
        </w:tc>
        <w:tc>
          <w:tcPr>
            <w:tcW w:w="1413" w:type="dxa"/>
            <w:shd w:val="clear" w:color="auto" w:fill="auto"/>
            <w:noWrap/>
            <w:hideMark/>
          </w:tcPr>
          <w:p w14:paraId="0EF001DA" w14:textId="77777777" w:rsidR="00AC375F" w:rsidRPr="00AC375F" w:rsidRDefault="00AC375F" w:rsidP="00AC375F">
            <w:pPr>
              <w:pBdr>
                <w:bar w:val="single" w:sz="4" w:color="auto"/>
              </w:pBdr>
              <w:jc w:val="center"/>
              <w:rPr>
                <w:i/>
                <w:iCs/>
                <w:sz w:val="18"/>
                <w:szCs w:val="18"/>
              </w:rPr>
            </w:pPr>
            <w:r w:rsidRPr="00AC375F">
              <w:rPr>
                <w:i/>
                <w:iCs/>
                <w:sz w:val="18"/>
                <w:szCs w:val="18"/>
              </w:rPr>
              <w:t>mjesto</w:t>
            </w:r>
          </w:p>
        </w:tc>
        <w:tc>
          <w:tcPr>
            <w:tcW w:w="940" w:type="dxa"/>
            <w:shd w:val="clear" w:color="auto" w:fill="auto"/>
            <w:hideMark/>
          </w:tcPr>
          <w:p w14:paraId="2883C7F6" w14:textId="77777777" w:rsidR="00AC375F" w:rsidRPr="00AC375F" w:rsidRDefault="00AC375F" w:rsidP="00AC375F">
            <w:pPr>
              <w:pBdr>
                <w:bar w:val="single" w:sz="4" w:color="auto"/>
              </w:pBdr>
              <w:jc w:val="center"/>
              <w:rPr>
                <w:i/>
                <w:iCs/>
                <w:sz w:val="18"/>
                <w:szCs w:val="18"/>
              </w:rPr>
            </w:pPr>
            <w:r w:rsidRPr="00AC375F">
              <w:rPr>
                <w:i/>
                <w:iCs/>
                <w:sz w:val="18"/>
                <w:szCs w:val="18"/>
              </w:rPr>
              <w:t>broj</w:t>
            </w:r>
          </w:p>
          <w:p w14:paraId="629AF1F2" w14:textId="77777777" w:rsidR="00AC375F" w:rsidRPr="00AC375F" w:rsidRDefault="00AC375F" w:rsidP="00AC375F">
            <w:pPr>
              <w:pBdr>
                <w:bar w:val="single" w:sz="4" w:color="auto"/>
              </w:pBdr>
              <w:jc w:val="center"/>
              <w:rPr>
                <w:i/>
                <w:iCs/>
                <w:sz w:val="18"/>
                <w:szCs w:val="18"/>
              </w:rPr>
            </w:pPr>
            <w:r w:rsidRPr="00AC375F">
              <w:rPr>
                <w:i/>
                <w:iCs/>
                <w:sz w:val="18"/>
                <w:szCs w:val="18"/>
              </w:rPr>
              <w:t>djelatnika</w:t>
            </w:r>
          </w:p>
        </w:tc>
        <w:tc>
          <w:tcPr>
            <w:tcW w:w="1283" w:type="dxa"/>
            <w:shd w:val="clear" w:color="auto" w:fill="auto"/>
            <w:noWrap/>
            <w:hideMark/>
          </w:tcPr>
          <w:p w14:paraId="6D40B8FD" w14:textId="77777777" w:rsidR="00AC375F" w:rsidRPr="00AC375F" w:rsidRDefault="00AC375F" w:rsidP="00AC375F">
            <w:pPr>
              <w:pBdr>
                <w:bar w:val="single" w:sz="4" w:color="auto"/>
              </w:pBdr>
              <w:jc w:val="center"/>
              <w:rPr>
                <w:i/>
                <w:iCs/>
                <w:sz w:val="18"/>
                <w:szCs w:val="18"/>
              </w:rPr>
            </w:pPr>
            <w:r w:rsidRPr="00AC375F">
              <w:rPr>
                <w:i/>
                <w:iCs/>
                <w:sz w:val="18"/>
                <w:szCs w:val="18"/>
              </w:rPr>
              <w:t>mjesec</w:t>
            </w:r>
          </w:p>
        </w:tc>
        <w:tc>
          <w:tcPr>
            <w:tcW w:w="1449" w:type="dxa"/>
            <w:shd w:val="clear" w:color="auto" w:fill="auto"/>
            <w:hideMark/>
          </w:tcPr>
          <w:p w14:paraId="6705A736" w14:textId="77777777" w:rsidR="00AC375F" w:rsidRPr="00AC375F" w:rsidRDefault="00AC375F" w:rsidP="00AC375F">
            <w:pPr>
              <w:pBdr>
                <w:bar w:val="single" w:sz="4" w:color="auto"/>
              </w:pBdr>
              <w:jc w:val="center"/>
              <w:rPr>
                <w:i/>
                <w:iCs/>
                <w:sz w:val="18"/>
                <w:szCs w:val="18"/>
              </w:rPr>
            </w:pPr>
            <w:r w:rsidRPr="00AC375F">
              <w:rPr>
                <w:i/>
                <w:iCs/>
                <w:sz w:val="18"/>
                <w:szCs w:val="18"/>
              </w:rPr>
              <w:t>broj dana/</w:t>
            </w:r>
          </w:p>
          <w:p w14:paraId="5EECB2A2" w14:textId="77777777" w:rsidR="00AC375F" w:rsidRPr="00AC375F" w:rsidRDefault="00AC375F" w:rsidP="00AC375F">
            <w:pPr>
              <w:pBdr>
                <w:bar w:val="single" w:sz="4" w:color="auto"/>
              </w:pBdr>
              <w:jc w:val="center"/>
              <w:rPr>
                <w:i/>
                <w:iCs/>
                <w:sz w:val="18"/>
                <w:szCs w:val="18"/>
              </w:rPr>
            </w:pPr>
            <w:r w:rsidRPr="00AC375F">
              <w:rPr>
                <w:i/>
                <w:iCs/>
                <w:sz w:val="18"/>
                <w:szCs w:val="18"/>
              </w:rPr>
              <w:t>sastanku</w:t>
            </w:r>
          </w:p>
        </w:tc>
      </w:tr>
      <w:tr w:rsidR="00AC375F" w:rsidRPr="00AC375F" w14:paraId="69410F3D" w14:textId="77777777" w:rsidTr="00991955">
        <w:trPr>
          <w:trHeight w:val="309"/>
        </w:trPr>
        <w:tc>
          <w:tcPr>
            <w:tcW w:w="4439" w:type="dxa"/>
            <w:shd w:val="clear" w:color="auto" w:fill="auto"/>
          </w:tcPr>
          <w:p w14:paraId="12D33560" w14:textId="77777777" w:rsidR="00AC375F" w:rsidRPr="00AC375F" w:rsidRDefault="00AC375F" w:rsidP="00AC375F">
            <w:pPr>
              <w:pBdr>
                <w:bar w:val="single" w:sz="4" w:color="auto"/>
              </w:pBdr>
              <w:rPr>
                <w:b/>
                <w:bCs/>
                <w:sz w:val="18"/>
                <w:szCs w:val="18"/>
              </w:rPr>
            </w:pPr>
            <w:r w:rsidRPr="00AC375F">
              <w:rPr>
                <w:b/>
                <w:bCs/>
                <w:sz w:val="18"/>
                <w:szCs w:val="18"/>
              </w:rPr>
              <w:t>DCEP Chemical TAB Session+Suradnja u postupku ocjene dokumentacije o djelatnoj tvari za izdavanje ovjernice Europske farmakopeje (CEP)</w:t>
            </w:r>
          </w:p>
        </w:tc>
        <w:tc>
          <w:tcPr>
            <w:tcW w:w="1413" w:type="dxa"/>
            <w:shd w:val="clear" w:color="auto" w:fill="auto"/>
            <w:noWrap/>
          </w:tcPr>
          <w:p w14:paraId="4BB36DE7" w14:textId="77777777" w:rsidR="00AC375F" w:rsidRPr="00AC375F" w:rsidRDefault="00AC375F" w:rsidP="00AC375F">
            <w:pPr>
              <w:pBdr>
                <w:bar w:val="single" w:sz="4" w:color="auto"/>
              </w:pBdr>
              <w:jc w:val="center"/>
              <w:rPr>
                <w:sz w:val="18"/>
                <w:szCs w:val="18"/>
              </w:rPr>
            </w:pPr>
          </w:p>
        </w:tc>
        <w:tc>
          <w:tcPr>
            <w:tcW w:w="940" w:type="dxa"/>
            <w:shd w:val="clear" w:color="auto" w:fill="auto"/>
            <w:noWrap/>
          </w:tcPr>
          <w:p w14:paraId="3D8C2271" w14:textId="77777777" w:rsidR="00AC375F" w:rsidRPr="00AC375F" w:rsidRDefault="00AC375F" w:rsidP="00AC375F">
            <w:pPr>
              <w:pBdr>
                <w:bar w:val="single" w:sz="4" w:color="auto"/>
              </w:pBdr>
              <w:jc w:val="center"/>
              <w:rPr>
                <w:sz w:val="18"/>
                <w:szCs w:val="18"/>
              </w:rPr>
            </w:pPr>
          </w:p>
        </w:tc>
        <w:tc>
          <w:tcPr>
            <w:tcW w:w="1283" w:type="dxa"/>
            <w:shd w:val="clear" w:color="auto" w:fill="auto"/>
            <w:noWrap/>
          </w:tcPr>
          <w:p w14:paraId="441215A1" w14:textId="77777777" w:rsidR="00AC375F" w:rsidRPr="00AC375F" w:rsidRDefault="00AC375F" w:rsidP="00AC375F">
            <w:pPr>
              <w:pBdr>
                <w:bar w:val="single" w:sz="4" w:color="auto"/>
              </w:pBdr>
              <w:jc w:val="center"/>
              <w:rPr>
                <w:sz w:val="18"/>
                <w:szCs w:val="18"/>
              </w:rPr>
            </w:pPr>
          </w:p>
        </w:tc>
        <w:tc>
          <w:tcPr>
            <w:tcW w:w="1449" w:type="dxa"/>
            <w:shd w:val="clear" w:color="auto" w:fill="auto"/>
            <w:noWrap/>
          </w:tcPr>
          <w:p w14:paraId="04D48D65" w14:textId="77777777" w:rsidR="00AC375F" w:rsidRPr="00AC375F" w:rsidRDefault="00AC375F" w:rsidP="00AC375F">
            <w:pPr>
              <w:pBdr>
                <w:bar w:val="single" w:sz="4" w:color="auto"/>
              </w:pBdr>
              <w:jc w:val="center"/>
              <w:rPr>
                <w:sz w:val="18"/>
                <w:szCs w:val="18"/>
              </w:rPr>
            </w:pPr>
          </w:p>
        </w:tc>
      </w:tr>
      <w:tr w:rsidR="00AC375F" w:rsidRPr="00AC375F" w14:paraId="7684D400" w14:textId="77777777" w:rsidTr="00991955">
        <w:trPr>
          <w:trHeight w:val="247"/>
        </w:trPr>
        <w:tc>
          <w:tcPr>
            <w:tcW w:w="4439" w:type="dxa"/>
            <w:shd w:val="clear" w:color="auto" w:fill="auto"/>
            <w:noWrap/>
          </w:tcPr>
          <w:p w14:paraId="7FF29629" w14:textId="77777777" w:rsidR="00AC375F" w:rsidRPr="00AC375F" w:rsidRDefault="00AC375F" w:rsidP="00AC375F">
            <w:pPr>
              <w:pBdr>
                <w:bar w:val="single" w:sz="4" w:color="auto"/>
              </w:pBdr>
              <w:rPr>
                <w:bCs/>
                <w:sz w:val="18"/>
                <w:szCs w:val="18"/>
              </w:rPr>
            </w:pPr>
            <w:r w:rsidRPr="00AC375F">
              <w:rPr>
                <w:bCs/>
                <w:sz w:val="18"/>
                <w:szCs w:val="18"/>
              </w:rPr>
              <w:t>DCEP Chemical TAB Session - extraordinary</w:t>
            </w:r>
          </w:p>
        </w:tc>
        <w:tc>
          <w:tcPr>
            <w:tcW w:w="1413" w:type="dxa"/>
            <w:shd w:val="clear" w:color="auto" w:fill="FFFFFF" w:themeFill="background1"/>
            <w:noWrap/>
          </w:tcPr>
          <w:p w14:paraId="18779E87" w14:textId="77777777" w:rsidR="00AC375F" w:rsidRPr="00AC375F" w:rsidRDefault="00AC375F" w:rsidP="00AC375F">
            <w:pPr>
              <w:pBdr>
                <w:bar w:val="single" w:sz="4" w:color="auto"/>
              </w:pBdr>
              <w:jc w:val="center"/>
              <w:rPr>
                <w:sz w:val="18"/>
                <w:szCs w:val="18"/>
              </w:rPr>
            </w:pPr>
            <w:r w:rsidRPr="00AC375F">
              <w:rPr>
                <w:sz w:val="18"/>
                <w:szCs w:val="18"/>
              </w:rPr>
              <w:t>virtualno</w:t>
            </w:r>
          </w:p>
        </w:tc>
        <w:tc>
          <w:tcPr>
            <w:tcW w:w="940" w:type="dxa"/>
            <w:shd w:val="clear" w:color="auto" w:fill="FFFFFF" w:themeFill="background1"/>
            <w:noWrap/>
          </w:tcPr>
          <w:p w14:paraId="40096FCB" w14:textId="77777777" w:rsidR="00AC375F" w:rsidRPr="00AC375F" w:rsidRDefault="00AC375F" w:rsidP="00AC375F">
            <w:pPr>
              <w:pBdr>
                <w:bar w:val="single" w:sz="4" w:color="auto"/>
              </w:pBdr>
              <w:jc w:val="center"/>
              <w:rPr>
                <w:sz w:val="18"/>
                <w:szCs w:val="18"/>
              </w:rPr>
            </w:pPr>
            <w:r w:rsidRPr="00AC375F">
              <w:rPr>
                <w:sz w:val="18"/>
                <w:szCs w:val="18"/>
              </w:rPr>
              <w:t>1</w:t>
            </w:r>
          </w:p>
        </w:tc>
        <w:tc>
          <w:tcPr>
            <w:tcW w:w="1283" w:type="dxa"/>
            <w:shd w:val="clear" w:color="auto" w:fill="FFFFFF" w:themeFill="background1"/>
            <w:noWrap/>
          </w:tcPr>
          <w:p w14:paraId="451294EA" w14:textId="77777777" w:rsidR="00AC375F" w:rsidRPr="00AC375F" w:rsidRDefault="00AC375F" w:rsidP="00AC375F">
            <w:pPr>
              <w:pBdr>
                <w:bar w:val="single" w:sz="4" w:color="auto"/>
              </w:pBdr>
              <w:jc w:val="center"/>
              <w:rPr>
                <w:sz w:val="18"/>
                <w:szCs w:val="18"/>
              </w:rPr>
            </w:pPr>
            <w:r w:rsidRPr="00AC375F">
              <w:rPr>
                <w:sz w:val="18"/>
                <w:szCs w:val="18"/>
              </w:rPr>
              <w:t>siječanj</w:t>
            </w:r>
          </w:p>
        </w:tc>
        <w:tc>
          <w:tcPr>
            <w:tcW w:w="1449" w:type="dxa"/>
            <w:shd w:val="clear" w:color="auto" w:fill="FFFFFF" w:themeFill="background1"/>
            <w:noWrap/>
          </w:tcPr>
          <w:p w14:paraId="74E7AA80" w14:textId="77777777" w:rsidR="00AC375F" w:rsidRPr="00AC375F" w:rsidRDefault="00AC375F" w:rsidP="00AC375F">
            <w:pPr>
              <w:pBdr>
                <w:bar w:val="single" w:sz="4" w:color="auto"/>
              </w:pBdr>
              <w:jc w:val="center"/>
              <w:rPr>
                <w:sz w:val="18"/>
                <w:szCs w:val="18"/>
              </w:rPr>
            </w:pPr>
            <w:r w:rsidRPr="00AC375F">
              <w:rPr>
                <w:sz w:val="18"/>
                <w:szCs w:val="18"/>
              </w:rPr>
              <w:t>0,5</w:t>
            </w:r>
          </w:p>
        </w:tc>
      </w:tr>
      <w:tr w:rsidR="00AC375F" w:rsidRPr="00AC375F" w14:paraId="227A260A" w14:textId="77777777" w:rsidTr="00991955">
        <w:trPr>
          <w:trHeight w:val="247"/>
        </w:trPr>
        <w:tc>
          <w:tcPr>
            <w:tcW w:w="4439" w:type="dxa"/>
            <w:shd w:val="clear" w:color="auto" w:fill="auto"/>
            <w:noWrap/>
          </w:tcPr>
          <w:p w14:paraId="60C60C98" w14:textId="77777777" w:rsidR="00AC375F" w:rsidRPr="00AC375F" w:rsidRDefault="00AC375F" w:rsidP="00AC375F">
            <w:pPr>
              <w:pBdr>
                <w:bar w:val="single" w:sz="4" w:color="auto"/>
              </w:pBdr>
              <w:rPr>
                <w:bCs/>
                <w:sz w:val="18"/>
                <w:szCs w:val="18"/>
              </w:rPr>
            </w:pPr>
            <w:r w:rsidRPr="00AC375F">
              <w:rPr>
                <w:bCs/>
                <w:sz w:val="18"/>
                <w:szCs w:val="18"/>
              </w:rPr>
              <w:t>DCEP Chemical TAB Session</w:t>
            </w:r>
          </w:p>
        </w:tc>
        <w:tc>
          <w:tcPr>
            <w:tcW w:w="1413" w:type="dxa"/>
            <w:shd w:val="clear" w:color="auto" w:fill="FFFFFF" w:themeFill="background1"/>
            <w:noWrap/>
          </w:tcPr>
          <w:p w14:paraId="28DE0228" w14:textId="77777777" w:rsidR="00AC375F" w:rsidRPr="00AC375F" w:rsidRDefault="00AC375F" w:rsidP="00AC375F">
            <w:pPr>
              <w:pBdr>
                <w:bar w:val="single" w:sz="4" w:color="auto"/>
              </w:pBdr>
              <w:jc w:val="center"/>
              <w:rPr>
                <w:sz w:val="18"/>
                <w:szCs w:val="18"/>
              </w:rPr>
            </w:pPr>
            <w:r w:rsidRPr="00AC375F">
              <w:rPr>
                <w:sz w:val="18"/>
                <w:szCs w:val="18"/>
              </w:rPr>
              <w:t>virtualno</w:t>
            </w:r>
          </w:p>
        </w:tc>
        <w:tc>
          <w:tcPr>
            <w:tcW w:w="940" w:type="dxa"/>
            <w:shd w:val="clear" w:color="auto" w:fill="FFFFFF" w:themeFill="background1"/>
            <w:noWrap/>
          </w:tcPr>
          <w:p w14:paraId="68057153" w14:textId="77777777" w:rsidR="00AC375F" w:rsidRPr="00AC375F" w:rsidRDefault="00AC375F" w:rsidP="00AC375F">
            <w:pPr>
              <w:pBdr>
                <w:bar w:val="single" w:sz="4" w:color="auto"/>
              </w:pBdr>
              <w:jc w:val="center"/>
              <w:rPr>
                <w:sz w:val="18"/>
                <w:szCs w:val="18"/>
              </w:rPr>
            </w:pPr>
            <w:r w:rsidRPr="00AC375F">
              <w:rPr>
                <w:sz w:val="18"/>
                <w:szCs w:val="18"/>
              </w:rPr>
              <w:t>1</w:t>
            </w:r>
          </w:p>
        </w:tc>
        <w:tc>
          <w:tcPr>
            <w:tcW w:w="1283" w:type="dxa"/>
            <w:shd w:val="clear" w:color="auto" w:fill="FFFFFF" w:themeFill="background1"/>
            <w:noWrap/>
          </w:tcPr>
          <w:p w14:paraId="33D97138" w14:textId="77777777" w:rsidR="00AC375F" w:rsidRPr="00AC375F" w:rsidRDefault="00AC375F" w:rsidP="00AC375F">
            <w:pPr>
              <w:pBdr>
                <w:bar w:val="single" w:sz="4" w:color="auto"/>
              </w:pBdr>
              <w:jc w:val="center"/>
              <w:rPr>
                <w:sz w:val="18"/>
                <w:szCs w:val="18"/>
              </w:rPr>
            </w:pPr>
            <w:r w:rsidRPr="00AC375F">
              <w:rPr>
                <w:sz w:val="18"/>
                <w:szCs w:val="18"/>
              </w:rPr>
              <w:t>veljača</w:t>
            </w:r>
          </w:p>
        </w:tc>
        <w:tc>
          <w:tcPr>
            <w:tcW w:w="1449" w:type="dxa"/>
            <w:shd w:val="clear" w:color="auto" w:fill="FFFFFF" w:themeFill="background1"/>
            <w:noWrap/>
          </w:tcPr>
          <w:p w14:paraId="37D932AF" w14:textId="77777777" w:rsidR="00AC375F" w:rsidRPr="00AC375F" w:rsidRDefault="00AC375F" w:rsidP="00AC375F">
            <w:pPr>
              <w:pBdr>
                <w:bar w:val="single" w:sz="4" w:color="auto"/>
              </w:pBdr>
              <w:jc w:val="center"/>
              <w:rPr>
                <w:sz w:val="18"/>
                <w:szCs w:val="18"/>
              </w:rPr>
            </w:pPr>
            <w:r w:rsidRPr="00AC375F">
              <w:rPr>
                <w:sz w:val="18"/>
                <w:szCs w:val="18"/>
              </w:rPr>
              <w:t>1</w:t>
            </w:r>
          </w:p>
        </w:tc>
      </w:tr>
      <w:tr w:rsidR="00AC375F" w:rsidRPr="00AC375F" w14:paraId="3A70F768" w14:textId="77777777" w:rsidTr="00991955">
        <w:trPr>
          <w:trHeight w:val="247"/>
        </w:trPr>
        <w:tc>
          <w:tcPr>
            <w:tcW w:w="4439" w:type="dxa"/>
            <w:shd w:val="clear" w:color="auto" w:fill="auto"/>
            <w:noWrap/>
          </w:tcPr>
          <w:p w14:paraId="43120588" w14:textId="77777777" w:rsidR="00AC375F" w:rsidRPr="00AC375F" w:rsidRDefault="00AC375F" w:rsidP="00AC375F">
            <w:pPr>
              <w:pBdr>
                <w:bar w:val="single" w:sz="4" w:color="auto"/>
              </w:pBdr>
              <w:rPr>
                <w:bCs/>
                <w:sz w:val="18"/>
                <w:szCs w:val="18"/>
              </w:rPr>
            </w:pPr>
            <w:r w:rsidRPr="00AC375F">
              <w:rPr>
                <w:bCs/>
                <w:sz w:val="18"/>
                <w:szCs w:val="18"/>
              </w:rPr>
              <w:t>DCEP Chemical TAB Session</w:t>
            </w:r>
          </w:p>
        </w:tc>
        <w:tc>
          <w:tcPr>
            <w:tcW w:w="1413" w:type="dxa"/>
            <w:shd w:val="clear" w:color="auto" w:fill="FFFFFF" w:themeFill="background1"/>
            <w:noWrap/>
          </w:tcPr>
          <w:p w14:paraId="256AF937" w14:textId="77777777" w:rsidR="00AC375F" w:rsidRPr="00AC375F" w:rsidRDefault="00AC375F" w:rsidP="00AC375F">
            <w:pPr>
              <w:pBdr>
                <w:bar w:val="single" w:sz="4" w:color="auto"/>
              </w:pBdr>
              <w:jc w:val="center"/>
              <w:rPr>
                <w:sz w:val="18"/>
                <w:szCs w:val="18"/>
              </w:rPr>
            </w:pPr>
            <w:r w:rsidRPr="00AC375F">
              <w:rPr>
                <w:sz w:val="18"/>
                <w:szCs w:val="18"/>
              </w:rPr>
              <w:t>Strasbourg</w:t>
            </w:r>
          </w:p>
        </w:tc>
        <w:tc>
          <w:tcPr>
            <w:tcW w:w="940" w:type="dxa"/>
            <w:shd w:val="clear" w:color="auto" w:fill="FFFFFF" w:themeFill="background1"/>
            <w:noWrap/>
          </w:tcPr>
          <w:p w14:paraId="13E77F69" w14:textId="77777777" w:rsidR="00AC375F" w:rsidRPr="00AC375F" w:rsidRDefault="00AC375F" w:rsidP="00AC375F">
            <w:pPr>
              <w:pBdr>
                <w:bar w:val="single" w:sz="4" w:color="auto"/>
              </w:pBdr>
              <w:jc w:val="center"/>
              <w:rPr>
                <w:sz w:val="18"/>
                <w:szCs w:val="18"/>
              </w:rPr>
            </w:pPr>
            <w:r w:rsidRPr="00AC375F">
              <w:rPr>
                <w:sz w:val="18"/>
                <w:szCs w:val="18"/>
              </w:rPr>
              <w:t>1</w:t>
            </w:r>
          </w:p>
        </w:tc>
        <w:tc>
          <w:tcPr>
            <w:tcW w:w="1283" w:type="dxa"/>
            <w:shd w:val="clear" w:color="auto" w:fill="FFFFFF" w:themeFill="background1"/>
            <w:noWrap/>
          </w:tcPr>
          <w:p w14:paraId="330F9D1D" w14:textId="77777777" w:rsidR="00AC375F" w:rsidRPr="00AC375F" w:rsidRDefault="00AC375F" w:rsidP="00AC375F">
            <w:pPr>
              <w:pBdr>
                <w:bar w:val="single" w:sz="4" w:color="auto"/>
              </w:pBdr>
              <w:jc w:val="center"/>
              <w:rPr>
                <w:sz w:val="18"/>
                <w:szCs w:val="18"/>
              </w:rPr>
            </w:pPr>
            <w:r w:rsidRPr="00AC375F">
              <w:rPr>
                <w:sz w:val="18"/>
                <w:szCs w:val="18"/>
              </w:rPr>
              <w:t>svibanj</w:t>
            </w:r>
          </w:p>
        </w:tc>
        <w:tc>
          <w:tcPr>
            <w:tcW w:w="1449" w:type="dxa"/>
            <w:shd w:val="clear" w:color="auto" w:fill="FFFFFF" w:themeFill="background1"/>
            <w:noWrap/>
          </w:tcPr>
          <w:p w14:paraId="790B1D53" w14:textId="77777777" w:rsidR="00AC375F" w:rsidRPr="00AC375F" w:rsidRDefault="00AC375F" w:rsidP="00AC375F">
            <w:pPr>
              <w:pBdr>
                <w:bar w:val="single" w:sz="4" w:color="auto"/>
              </w:pBdr>
              <w:jc w:val="center"/>
              <w:rPr>
                <w:sz w:val="18"/>
                <w:szCs w:val="18"/>
              </w:rPr>
            </w:pPr>
            <w:r w:rsidRPr="00AC375F">
              <w:rPr>
                <w:sz w:val="18"/>
                <w:szCs w:val="18"/>
              </w:rPr>
              <w:t>1</w:t>
            </w:r>
          </w:p>
        </w:tc>
      </w:tr>
      <w:tr w:rsidR="00AC375F" w:rsidRPr="00AC375F" w14:paraId="04071107" w14:textId="77777777" w:rsidTr="00991955">
        <w:trPr>
          <w:trHeight w:val="247"/>
        </w:trPr>
        <w:tc>
          <w:tcPr>
            <w:tcW w:w="4439" w:type="dxa"/>
            <w:shd w:val="clear" w:color="auto" w:fill="auto"/>
            <w:noWrap/>
          </w:tcPr>
          <w:p w14:paraId="1AD02D2C" w14:textId="77777777" w:rsidR="00AC375F" w:rsidRPr="00AC375F" w:rsidRDefault="00AC375F" w:rsidP="00AC375F">
            <w:pPr>
              <w:pBdr>
                <w:bar w:val="single" w:sz="4" w:color="auto"/>
              </w:pBdr>
              <w:rPr>
                <w:bCs/>
                <w:sz w:val="18"/>
                <w:szCs w:val="18"/>
              </w:rPr>
            </w:pPr>
            <w:r w:rsidRPr="00AC375F">
              <w:rPr>
                <w:bCs/>
                <w:sz w:val="18"/>
                <w:szCs w:val="18"/>
              </w:rPr>
              <w:t>Suradnja u postupku ocjene dokumentacije o djelatnoj tvari za izdavanje ovjernice Europske farmakopeje (CEP)</w:t>
            </w:r>
          </w:p>
        </w:tc>
        <w:tc>
          <w:tcPr>
            <w:tcW w:w="1413" w:type="dxa"/>
            <w:shd w:val="clear" w:color="auto" w:fill="FFFFFF" w:themeFill="background1"/>
            <w:noWrap/>
          </w:tcPr>
          <w:p w14:paraId="3F61A309" w14:textId="77777777" w:rsidR="00AC375F" w:rsidRPr="00AC375F" w:rsidRDefault="00AC375F" w:rsidP="00AC375F">
            <w:pPr>
              <w:pBdr>
                <w:bar w:val="single" w:sz="4" w:color="auto"/>
              </w:pBdr>
              <w:jc w:val="center"/>
              <w:rPr>
                <w:sz w:val="18"/>
                <w:szCs w:val="18"/>
              </w:rPr>
            </w:pPr>
            <w:r w:rsidRPr="00AC375F">
              <w:rPr>
                <w:sz w:val="18"/>
                <w:szCs w:val="18"/>
              </w:rPr>
              <w:t>Strasbourg</w:t>
            </w:r>
          </w:p>
        </w:tc>
        <w:tc>
          <w:tcPr>
            <w:tcW w:w="940" w:type="dxa"/>
            <w:shd w:val="clear" w:color="auto" w:fill="FFFFFF" w:themeFill="background1"/>
            <w:noWrap/>
          </w:tcPr>
          <w:p w14:paraId="1FB87700" w14:textId="77777777" w:rsidR="00AC375F" w:rsidRPr="00AC375F" w:rsidRDefault="00AC375F" w:rsidP="00AC375F">
            <w:pPr>
              <w:pBdr>
                <w:bar w:val="single" w:sz="4" w:color="auto"/>
              </w:pBdr>
              <w:jc w:val="center"/>
              <w:rPr>
                <w:sz w:val="18"/>
                <w:szCs w:val="18"/>
              </w:rPr>
            </w:pPr>
            <w:r w:rsidRPr="00AC375F">
              <w:rPr>
                <w:sz w:val="18"/>
                <w:szCs w:val="18"/>
              </w:rPr>
              <w:t>1</w:t>
            </w:r>
          </w:p>
        </w:tc>
        <w:tc>
          <w:tcPr>
            <w:tcW w:w="1283" w:type="dxa"/>
            <w:shd w:val="clear" w:color="auto" w:fill="FFFFFF" w:themeFill="background1"/>
            <w:noWrap/>
          </w:tcPr>
          <w:p w14:paraId="02B9EF9B" w14:textId="77777777" w:rsidR="00AC375F" w:rsidRPr="00AC375F" w:rsidRDefault="00AC375F" w:rsidP="00AC375F">
            <w:pPr>
              <w:pBdr>
                <w:bar w:val="single" w:sz="4" w:color="auto"/>
              </w:pBdr>
              <w:jc w:val="center"/>
              <w:rPr>
                <w:sz w:val="18"/>
                <w:szCs w:val="18"/>
              </w:rPr>
            </w:pPr>
            <w:r w:rsidRPr="00AC375F">
              <w:rPr>
                <w:sz w:val="18"/>
                <w:szCs w:val="18"/>
              </w:rPr>
              <w:t>svibanj</w:t>
            </w:r>
          </w:p>
        </w:tc>
        <w:tc>
          <w:tcPr>
            <w:tcW w:w="1449" w:type="dxa"/>
            <w:shd w:val="clear" w:color="auto" w:fill="FFFFFF" w:themeFill="background1"/>
            <w:noWrap/>
          </w:tcPr>
          <w:p w14:paraId="3229AE0E" w14:textId="77777777" w:rsidR="00AC375F" w:rsidRPr="00AC375F" w:rsidRDefault="00AC375F" w:rsidP="00AC375F">
            <w:pPr>
              <w:pBdr>
                <w:bar w:val="single" w:sz="4" w:color="auto"/>
              </w:pBdr>
              <w:jc w:val="center"/>
              <w:rPr>
                <w:sz w:val="18"/>
                <w:szCs w:val="18"/>
              </w:rPr>
            </w:pPr>
            <w:r w:rsidRPr="00AC375F">
              <w:rPr>
                <w:sz w:val="18"/>
                <w:szCs w:val="18"/>
              </w:rPr>
              <w:t>4</w:t>
            </w:r>
          </w:p>
        </w:tc>
      </w:tr>
      <w:tr w:rsidR="00AC375F" w:rsidRPr="00AC375F" w14:paraId="74B14243" w14:textId="77777777" w:rsidTr="00991955">
        <w:trPr>
          <w:trHeight w:val="247"/>
        </w:trPr>
        <w:tc>
          <w:tcPr>
            <w:tcW w:w="4439" w:type="dxa"/>
            <w:shd w:val="clear" w:color="auto" w:fill="auto"/>
            <w:noWrap/>
          </w:tcPr>
          <w:p w14:paraId="1E24FE08" w14:textId="77777777" w:rsidR="00AC375F" w:rsidRPr="00AC375F" w:rsidRDefault="00AC375F" w:rsidP="00AC375F">
            <w:pPr>
              <w:pBdr>
                <w:bar w:val="single" w:sz="4" w:color="auto"/>
              </w:pBdr>
              <w:rPr>
                <w:bCs/>
                <w:sz w:val="18"/>
                <w:szCs w:val="18"/>
              </w:rPr>
            </w:pPr>
            <w:r w:rsidRPr="00AC375F">
              <w:rPr>
                <w:bCs/>
                <w:sz w:val="18"/>
                <w:szCs w:val="18"/>
              </w:rPr>
              <w:t>Suradnja u postupku ocjene dokumentacije o djelatnoj tvari za izdavanje ovjernice Europske farmakopeje (CEP)</w:t>
            </w:r>
          </w:p>
        </w:tc>
        <w:tc>
          <w:tcPr>
            <w:tcW w:w="1413" w:type="dxa"/>
            <w:shd w:val="clear" w:color="auto" w:fill="FFFFFF" w:themeFill="background1"/>
            <w:noWrap/>
          </w:tcPr>
          <w:p w14:paraId="0C322D22" w14:textId="77777777" w:rsidR="00AC375F" w:rsidRPr="00AC375F" w:rsidRDefault="00AC375F" w:rsidP="00AC375F">
            <w:pPr>
              <w:pBdr>
                <w:bar w:val="single" w:sz="4" w:color="auto"/>
              </w:pBdr>
              <w:jc w:val="center"/>
              <w:rPr>
                <w:sz w:val="18"/>
                <w:szCs w:val="18"/>
              </w:rPr>
            </w:pPr>
            <w:r w:rsidRPr="00AC375F">
              <w:rPr>
                <w:sz w:val="18"/>
                <w:szCs w:val="18"/>
              </w:rPr>
              <w:t>virtualno</w:t>
            </w:r>
          </w:p>
        </w:tc>
        <w:tc>
          <w:tcPr>
            <w:tcW w:w="940" w:type="dxa"/>
            <w:shd w:val="clear" w:color="auto" w:fill="FFFFFF" w:themeFill="background1"/>
            <w:noWrap/>
          </w:tcPr>
          <w:p w14:paraId="7BFA3BFA" w14:textId="77777777" w:rsidR="00AC375F" w:rsidRPr="00AC375F" w:rsidRDefault="00AC375F" w:rsidP="00AC375F">
            <w:pPr>
              <w:pBdr>
                <w:bar w:val="single" w:sz="4" w:color="auto"/>
              </w:pBdr>
              <w:jc w:val="center"/>
              <w:rPr>
                <w:sz w:val="18"/>
                <w:szCs w:val="18"/>
              </w:rPr>
            </w:pPr>
            <w:r w:rsidRPr="00AC375F">
              <w:rPr>
                <w:sz w:val="18"/>
                <w:szCs w:val="18"/>
              </w:rPr>
              <w:t>1</w:t>
            </w:r>
          </w:p>
        </w:tc>
        <w:tc>
          <w:tcPr>
            <w:tcW w:w="1283" w:type="dxa"/>
            <w:shd w:val="clear" w:color="auto" w:fill="FFFFFF" w:themeFill="background1"/>
            <w:noWrap/>
          </w:tcPr>
          <w:p w14:paraId="49DBE2BA" w14:textId="77777777" w:rsidR="00AC375F" w:rsidRPr="00AC375F" w:rsidRDefault="00AC375F" w:rsidP="00AC375F">
            <w:pPr>
              <w:pBdr>
                <w:bar w:val="single" w:sz="4" w:color="auto"/>
              </w:pBdr>
              <w:jc w:val="center"/>
              <w:rPr>
                <w:sz w:val="18"/>
                <w:szCs w:val="18"/>
              </w:rPr>
            </w:pPr>
            <w:r w:rsidRPr="00AC375F">
              <w:rPr>
                <w:sz w:val="18"/>
                <w:szCs w:val="18"/>
              </w:rPr>
              <w:t>rujan</w:t>
            </w:r>
          </w:p>
        </w:tc>
        <w:tc>
          <w:tcPr>
            <w:tcW w:w="1449" w:type="dxa"/>
            <w:shd w:val="clear" w:color="auto" w:fill="FFFFFF" w:themeFill="background1"/>
            <w:noWrap/>
          </w:tcPr>
          <w:p w14:paraId="1395CB9F" w14:textId="77777777" w:rsidR="00AC375F" w:rsidRPr="00AC375F" w:rsidRDefault="00AC375F" w:rsidP="00AC375F">
            <w:pPr>
              <w:pBdr>
                <w:bar w:val="single" w:sz="4" w:color="auto"/>
              </w:pBdr>
              <w:jc w:val="center"/>
              <w:rPr>
                <w:sz w:val="18"/>
                <w:szCs w:val="18"/>
              </w:rPr>
            </w:pPr>
            <w:r w:rsidRPr="00AC375F">
              <w:rPr>
                <w:sz w:val="18"/>
                <w:szCs w:val="18"/>
              </w:rPr>
              <w:t>3</w:t>
            </w:r>
          </w:p>
        </w:tc>
      </w:tr>
      <w:tr w:rsidR="00AC375F" w:rsidRPr="00AC375F" w14:paraId="3F3A8363" w14:textId="77777777" w:rsidTr="00991955">
        <w:trPr>
          <w:trHeight w:val="247"/>
        </w:trPr>
        <w:tc>
          <w:tcPr>
            <w:tcW w:w="4439" w:type="dxa"/>
            <w:shd w:val="clear" w:color="auto" w:fill="auto"/>
            <w:noWrap/>
          </w:tcPr>
          <w:p w14:paraId="4F480AB0" w14:textId="77777777" w:rsidR="00AC375F" w:rsidRPr="00AC375F" w:rsidRDefault="00AC375F" w:rsidP="00AC375F">
            <w:pPr>
              <w:pBdr>
                <w:bar w:val="single" w:sz="4" w:color="auto"/>
              </w:pBdr>
              <w:rPr>
                <w:bCs/>
                <w:sz w:val="18"/>
                <w:szCs w:val="18"/>
              </w:rPr>
            </w:pPr>
            <w:r w:rsidRPr="00AC375F">
              <w:rPr>
                <w:bCs/>
                <w:sz w:val="18"/>
                <w:szCs w:val="18"/>
              </w:rPr>
              <w:t>DCEP Chemical TAB Session</w:t>
            </w:r>
          </w:p>
        </w:tc>
        <w:tc>
          <w:tcPr>
            <w:tcW w:w="1413" w:type="dxa"/>
            <w:shd w:val="clear" w:color="auto" w:fill="FFFFFF" w:themeFill="background1"/>
            <w:noWrap/>
          </w:tcPr>
          <w:p w14:paraId="19CECFA4" w14:textId="77777777" w:rsidR="00AC375F" w:rsidRPr="00AC375F" w:rsidRDefault="00AC375F" w:rsidP="00AC375F">
            <w:pPr>
              <w:pBdr>
                <w:bar w:val="single" w:sz="4" w:color="auto"/>
              </w:pBdr>
              <w:jc w:val="center"/>
              <w:rPr>
                <w:sz w:val="18"/>
                <w:szCs w:val="18"/>
              </w:rPr>
            </w:pPr>
            <w:r w:rsidRPr="00AC375F">
              <w:rPr>
                <w:sz w:val="18"/>
                <w:szCs w:val="18"/>
              </w:rPr>
              <w:t>Strasbourg</w:t>
            </w:r>
          </w:p>
        </w:tc>
        <w:tc>
          <w:tcPr>
            <w:tcW w:w="940" w:type="dxa"/>
            <w:shd w:val="clear" w:color="auto" w:fill="FFFFFF" w:themeFill="background1"/>
            <w:noWrap/>
          </w:tcPr>
          <w:p w14:paraId="2E0087EB" w14:textId="77777777" w:rsidR="00AC375F" w:rsidRPr="00AC375F" w:rsidRDefault="00AC375F" w:rsidP="00AC375F">
            <w:pPr>
              <w:pBdr>
                <w:bar w:val="single" w:sz="4" w:color="auto"/>
              </w:pBdr>
              <w:jc w:val="center"/>
              <w:rPr>
                <w:sz w:val="18"/>
                <w:szCs w:val="18"/>
              </w:rPr>
            </w:pPr>
            <w:r w:rsidRPr="00AC375F">
              <w:rPr>
                <w:sz w:val="18"/>
                <w:szCs w:val="18"/>
              </w:rPr>
              <w:t>1</w:t>
            </w:r>
          </w:p>
        </w:tc>
        <w:tc>
          <w:tcPr>
            <w:tcW w:w="1283" w:type="dxa"/>
            <w:shd w:val="clear" w:color="auto" w:fill="FFFFFF" w:themeFill="background1"/>
            <w:noWrap/>
          </w:tcPr>
          <w:p w14:paraId="656B04D5" w14:textId="77777777" w:rsidR="00AC375F" w:rsidRPr="00AC375F" w:rsidRDefault="00AC375F" w:rsidP="00AC375F">
            <w:pPr>
              <w:pBdr>
                <w:bar w:val="single" w:sz="4" w:color="auto"/>
              </w:pBdr>
              <w:jc w:val="center"/>
              <w:rPr>
                <w:sz w:val="18"/>
                <w:szCs w:val="18"/>
              </w:rPr>
            </w:pPr>
            <w:r w:rsidRPr="00AC375F">
              <w:rPr>
                <w:sz w:val="18"/>
                <w:szCs w:val="18"/>
              </w:rPr>
              <w:t>listopad</w:t>
            </w:r>
          </w:p>
        </w:tc>
        <w:tc>
          <w:tcPr>
            <w:tcW w:w="1449" w:type="dxa"/>
            <w:shd w:val="clear" w:color="auto" w:fill="FFFFFF" w:themeFill="background1"/>
            <w:noWrap/>
          </w:tcPr>
          <w:p w14:paraId="55A53DA3" w14:textId="77777777" w:rsidR="00AC375F" w:rsidRPr="00AC375F" w:rsidRDefault="00AC375F" w:rsidP="00AC375F">
            <w:pPr>
              <w:pBdr>
                <w:bar w:val="single" w:sz="4" w:color="auto"/>
              </w:pBdr>
              <w:jc w:val="center"/>
              <w:rPr>
                <w:sz w:val="18"/>
                <w:szCs w:val="18"/>
              </w:rPr>
            </w:pPr>
            <w:r w:rsidRPr="00AC375F">
              <w:rPr>
                <w:sz w:val="18"/>
                <w:szCs w:val="18"/>
              </w:rPr>
              <w:t>1</w:t>
            </w:r>
          </w:p>
        </w:tc>
      </w:tr>
      <w:tr w:rsidR="00AC375F" w:rsidRPr="00AC375F" w14:paraId="3DC30177" w14:textId="77777777" w:rsidTr="00991955">
        <w:trPr>
          <w:trHeight w:val="247"/>
        </w:trPr>
        <w:tc>
          <w:tcPr>
            <w:tcW w:w="4439" w:type="dxa"/>
            <w:shd w:val="clear" w:color="auto" w:fill="auto"/>
            <w:noWrap/>
          </w:tcPr>
          <w:p w14:paraId="42CF3964" w14:textId="77777777" w:rsidR="00AC375F" w:rsidRPr="00AC375F" w:rsidRDefault="00AC375F" w:rsidP="00AC375F">
            <w:pPr>
              <w:pBdr>
                <w:bar w:val="single" w:sz="4" w:color="auto"/>
              </w:pBdr>
              <w:rPr>
                <w:bCs/>
                <w:sz w:val="18"/>
                <w:szCs w:val="18"/>
              </w:rPr>
            </w:pPr>
            <w:r w:rsidRPr="00AC375F">
              <w:rPr>
                <w:bCs/>
                <w:sz w:val="18"/>
                <w:szCs w:val="18"/>
              </w:rPr>
              <w:t>Suradnja u postupku ocjene dokumentacije o djelatnoj tvari za izdavanje ovjernice Europske farmakopeje (CEP)</w:t>
            </w:r>
          </w:p>
        </w:tc>
        <w:tc>
          <w:tcPr>
            <w:tcW w:w="1413" w:type="dxa"/>
            <w:shd w:val="clear" w:color="auto" w:fill="FFFFFF" w:themeFill="background1"/>
            <w:noWrap/>
          </w:tcPr>
          <w:p w14:paraId="22D995A9" w14:textId="77777777" w:rsidR="00AC375F" w:rsidRPr="00AC375F" w:rsidRDefault="00AC375F" w:rsidP="00AC375F">
            <w:pPr>
              <w:pBdr>
                <w:bar w:val="single" w:sz="4" w:color="auto"/>
              </w:pBdr>
              <w:jc w:val="center"/>
              <w:rPr>
                <w:sz w:val="18"/>
                <w:szCs w:val="18"/>
              </w:rPr>
            </w:pPr>
            <w:r w:rsidRPr="00AC375F">
              <w:rPr>
                <w:sz w:val="18"/>
                <w:szCs w:val="18"/>
              </w:rPr>
              <w:t>Strasbourg</w:t>
            </w:r>
          </w:p>
        </w:tc>
        <w:tc>
          <w:tcPr>
            <w:tcW w:w="940" w:type="dxa"/>
            <w:shd w:val="clear" w:color="auto" w:fill="FFFFFF" w:themeFill="background1"/>
            <w:noWrap/>
          </w:tcPr>
          <w:p w14:paraId="104F3031" w14:textId="77777777" w:rsidR="00AC375F" w:rsidRPr="00AC375F" w:rsidRDefault="00AC375F" w:rsidP="00AC375F">
            <w:pPr>
              <w:pBdr>
                <w:bar w:val="single" w:sz="4" w:color="auto"/>
              </w:pBdr>
              <w:jc w:val="center"/>
              <w:rPr>
                <w:sz w:val="18"/>
                <w:szCs w:val="18"/>
              </w:rPr>
            </w:pPr>
            <w:r w:rsidRPr="00AC375F">
              <w:rPr>
                <w:sz w:val="18"/>
                <w:szCs w:val="18"/>
              </w:rPr>
              <w:t>1</w:t>
            </w:r>
          </w:p>
        </w:tc>
        <w:tc>
          <w:tcPr>
            <w:tcW w:w="1283" w:type="dxa"/>
            <w:shd w:val="clear" w:color="auto" w:fill="FFFFFF" w:themeFill="background1"/>
            <w:noWrap/>
          </w:tcPr>
          <w:p w14:paraId="48F87954" w14:textId="77777777" w:rsidR="00AC375F" w:rsidRPr="00AC375F" w:rsidRDefault="00AC375F" w:rsidP="00AC375F">
            <w:pPr>
              <w:pBdr>
                <w:bar w:val="single" w:sz="4" w:color="auto"/>
              </w:pBdr>
              <w:jc w:val="center"/>
              <w:rPr>
                <w:sz w:val="18"/>
                <w:szCs w:val="18"/>
              </w:rPr>
            </w:pPr>
            <w:r w:rsidRPr="00AC375F">
              <w:rPr>
                <w:sz w:val="18"/>
                <w:szCs w:val="18"/>
              </w:rPr>
              <w:t>listopad</w:t>
            </w:r>
          </w:p>
        </w:tc>
        <w:tc>
          <w:tcPr>
            <w:tcW w:w="1449" w:type="dxa"/>
            <w:shd w:val="clear" w:color="auto" w:fill="FFFFFF" w:themeFill="background1"/>
            <w:noWrap/>
          </w:tcPr>
          <w:p w14:paraId="7F5367D3" w14:textId="77777777" w:rsidR="00AC375F" w:rsidRPr="00AC375F" w:rsidRDefault="00AC375F" w:rsidP="00AC375F">
            <w:pPr>
              <w:pBdr>
                <w:bar w:val="single" w:sz="4" w:color="auto"/>
              </w:pBdr>
              <w:jc w:val="center"/>
              <w:rPr>
                <w:sz w:val="18"/>
                <w:szCs w:val="18"/>
              </w:rPr>
            </w:pPr>
            <w:r w:rsidRPr="00AC375F">
              <w:rPr>
                <w:sz w:val="18"/>
                <w:szCs w:val="18"/>
              </w:rPr>
              <w:t>3</w:t>
            </w:r>
          </w:p>
        </w:tc>
      </w:tr>
      <w:tr w:rsidR="00AC375F" w:rsidRPr="00AC375F" w14:paraId="4492C0A5" w14:textId="77777777" w:rsidTr="00991955">
        <w:trPr>
          <w:trHeight w:val="247"/>
        </w:trPr>
        <w:tc>
          <w:tcPr>
            <w:tcW w:w="4439" w:type="dxa"/>
            <w:shd w:val="clear" w:color="auto" w:fill="auto"/>
            <w:noWrap/>
          </w:tcPr>
          <w:p w14:paraId="7D1BF6C9" w14:textId="77777777" w:rsidR="00AC375F" w:rsidRPr="00AC375F" w:rsidRDefault="00AC375F" w:rsidP="00AC375F">
            <w:pPr>
              <w:pBdr>
                <w:bar w:val="single" w:sz="4" w:color="auto"/>
              </w:pBdr>
              <w:rPr>
                <w:bCs/>
                <w:sz w:val="18"/>
                <w:szCs w:val="18"/>
              </w:rPr>
            </w:pPr>
          </w:p>
        </w:tc>
        <w:tc>
          <w:tcPr>
            <w:tcW w:w="1413" w:type="dxa"/>
            <w:shd w:val="clear" w:color="auto" w:fill="FFFFFF" w:themeFill="background1"/>
            <w:noWrap/>
          </w:tcPr>
          <w:p w14:paraId="34D784F1" w14:textId="77777777" w:rsidR="00AC375F" w:rsidRPr="00AC375F" w:rsidRDefault="00AC375F" w:rsidP="00AC375F">
            <w:pPr>
              <w:pBdr>
                <w:bar w:val="single" w:sz="4" w:color="auto"/>
              </w:pBdr>
              <w:jc w:val="center"/>
              <w:rPr>
                <w:sz w:val="18"/>
                <w:szCs w:val="18"/>
              </w:rPr>
            </w:pPr>
          </w:p>
        </w:tc>
        <w:tc>
          <w:tcPr>
            <w:tcW w:w="940" w:type="dxa"/>
            <w:shd w:val="clear" w:color="auto" w:fill="FFFFFF" w:themeFill="background1"/>
            <w:noWrap/>
          </w:tcPr>
          <w:p w14:paraId="4B13D835" w14:textId="77777777" w:rsidR="00AC375F" w:rsidRPr="00AC375F" w:rsidRDefault="00AC375F" w:rsidP="00AC375F">
            <w:pPr>
              <w:pBdr>
                <w:bar w:val="single" w:sz="4" w:color="auto"/>
              </w:pBdr>
              <w:jc w:val="center"/>
              <w:rPr>
                <w:sz w:val="18"/>
                <w:szCs w:val="18"/>
              </w:rPr>
            </w:pPr>
          </w:p>
        </w:tc>
        <w:tc>
          <w:tcPr>
            <w:tcW w:w="1283" w:type="dxa"/>
            <w:shd w:val="clear" w:color="auto" w:fill="FFFFFF" w:themeFill="background1"/>
            <w:noWrap/>
          </w:tcPr>
          <w:p w14:paraId="535A4E1B" w14:textId="77777777" w:rsidR="00AC375F" w:rsidRPr="00AC375F" w:rsidRDefault="00AC375F" w:rsidP="00AC375F">
            <w:pPr>
              <w:pBdr>
                <w:bar w:val="single" w:sz="4" w:color="auto"/>
              </w:pBdr>
              <w:jc w:val="center"/>
              <w:rPr>
                <w:sz w:val="18"/>
                <w:szCs w:val="18"/>
              </w:rPr>
            </w:pPr>
          </w:p>
        </w:tc>
        <w:tc>
          <w:tcPr>
            <w:tcW w:w="1449" w:type="dxa"/>
            <w:shd w:val="clear" w:color="auto" w:fill="FFFFFF" w:themeFill="background1"/>
            <w:noWrap/>
          </w:tcPr>
          <w:p w14:paraId="4A734E61" w14:textId="77777777" w:rsidR="00AC375F" w:rsidRPr="00AC375F" w:rsidRDefault="00AC375F" w:rsidP="00AC375F">
            <w:pPr>
              <w:pBdr>
                <w:bar w:val="single" w:sz="4" w:color="auto"/>
              </w:pBdr>
              <w:jc w:val="center"/>
              <w:rPr>
                <w:sz w:val="18"/>
                <w:szCs w:val="18"/>
              </w:rPr>
            </w:pPr>
          </w:p>
        </w:tc>
      </w:tr>
      <w:tr w:rsidR="00AC375F" w:rsidRPr="00AC375F" w14:paraId="296194B1" w14:textId="77777777" w:rsidTr="00991955">
        <w:trPr>
          <w:trHeight w:val="247"/>
        </w:trPr>
        <w:tc>
          <w:tcPr>
            <w:tcW w:w="4439" w:type="dxa"/>
            <w:shd w:val="clear" w:color="auto" w:fill="auto"/>
            <w:noWrap/>
          </w:tcPr>
          <w:p w14:paraId="4CF558E0" w14:textId="77777777" w:rsidR="00AC375F" w:rsidRPr="00AC375F" w:rsidRDefault="00AC375F" w:rsidP="00AC375F">
            <w:pPr>
              <w:pBdr>
                <w:bar w:val="single" w:sz="4" w:color="auto"/>
              </w:pBdr>
              <w:rPr>
                <w:b/>
                <w:bCs/>
                <w:sz w:val="18"/>
                <w:szCs w:val="18"/>
              </w:rPr>
            </w:pPr>
            <w:r w:rsidRPr="00AC375F">
              <w:rPr>
                <w:b/>
                <w:iCs/>
                <w:sz w:val="18"/>
                <w:szCs w:val="18"/>
              </w:rPr>
              <w:t>CD-P-PH/PHO (Committee of Experts on the classification of medicines as regards their supply)</w:t>
            </w:r>
          </w:p>
        </w:tc>
        <w:tc>
          <w:tcPr>
            <w:tcW w:w="1413" w:type="dxa"/>
            <w:shd w:val="clear" w:color="auto" w:fill="auto"/>
            <w:noWrap/>
          </w:tcPr>
          <w:p w14:paraId="7B5F6888" w14:textId="77777777" w:rsidR="00AC375F" w:rsidRPr="00AC375F" w:rsidRDefault="00AC375F" w:rsidP="00AC375F">
            <w:pPr>
              <w:pBdr>
                <w:bar w:val="single" w:sz="4" w:color="auto"/>
              </w:pBdr>
              <w:jc w:val="center"/>
              <w:rPr>
                <w:sz w:val="18"/>
                <w:szCs w:val="18"/>
              </w:rPr>
            </w:pPr>
            <w:r w:rsidRPr="00AC375F">
              <w:rPr>
                <w:sz w:val="18"/>
                <w:szCs w:val="18"/>
              </w:rPr>
              <w:t>virtualno</w:t>
            </w:r>
          </w:p>
        </w:tc>
        <w:tc>
          <w:tcPr>
            <w:tcW w:w="940" w:type="dxa"/>
            <w:shd w:val="clear" w:color="auto" w:fill="auto"/>
            <w:noWrap/>
          </w:tcPr>
          <w:p w14:paraId="163A1D79" w14:textId="77777777" w:rsidR="00AC375F" w:rsidRPr="00AC375F" w:rsidRDefault="00AC375F" w:rsidP="00AC375F">
            <w:pPr>
              <w:pBdr>
                <w:bar w:val="single" w:sz="4" w:color="auto"/>
              </w:pBdr>
              <w:jc w:val="center"/>
              <w:rPr>
                <w:sz w:val="18"/>
                <w:szCs w:val="18"/>
              </w:rPr>
            </w:pPr>
            <w:r w:rsidRPr="00AC375F">
              <w:rPr>
                <w:sz w:val="18"/>
                <w:szCs w:val="18"/>
              </w:rPr>
              <w:t>1</w:t>
            </w:r>
          </w:p>
        </w:tc>
        <w:tc>
          <w:tcPr>
            <w:tcW w:w="1283" w:type="dxa"/>
            <w:shd w:val="clear" w:color="auto" w:fill="auto"/>
            <w:noWrap/>
          </w:tcPr>
          <w:p w14:paraId="4E896C5E" w14:textId="77777777" w:rsidR="00AC375F" w:rsidRPr="00AC375F" w:rsidRDefault="00AC375F" w:rsidP="00AC375F">
            <w:pPr>
              <w:pBdr>
                <w:bar w:val="single" w:sz="4" w:color="auto"/>
              </w:pBdr>
              <w:jc w:val="center"/>
              <w:rPr>
                <w:sz w:val="18"/>
                <w:szCs w:val="18"/>
              </w:rPr>
            </w:pPr>
            <w:r w:rsidRPr="00AC375F">
              <w:rPr>
                <w:sz w:val="18"/>
                <w:szCs w:val="18"/>
              </w:rPr>
              <w:t>ožujak</w:t>
            </w:r>
          </w:p>
        </w:tc>
        <w:tc>
          <w:tcPr>
            <w:tcW w:w="1449" w:type="dxa"/>
            <w:shd w:val="clear" w:color="auto" w:fill="auto"/>
            <w:noWrap/>
          </w:tcPr>
          <w:p w14:paraId="090F41F2" w14:textId="77777777" w:rsidR="00AC375F" w:rsidRPr="00AC375F" w:rsidRDefault="00AC375F" w:rsidP="00AC375F">
            <w:pPr>
              <w:pBdr>
                <w:bar w:val="single" w:sz="4" w:color="auto"/>
              </w:pBdr>
              <w:jc w:val="center"/>
              <w:rPr>
                <w:sz w:val="18"/>
                <w:szCs w:val="18"/>
              </w:rPr>
            </w:pPr>
            <w:r w:rsidRPr="00AC375F">
              <w:rPr>
                <w:sz w:val="18"/>
                <w:szCs w:val="18"/>
              </w:rPr>
              <w:t>0,25</w:t>
            </w:r>
          </w:p>
        </w:tc>
      </w:tr>
      <w:tr w:rsidR="00AC375F" w:rsidRPr="00AC375F" w14:paraId="3335A680" w14:textId="77777777" w:rsidTr="00991955">
        <w:trPr>
          <w:trHeight w:val="247"/>
        </w:trPr>
        <w:tc>
          <w:tcPr>
            <w:tcW w:w="4439" w:type="dxa"/>
            <w:shd w:val="clear" w:color="auto" w:fill="auto"/>
            <w:noWrap/>
          </w:tcPr>
          <w:p w14:paraId="1F92117C" w14:textId="77777777" w:rsidR="00AC375F" w:rsidRPr="00AC375F" w:rsidRDefault="00AC375F" w:rsidP="00AC375F">
            <w:pPr>
              <w:pBdr>
                <w:bar w:val="single" w:sz="4" w:color="auto"/>
              </w:pBdr>
              <w:rPr>
                <w:b/>
                <w:iCs/>
                <w:sz w:val="18"/>
                <w:szCs w:val="18"/>
              </w:rPr>
            </w:pPr>
          </w:p>
        </w:tc>
        <w:tc>
          <w:tcPr>
            <w:tcW w:w="1413" w:type="dxa"/>
            <w:shd w:val="clear" w:color="auto" w:fill="auto"/>
            <w:noWrap/>
          </w:tcPr>
          <w:p w14:paraId="41B58AF4" w14:textId="77777777" w:rsidR="00AC375F" w:rsidRPr="00AC375F" w:rsidRDefault="00AC375F" w:rsidP="00AC375F">
            <w:pPr>
              <w:pBdr>
                <w:bar w:val="single" w:sz="4" w:color="auto"/>
              </w:pBdr>
              <w:jc w:val="center"/>
              <w:rPr>
                <w:sz w:val="18"/>
                <w:szCs w:val="18"/>
              </w:rPr>
            </w:pPr>
            <w:r w:rsidRPr="00AC375F">
              <w:rPr>
                <w:sz w:val="18"/>
                <w:szCs w:val="18"/>
              </w:rPr>
              <w:t xml:space="preserve">virtualno </w:t>
            </w:r>
          </w:p>
        </w:tc>
        <w:tc>
          <w:tcPr>
            <w:tcW w:w="940" w:type="dxa"/>
            <w:shd w:val="clear" w:color="auto" w:fill="auto"/>
            <w:noWrap/>
          </w:tcPr>
          <w:p w14:paraId="6CA0825D" w14:textId="77777777" w:rsidR="00AC375F" w:rsidRPr="00AC375F" w:rsidRDefault="00AC375F" w:rsidP="00AC375F">
            <w:pPr>
              <w:pBdr>
                <w:bar w:val="single" w:sz="4" w:color="auto"/>
              </w:pBdr>
              <w:jc w:val="center"/>
              <w:rPr>
                <w:sz w:val="18"/>
                <w:szCs w:val="18"/>
              </w:rPr>
            </w:pPr>
            <w:r w:rsidRPr="00AC375F">
              <w:rPr>
                <w:sz w:val="18"/>
                <w:szCs w:val="18"/>
              </w:rPr>
              <w:t>1</w:t>
            </w:r>
          </w:p>
        </w:tc>
        <w:tc>
          <w:tcPr>
            <w:tcW w:w="1283" w:type="dxa"/>
            <w:shd w:val="clear" w:color="auto" w:fill="auto"/>
            <w:noWrap/>
          </w:tcPr>
          <w:p w14:paraId="64B60DD0" w14:textId="77777777" w:rsidR="00AC375F" w:rsidRPr="00AC375F" w:rsidRDefault="00AC375F" w:rsidP="00AC375F">
            <w:pPr>
              <w:pBdr>
                <w:bar w:val="single" w:sz="4" w:color="auto"/>
              </w:pBdr>
              <w:jc w:val="center"/>
              <w:rPr>
                <w:sz w:val="18"/>
                <w:szCs w:val="18"/>
              </w:rPr>
            </w:pPr>
            <w:r w:rsidRPr="00AC375F">
              <w:rPr>
                <w:sz w:val="18"/>
                <w:szCs w:val="18"/>
              </w:rPr>
              <w:t>travanj</w:t>
            </w:r>
          </w:p>
        </w:tc>
        <w:tc>
          <w:tcPr>
            <w:tcW w:w="1449" w:type="dxa"/>
            <w:shd w:val="clear" w:color="auto" w:fill="auto"/>
            <w:noWrap/>
          </w:tcPr>
          <w:p w14:paraId="373CD149" w14:textId="77777777" w:rsidR="00AC375F" w:rsidRPr="00AC375F" w:rsidRDefault="00AC375F" w:rsidP="00AC375F">
            <w:pPr>
              <w:pBdr>
                <w:bar w:val="single" w:sz="4" w:color="auto"/>
              </w:pBdr>
              <w:jc w:val="center"/>
              <w:rPr>
                <w:sz w:val="18"/>
                <w:szCs w:val="18"/>
              </w:rPr>
            </w:pPr>
            <w:r w:rsidRPr="00AC375F">
              <w:rPr>
                <w:sz w:val="18"/>
                <w:szCs w:val="18"/>
              </w:rPr>
              <w:t>0,25</w:t>
            </w:r>
          </w:p>
        </w:tc>
      </w:tr>
      <w:tr w:rsidR="00AC375F" w:rsidRPr="00AC375F" w14:paraId="369BCD8E" w14:textId="77777777" w:rsidTr="00991955">
        <w:trPr>
          <w:trHeight w:val="247"/>
        </w:trPr>
        <w:tc>
          <w:tcPr>
            <w:tcW w:w="4439" w:type="dxa"/>
            <w:shd w:val="clear" w:color="auto" w:fill="auto"/>
            <w:noWrap/>
          </w:tcPr>
          <w:p w14:paraId="2C415332" w14:textId="77777777" w:rsidR="00AC375F" w:rsidRPr="00AC375F" w:rsidRDefault="00AC375F" w:rsidP="00AC375F">
            <w:pPr>
              <w:pBdr>
                <w:bar w:val="single" w:sz="4" w:color="auto"/>
              </w:pBdr>
              <w:rPr>
                <w:b/>
                <w:iCs/>
                <w:sz w:val="18"/>
                <w:szCs w:val="18"/>
              </w:rPr>
            </w:pPr>
          </w:p>
        </w:tc>
        <w:tc>
          <w:tcPr>
            <w:tcW w:w="1413" w:type="dxa"/>
            <w:shd w:val="clear" w:color="auto" w:fill="auto"/>
            <w:noWrap/>
          </w:tcPr>
          <w:p w14:paraId="61215EB5" w14:textId="77777777" w:rsidR="00AC375F" w:rsidRPr="00AC375F" w:rsidRDefault="00AC375F" w:rsidP="00AC375F">
            <w:pPr>
              <w:pBdr>
                <w:bar w:val="single" w:sz="4" w:color="auto"/>
              </w:pBdr>
              <w:jc w:val="center"/>
              <w:rPr>
                <w:sz w:val="18"/>
                <w:szCs w:val="18"/>
              </w:rPr>
            </w:pPr>
            <w:r w:rsidRPr="00AC375F">
              <w:rPr>
                <w:sz w:val="18"/>
                <w:szCs w:val="18"/>
              </w:rPr>
              <w:t>virtualno</w:t>
            </w:r>
          </w:p>
        </w:tc>
        <w:tc>
          <w:tcPr>
            <w:tcW w:w="940" w:type="dxa"/>
            <w:shd w:val="clear" w:color="auto" w:fill="auto"/>
            <w:noWrap/>
          </w:tcPr>
          <w:p w14:paraId="583B32C6" w14:textId="77777777" w:rsidR="00AC375F" w:rsidRPr="00AC375F" w:rsidRDefault="00AC375F" w:rsidP="00AC375F">
            <w:pPr>
              <w:pBdr>
                <w:bar w:val="single" w:sz="4" w:color="auto"/>
              </w:pBdr>
              <w:jc w:val="center"/>
              <w:rPr>
                <w:sz w:val="18"/>
                <w:szCs w:val="18"/>
              </w:rPr>
            </w:pPr>
            <w:r w:rsidRPr="00AC375F">
              <w:rPr>
                <w:sz w:val="18"/>
                <w:szCs w:val="18"/>
              </w:rPr>
              <w:t>1</w:t>
            </w:r>
          </w:p>
        </w:tc>
        <w:tc>
          <w:tcPr>
            <w:tcW w:w="1283" w:type="dxa"/>
            <w:shd w:val="clear" w:color="auto" w:fill="auto"/>
            <w:noWrap/>
          </w:tcPr>
          <w:p w14:paraId="7217BAC8" w14:textId="77777777" w:rsidR="00AC375F" w:rsidRPr="00AC375F" w:rsidRDefault="00AC375F" w:rsidP="00AC375F">
            <w:pPr>
              <w:pBdr>
                <w:bar w:val="single" w:sz="4" w:color="auto"/>
              </w:pBdr>
              <w:jc w:val="center"/>
              <w:rPr>
                <w:sz w:val="18"/>
                <w:szCs w:val="18"/>
              </w:rPr>
            </w:pPr>
            <w:r w:rsidRPr="00AC375F">
              <w:rPr>
                <w:sz w:val="18"/>
                <w:szCs w:val="18"/>
              </w:rPr>
              <w:t>svibanj</w:t>
            </w:r>
          </w:p>
        </w:tc>
        <w:tc>
          <w:tcPr>
            <w:tcW w:w="1449" w:type="dxa"/>
            <w:shd w:val="clear" w:color="auto" w:fill="auto"/>
            <w:noWrap/>
          </w:tcPr>
          <w:p w14:paraId="1365773B" w14:textId="77777777" w:rsidR="00AC375F" w:rsidRPr="00AC375F" w:rsidRDefault="00AC375F" w:rsidP="00AC375F">
            <w:pPr>
              <w:pBdr>
                <w:bar w:val="single" w:sz="4" w:color="auto"/>
              </w:pBdr>
              <w:jc w:val="center"/>
              <w:rPr>
                <w:sz w:val="18"/>
                <w:szCs w:val="18"/>
              </w:rPr>
            </w:pPr>
            <w:r w:rsidRPr="00AC375F">
              <w:rPr>
                <w:sz w:val="18"/>
                <w:szCs w:val="18"/>
              </w:rPr>
              <w:t>0,25</w:t>
            </w:r>
          </w:p>
        </w:tc>
      </w:tr>
      <w:tr w:rsidR="00AC375F" w:rsidRPr="00AC375F" w14:paraId="1A2B1BA1" w14:textId="77777777" w:rsidTr="00991955">
        <w:trPr>
          <w:trHeight w:val="247"/>
        </w:trPr>
        <w:tc>
          <w:tcPr>
            <w:tcW w:w="4439" w:type="dxa"/>
            <w:shd w:val="clear" w:color="auto" w:fill="auto"/>
            <w:noWrap/>
          </w:tcPr>
          <w:p w14:paraId="12298021" w14:textId="77777777" w:rsidR="00AC375F" w:rsidRPr="00AC375F" w:rsidRDefault="00AC375F" w:rsidP="00AC375F">
            <w:pPr>
              <w:pBdr>
                <w:bar w:val="single" w:sz="4" w:color="auto"/>
              </w:pBdr>
              <w:rPr>
                <w:b/>
                <w:iCs/>
                <w:sz w:val="18"/>
                <w:szCs w:val="18"/>
              </w:rPr>
            </w:pPr>
          </w:p>
        </w:tc>
        <w:tc>
          <w:tcPr>
            <w:tcW w:w="1413" w:type="dxa"/>
            <w:shd w:val="clear" w:color="auto" w:fill="auto"/>
            <w:noWrap/>
          </w:tcPr>
          <w:p w14:paraId="5D2526A9" w14:textId="77777777" w:rsidR="00AC375F" w:rsidRPr="00AC375F" w:rsidRDefault="00AC375F" w:rsidP="00AC375F">
            <w:pPr>
              <w:pBdr>
                <w:bar w:val="single" w:sz="4" w:color="auto"/>
              </w:pBdr>
              <w:jc w:val="center"/>
              <w:rPr>
                <w:sz w:val="18"/>
                <w:szCs w:val="18"/>
              </w:rPr>
            </w:pPr>
            <w:r w:rsidRPr="00AC375F">
              <w:rPr>
                <w:sz w:val="18"/>
                <w:szCs w:val="18"/>
              </w:rPr>
              <w:t>Strasbourg</w:t>
            </w:r>
          </w:p>
        </w:tc>
        <w:tc>
          <w:tcPr>
            <w:tcW w:w="940" w:type="dxa"/>
            <w:shd w:val="clear" w:color="auto" w:fill="auto"/>
            <w:noWrap/>
          </w:tcPr>
          <w:p w14:paraId="754915D5" w14:textId="77777777" w:rsidR="00AC375F" w:rsidRPr="00AC375F" w:rsidRDefault="00AC375F" w:rsidP="00AC375F">
            <w:pPr>
              <w:pBdr>
                <w:bar w:val="single" w:sz="4" w:color="auto"/>
              </w:pBdr>
              <w:jc w:val="center"/>
              <w:rPr>
                <w:sz w:val="18"/>
                <w:szCs w:val="18"/>
              </w:rPr>
            </w:pPr>
            <w:r w:rsidRPr="00AC375F">
              <w:rPr>
                <w:sz w:val="18"/>
                <w:szCs w:val="18"/>
              </w:rPr>
              <w:t>1</w:t>
            </w:r>
          </w:p>
        </w:tc>
        <w:tc>
          <w:tcPr>
            <w:tcW w:w="1283" w:type="dxa"/>
            <w:shd w:val="clear" w:color="auto" w:fill="auto"/>
            <w:noWrap/>
          </w:tcPr>
          <w:p w14:paraId="0FD77090" w14:textId="77777777" w:rsidR="00AC375F" w:rsidRPr="00AC375F" w:rsidRDefault="00AC375F" w:rsidP="00AC375F">
            <w:pPr>
              <w:pBdr>
                <w:bar w:val="single" w:sz="4" w:color="auto"/>
              </w:pBdr>
              <w:jc w:val="center"/>
              <w:rPr>
                <w:sz w:val="18"/>
                <w:szCs w:val="18"/>
              </w:rPr>
            </w:pPr>
            <w:r w:rsidRPr="00AC375F">
              <w:rPr>
                <w:sz w:val="18"/>
                <w:szCs w:val="18"/>
              </w:rPr>
              <w:t>lipanj</w:t>
            </w:r>
          </w:p>
        </w:tc>
        <w:tc>
          <w:tcPr>
            <w:tcW w:w="1449" w:type="dxa"/>
            <w:shd w:val="clear" w:color="auto" w:fill="auto"/>
            <w:noWrap/>
          </w:tcPr>
          <w:p w14:paraId="5705F23E" w14:textId="77777777" w:rsidR="00AC375F" w:rsidRPr="00AC375F" w:rsidRDefault="00AC375F" w:rsidP="00AC375F">
            <w:pPr>
              <w:pBdr>
                <w:bar w:val="single" w:sz="4" w:color="auto"/>
              </w:pBdr>
              <w:jc w:val="center"/>
              <w:rPr>
                <w:sz w:val="18"/>
                <w:szCs w:val="18"/>
              </w:rPr>
            </w:pPr>
            <w:r w:rsidRPr="00AC375F">
              <w:rPr>
                <w:sz w:val="18"/>
                <w:szCs w:val="18"/>
              </w:rPr>
              <w:t>2</w:t>
            </w:r>
          </w:p>
        </w:tc>
      </w:tr>
      <w:tr w:rsidR="00AC375F" w:rsidRPr="00AC375F" w14:paraId="1FD0B6F9" w14:textId="77777777" w:rsidTr="00991955">
        <w:trPr>
          <w:trHeight w:val="247"/>
        </w:trPr>
        <w:tc>
          <w:tcPr>
            <w:tcW w:w="4439" w:type="dxa"/>
            <w:shd w:val="clear" w:color="auto" w:fill="auto"/>
            <w:noWrap/>
          </w:tcPr>
          <w:p w14:paraId="02CFA092" w14:textId="77777777" w:rsidR="00AC375F" w:rsidRPr="00AC375F" w:rsidRDefault="00AC375F" w:rsidP="00AC375F">
            <w:pPr>
              <w:pBdr>
                <w:bar w:val="single" w:sz="4" w:color="auto"/>
              </w:pBdr>
              <w:rPr>
                <w:b/>
                <w:iCs/>
                <w:sz w:val="18"/>
                <w:szCs w:val="18"/>
              </w:rPr>
            </w:pPr>
          </w:p>
        </w:tc>
        <w:tc>
          <w:tcPr>
            <w:tcW w:w="1413" w:type="dxa"/>
            <w:shd w:val="clear" w:color="auto" w:fill="auto"/>
            <w:noWrap/>
          </w:tcPr>
          <w:p w14:paraId="724FB38A" w14:textId="77777777" w:rsidR="00AC375F" w:rsidRPr="00AC375F" w:rsidRDefault="00AC375F" w:rsidP="00AC375F">
            <w:pPr>
              <w:pBdr>
                <w:bar w:val="single" w:sz="4" w:color="auto"/>
              </w:pBdr>
              <w:jc w:val="center"/>
              <w:rPr>
                <w:sz w:val="18"/>
                <w:szCs w:val="18"/>
              </w:rPr>
            </w:pPr>
            <w:r w:rsidRPr="00AC375F">
              <w:rPr>
                <w:sz w:val="18"/>
                <w:szCs w:val="18"/>
              </w:rPr>
              <w:t>Strasbourg</w:t>
            </w:r>
          </w:p>
        </w:tc>
        <w:tc>
          <w:tcPr>
            <w:tcW w:w="940" w:type="dxa"/>
            <w:shd w:val="clear" w:color="auto" w:fill="auto"/>
            <w:noWrap/>
          </w:tcPr>
          <w:p w14:paraId="76A79F4E" w14:textId="77777777" w:rsidR="00AC375F" w:rsidRPr="00AC375F" w:rsidRDefault="00AC375F" w:rsidP="00AC375F">
            <w:pPr>
              <w:pBdr>
                <w:bar w:val="single" w:sz="4" w:color="auto"/>
              </w:pBdr>
              <w:jc w:val="center"/>
              <w:rPr>
                <w:sz w:val="18"/>
                <w:szCs w:val="18"/>
              </w:rPr>
            </w:pPr>
            <w:r w:rsidRPr="00AC375F">
              <w:rPr>
                <w:sz w:val="18"/>
                <w:szCs w:val="18"/>
              </w:rPr>
              <w:t>1</w:t>
            </w:r>
          </w:p>
        </w:tc>
        <w:tc>
          <w:tcPr>
            <w:tcW w:w="1283" w:type="dxa"/>
            <w:shd w:val="clear" w:color="auto" w:fill="auto"/>
            <w:noWrap/>
          </w:tcPr>
          <w:p w14:paraId="179772F1" w14:textId="77777777" w:rsidR="00AC375F" w:rsidRPr="00AC375F" w:rsidRDefault="00AC375F" w:rsidP="00AC375F">
            <w:pPr>
              <w:pBdr>
                <w:bar w:val="single" w:sz="4" w:color="auto"/>
              </w:pBdr>
              <w:jc w:val="center"/>
              <w:rPr>
                <w:sz w:val="18"/>
                <w:szCs w:val="18"/>
              </w:rPr>
            </w:pPr>
            <w:r w:rsidRPr="00AC375F">
              <w:rPr>
                <w:sz w:val="18"/>
                <w:szCs w:val="18"/>
              </w:rPr>
              <w:t>studeni</w:t>
            </w:r>
          </w:p>
        </w:tc>
        <w:tc>
          <w:tcPr>
            <w:tcW w:w="1449" w:type="dxa"/>
            <w:shd w:val="clear" w:color="auto" w:fill="auto"/>
            <w:noWrap/>
          </w:tcPr>
          <w:p w14:paraId="282147EA" w14:textId="77777777" w:rsidR="00AC375F" w:rsidRPr="00AC375F" w:rsidRDefault="00AC375F" w:rsidP="00AC375F">
            <w:pPr>
              <w:pBdr>
                <w:bar w:val="single" w:sz="4" w:color="auto"/>
              </w:pBdr>
              <w:jc w:val="center"/>
              <w:rPr>
                <w:sz w:val="18"/>
                <w:szCs w:val="18"/>
              </w:rPr>
            </w:pPr>
            <w:r w:rsidRPr="00AC375F">
              <w:rPr>
                <w:sz w:val="18"/>
                <w:szCs w:val="18"/>
              </w:rPr>
              <w:t>4</w:t>
            </w:r>
          </w:p>
        </w:tc>
      </w:tr>
      <w:tr w:rsidR="00AC375F" w:rsidRPr="00AC375F" w14:paraId="76E95CD3" w14:textId="77777777" w:rsidTr="00991955">
        <w:trPr>
          <w:trHeight w:val="247"/>
        </w:trPr>
        <w:tc>
          <w:tcPr>
            <w:tcW w:w="4439" w:type="dxa"/>
            <w:shd w:val="clear" w:color="auto" w:fill="auto"/>
            <w:noWrap/>
          </w:tcPr>
          <w:p w14:paraId="25083591" w14:textId="77777777" w:rsidR="00AC375F" w:rsidRPr="00AC375F" w:rsidRDefault="00AC375F" w:rsidP="00AC375F">
            <w:pPr>
              <w:pBdr>
                <w:bar w:val="single" w:sz="4" w:color="auto"/>
              </w:pBdr>
              <w:rPr>
                <w:b/>
                <w:iCs/>
                <w:sz w:val="18"/>
                <w:szCs w:val="18"/>
              </w:rPr>
            </w:pPr>
          </w:p>
        </w:tc>
        <w:tc>
          <w:tcPr>
            <w:tcW w:w="1413" w:type="dxa"/>
            <w:shd w:val="clear" w:color="auto" w:fill="auto"/>
            <w:noWrap/>
          </w:tcPr>
          <w:p w14:paraId="46FBBD9D" w14:textId="77777777" w:rsidR="00AC375F" w:rsidRPr="00AC375F" w:rsidRDefault="00AC375F" w:rsidP="00AC375F">
            <w:pPr>
              <w:pBdr>
                <w:bar w:val="single" w:sz="4" w:color="auto"/>
              </w:pBdr>
              <w:jc w:val="center"/>
              <w:rPr>
                <w:sz w:val="18"/>
                <w:szCs w:val="18"/>
              </w:rPr>
            </w:pPr>
            <w:r w:rsidRPr="00AC375F">
              <w:rPr>
                <w:sz w:val="18"/>
                <w:szCs w:val="18"/>
              </w:rPr>
              <w:t>virtualno</w:t>
            </w:r>
          </w:p>
        </w:tc>
        <w:tc>
          <w:tcPr>
            <w:tcW w:w="940" w:type="dxa"/>
            <w:shd w:val="clear" w:color="auto" w:fill="auto"/>
            <w:noWrap/>
          </w:tcPr>
          <w:p w14:paraId="42A603E1" w14:textId="77777777" w:rsidR="00AC375F" w:rsidRPr="00AC375F" w:rsidRDefault="00AC375F" w:rsidP="00AC375F">
            <w:pPr>
              <w:pBdr>
                <w:bar w:val="single" w:sz="4" w:color="auto"/>
              </w:pBdr>
              <w:jc w:val="center"/>
              <w:rPr>
                <w:sz w:val="18"/>
                <w:szCs w:val="18"/>
              </w:rPr>
            </w:pPr>
            <w:r w:rsidRPr="00AC375F">
              <w:rPr>
                <w:sz w:val="18"/>
                <w:szCs w:val="18"/>
              </w:rPr>
              <w:t>1</w:t>
            </w:r>
          </w:p>
        </w:tc>
        <w:tc>
          <w:tcPr>
            <w:tcW w:w="1283" w:type="dxa"/>
            <w:shd w:val="clear" w:color="auto" w:fill="auto"/>
            <w:noWrap/>
          </w:tcPr>
          <w:p w14:paraId="75EFB264" w14:textId="77777777" w:rsidR="00AC375F" w:rsidRPr="00AC375F" w:rsidRDefault="00AC375F" w:rsidP="00AC375F">
            <w:pPr>
              <w:pBdr>
                <w:bar w:val="single" w:sz="4" w:color="auto"/>
              </w:pBdr>
              <w:jc w:val="center"/>
              <w:rPr>
                <w:sz w:val="18"/>
                <w:szCs w:val="18"/>
              </w:rPr>
            </w:pPr>
            <w:r w:rsidRPr="00AC375F">
              <w:rPr>
                <w:sz w:val="18"/>
                <w:szCs w:val="18"/>
              </w:rPr>
              <w:t>prosinac</w:t>
            </w:r>
          </w:p>
        </w:tc>
        <w:tc>
          <w:tcPr>
            <w:tcW w:w="1449" w:type="dxa"/>
            <w:shd w:val="clear" w:color="auto" w:fill="auto"/>
            <w:noWrap/>
          </w:tcPr>
          <w:p w14:paraId="079B9680" w14:textId="77777777" w:rsidR="00AC375F" w:rsidRPr="00AC375F" w:rsidRDefault="00AC375F" w:rsidP="00AC375F">
            <w:pPr>
              <w:pBdr>
                <w:bar w:val="single" w:sz="4" w:color="auto"/>
              </w:pBdr>
              <w:jc w:val="center"/>
              <w:rPr>
                <w:sz w:val="18"/>
                <w:szCs w:val="18"/>
              </w:rPr>
            </w:pPr>
            <w:r w:rsidRPr="00AC375F">
              <w:rPr>
                <w:sz w:val="18"/>
                <w:szCs w:val="18"/>
              </w:rPr>
              <w:t>0,25</w:t>
            </w:r>
          </w:p>
        </w:tc>
      </w:tr>
      <w:tr w:rsidR="00AC375F" w:rsidRPr="00AC375F" w14:paraId="4D5F5173" w14:textId="77777777" w:rsidTr="00991955">
        <w:trPr>
          <w:trHeight w:val="247"/>
        </w:trPr>
        <w:tc>
          <w:tcPr>
            <w:tcW w:w="4439" w:type="dxa"/>
            <w:shd w:val="clear" w:color="auto" w:fill="auto"/>
            <w:noWrap/>
          </w:tcPr>
          <w:p w14:paraId="719B10EC" w14:textId="77777777" w:rsidR="00AC375F" w:rsidRPr="00AC375F" w:rsidRDefault="00AC375F" w:rsidP="00AC375F">
            <w:pPr>
              <w:pBdr>
                <w:bar w:val="single" w:sz="4" w:color="auto"/>
              </w:pBdr>
              <w:rPr>
                <w:b/>
                <w:bCs/>
                <w:sz w:val="18"/>
                <w:szCs w:val="18"/>
              </w:rPr>
            </w:pPr>
            <w:r w:rsidRPr="00AC375F">
              <w:rPr>
                <w:b/>
                <w:iCs/>
                <w:sz w:val="18"/>
                <w:szCs w:val="18"/>
              </w:rPr>
              <w:t>CD-P-PH/PC (Committee of Experts on Quality and Safety Standards in Pharmaceutical Practice and Pharmaceutical Care)</w:t>
            </w:r>
          </w:p>
        </w:tc>
        <w:tc>
          <w:tcPr>
            <w:tcW w:w="1413" w:type="dxa"/>
            <w:shd w:val="clear" w:color="auto" w:fill="auto"/>
            <w:noWrap/>
          </w:tcPr>
          <w:p w14:paraId="64E51AC1" w14:textId="77777777" w:rsidR="00AC375F" w:rsidRPr="00AC375F" w:rsidRDefault="00AC375F" w:rsidP="00AC375F">
            <w:pPr>
              <w:pBdr>
                <w:bar w:val="single" w:sz="4" w:color="auto"/>
              </w:pBdr>
              <w:jc w:val="center"/>
              <w:rPr>
                <w:sz w:val="18"/>
                <w:szCs w:val="18"/>
              </w:rPr>
            </w:pPr>
            <w:r w:rsidRPr="00AC375F">
              <w:rPr>
                <w:sz w:val="18"/>
                <w:szCs w:val="18"/>
              </w:rPr>
              <w:t>virtualno</w:t>
            </w:r>
          </w:p>
        </w:tc>
        <w:tc>
          <w:tcPr>
            <w:tcW w:w="940" w:type="dxa"/>
            <w:shd w:val="clear" w:color="auto" w:fill="auto"/>
            <w:noWrap/>
          </w:tcPr>
          <w:p w14:paraId="4440430B" w14:textId="77777777" w:rsidR="00AC375F" w:rsidRPr="00AC375F" w:rsidRDefault="00AC375F" w:rsidP="00AC375F">
            <w:pPr>
              <w:pBdr>
                <w:bar w:val="single" w:sz="4" w:color="auto"/>
              </w:pBdr>
              <w:jc w:val="center"/>
              <w:rPr>
                <w:sz w:val="18"/>
                <w:szCs w:val="18"/>
              </w:rPr>
            </w:pPr>
            <w:r w:rsidRPr="00AC375F">
              <w:rPr>
                <w:sz w:val="18"/>
                <w:szCs w:val="18"/>
              </w:rPr>
              <w:t>1</w:t>
            </w:r>
          </w:p>
        </w:tc>
        <w:tc>
          <w:tcPr>
            <w:tcW w:w="1283" w:type="dxa"/>
            <w:shd w:val="clear" w:color="auto" w:fill="auto"/>
            <w:noWrap/>
          </w:tcPr>
          <w:p w14:paraId="7058CA2B" w14:textId="77777777" w:rsidR="00AC375F" w:rsidRPr="00AC375F" w:rsidRDefault="00AC375F" w:rsidP="00AC375F">
            <w:pPr>
              <w:pBdr>
                <w:bar w:val="single" w:sz="4" w:color="auto"/>
              </w:pBdr>
              <w:jc w:val="center"/>
              <w:rPr>
                <w:sz w:val="18"/>
                <w:szCs w:val="18"/>
              </w:rPr>
            </w:pPr>
            <w:r w:rsidRPr="00AC375F">
              <w:rPr>
                <w:sz w:val="18"/>
                <w:szCs w:val="18"/>
              </w:rPr>
              <w:t>svibanj</w:t>
            </w:r>
          </w:p>
        </w:tc>
        <w:tc>
          <w:tcPr>
            <w:tcW w:w="1449" w:type="dxa"/>
            <w:shd w:val="clear" w:color="auto" w:fill="auto"/>
            <w:noWrap/>
          </w:tcPr>
          <w:p w14:paraId="1950D746" w14:textId="77777777" w:rsidR="00AC375F" w:rsidRPr="00AC375F" w:rsidRDefault="00AC375F" w:rsidP="00AC375F">
            <w:pPr>
              <w:pBdr>
                <w:bar w:val="single" w:sz="4" w:color="auto"/>
              </w:pBdr>
              <w:jc w:val="center"/>
              <w:rPr>
                <w:sz w:val="18"/>
                <w:szCs w:val="18"/>
              </w:rPr>
            </w:pPr>
            <w:r w:rsidRPr="00AC375F">
              <w:rPr>
                <w:sz w:val="18"/>
                <w:szCs w:val="18"/>
              </w:rPr>
              <w:t>2</w:t>
            </w:r>
          </w:p>
        </w:tc>
      </w:tr>
      <w:tr w:rsidR="00AC375F" w:rsidRPr="00AC375F" w14:paraId="67E2511C" w14:textId="77777777" w:rsidTr="00991955">
        <w:trPr>
          <w:trHeight w:val="247"/>
        </w:trPr>
        <w:tc>
          <w:tcPr>
            <w:tcW w:w="4439" w:type="dxa"/>
            <w:shd w:val="clear" w:color="auto" w:fill="auto"/>
            <w:noWrap/>
          </w:tcPr>
          <w:p w14:paraId="5CC48B62" w14:textId="77777777" w:rsidR="00AC375F" w:rsidRPr="00AC375F" w:rsidRDefault="00AC375F" w:rsidP="00AC375F">
            <w:pPr>
              <w:pBdr>
                <w:bar w:val="single" w:sz="4" w:color="auto"/>
              </w:pBdr>
              <w:rPr>
                <w:b/>
                <w:iCs/>
                <w:sz w:val="18"/>
                <w:szCs w:val="18"/>
              </w:rPr>
            </w:pPr>
          </w:p>
        </w:tc>
        <w:tc>
          <w:tcPr>
            <w:tcW w:w="1413" w:type="dxa"/>
            <w:shd w:val="clear" w:color="auto" w:fill="auto"/>
            <w:noWrap/>
          </w:tcPr>
          <w:p w14:paraId="7B2409F0" w14:textId="77777777" w:rsidR="00AC375F" w:rsidRPr="00AC375F" w:rsidRDefault="00AC375F" w:rsidP="00AC375F">
            <w:pPr>
              <w:pBdr>
                <w:bar w:val="single" w:sz="4" w:color="auto"/>
              </w:pBdr>
              <w:jc w:val="center"/>
              <w:rPr>
                <w:sz w:val="18"/>
                <w:szCs w:val="18"/>
              </w:rPr>
            </w:pPr>
          </w:p>
        </w:tc>
        <w:tc>
          <w:tcPr>
            <w:tcW w:w="940" w:type="dxa"/>
            <w:shd w:val="clear" w:color="auto" w:fill="auto"/>
            <w:noWrap/>
          </w:tcPr>
          <w:p w14:paraId="309E2623" w14:textId="77777777" w:rsidR="00AC375F" w:rsidRPr="00AC375F" w:rsidRDefault="00AC375F" w:rsidP="00AC375F">
            <w:pPr>
              <w:pBdr>
                <w:bar w:val="single" w:sz="4" w:color="auto"/>
              </w:pBdr>
              <w:jc w:val="center"/>
              <w:rPr>
                <w:sz w:val="18"/>
                <w:szCs w:val="18"/>
              </w:rPr>
            </w:pPr>
          </w:p>
        </w:tc>
        <w:tc>
          <w:tcPr>
            <w:tcW w:w="1283" w:type="dxa"/>
            <w:shd w:val="clear" w:color="auto" w:fill="auto"/>
            <w:noWrap/>
          </w:tcPr>
          <w:p w14:paraId="3E29E08F" w14:textId="77777777" w:rsidR="00AC375F" w:rsidRPr="00AC375F" w:rsidRDefault="00AC375F" w:rsidP="00AC375F">
            <w:pPr>
              <w:pBdr>
                <w:bar w:val="single" w:sz="4" w:color="auto"/>
              </w:pBdr>
              <w:jc w:val="center"/>
              <w:rPr>
                <w:sz w:val="18"/>
                <w:szCs w:val="18"/>
              </w:rPr>
            </w:pPr>
          </w:p>
        </w:tc>
        <w:tc>
          <w:tcPr>
            <w:tcW w:w="1449" w:type="dxa"/>
            <w:shd w:val="clear" w:color="auto" w:fill="auto"/>
            <w:noWrap/>
          </w:tcPr>
          <w:p w14:paraId="6798B19A" w14:textId="77777777" w:rsidR="00AC375F" w:rsidRPr="00AC375F" w:rsidRDefault="00AC375F" w:rsidP="00AC375F">
            <w:pPr>
              <w:pBdr>
                <w:bar w:val="single" w:sz="4" w:color="auto"/>
              </w:pBdr>
              <w:jc w:val="center"/>
              <w:rPr>
                <w:sz w:val="18"/>
                <w:szCs w:val="18"/>
              </w:rPr>
            </w:pPr>
          </w:p>
        </w:tc>
      </w:tr>
      <w:tr w:rsidR="00AC375F" w:rsidRPr="00AC375F" w14:paraId="208F141C" w14:textId="77777777" w:rsidTr="00991955">
        <w:trPr>
          <w:trHeight w:val="247"/>
        </w:trPr>
        <w:tc>
          <w:tcPr>
            <w:tcW w:w="4439" w:type="dxa"/>
            <w:shd w:val="clear" w:color="auto" w:fill="auto"/>
            <w:noWrap/>
          </w:tcPr>
          <w:p w14:paraId="704E9C26" w14:textId="77777777" w:rsidR="00AC375F" w:rsidRPr="00AC375F" w:rsidRDefault="00AC375F" w:rsidP="00AC375F">
            <w:pPr>
              <w:pBdr>
                <w:bar w:val="single" w:sz="4" w:color="auto"/>
              </w:pBdr>
              <w:rPr>
                <w:b/>
                <w:bCs/>
                <w:sz w:val="18"/>
                <w:szCs w:val="18"/>
              </w:rPr>
            </w:pPr>
            <w:r w:rsidRPr="00AC375F">
              <w:rPr>
                <w:b/>
                <w:bCs/>
                <w:sz w:val="18"/>
                <w:szCs w:val="18"/>
              </w:rPr>
              <w:t>CD-P-PH/CMED (Committee of Experts on minimising the public health risks posed by falsified medical products and related crimes )</w:t>
            </w:r>
          </w:p>
        </w:tc>
        <w:tc>
          <w:tcPr>
            <w:tcW w:w="1413" w:type="dxa"/>
            <w:shd w:val="clear" w:color="auto" w:fill="auto"/>
            <w:noWrap/>
          </w:tcPr>
          <w:p w14:paraId="12C95D1C" w14:textId="77777777" w:rsidR="00AC375F" w:rsidRPr="00AC375F" w:rsidRDefault="00AC375F" w:rsidP="00AC375F">
            <w:pPr>
              <w:pBdr>
                <w:bar w:val="single" w:sz="4" w:color="auto"/>
              </w:pBdr>
              <w:jc w:val="center"/>
              <w:rPr>
                <w:sz w:val="18"/>
                <w:szCs w:val="18"/>
              </w:rPr>
            </w:pPr>
            <w:r w:rsidRPr="00AC375F">
              <w:rPr>
                <w:sz w:val="18"/>
                <w:szCs w:val="18"/>
              </w:rPr>
              <w:t>Strasbourg</w:t>
            </w:r>
          </w:p>
        </w:tc>
        <w:tc>
          <w:tcPr>
            <w:tcW w:w="940" w:type="dxa"/>
            <w:shd w:val="clear" w:color="auto" w:fill="auto"/>
            <w:noWrap/>
          </w:tcPr>
          <w:p w14:paraId="5205C606" w14:textId="77777777" w:rsidR="00AC375F" w:rsidRPr="00AC375F" w:rsidRDefault="00AC375F" w:rsidP="00AC375F">
            <w:pPr>
              <w:pBdr>
                <w:bar w:val="single" w:sz="4" w:color="auto"/>
              </w:pBdr>
              <w:jc w:val="center"/>
              <w:rPr>
                <w:sz w:val="18"/>
                <w:szCs w:val="18"/>
              </w:rPr>
            </w:pPr>
            <w:r w:rsidRPr="00AC375F">
              <w:rPr>
                <w:sz w:val="18"/>
                <w:szCs w:val="18"/>
              </w:rPr>
              <w:t>2</w:t>
            </w:r>
          </w:p>
        </w:tc>
        <w:tc>
          <w:tcPr>
            <w:tcW w:w="1283" w:type="dxa"/>
            <w:shd w:val="clear" w:color="auto" w:fill="auto"/>
            <w:noWrap/>
          </w:tcPr>
          <w:p w14:paraId="428ABFA1" w14:textId="77777777" w:rsidR="00AC375F" w:rsidRPr="00AC375F" w:rsidRDefault="00AC375F" w:rsidP="00AC375F">
            <w:pPr>
              <w:pBdr>
                <w:bar w:val="single" w:sz="4" w:color="auto"/>
              </w:pBdr>
              <w:jc w:val="center"/>
              <w:rPr>
                <w:sz w:val="18"/>
                <w:szCs w:val="18"/>
              </w:rPr>
            </w:pPr>
            <w:r w:rsidRPr="00AC375F">
              <w:rPr>
                <w:sz w:val="18"/>
                <w:szCs w:val="18"/>
              </w:rPr>
              <w:t>travanj</w:t>
            </w:r>
          </w:p>
        </w:tc>
        <w:tc>
          <w:tcPr>
            <w:tcW w:w="1449" w:type="dxa"/>
            <w:shd w:val="clear" w:color="auto" w:fill="auto"/>
            <w:noWrap/>
          </w:tcPr>
          <w:p w14:paraId="5FE64918" w14:textId="77777777" w:rsidR="00AC375F" w:rsidRPr="00AC375F" w:rsidRDefault="00AC375F" w:rsidP="00AC375F">
            <w:pPr>
              <w:pBdr>
                <w:bar w:val="single" w:sz="4" w:color="auto"/>
              </w:pBdr>
              <w:jc w:val="center"/>
              <w:rPr>
                <w:sz w:val="18"/>
                <w:szCs w:val="18"/>
              </w:rPr>
            </w:pPr>
            <w:r w:rsidRPr="00AC375F">
              <w:rPr>
                <w:sz w:val="18"/>
                <w:szCs w:val="18"/>
              </w:rPr>
              <w:t>2</w:t>
            </w:r>
          </w:p>
        </w:tc>
      </w:tr>
      <w:tr w:rsidR="00AC375F" w:rsidRPr="00AC375F" w14:paraId="421A600F" w14:textId="77777777" w:rsidTr="00991955">
        <w:trPr>
          <w:trHeight w:val="247"/>
        </w:trPr>
        <w:tc>
          <w:tcPr>
            <w:tcW w:w="4439" w:type="dxa"/>
            <w:shd w:val="clear" w:color="auto" w:fill="auto"/>
            <w:noWrap/>
          </w:tcPr>
          <w:p w14:paraId="2C032959" w14:textId="77777777" w:rsidR="00AC375F" w:rsidRPr="00AC375F" w:rsidRDefault="00AC375F" w:rsidP="00AC375F">
            <w:pPr>
              <w:pBdr>
                <w:bar w:val="single" w:sz="4" w:color="auto"/>
              </w:pBdr>
              <w:rPr>
                <w:b/>
                <w:bCs/>
                <w:sz w:val="18"/>
                <w:szCs w:val="18"/>
              </w:rPr>
            </w:pPr>
          </w:p>
        </w:tc>
        <w:tc>
          <w:tcPr>
            <w:tcW w:w="1413" w:type="dxa"/>
            <w:shd w:val="clear" w:color="auto" w:fill="auto"/>
            <w:noWrap/>
          </w:tcPr>
          <w:p w14:paraId="1056177F" w14:textId="77777777" w:rsidR="00AC375F" w:rsidRPr="00AC375F" w:rsidRDefault="00AC375F" w:rsidP="00AC375F">
            <w:pPr>
              <w:pBdr>
                <w:bar w:val="single" w:sz="4" w:color="auto"/>
              </w:pBdr>
              <w:jc w:val="center"/>
              <w:rPr>
                <w:sz w:val="18"/>
                <w:szCs w:val="18"/>
              </w:rPr>
            </w:pPr>
            <w:r w:rsidRPr="00AC375F">
              <w:rPr>
                <w:sz w:val="18"/>
                <w:szCs w:val="18"/>
              </w:rPr>
              <w:t>Strasbourg</w:t>
            </w:r>
          </w:p>
        </w:tc>
        <w:tc>
          <w:tcPr>
            <w:tcW w:w="940" w:type="dxa"/>
            <w:shd w:val="clear" w:color="auto" w:fill="auto"/>
            <w:noWrap/>
          </w:tcPr>
          <w:p w14:paraId="51D026A5" w14:textId="77777777" w:rsidR="00AC375F" w:rsidRPr="00AC375F" w:rsidRDefault="00AC375F" w:rsidP="00AC375F">
            <w:pPr>
              <w:pBdr>
                <w:bar w:val="single" w:sz="4" w:color="auto"/>
              </w:pBdr>
              <w:jc w:val="center"/>
              <w:rPr>
                <w:sz w:val="18"/>
                <w:szCs w:val="18"/>
              </w:rPr>
            </w:pPr>
            <w:r w:rsidRPr="00AC375F">
              <w:rPr>
                <w:sz w:val="18"/>
                <w:szCs w:val="18"/>
              </w:rPr>
              <w:t>2</w:t>
            </w:r>
          </w:p>
        </w:tc>
        <w:tc>
          <w:tcPr>
            <w:tcW w:w="1283" w:type="dxa"/>
            <w:shd w:val="clear" w:color="auto" w:fill="auto"/>
            <w:noWrap/>
          </w:tcPr>
          <w:p w14:paraId="39677B08" w14:textId="77777777" w:rsidR="00AC375F" w:rsidRPr="00AC375F" w:rsidRDefault="00AC375F" w:rsidP="00AC375F">
            <w:pPr>
              <w:pBdr>
                <w:bar w:val="single" w:sz="4" w:color="auto"/>
              </w:pBdr>
              <w:jc w:val="center"/>
              <w:rPr>
                <w:sz w:val="18"/>
                <w:szCs w:val="18"/>
              </w:rPr>
            </w:pPr>
            <w:r w:rsidRPr="00AC375F">
              <w:rPr>
                <w:sz w:val="18"/>
                <w:szCs w:val="18"/>
              </w:rPr>
              <w:t>listopad</w:t>
            </w:r>
          </w:p>
        </w:tc>
        <w:tc>
          <w:tcPr>
            <w:tcW w:w="1449" w:type="dxa"/>
            <w:shd w:val="clear" w:color="auto" w:fill="auto"/>
            <w:noWrap/>
          </w:tcPr>
          <w:p w14:paraId="51E7BBBF" w14:textId="77777777" w:rsidR="00AC375F" w:rsidRPr="00AC375F" w:rsidRDefault="00AC375F" w:rsidP="00AC375F">
            <w:pPr>
              <w:pBdr>
                <w:bar w:val="single" w:sz="4" w:color="auto"/>
              </w:pBdr>
              <w:jc w:val="center"/>
              <w:rPr>
                <w:sz w:val="18"/>
                <w:szCs w:val="18"/>
              </w:rPr>
            </w:pPr>
            <w:r w:rsidRPr="00AC375F">
              <w:rPr>
                <w:sz w:val="18"/>
                <w:szCs w:val="18"/>
              </w:rPr>
              <w:t>2</w:t>
            </w:r>
          </w:p>
        </w:tc>
      </w:tr>
      <w:tr w:rsidR="00AC375F" w:rsidRPr="00AC375F" w14:paraId="0B6844E5" w14:textId="77777777" w:rsidTr="00991955">
        <w:trPr>
          <w:trHeight w:val="247"/>
        </w:trPr>
        <w:tc>
          <w:tcPr>
            <w:tcW w:w="4439" w:type="dxa"/>
            <w:shd w:val="clear" w:color="auto" w:fill="auto"/>
            <w:noWrap/>
          </w:tcPr>
          <w:p w14:paraId="08E3F8D8" w14:textId="77777777" w:rsidR="00AC375F" w:rsidRPr="00AC375F" w:rsidRDefault="00AC375F" w:rsidP="00AC375F">
            <w:pPr>
              <w:pBdr>
                <w:bar w:val="single" w:sz="4" w:color="auto"/>
              </w:pBdr>
              <w:rPr>
                <w:b/>
                <w:bCs/>
                <w:sz w:val="18"/>
                <w:szCs w:val="18"/>
              </w:rPr>
            </w:pPr>
          </w:p>
        </w:tc>
        <w:tc>
          <w:tcPr>
            <w:tcW w:w="1413" w:type="dxa"/>
            <w:shd w:val="clear" w:color="auto" w:fill="auto"/>
            <w:noWrap/>
          </w:tcPr>
          <w:p w14:paraId="2CCE1E55" w14:textId="77777777" w:rsidR="00AC375F" w:rsidRPr="00AC375F" w:rsidRDefault="00AC375F" w:rsidP="00AC375F">
            <w:pPr>
              <w:pBdr>
                <w:bar w:val="single" w:sz="4" w:color="auto"/>
              </w:pBdr>
              <w:jc w:val="center"/>
              <w:rPr>
                <w:sz w:val="18"/>
                <w:szCs w:val="18"/>
              </w:rPr>
            </w:pPr>
          </w:p>
        </w:tc>
        <w:tc>
          <w:tcPr>
            <w:tcW w:w="940" w:type="dxa"/>
            <w:shd w:val="clear" w:color="auto" w:fill="auto"/>
            <w:noWrap/>
          </w:tcPr>
          <w:p w14:paraId="7A6E6EA1" w14:textId="77777777" w:rsidR="00AC375F" w:rsidRPr="00AC375F" w:rsidRDefault="00AC375F" w:rsidP="00AC375F">
            <w:pPr>
              <w:pBdr>
                <w:bar w:val="single" w:sz="4" w:color="auto"/>
              </w:pBdr>
              <w:jc w:val="center"/>
              <w:rPr>
                <w:sz w:val="18"/>
                <w:szCs w:val="18"/>
              </w:rPr>
            </w:pPr>
          </w:p>
        </w:tc>
        <w:tc>
          <w:tcPr>
            <w:tcW w:w="1283" w:type="dxa"/>
            <w:shd w:val="clear" w:color="auto" w:fill="auto"/>
            <w:noWrap/>
          </w:tcPr>
          <w:p w14:paraId="799708D3" w14:textId="77777777" w:rsidR="00AC375F" w:rsidRPr="00AC375F" w:rsidRDefault="00AC375F" w:rsidP="00AC375F">
            <w:pPr>
              <w:pBdr>
                <w:bar w:val="single" w:sz="4" w:color="auto"/>
              </w:pBdr>
              <w:jc w:val="center"/>
              <w:rPr>
                <w:sz w:val="18"/>
                <w:szCs w:val="18"/>
              </w:rPr>
            </w:pPr>
          </w:p>
        </w:tc>
        <w:tc>
          <w:tcPr>
            <w:tcW w:w="1449" w:type="dxa"/>
            <w:shd w:val="clear" w:color="auto" w:fill="auto"/>
            <w:noWrap/>
          </w:tcPr>
          <w:p w14:paraId="323A8E0D" w14:textId="77777777" w:rsidR="00AC375F" w:rsidRPr="00AC375F" w:rsidRDefault="00AC375F" w:rsidP="00AC375F">
            <w:pPr>
              <w:pBdr>
                <w:bar w:val="single" w:sz="4" w:color="auto"/>
              </w:pBdr>
              <w:jc w:val="center"/>
              <w:rPr>
                <w:sz w:val="18"/>
                <w:szCs w:val="18"/>
              </w:rPr>
            </w:pPr>
          </w:p>
        </w:tc>
      </w:tr>
      <w:tr w:rsidR="00AC375F" w:rsidRPr="00AC375F" w14:paraId="29D34B04" w14:textId="77777777" w:rsidTr="00991955">
        <w:trPr>
          <w:trHeight w:val="309"/>
        </w:trPr>
        <w:tc>
          <w:tcPr>
            <w:tcW w:w="4439" w:type="dxa"/>
            <w:shd w:val="clear" w:color="auto" w:fill="auto"/>
          </w:tcPr>
          <w:p w14:paraId="3A27B333" w14:textId="77777777" w:rsidR="00AC375F" w:rsidRPr="00AC375F" w:rsidRDefault="00AC375F" w:rsidP="00AC375F">
            <w:pPr>
              <w:pBdr>
                <w:bar w:val="single" w:sz="4" w:color="auto"/>
              </w:pBdr>
              <w:rPr>
                <w:b/>
                <w:bCs/>
                <w:sz w:val="18"/>
                <w:szCs w:val="18"/>
              </w:rPr>
            </w:pPr>
            <w:r w:rsidRPr="00AC375F">
              <w:rPr>
                <w:b/>
                <w:bCs/>
                <w:sz w:val="18"/>
                <w:szCs w:val="18"/>
              </w:rPr>
              <w:t>Godišnji sastanak OMCL mreže (OMCL Annual Meeting)</w:t>
            </w:r>
          </w:p>
        </w:tc>
        <w:tc>
          <w:tcPr>
            <w:tcW w:w="1413" w:type="dxa"/>
            <w:shd w:val="clear" w:color="auto" w:fill="auto"/>
            <w:noWrap/>
          </w:tcPr>
          <w:p w14:paraId="2012733C" w14:textId="77777777" w:rsidR="00AC375F" w:rsidRPr="00AC375F" w:rsidRDefault="00AC375F" w:rsidP="00AC375F">
            <w:pPr>
              <w:pBdr>
                <w:bar w:val="single" w:sz="4" w:color="auto"/>
              </w:pBdr>
              <w:jc w:val="center"/>
              <w:rPr>
                <w:sz w:val="18"/>
                <w:szCs w:val="18"/>
              </w:rPr>
            </w:pPr>
            <w:r w:rsidRPr="00AC375F">
              <w:rPr>
                <w:sz w:val="18"/>
                <w:szCs w:val="18"/>
              </w:rPr>
              <w:t>Madrid</w:t>
            </w:r>
          </w:p>
        </w:tc>
        <w:tc>
          <w:tcPr>
            <w:tcW w:w="940" w:type="dxa"/>
            <w:shd w:val="clear" w:color="auto" w:fill="auto"/>
            <w:noWrap/>
          </w:tcPr>
          <w:p w14:paraId="7EDB981D" w14:textId="77777777" w:rsidR="00AC375F" w:rsidRPr="00AC375F" w:rsidRDefault="00AC375F" w:rsidP="00AC375F">
            <w:pPr>
              <w:pBdr>
                <w:bar w:val="single" w:sz="4" w:color="auto"/>
              </w:pBdr>
              <w:jc w:val="center"/>
              <w:rPr>
                <w:sz w:val="18"/>
                <w:szCs w:val="18"/>
              </w:rPr>
            </w:pPr>
            <w:r w:rsidRPr="00AC375F">
              <w:rPr>
                <w:sz w:val="18"/>
                <w:szCs w:val="18"/>
              </w:rPr>
              <w:t>7</w:t>
            </w:r>
          </w:p>
        </w:tc>
        <w:tc>
          <w:tcPr>
            <w:tcW w:w="1283" w:type="dxa"/>
            <w:shd w:val="clear" w:color="auto" w:fill="auto"/>
            <w:noWrap/>
          </w:tcPr>
          <w:p w14:paraId="49679023" w14:textId="77777777" w:rsidR="00AC375F" w:rsidRPr="00AC375F" w:rsidRDefault="00AC375F" w:rsidP="00AC375F">
            <w:pPr>
              <w:pBdr>
                <w:bar w:val="single" w:sz="4" w:color="auto"/>
              </w:pBdr>
              <w:jc w:val="center"/>
              <w:rPr>
                <w:sz w:val="18"/>
                <w:szCs w:val="18"/>
              </w:rPr>
            </w:pPr>
            <w:r w:rsidRPr="00AC375F">
              <w:rPr>
                <w:sz w:val="18"/>
                <w:szCs w:val="18"/>
              </w:rPr>
              <w:t>lipanj</w:t>
            </w:r>
          </w:p>
        </w:tc>
        <w:tc>
          <w:tcPr>
            <w:tcW w:w="1449" w:type="dxa"/>
            <w:shd w:val="clear" w:color="auto" w:fill="auto"/>
            <w:noWrap/>
          </w:tcPr>
          <w:p w14:paraId="25117572" w14:textId="77777777" w:rsidR="00AC375F" w:rsidRPr="00AC375F" w:rsidRDefault="00AC375F" w:rsidP="00AC375F">
            <w:pPr>
              <w:pBdr>
                <w:bar w:val="single" w:sz="4" w:color="auto"/>
              </w:pBdr>
              <w:jc w:val="center"/>
              <w:rPr>
                <w:sz w:val="18"/>
                <w:szCs w:val="18"/>
              </w:rPr>
            </w:pPr>
            <w:r w:rsidRPr="00AC375F">
              <w:rPr>
                <w:sz w:val="18"/>
                <w:szCs w:val="18"/>
              </w:rPr>
              <w:t>5</w:t>
            </w:r>
          </w:p>
        </w:tc>
      </w:tr>
      <w:tr w:rsidR="00AC375F" w:rsidRPr="00AC375F" w14:paraId="3729CD4B" w14:textId="77777777" w:rsidTr="00991955">
        <w:trPr>
          <w:trHeight w:val="309"/>
        </w:trPr>
        <w:tc>
          <w:tcPr>
            <w:tcW w:w="4439" w:type="dxa"/>
            <w:shd w:val="clear" w:color="auto" w:fill="auto"/>
          </w:tcPr>
          <w:p w14:paraId="29F19F90" w14:textId="77777777" w:rsidR="00AC375F" w:rsidRPr="00AC375F" w:rsidRDefault="00AC375F" w:rsidP="00AC375F">
            <w:pPr>
              <w:pBdr>
                <w:bar w:val="single" w:sz="4" w:color="auto"/>
              </w:pBdr>
              <w:rPr>
                <w:b/>
                <w:bCs/>
                <w:sz w:val="18"/>
                <w:szCs w:val="18"/>
              </w:rPr>
            </w:pPr>
          </w:p>
        </w:tc>
        <w:tc>
          <w:tcPr>
            <w:tcW w:w="1413" w:type="dxa"/>
            <w:shd w:val="clear" w:color="auto" w:fill="auto"/>
            <w:noWrap/>
          </w:tcPr>
          <w:p w14:paraId="35831940" w14:textId="77777777" w:rsidR="00AC375F" w:rsidRPr="00AC375F" w:rsidRDefault="00AC375F" w:rsidP="00AC375F">
            <w:pPr>
              <w:pBdr>
                <w:bar w:val="single" w:sz="4" w:color="auto"/>
              </w:pBdr>
              <w:jc w:val="center"/>
              <w:rPr>
                <w:sz w:val="18"/>
                <w:szCs w:val="18"/>
              </w:rPr>
            </w:pPr>
          </w:p>
        </w:tc>
        <w:tc>
          <w:tcPr>
            <w:tcW w:w="940" w:type="dxa"/>
            <w:shd w:val="clear" w:color="auto" w:fill="auto"/>
            <w:noWrap/>
          </w:tcPr>
          <w:p w14:paraId="016C8019" w14:textId="77777777" w:rsidR="00AC375F" w:rsidRPr="00AC375F" w:rsidRDefault="00AC375F" w:rsidP="00AC375F">
            <w:pPr>
              <w:pBdr>
                <w:bar w:val="single" w:sz="4" w:color="auto"/>
              </w:pBdr>
              <w:jc w:val="center"/>
              <w:rPr>
                <w:sz w:val="18"/>
                <w:szCs w:val="18"/>
              </w:rPr>
            </w:pPr>
          </w:p>
        </w:tc>
        <w:tc>
          <w:tcPr>
            <w:tcW w:w="1283" w:type="dxa"/>
            <w:shd w:val="clear" w:color="auto" w:fill="auto"/>
            <w:noWrap/>
          </w:tcPr>
          <w:p w14:paraId="3A7AFC60" w14:textId="77777777" w:rsidR="00AC375F" w:rsidRPr="00AC375F" w:rsidRDefault="00AC375F" w:rsidP="00AC375F">
            <w:pPr>
              <w:pBdr>
                <w:bar w:val="single" w:sz="4" w:color="auto"/>
              </w:pBdr>
              <w:jc w:val="center"/>
              <w:rPr>
                <w:sz w:val="18"/>
                <w:szCs w:val="18"/>
              </w:rPr>
            </w:pPr>
          </w:p>
        </w:tc>
        <w:tc>
          <w:tcPr>
            <w:tcW w:w="1449" w:type="dxa"/>
            <w:shd w:val="clear" w:color="auto" w:fill="auto"/>
            <w:noWrap/>
          </w:tcPr>
          <w:p w14:paraId="1B30B8AF" w14:textId="77777777" w:rsidR="00AC375F" w:rsidRPr="00AC375F" w:rsidRDefault="00AC375F" w:rsidP="00AC375F">
            <w:pPr>
              <w:pBdr>
                <w:bar w:val="single" w:sz="4" w:color="auto"/>
              </w:pBdr>
              <w:jc w:val="center"/>
              <w:rPr>
                <w:sz w:val="18"/>
                <w:szCs w:val="18"/>
              </w:rPr>
            </w:pPr>
          </w:p>
        </w:tc>
      </w:tr>
      <w:tr w:rsidR="00AC375F" w:rsidRPr="00AC375F" w14:paraId="1DB04761" w14:textId="77777777" w:rsidTr="00991955">
        <w:trPr>
          <w:trHeight w:val="309"/>
        </w:trPr>
        <w:tc>
          <w:tcPr>
            <w:tcW w:w="4439" w:type="dxa"/>
            <w:shd w:val="clear" w:color="auto" w:fill="auto"/>
          </w:tcPr>
          <w:p w14:paraId="59B5872B" w14:textId="77777777" w:rsidR="00AC375F" w:rsidRPr="00AC375F" w:rsidRDefault="00AC375F" w:rsidP="00AC375F">
            <w:pPr>
              <w:pBdr>
                <w:bar w:val="single" w:sz="4" w:color="auto"/>
              </w:pBdr>
              <w:rPr>
                <w:b/>
                <w:bCs/>
                <w:sz w:val="18"/>
                <w:szCs w:val="18"/>
              </w:rPr>
            </w:pPr>
            <w:r w:rsidRPr="00AC375F">
              <w:rPr>
                <w:b/>
                <w:bCs/>
                <w:sz w:val="18"/>
                <w:szCs w:val="18"/>
              </w:rPr>
              <w:t>Komisija Europske farmakopeje</w:t>
            </w:r>
          </w:p>
        </w:tc>
        <w:tc>
          <w:tcPr>
            <w:tcW w:w="1413" w:type="dxa"/>
            <w:shd w:val="clear" w:color="auto" w:fill="auto"/>
            <w:noWrap/>
          </w:tcPr>
          <w:p w14:paraId="240F5D0E" w14:textId="77777777" w:rsidR="00AC375F" w:rsidRPr="00AC375F" w:rsidRDefault="00AC375F" w:rsidP="00AC375F">
            <w:pPr>
              <w:pBdr>
                <w:bar w:val="single" w:sz="4" w:color="auto"/>
              </w:pBdr>
              <w:jc w:val="center"/>
              <w:rPr>
                <w:sz w:val="18"/>
                <w:szCs w:val="18"/>
              </w:rPr>
            </w:pPr>
            <w:r w:rsidRPr="00AC375F">
              <w:rPr>
                <w:sz w:val="18"/>
                <w:szCs w:val="18"/>
              </w:rPr>
              <w:t>virtualno</w:t>
            </w:r>
          </w:p>
        </w:tc>
        <w:tc>
          <w:tcPr>
            <w:tcW w:w="940" w:type="dxa"/>
            <w:shd w:val="clear" w:color="auto" w:fill="auto"/>
            <w:noWrap/>
          </w:tcPr>
          <w:p w14:paraId="7C71B328" w14:textId="77777777" w:rsidR="00AC375F" w:rsidRPr="00AC375F" w:rsidRDefault="00AC375F" w:rsidP="00AC375F">
            <w:pPr>
              <w:pBdr>
                <w:bar w:val="single" w:sz="4" w:color="auto"/>
              </w:pBdr>
              <w:jc w:val="center"/>
              <w:rPr>
                <w:sz w:val="18"/>
                <w:szCs w:val="18"/>
              </w:rPr>
            </w:pPr>
            <w:r w:rsidRPr="00AC375F">
              <w:rPr>
                <w:sz w:val="18"/>
                <w:szCs w:val="18"/>
              </w:rPr>
              <w:t>1</w:t>
            </w:r>
          </w:p>
        </w:tc>
        <w:tc>
          <w:tcPr>
            <w:tcW w:w="1283" w:type="dxa"/>
            <w:shd w:val="clear" w:color="auto" w:fill="auto"/>
            <w:noWrap/>
          </w:tcPr>
          <w:p w14:paraId="30F2F3E7" w14:textId="77777777" w:rsidR="00AC375F" w:rsidRPr="00AC375F" w:rsidRDefault="00AC375F" w:rsidP="00AC375F">
            <w:pPr>
              <w:pBdr>
                <w:bar w:val="single" w:sz="4" w:color="auto"/>
              </w:pBdr>
              <w:jc w:val="center"/>
              <w:rPr>
                <w:sz w:val="18"/>
                <w:szCs w:val="18"/>
              </w:rPr>
            </w:pPr>
            <w:r w:rsidRPr="00AC375F">
              <w:rPr>
                <w:sz w:val="18"/>
                <w:szCs w:val="18"/>
              </w:rPr>
              <w:t>ožujak</w:t>
            </w:r>
          </w:p>
        </w:tc>
        <w:tc>
          <w:tcPr>
            <w:tcW w:w="1449" w:type="dxa"/>
            <w:shd w:val="clear" w:color="auto" w:fill="auto"/>
            <w:noWrap/>
          </w:tcPr>
          <w:p w14:paraId="7383ADD2" w14:textId="77777777" w:rsidR="00AC375F" w:rsidRPr="00AC375F" w:rsidRDefault="00AC375F" w:rsidP="00AC375F">
            <w:pPr>
              <w:pBdr>
                <w:bar w:val="single" w:sz="4" w:color="auto"/>
              </w:pBdr>
              <w:jc w:val="center"/>
              <w:rPr>
                <w:sz w:val="18"/>
                <w:szCs w:val="18"/>
              </w:rPr>
            </w:pPr>
            <w:r w:rsidRPr="00AC375F">
              <w:rPr>
                <w:sz w:val="18"/>
                <w:szCs w:val="18"/>
              </w:rPr>
              <w:t>2</w:t>
            </w:r>
          </w:p>
        </w:tc>
      </w:tr>
      <w:tr w:rsidR="00AC375F" w:rsidRPr="00AC375F" w14:paraId="190F5276" w14:textId="77777777" w:rsidTr="00991955">
        <w:trPr>
          <w:trHeight w:val="309"/>
        </w:trPr>
        <w:tc>
          <w:tcPr>
            <w:tcW w:w="4439" w:type="dxa"/>
            <w:shd w:val="clear" w:color="auto" w:fill="auto"/>
          </w:tcPr>
          <w:p w14:paraId="0EAF11E8" w14:textId="77777777" w:rsidR="00AC375F" w:rsidRPr="00AC375F" w:rsidRDefault="00AC375F" w:rsidP="00AC375F">
            <w:pPr>
              <w:pBdr>
                <w:bar w:val="single" w:sz="4" w:color="auto"/>
              </w:pBdr>
              <w:rPr>
                <w:b/>
                <w:bCs/>
                <w:sz w:val="18"/>
                <w:szCs w:val="18"/>
              </w:rPr>
            </w:pPr>
          </w:p>
        </w:tc>
        <w:tc>
          <w:tcPr>
            <w:tcW w:w="1413" w:type="dxa"/>
            <w:shd w:val="clear" w:color="auto" w:fill="auto"/>
            <w:noWrap/>
          </w:tcPr>
          <w:p w14:paraId="6D4EB790" w14:textId="77777777" w:rsidR="00AC375F" w:rsidRPr="00AC375F" w:rsidRDefault="00AC375F" w:rsidP="00AC375F">
            <w:pPr>
              <w:pBdr>
                <w:bar w:val="single" w:sz="4" w:color="auto"/>
              </w:pBdr>
              <w:jc w:val="center"/>
              <w:rPr>
                <w:sz w:val="18"/>
                <w:szCs w:val="18"/>
              </w:rPr>
            </w:pPr>
            <w:r w:rsidRPr="00AC375F">
              <w:rPr>
                <w:sz w:val="18"/>
                <w:szCs w:val="18"/>
              </w:rPr>
              <w:t>Strasbourg</w:t>
            </w:r>
          </w:p>
        </w:tc>
        <w:tc>
          <w:tcPr>
            <w:tcW w:w="940" w:type="dxa"/>
            <w:shd w:val="clear" w:color="auto" w:fill="auto"/>
            <w:noWrap/>
          </w:tcPr>
          <w:p w14:paraId="7FE4F7AF" w14:textId="77777777" w:rsidR="00AC375F" w:rsidRPr="00AC375F" w:rsidRDefault="00AC375F" w:rsidP="00AC375F">
            <w:pPr>
              <w:pBdr>
                <w:bar w:val="single" w:sz="4" w:color="auto"/>
              </w:pBdr>
              <w:jc w:val="center"/>
              <w:rPr>
                <w:sz w:val="18"/>
                <w:szCs w:val="18"/>
              </w:rPr>
            </w:pPr>
            <w:r w:rsidRPr="00AC375F">
              <w:rPr>
                <w:sz w:val="18"/>
                <w:szCs w:val="18"/>
              </w:rPr>
              <w:t>2</w:t>
            </w:r>
          </w:p>
        </w:tc>
        <w:tc>
          <w:tcPr>
            <w:tcW w:w="1283" w:type="dxa"/>
            <w:shd w:val="clear" w:color="auto" w:fill="auto"/>
            <w:noWrap/>
          </w:tcPr>
          <w:p w14:paraId="0DFEF5D4" w14:textId="77777777" w:rsidR="00AC375F" w:rsidRPr="00AC375F" w:rsidRDefault="00AC375F" w:rsidP="00AC375F">
            <w:pPr>
              <w:pBdr>
                <w:bar w:val="single" w:sz="4" w:color="auto"/>
              </w:pBdr>
              <w:jc w:val="center"/>
              <w:rPr>
                <w:sz w:val="18"/>
                <w:szCs w:val="18"/>
              </w:rPr>
            </w:pPr>
            <w:r w:rsidRPr="00AC375F">
              <w:rPr>
                <w:sz w:val="18"/>
                <w:szCs w:val="18"/>
              </w:rPr>
              <w:t>lipanj</w:t>
            </w:r>
          </w:p>
        </w:tc>
        <w:tc>
          <w:tcPr>
            <w:tcW w:w="1449" w:type="dxa"/>
            <w:shd w:val="clear" w:color="auto" w:fill="auto"/>
            <w:noWrap/>
          </w:tcPr>
          <w:p w14:paraId="0929863C" w14:textId="77777777" w:rsidR="00AC375F" w:rsidRPr="00AC375F" w:rsidRDefault="00AC375F" w:rsidP="00AC375F">
            <w:pPr>
              <w:pBdr>
                <w:bar w:val="single" w:sz="4" w:color="auto"/>
              </w:pBdr>
              <w:jc w:val="center"/>
              <w:rPr>
                <w:sz w:val="18"/>
                <w:szCs w:val="18"/>
              </w:rPr>
            </w:pPr>
            <w:r w:rsidRPr="00AC375F">
              <w:rPr>
                <w:sz w:val="18"/>
                <w:szCs w:val="18"/>
              </w:rPr>
              <w:t>2</w:t>
            </w:r>
          </w:p>
        </w:tc>
      </w:tr>
      <w:tr w:rsidR="00AC375F" w:rsidRPr="00AC375F" w14:paraId="32DC3BE4" w14:textId="77777777" w:rsidTr="00991955">
        <w:trPr>
          <w:trHeight w:val="309"/>
        </w:trPr>
        <w:tc>
          <w:tcPr>
            <w:tcW w:w="4439" w:type="dxa"/>
            <w:shd w:val="clear" w:color="auto" w:fill="auto"/>
          </w:tcPr>
          <w:p w14:paraId="7BDB4837" w14:textId="77777777" w:rsidR="00AC375F" w:rsidRPr="00AC375F" w:rsidRDefault="00AC375F" w:rsidP="00AC375F">
            <w:pPr>
              <w:pBdr>
                <w:bar w:val="single" w:sz="4" w:color="auto"/>
              </w:pBdr>
              <w:rPr>
                <w:b/>
                <w:bCs/>
                <w:sz w:val="18"/>
                <w:szCs w:val="18"/>
              </w:rPr>
            </w:pPr>
          </w:p>
        </w:tc>
        <w:tc>
          <w:tcPr>
            <w:tcW w:w="1413" w:type="dxa"/>
            <w:shd w:val="clear" w:color="auto" w:fill="auto"/>
            <w:noWrap/>
          </w:tcPr>
          <w:p w14:paraId="266E4D89" w14:textId="77777777" w:rsidR="00AC375F" w:rsidRPr="00AC375F" w:rsidRDefault="00AC375F" w:rsidP="00AC375F">
            <w:pPr>
              <w:pBdr>
                <w:bar w:val="single" w:sz="4" w:color="auto"/>
              </w:pBdr>
              <w:jc w:val="center"/>
              <w:rPr>
                <w:sz w:val="18"/>
                <w:szCs w:val="18"/>
              </w:rPr>
            </w:pPr>
            <w:r w:rsidRPr="00AC375F">
              <w:rPr>
                <w:sz w:val="18"/>
                <w:szCs w:val="18"/>
              </w:rPr>
              <w:t>virtualno</w:t>
            </w:r>
          </w:p>
        </w:tc>
        <w:tc>
          <w:tcPr>
            <w:tcW w:w="940" w:type="dxa"/>
            <w:shd w:val="clear" w:color="auto" w:fill="auto"/>
            <w:noWrap/>
          </w:tcPr>
          <w:p w14:paraId="70A13571" w14:textId="77777777" w:rsidR="00AC375F" w:rsidRPr="00AC375F" w:rsidRDefault="00AC375F" w:rsidP="00AC375F">
            <w:pPr>
              <w:pBdr>
                <w:bar w:val="single" w:sz="4" w:color="auto"/>
              </w:pBdr>
              <w:jc w:val="center"/>
              <w:rPr>
                <w:sz w:val="18"/>
                <w:szCs w:val="18"/>
              </w:rPr>
            </w:pPr>
            <w:r w:rsidRPr="00AC375F">
              <w:rPr>
                <w:sz w:val="18"/>
                <w:szCs w:val="18"/>
              </w:rPr>
              <w:t>2</w:t>
            </w:r>
          </w:p>
        </w:tc>
        <w:tc>
          <w:tcPr>
            <w:tcW w:w="1283" w:type="dxa"/>
            <w:shd w:val="clear" w:color="auto" w:fill="auto"/>
            <w:noWrap/>
          </w:tcPr>
          <w:p w14:paraId="738C247D" w14:textId="77777777" w:rsidR="00AC375F" w:rsidRPr="00AC375F" w:rsidRDefault="00AC375F" w:rsidP="00AC375F">
            <w:pPr>
              <w:pBdr>
                <w:bar w:val="single" w:sz="4" w:color="auto"/>
              </w:pBdr>
              <w:jc w:val="center"/>
              <w:rPr>
                <w:sz w:val="18"/>
                <w:szCs w:val="18"/>
              </w:rPr>
            </w:pPr>
            <w:r w:rsidRPr="00AC375F">
              <w:rPr>
                <w:sz w:val="18"/>
                <w:szCs w:val="18"/>
              </w:rPr>
              <w:t>studeni</w:t>
            </w:r>
          </w:p>
        </w:tc>
        <w:tc>
          <w:tcPr>
            <w:tcW w:w="1449" w:type="dxa"/>
            <w:shd w:val="clear" w:color="auto" w:fill="auto"/>
            <w:noWrap/>
          </w:tcPr>
          <w:p w14:paraId="6260B3BD" w14:textId="77777777" w:rsidR="00AC375F" w:rsidRPr="00AC375F" w:rsidRDefault="00AC375F" w:rsidP="00AC375F">
            <w:pPr>
              <w:pBdr>
                <w:bar w:val="single" w:sz="4" w:color="auto"/>
              </w:pBdr>
              <w:jc w:val="center"/>
              <w:rPr>
                <w:sz w:val="18"/>
                <w:szCs w:val="18"/>
              </w:rPr>
            </w:pPr>
            <w:r w:rsidRPr="00AC375F">
              <w:rPr>
                <w:sz w:val="18"/>
                <w:szCs w:val="18"/>
              </w:rPr>
              <w:t>2</w:t>
            </w:r>
          </w:p>
        </w:tc>
      </w:tr>
      <w:tr w:rsidR="00AC375F" w:rsidRPr="00AC375F" w14:paraId="2B329958" w14:textId="77777777" w:rsidTr="00991955">
        <w:trPr>
          <w:trHeight w:val="309"/>
        </w:trPr>
        <w:tc>
          <w:tcPr>
            <w:tcW w:w="4439" w:type="dxa"/>
            <w:shd w:val="clear" w:color="auto" w:fill="auto"/>
          </w:tcPr>
          <w:p w14:paraId="45F278B0" w14:textId="77777777" w:rsidR="00AC375F" w:rsidRPr="00AC375F" w:rsidRDefault="00AC375F" w:rsidP="00AC375F">
            <w:pPr>
              <w:pBdr>
                <w:bar w:val="single" w:sz="4" w:color="auto"/>
              </w:pBdr>
              <w:rPr>
                <w:b/>
                <w:bCs/>
                <w:sz w:val="18"/>
                <w:szCs w:val="18"/>
              </w:rPr>
            </w:pPr>
            <w:r w:rsidRPr="00AC375F">
              <w:rPr>
                <w:b/>
                <w:bCs/>
                <w:sz w:val="18"/>
                <w:szCs w:val="18"/>
              </w:rPr>
              <w:t>P4 grupa Europske farmakopeje</w:t>
            </w:r>
          </w:p>
        </w:tc>
        <w:tc>
          <w:tcPr>
            <w:tcW w:w="1413" w:type="dxa"/>
            <w:noWrap/>
          </w:tcPr>
          <w:p w14:paraId="020CD022" w14:textId="77777777" w:rsidR="00AC375F" w:rsidRPr="00AC375F" w:rsidRDefault="00AC375F" w:rsidP="00AC375F">
            <w:pPr>
              <w:pBdr>
                <w:bar w:val="single" w:sz="4" w:color="auto"/>
              </w:pBdr>
              <w:jc w:val="center"/>
              <w:rPr>
                <w:sz w:val="18"/>
                <w:szCs w:val="18"/>
              </w:rPr>
            </w:pPr>
            <w:r w:rsidRPr="00AC375F">
              <w:rPr>
                <w:sz w:val="18"/>
                <w:szCs w:val="18"/>
              </w:rPr>
              <w:t>virtualno</w:t>
            </w:r>
          </w:p>
        </w:tc>
        <w:tc>
          <w:tcPr>
            <w:tcW w:w="940" w:type="dxa"/>
            <w:noWrap/>
          </w:tcPr>
          <w:p w14:paraId="409953CF" w14:textId="77777777" w:rsidR="00AC375F" w:rsidRPr="00AC375F" w:rsidRDefault="00AC375F" w:rsidP="00AC375F">
            <w:pPr>
              <w:pBdr>
                <w:bar w:val="single" w:sz="4" w:color="auto"/>
              </w:pBdr>
              <w:jc w:val="center"/>
              <w:rPr>
                <w:sz w:val="18"/>
                <w:szCs w:val="18"/>
              </w:rPr>
            </w:pPr>
            <w:r w:rsidRPr="00AC375F">
              <w:rPr>
                <w:sz w:val="18"/>
                <w:szCs w:val="18"/>
              </w:rPr>
              <w:t>1</w:t>
            </w:r>
          </w:p>
        </w:tc>
        <w:tc>
          <w:tcPr>
            <w:tcW w:w="1283" w:type="dxa"/>
            <w:noWrap/>
          </w:tcPr>
          <w:p w14:paraId="55311387" w14:textId="77777777" w:rsidR="00AC375F" w:rsidRPr="00AC375F" w:rsidRDefault="00AC375F" w:rsidP="00AC375F">
            <w:pPr>
              <w:pBdr>
                <w:bar w:val="single" w:sz="4" w:color="auto"/>
              </w:pBdr>
              <w:jc w:val="center"/>
              <w:rPr>
                <w:sz w:val="18"/>
                <w:szCs w:val="18"/>
              </w:rPr>
            </w:pPr>
            <w:r w:rsidRPr="00AC375F">
              <w:rPr>
                <w:sz w:val="18"/>
                <w:szCs w:val="18"/>
              </w:rPr>
              <w:t>ožujak</w:t>
            </w:r>
          </w:p>
        </w:tc>
        <w:tc>
          <w:tcPr>
            <w:tcW w:w="1449" w:type="dxa"/>
            <w:noWrap/>
          </w:tcPr>
          <w:p w14:paraId="56C6FF07" w14:textId="77777777" w:rsidR="00AC375F" w:rsidRPr="00AC375F" w:rsidRDefault="00AC375F" w:rsidP="00AC375F">
            <w:pPr>
              <w:pBdr>
                <w:bar w:val="single" w:sz="4" w:color="auto"/>
              </w:pBdr>
              <w:jc w:val="center"/>
              <w:rPr>
                <w:sz w:val="18"/>
                <w:szCs w:val="18"/>
              </w:rPr>
            </w:pPr>
            <w:r w:rsidRPr="00AC375F">
              <w:rPr>
                <w:sz w:val="18"/>
                <w:szCs w:val="18"/>
              </w:rPr>
              <w:t>1</w:t>
            </w:r>
          </w:p>
        </w:tc>
      </w:tr>
      <w:tr w:rsidR="00AC375F" w:rsidRPr="00AC375F" w14:paraId="538FF3B7" w14:textId="77777777" w:rsidTr="00991955">
        <w:trPr>
          <w:trHeight w:val="309"/>
        </w:trPr>
        <w:tc>
          <w:tcPr>
            <w:tcW w:w="4439" w:type="dxa"/>
            <w:shd w:val="clear" w:color="auto" w:fill="auto"/>
          </w:tcPr>
          <w:p w14:paraId="4F318ABA" w14:textId="77777777" w:rsidR="00AC375F" w:rsidRPr="00AC375F" w:rsidRDefault="00AC375F" w:rsidP="00AC375F">
            <w:pPr>
              <w:pBdr>
                <w:bar w:val="single" w:sz="4" w:color="auto"/>
              </w:pBdr>
              <w:rPr>
                <w:b/>
                <w:bCs/>
                <w:sz w:val="18"/>
                <w:szCs w:val="18"/>
              </w:rPr>
            </w:pPr>
          </w:p>
        </w:tc>
        <w:tc>
          <w:tcPr>
            <w:tcW w:w="1413" w:type="dxa"/>
            <w:shd w:val="clear" w:color="auto" w:fill="auto"/>
            <w:noWrap/>
          </w:tcPr>
          <w:p w14:paraId="3AA3DF88" w14:textId="77777777" w:rsidR="00AC375F" w:rsidRPr="00AC375F" w:rsidRDefault="00AC375F" w:rsidP="00AC375F">
            <w:pPr>
              <w:pBdr>
                <w:bar w:val="single" w:sz="4" w:color="auto"/>
              </w:pBdr>
              <w:jc w:val="center"/>
              <w:rPr>
                <w:sz w:val="18"/>
                <w:szCs w:val="18"/>
              </w:rPr>
            </w:pPr>
            <w:r w:rsidRPr="00AC375F">
              <w:rPr>
                <w:sz w:val="18"/>
                <w:szCs w:val="18"/>
              </w:rPr>
              <w:t>Strasbourg</w:t>
            </w:r>
          </w:p>
        </w:tc>
        <w:tc>
          <w:tcPr>
            <w:tcW w:w="940" w:type="dxa"/>
            <w:shd w:val="clear" w:color="auto" w:fill="auto"/>
            <w:noWrap/>
          </w:tcPr>
          <w:p w14:paraId="3BC335B4" w14:textId="77777777" w:rsidR="00AC375F" w:rsidRPr="00AC375F" w:rsidRDefault="00AC375F" w:rsidP="00AC375F">
            <w:pPr>
              <w:pBdr>
                <w:bar w:val="single" w:sz="4" w:color="auto"/>
              </w:pBdr>
              <w:jc w:val="center"/>
              <w:rPr>
                <w:sz w:val="18"/>
                <w:szCs w:val="18"/>
              </w:rPr>
            </w:pPr>
            <w:r w:rsidRPr="00AC375F">
              <w:rPr>
                <w:sz w:val="18"/>
                <w:szCs w:val="18"/>
              </w:rPr>
              <w:t>1</w:t>
            </w:r>
          </w:p>
        </w:tc>
        <w:tc>
          <w:tcPr>
            <w:tcW w:w="1283" w:type="dxa"/>
            <w:shd w:val="clear" w:color="auto" w:fill="auto"/>
            <w:noWrap/>
          </w:tcPr>
          <w:p w14:paraId="4AF0174D" w14:textId="77777777" w:rsidR="00AC375F" w:rsidRPr="00AC375F" w:rsidRDefault="00AC375F" w:rsidP="00AC375F">
            <w:pPr>
              <w:pBdr>
                <w:bar w:val="single" w:sz="4" w:color="auto"/>
              </w:pBdr>
              <w:jc w:val="center"/>
              <w:rPr>
                <w:sz w:val="18"/>
                <w:szCs w:val="18"/>
              </w:rPr>
            </w:pPr>
            <w:r w:rsidRPr="00AC375F">
              <w:rPr>
                <w:sz w:val="18"/>
                <w:szCs w:val="18"/>
              </w:rPr>
              <w:t>lipanj</w:t>
            </w:r>
          </w:p>
        </w:tc>
        <w:tc>
          <w:tcPr>
            <w:tcW w:w="1449" w:type="dxa"/>
            <w:shd w:val="clear" w:color="auto" w:fill="auto"/>
            <w:noWrap/>
          </w:tcPr>
          <w:p w14:paraId="77BAC7CD" w14:textId="77777777" w:rsidR="00AC375F" w:rsidRPr="00AC375F" w:rsidRDefault="00AC375F" w:rsidP="00AC375F">
            <w:pPr>
              <w:pBdr>
                <w:bar w:val="single" w:sz="4" w:color="auto"/>
              </w:pBdr>
              <w:jc w:val="center"/>
              <w:rPr>
                <w:sz w:val="18"/>
                <w:szCs w:val="18"/>
              </w:rPr>
            </w:pPr>
            <w:r w:rsidRPr="00AC375F">
              <w:rPr>
                <w:sz w:val="18"/>
                <w:szCs w:val="18"/>
              </w:rPr>
              <w:t>1</w:t>
            </w:r>
          </w:p>
        </w:tc>
      </w:tr>
      <w:tr w:rsidR="00AC375F" w:rsidRPr="00AC375F" w14:paraId="4549990E" w14:textId="77777777" w:rsidTr="00991955">
        <w:trPr>
          <w:trHeight w:val="309"/>
        </w:trPr>
        <w:tc>
          <w:tcPr>
            <w:tcW w:w="4439" w:type="dxa"/>
            <w:shd w:val="clear" w:color="auto" w:fill="auto"/>
          </w:tcPr>
          <w:p w14:paraId="54859137" w14:textId="77777777" w:rsidR="00AC375F" w:rsidRPr="00AC375F" w:rsidRDefault="00AC375F" w:rsidP="00AC375F">
            <w:pPr>
              <w:pBdr>
                <w:bar w:val="single" w:sz="4" w:color="auto"/>
              </w:pBdr>
              <w:rPr>
                <w:b/>
                <w:bCs/>
                <w:sz w:val="18"/>
                <w:szCs w:val="18"/>
              </w:rPr>
            </w:pPr>
          </w:p>
        </w:tc>
        <w:tc>
          <w:tcPr>
            <w:tcW w:w="1413" w:type="dxa"/>
            <w:shd w:val="clear" w:color="auto" w:fill="auto"/>
            <w:noWrap/>
          </w:tcPr>
          <w:p w14:paraId="2320CDBD" w14:textId="77777777" w:rsidR="00AC375F" w:rsidRPr="00AC375F" w:rsidRDefault="00AC375F" w:rsidP="00AC375F">
            <w:pPr>
              <w:pBdr>
                <w:bar w:val="single" w:sz="4" w:color="auto"/>
              </w:pBdr>
              <w:jc w:val="center"/>
              <w:rPr>
                <w:sz w:val="18"/>
                <w:szCs w:val="18"/>
              </w:rPr>
            </w:pPr>
            <w:r w:rsidRPr="00AC375F">
              <w:rPr>
                <w:sz w:val="18"/>
                <w:szCs w:val="18"/>
              </w:rPr>
              <w:t>virtualno</w:t>
            </w:r>
          </w:p>
        </w:tc>
        <w:tc>
          <w:tcPr>
            <w:tcW w:w="940" w:type="dxa"/>
            <w:shd w:val="clear" w:color="auto" w:fill="auto"/>
            <w:noWrap/>
          </w:tcPr>
          <w:p w14:paraId="3C818E92" w14:textId="77777777" w:rsidR="00AC375F" w:rsidRPr="00AC375F" w:rsidRDefault="00AC375F" w:rsidP="00AC375F">
            <w:pPr>
              <w:pBdr>
                <w:bar w:val="single" w:sz="4" w:color="auto"/>
              </w:pBdr>
              <w:jc w:val="center"/>
              <w:rPr>
                <w:sz w:val="18"/>
                <w:szCs w:val="18"/>
              </w:rPr>
            </w:pPr>
            <w:r w:rsidRPr="00AC375F">
              <w:rPr>
                <w:sz w:val="18"/>
                <w:szCs w:val="18"/>
              </w:rPr>
              <w:t>1</w:t>
            </w:r>
          </w:p>
        </w:tc>
        <w:tc>
          <w:tcPr>
            <w:tcW w:w="1283" w:type="dxa"/>
            <w:shd w:val="clear" w:color="auto" w:fill="auto"/>
            <w:noWrap/>
          </w:tcPr>
          <w:p w14:paraId="514758BF" w14:textId="77777777" w:rsidR="00AC375F" w:rsidRPr="00AC375F" w:rsidRDefault="00AC375F" w:rsidP="00AC375F">
            <w:pPr>
              <w:pBdr>
                <w:bar w:val="single" w:sz="4" w:color="auto"/>
              </w:pBdr>
              <w:jc w:val="center"/>
              <w:rPr>
                <w:sz w:val="18"/>
                <w:szCs w:val="18"/>
              </w:rPr>
            </w:pPr>
            <w:r w:rsidRPr="00AC375F">
              <w:rPr>
                <w:sz w:val="18"/>
                <w:szCs w:val="18"/>
              </w:rPr>
              <w:t>prosinac</w:t>
            </w:r>
          </w:p>
        </w:tc>
        <w:tc>
          <w:tcPr>
            <w:tcW w:w="1449" w:type="dxa"/>
            <w:shd w:val="clear" w:color="auto" w:fill="auto"/>
            <w:noWrap/>
          </w:tcPr>
          <w:p w14:paraId="39246BD5" w14:textId="77777777" w:rsidR="00AC375F" w:rsidRPr="00AC375F" w:rsidRDefault="00AC375F" w:rsidP="00AC375F">
            <w:pPr>
              <w:pBdr>
                <w:bar w:val="single" w:sz="4" w:color="auto"/>
              </w:pBdr>
              <w:jc w:val="center"/>
              <w:rPr>
                <w:sz w:val="18"/>
                <w:szCs w:val="18"/>
              </w:rPr>
            </w:pPr>
            <w:r w:rsidRPr="00AC375F">
              <w:rPr>
                <w:sz w:val="18"/>
                <w:szCs w:val="18"/>
              </w:rPr>
              <w:t>1</w:t>
            </w:r>
          </w:p>
        </w:tc>
      </w:tr>
      <w:tr w:rsidR="00AC375F" w:rsidRPr="00AC375F" w14:paraId="1375BAB4" w14:textId="77777777" w:rsidTr="00991955">
        <w:trPr>
          <w:trHeight w:val="309"/>
        </w:trPr>
        <w:tc>
          <w:tcPr>
            <w:tcW w:w="4439" w:type="dxa"/>
            <w:shd w:val="clear" w:color="auto" w:fill="auto"/>
          </w:tcPr>
          <w:p w14:paraId="33817D49" w14:textId="77777777" w:rsidR="00AC375F" w:rsidRPr="00AC375F" w:rsidRDefault="00AC375F" w:rsidP="00AC375F">
            <w:pPr>
              <w:pBdr>
                <w:bar w:val="single" w:sz="4" w:color="auto"/>
              </w:pBdr>
              <w:rPr>
                <w:b/>
                <w:bCs/>
                <w:sz w:val="18"/>
                <w:szCs w:val="18"/>
              </w:rPr>
            </w:pPr>
            <w:r w:rsidRPr="00AC375F">
              <w:rPr>
                <w:b/>
                <w:bCs/>
                <w:sz w:val="18"/>
                <w:szCs w:val="18"/>
              </w:rPr>
              <w:t>Grupa 1 Europske farmakopeje (mikrobiologija)</w:t>
            </w:r>
          </w:p>
        </w:tc>
        <w:tc>
          <w:tcPr>
            <w:tcW w:w="1413" w:type="dxa"/>
            <w:noWrap/>
          </w:tcPr>
          <w:p w14:paraId="09B03323" w14:textId="77777777" w:rsidR="00AC375F" w:rsidRPr="00AC375F" w:rsidRDefault="00AC375F" w:rsidP="00AC375F">
            <w:pPr>
              <w:pBdr>
                <w:bar w:val="single" w:sz="4" w:color="auto"/>
              </w:pBdr>
              <w:jc w:val="center"/>
              <w:rPr>
                <w:sz w:val="18"/>
                <w:szCs w:val="18"/>
              </w:rPr>
            </w:pPr>
            <w:r w:rsidRPr="00AC375F">
              <w:rPr>
                <w:sz w:val="18"/>
                <w:szCs w:val="18"/>
              </w:rPr>
              <w:t>virtualno</w:t>
            </w:r>
          </w:p>
        </w:tc>
        <w:tc>
          <w:tcPr>
            <w:tcW w:w="940" w:type="dxa"/>
            <w:noWrap/>
          </w:tcPr>
          <w:p w14:paraId="47A6827B" w14:textId="77777777" w:rsidR="00AC375F" w:rsidRPr="00AC375F" w:rsidRDefault="00AC375F" w:rsidP="00AC375F">
            <w:pPr>
              <w:pBdr>
                <w:bar w:val="single" w:sz="4" w:color="auto"/>
              </w:pBdr>
              <w:jc w:val="center"/>
              <w:rPr>
                <w:sz w:val="18"/>
                <w:szCs w:val="18"/>
              </w:rPr>
            </w:pPr>
            <w:r w:rsidRPr="00AC375F">
              <w:rPr>
                <w:sz w:val="18"/>
                <w:szCs w:val="18"/>
              </w:rPr>
              <w:t>1</w:t>
            </w:r>
          </w:p>
        </w:tc>
        <w:tc>
          <w:tcPr>
            <w:tcW w:w="1283" w:type="dxa"/>
            <w:noWrap/>
          </w:tcPr>
          <w:p w14:paraId="59E88E6F" w14:textId="77777777" w:rsidR="00AC375F" w:rsidRPr="00AC375F" w:rsidRDefault="00AC375F" w:rsidP="00AC375F">
            <w:pPr>
              <w:pBdr>
                <w:bar w:val="single" w:sz="4" w:color="auto"/>
              </w:pBdr>
              <w:jc w:val="center"/>
              <w:rPr>
                <w:sz w:val="18"/>
                <w:szCs w:val="18"/>
              </w:rPr>
            </w:pPr>
            <w:r w:rsidRPr="00AC375F">
              <w:rPr>
                <w:sz w:val="18"/>
                <w:szCs w:val="18"/>
              </w:rPr>
              <w:t>siječanj</w:t>
            </w:r>
          </w:p>
        </w:tc>
        <w:tc>
          <w:tcPr>
            <w:tcW w:w="1449" w:type="dxa"/>
            <w:noWrap/>
          </w:tcPr>
          <w:p w14:paraId="49AD2BCA" w14:textId="77777777" w:rsidR="00AC375F" w:rsidRPr="00AC375F" w:rsidRDefault="00AC375F" w:rsidP="00AC375F">
            <w:pPr>
              <w:pBdr>
                <w:bar w:val="single" w:sz="4" w:color="auto"/>
              </w:pBdr>
              <w:jc w:val="center"/>
              <w:rPr>
                <w:sz w:val="18"/>
                <w:szCs w:val="18"/>
              </w:rPr>
            </w:pPr>
            <w:r w:rsidRPr="00AC375F">
              <w:rPr>
                <w:sz w:val="18"/>
                <w:szCs w:val="18"/>
              </w:rPr>
              <w:t>2</w:t>
            </w:r>
          </w:p>
        </w:tc>
      </w:tr>
      <w:tr w:rsidR="00AC375F" w:rsidRPr="00AC375F" w14:paraId="63AEA48D" w14:textId="77777777" w:rsidTr="00991955">
        <w:trPr>
          <w:trHeight w:val="309"/>
        </w:trPr>
        <w:tc>
          <w:tcPr>
            <w:tcW w:w="4439" w:type="dxa"/>
            <w:shd w:val="clear" w:color="auto" w:fill="auto"/>
          </w:tcPr>
          <w:p w14:paraId="26884876" w14:textId="77777777" w:rsidR="00AC375F" w:rsidRPr="00AC375F" w:rsidRDefault="00AC375F" w:rsidP="00AC375F">
            <w:pPr>
              <w:pBdr>
                <w:bar w:val="single" w:sz="4" w:color="auto"/>
              </w:pBdr>
              <w:rPr>
                <w:b/>
                <w:bCs/>
                <w:sz w:val="18"/>
                <w:szCs w:val="18"/>
              </w:rPr>
            </w:pPr>
          </w:p>
        </w:tc>
        <w:tc>
          <w:tcPr>
            <w:tcW w:w="1413" w:type="dxa"/>
            <w:noWrap/>
          </w:tcPr>
          <w:p w14:paraId="55508BC4" w14:textId="77777777" w:rsidR="00AC375F" w:rsidRPr="00AC375F" w:rsidRDefault="00AC375F" w:rsidP="00AC375F">
            <w:pPr>
              <w:pBdr>
                <w:bar w:val="single" w:sz="4" w:color="auto"/>
              </w:pBdr>
              <w:jc w:val="center"/>
              <w:rPr>
                <w:sz w:val="18"/>
                <w:szCs w:val="18"/>
              </w:rPr>
            </w:pPr>
            <w:r w:rsidRPr="00AC375F">
              <w:rPr>
                <w:sz w:val="18"/>
                <w:szCs w:val="18"/>
              </w:rPr>
              <w:t>virtualno</w:t>
            </w:r>
          </w:p>
        </w:tc>
        <w:tc>
          <w:tcPr>
            <w:tcW w:w="940" w:type="dxa"/>
            <w:noWrap/>
          </w:tcPr>
          <w:p w14:paraId="0E0EC130" w14:textId="77777777" w:rsidR="00AC375F" w:rsidRPr="00AC375F" w:rsidRDefault="00AC375F" w:rsidP="00AC375F">
            <w:pPr>
              <w:pBdr>
                <w:bar w:val="single" w:sz="4" w:color="auto"/>
              </w:pBdr>
              <w:jc w:val="center"/>
              <w:rPr>
                <w:sz w:val="18"/>
                <w:szCs w:val="18"/>
              </w:rPr>
            </w:pPr>
            <w:r w:rsidRPr="00AC375F">
              <w:rPr>
                <w:sz w:val="18"/>
                <w:szCs w:val="18"/>
              </w:rPr>
              <w:t>1</w:t>
            </w:r>
          </w:p>
        </w:tc>
        <w:tc>
          <w:tcPr>
            <w:tcW w:w="1283" w:type="dxa"/>
            <w:noWrap/>
          </w:tcPr>
          <w:p w14:paraId="6715FFE3" w14:textId="77777777" w:rsidR="00AC375F" w:rsidRPr="00AC375F" w:rsidRDefault="00AC375F" w:rsidP="00AC375F">
            <w:pPr>
              <w:pBdr>
                <w:bar w:val="single" w:sz="4" w:color="auto"/>
              </w:pBdr>
              <w:jc w:val="center"/>
              <w:rPr>
                <w:sz w:val="18"/>
                <w:szCs w:val="18"/>
              </w:rPr>
            </w:pPr>
            <w:r w:rsidRPr="00AC375F">
              <w:rPr>
                <w:sz w:val="18"/>
                <w:szCs w:val="18"/>
              </w:rPr>
              <w:t>ožujak</w:t>
            </w:r>
          </w:p>
        </w:tc>
        <w:tc>
          <w:tcPr>
            <w:tcW w:w="1449" w:type="dxa"/>
            <w:noWrap/>
          </w:tcPr>
          <w:p w14:paraId="5206A32C" w14:textId="77777777" w:rsidR="00AC375F" w:rsidRPr="00AC375F" w:rsidRDefault="00AC375F" w:rsidP="00AC375F">
            <w:pPr>
              <w:pBdr>
                <w:bar w:val="single" w:sz="4" w:color="auto"/>
              </w:pBdr>
              <w:jc w:val="center"/>
              <w:rPr>
                <w:sz w:val="18"/>
                <w:szCs w:val="18"/>
              </w:rPr>
            </w:pPr>
            <w:r w:rsidRPr="00AC375F">
              <w:rPr>
                <w:sz w:val="18"/>
                <w:szCs w:val="18"/>
              </w:rPr>
              <w:t>2</w:t>
            </w:r>
          </w:p>
        </w:tc>
      </w:tr>
      <w:tr w:rsidR="00AC375F" w:rsidRPr="00AC375F" w14:paraId="430D2C0C" w14:textId="77777777" w:rsidTr="00991955">
        <w:trPr>
          <w:trHeight w:val="309"/>
        </w:trPr>
        <w:tc>
          <w:tcPr>
            <w:tcW w:w="4439" w:type="dxa"/>
            <w:shd w:val="clear" w:color="auto" w:fill="auto"/>
          </w:tcPr>
          <w:p w14:paraId="3DEB9FB2" w14:textId="77777777" w:rsidR="00AC375F" w:rsidRPr="00AC375F" w:rsidRDefault="00AC375F" w:rsidP="00AC375F">
            <w:pPr>
              <w:pBdr>
                <w:bar w:val="single" w:sz="4" w:color="auto"/>
              </w:pBdr>
              <w:rPr>
                <w:b/>
                <w:bCs/>
                <w:sz w:val="18"/>
                <w:szCs w:val="18"/>
              </w:rPr>
            </w:pPr>
          </w:p>
        </w:tc>
        <w:tc>
          <w:tcPr>
            <w:tcW w:w="1413" w:type="dxa"/>
            <w:noWrap/>
          </w:tcPr>
          <w:p w14:paraId="135A4DC7" w14:textId="77777777" w:rsidR="00AC375F" w:rsidRPr="00AC375F" w:rsidRDefault="00AC375F" w:rsidP="00AC375F">
            <w:pPr>
              <w:pBdr>
                <w:bar w:val="single" w:sz="4" w:color="auto"/>
              </w:pBdr>
              <w:jc w:val="center"/>
              <w:rPr>
                <w:sz w:val="18"/>
                <w:szCs w:val="18"/>
              </w:rPr>
            </w:pPr>
            <w:r w:rsidRPr="00AC375F">
              <w:rPr>
                <w:sz w:val="18"/>
                <w:szCs w:val="18"/>
              </w:rPr>
              <w:t>virtualno</w:t>
            </w:r>
          </w:p>
        </w:tc>
        <w:tc>
          <w:tcPr>
            <w:tcW w:w="940" w:type="dxa"/>
            <w:noWrap/>
          </w:tcPr>
          <w:p w14:paraId="0A66842B" w14:textId="77777777" w:rsidR="00AC375F" w:rsidRPr="00AC375F" w:rsidRDefault="00AC375F" w:rsidP="00AC375F">
            <w:pPr>
              <w:pBdr>
                <w:bar w:val="single" w:sz="4" w:color="auto"/>
              </w:pBdr>
              <w:jc w:val="center"/>
              <w:rPr>
                <w:sz w:val="18"/>
                <w:szCs w:val="18"/>
              </w:rPr>
            </w:pPr>
            <w:r w:rsidRPr="00AC375F">
              <w:rPr>
                <w:sz w:val="18"/>
                <w:szCs w:val="18"/>
              </w:rPr>
              <w:t>1</w:t>
            </w:r>
          </w:p>
        </w:tc>
        <w:tc>
          <w:tcPr>
            <w:tcW w:w="1283" w:type="dxa"/>
            <w:noWrap/>
          </w:tcPr>
          <w:p w14:paraId="19E913EE" w14:textId="77777777" w:rsidR="00AC375F" w:rsidRPr="00AC375F" w:rsidRDefault="00AC375F" w:rsidP="00AC375F">
            <w:pPr>
              <w:pBdr>
                <w:bar w:val="single" w:sz="4" w:color="auto"/>
              </w:pBdr>
              <w:jc w:val="center"/>
              <w:rPr>
                <w:sz w:val="18"/>
                <w:szCs w:val="18"/>
              </w:rPr>
            </w:pPr>
            <w:r w:rsidRPr="00AC375F">
              <w:rPr>
                <w:sz w:val="18"/>
                <w:szCs w:val="18"/>
              </w:rPr>
              <w:t>rujan</w:t>
            </w:r>
          </w:p>
        </w:tc>
        <w:tc>
          <w:tcPr>
            <w:tcW w:w="1449" w:type="dxa"/>
            <w:noWrap/>
          </w:tcPr>
          <w:p w14:paraId="1DAE4EAE" w14:textId="77777777" w:rsidR="00AC375F" w:rsidRPr="00AC375F" w:rsidRDefault="00AC375F" w:rsidP="00AC375F">
            <w:pPr>
              <w:pBdr>
                <w:bar w:val="single" w:sz="4" w:color="auto"/>
              </w:pBdr>
              <w:jc w:val="center"/>
              <w:rPr>
                <w:sz w:val="18"/>
                <w:szCs w:val="18"/>
              </w:rPr>
            </w:pPr>
            <w:r w:rsidRPr="00AC375F">
              <w:rPr>
                <w:sz w:val="18"/>
                <w:szCs w:val="18"/>
              </w:rPr>
              <w:t>2</w:t>
            </w:r>
          </w:p>
        </w:tc>
      </w:tr>
      <w:tr w:rsidR="00AC375F" w:rsidRPr="00AC375F" w14:paraId="1D16153F" w14:textId="77777777" w:rsidTr="00991955">
        <w:trPr>
          <w:trHeight w:val="309"/>
        </w:trPr>
        <w:tc>
          <w:tcPr>
            <w:tcW w:w="4439" w:type="dxa"/>
            <w:shd w:val="clear" w:color="auto" w:fill="auto"/>
            <w:vAlign w:val="center"/>
          </w:tcPr>
          <w:p w14:paraId="6B5FA318" w14:textId="77777777" w:rsidR="00AC375F" w:rsidRPr="00AC375F" w:rsidRDefault="00AC375F" w:rsidP="00AC375F">
            <w:pPr>
              <w:pBdr>
                <w:bar w:val="single" w:sz="4" w:color="auto"/>
              </w:pBdr>
              <w:rPr>
                <w:b/>
                <w:bCs/>
                <w:sz w:val="18"/>
                <w:szCs w:val="18"/>
              </w:rPr>
            </w:pPr>
            <w:r w:rsidRPr="00AC375F">
              <w:rPr>
                <w:rFonts w:eastAsia="Times New Roman"/>
                <w:b/>
                <w:sz w:val="18"/>
                <w:szCs w:val="18"/>
              </w:rPr>
              <w:t>Sastanak Nacionalnih farmakopejskih tijela (NPA) u organizaciji EDQM-a, godišnji</w:t>
            </w:r>
          </w:p>
        </w:tc>
        <w:tc>
          <w:tcPr>
            <w:tcW w:w="1413" w:type="dxa"/>
            <w:shd w:val="clear" w:color="auto" w:fill="auto"/>
            <w:noWrap/>
          </w:tcPr>
          <w:p w14:paraId="4F00CEA6" w14:textId="77777777" w:rsidR="00AC375F" w:rsidRPr="00AC375F" w:rsidRDefault="00AC375F" w:rsidP="00AC375F">
            <w:pPr>
              <w:pBdr>
                <w:bar w:val="single" w:sz="4" w:color="auto"/>
              </w:pBdr>
              <w:jc w:val="center"/>
              <w:rPr>
                <w:sz w:val="18"/>
                <w:szCs w:val="18"/>
              </w:rPr>
            </w:pPr>
            <w:r w:rsidRPr="00AC375F">
              <w:rPr>
                <w:sz w:val="18"/>
                <w:szCs w:val="18"/>
              </w:rPr>
              <w:t>Helsinki</w:t>
            </w:r>
          </w:p>
        </w:tc>
        <w:tc>
          <w:tcPr>
            <w:tcW w:w="940" w:type="dxa"/>
            <w:shd w:val="clear" w:color="auto" w:fill="auto"/>
            <w:noWrap/>
          </w:tcPr>
          <w:p w14:paraId="6D0484C1" w14:textId="77777777" w:rsidR="00AC375F" w:rsidRPr="00AC375F" w:rsidRDefault="00AC375F" w:rsidP="00AC375F">
            <w:pPr>
              <w:pBdr>
                <w:bar w:val="single" w:sz="4" w:color="auto"/>
              </w:pBdr>
              <w:jc w:val="center"/>
              <w:rPr>
                <w:sz w:val="18"/>
                <w:szCs w:val="18"/>
              </w:rPr>
            </w:pPr>
            <w:r w:rsidRPr="00AC375F">
              <w:rPr>
                <w:sz w:val="18"/>
                <w:szCs w:val="18"/>
              </w:rPr>
              <w:t>2</w:t>
            </w:r>
          </w:p>
        </w:tc>
        <w:tc>
          <w:tcPr>
            <w:tcW w:w="1283" w:type="dxa"/>
            <w:shd w:val="clear" w:color="auto" w:fill="auto"/>
            <w:noWrap/>
          </w:tcPr>
          <w:p w14:paraId="6165C0C5" w14:textId="77777777" w:rsidR="00AC375F" w:rsidRPr="00AC375F" w:rsidRDefault="00AC375F" w:rsidP="00AC375F">
            <w:pPr>
              <w:pBdr>
                <w:bar w:val="single" w:sz="4" w:color="auto"/>
              </w:pBdr>
              <w:jc w:val="center"/>
              <w:rPr>
                <w:sz w:val="18"/>
                <w:szCs w:val="18"/>
              </w:rPr>
            </w:pPr>
            <w:r w:rsidRPr="00AC375F">
              <w:rPr>
                <w:sz w:val="18"/>
                <w:szCs w:val="18"/>
              </w:rPr>
              <w:t>svibanj</w:t>
            </w:r>
          </w:p>
        </w:tc>
        <w:tc>
          <w:tcPr>
            <w:tcW w:w="1449" w:type="dxa"/>
            <w:shd w:val="clear" w:color="auto" w:fill="auto"/>
            <w:noWrap/>
          </w:tcPr>
          <w:p w14:paraId="17A12BB2" w14:textId="77777777" w:rsidR="00AC375F" w:rsidRPr="00AC375F" w:rsidRDefault="00AC375F" w:rsidP="00AC375F">
            <w:pPr>
              <w:pBdr>
                <w:bar w:val="single" w:sz="4" w:color="auto"/>
              </w:pBdr>
              <w:jc w:val="center"/>
              <w:rPr>
                <w:sz w:val="18"/>
                <w:szCs w:val="18"/>
              </w:rPr>
            </w:pPr>
            <w:r w:rsidRPr="00AC375F">
              <w:rPr>
                <w:sz w:val="18"/>
                <w:szCs w:val="18"/>
              </w:rPr>
              <w:t>2</w:t>
            </w:r>
          </w:p>
        </w:tc>
      </w:tr>
      <w:tr w:rsidR="00AC375F" w:rsidRPr="00AC375F" w14:paraId="74E3A053" w14:textId="77777777" w:rsidTr="00991955">
        <w:trPr>
          <w:trHeight w:val="309"/>
        </w:trPr>
        <w:tc>
          <w:tcPr>
            <w:tcW w:w="4439" w:type="dxa"/>
            <w:shd w:val="clear" w:color="auto" w:fill="auto"/>
          </w:tcPr>
          <w:p w14:paraId="7339D399" w14:textId="77777777" w:rsidR="00AC375F" w:rsidRPr="00AC375F" w:rsidRDefault="00AC375F" w:rsidP="00AC375F">
            <w:pPr>
              <w:pBdr>
                <w:bar w:val="single" w:sz="4" w:color="auto"/>
              </w:pBdr>
              <w:rPr>
                <w:b/>
                <w:bCs/>
                <w:sz w:val="18"/>
                <w:szCs w:val="18"/>
              </w:rPr>
            </w:pPr>
            <w:r w:rsidRPr="00AC375F">
              <w:rPr>
                <w:b/>
                <w:bCs/>
                <w:sz w:val="18"/>
                <w:szCs w:val="18"/>
              </w:rPr>
              <w:t>Stručna grupa za terapiju stanicama (CTP) Europske farmakopeje</w:t>
            </w:r>
          </w:p>
        </w:tc>
        <w:tc>
          <w:tcPr>
            <w:tcW w:w="1413" w:type="dxa"/>
            <w:shd w:val="clear" w:color="auto" w:fill="auto"/>
            <w:noWrap/>
          </w:tcPr>
          <w:p w14:paraId="0C7779E3" w14:textId="77777777" w:rsidR="00AC375F" w:rsidRPr="00AC375F" w:rsidRDefault="00AC375F" w:rsidP="00AC375F">
            <w:pPr>
              <w:pBdr>
                <w:bar w:val="single" w:sz="4" w:color="auto"/>
              </w:pBdr>
              <w:jc w:val="center"/>
              <w:rPr>
                <w:sz w:val="18"/>
                <w:szCs w:val="18"/>
              </w:rPr>
            </w:pPr>
            <w:r w:rsidRPr="00AC375F">
              <w:rPr>
                <w:sz w:val="18"/>
                <w:szCs w:val="18"/>
              </w:rPr>
              <w:t>virtualno</w:t>
            </w:r>
          </w:p>
        </w:tc>
        <w:tc>
          <w:tcPr>
            <w:tcW w:w="940" w:type="dxa"/>
            <w:shd w:val="clear" w:color="auto" w:fill="auto"/>
            <w:noWrap/>
          </w:tcPr>
          <w:p w14:paraId="5E8BC31E" w14:textId="77777777" w:rsidR="00AC375F" w:rsidRPr="00AC375F" w:rsidRDefault="00AC375F" w:rsidP="00AC375F">
            <w:pPr>
              <w:pBdr>
                <w:bar w:val="single" w:sz="4" w:color="auto"/>
              </w:pBdr>
              <w:jc w:val="center"/>
              <w:rPr>
                <w:sz w:val="18"/>
                <w:szCs w:val="18"/>
              </w:rPr>
            </w:pPr>
            <w:r w:rsidRPr="00AC375F">
              <w:rPr>
                <w:sz w:val="18"/>
                <w:szCs w:val="18"/>
              </w:rPr>
              <w:t>1</w:t>
            </w:r>
          </w:p>
        </w:tc>
        <w:tc>
          <w:tcPr>
            <w:tcW w:w="1283" w:type="dxa"/>
            <w:shd w:val="clear" w:color="auto" w:fill="auto"/>
            <w:noWrap/>
          </w:tcPr>
          <w:p w14:paraId="32C944F1" w14:textId="77777777" w:rsidR="00AC375F" w:rsidRPr="00AC375F" w:rsidRDefault="00AC375F" w:rsidP="00AC375F">
            <w:pPr>
              <w:pBdr>
                <w:bar w:val="single" w:sz="4" w:color="auto"/>
              </w:pBdr>
              <w:jc w:val="center"/>
              <w:rPr>
                <w:sz w:val="18"/>
                <w:szCs w:val="18"/>
              </w:rPr>
            </w:pPr>
            <w:r w:rsidRPr="00AC375F">
              <w:rPr>
                <w:sz w:val="18"/>
                <w:szCs w:val="18"/>
              </w:rPr>
              <w:t>lipanj</w:t>
            </w:r>
          </w:p>
        </w:tc>
        <w:tc>
          <w:tcPr>
            <w:tcW w:w="1449" w:type="dxa"/>
            <w:shd w:val="clear" w:color="auto" w:fill="auto"/>
            <w:noWrap/>
          </w:tcPr>
          <w:p w14:paraId="6E66B2BB" w14:textId="77777777" w:rsidR="00AC375F" w:rsidRPr="00AC375F" w:rsidRDefault="00AC375F" w:rsidP="00AC375F">
            <w:pPr>
              <w:pBdr>
                <w:bar w:val="single" w:sz="4" w:color="auto"/>
              </w:pBdr>
              <w:jc w:val="center"/>
              <w:rPr>
                <w:sz w:val="18"/>
                <w:szCs w:val="18"/>
              </w:rPr>
            </w:pPr>
            <w:r w:rsidRPr="00AC375F">
              <w:rPr>
                <w:sz w:val="18"/>
                <w:szCs w:val="18"/>
              </w:rPr>
              <w:t>2</w:t>
            </w:r>
          </w:p>
        </w:tc>
      </w:tr>
      <w:tr w:rsidR="00AC375F" w:rsidRPr="00AC375F" w14:paraId="0FE12272" w14:textId="77777777" w:rsidTr="00991955">
        <w:trPr>
          <w:trHeight w:val="309"/>
        </w:trPr>
        <w:tc>
          <w:tcPr>
            <w:tcW w:w="4439" w:type="dxa"/>
            <w:shd w:val="clear" w:color="auto" w:fill="auto"/>
          </w:tcPr>
          <w:p w14:paraId="5B8A7BAC" w14:textId="77777777" w:rsidR="00AC375F" w:rsidRPr="00AC375F" w:rsidRDefault="00AC375F" w:rsidP="00AC375F">
            <w:pPr>
              <w:pBdr>
                <w:bar w:val="single" w:sz="4" w:color="auto"/>
              </w:pBdr>
              <w:rPr>
                <w:b/>
                <w:bCs/>
                <w:sz w:val="18"/>
                <w:szCs w:val="18"/>
              </w:rPr>
            </w:pPr>
          </w:p>
        </w:tc>
        <w:tc>
          <w:tcPr>
            <w:tcW w:w="1413" w:type="dxa"/>
            <w:shd w:val="clear" w:color="auto" w:fill="auto"/>
            <w:noWrap/>
          </w:tcPr>
          <w:p w14:paraId="6AB7687F" w14:textId="77777777" w:rsidR="00AC375F" w:rsidRPr="00AC375F" w:rsidRDefault="00AC375F" w:rsidP="00AC375F">
            <w:pPr>
              <w:pBdr>
                <w:bar w:val="single" w:sz="4" w:color="auto"/>
              </w:pBdr>
              <w:jc w:val="center"/>
              <w:rPr>
                <w:sz w:val="18"/>
                <w:szCs w:val="18"/>
              </w:rPr>
            </w:pPr>
            <w:r w:rsidRPr="00AC375F">
              <w:rPr>
                <w:sz w:val="18"/>
                <w:szCs w:val="18"/>
              </w:rPr>
              <w:t>virtualno</w:t>
            </w:r>
          </w:p>
        </w:tc>
        <w:tc>
          <w:tcPr>
            <w:tcW w:w="940" w:type="dxa"/>
            <w:shd w:val="clear" w:color="auto" w:fill="auto"/>
            <w:noWrap/>
          </w:tcPr>
          <w:p w14:paraId="1930C960" w14:textId="77777777" w:rsidR="00AC375F" w:rsidRPr="00AC375F" w:rsidRDefault="00AC375F" w:rsidP="00AC375F">
            <w:pPr>
              <w:pBdr>
                <w:bar w:val="single" w:sz="4" w:color="auto"/>
              </w:pBdr>
              <w:jc w:val="center"/>
              <w:rPr>
                <w:sz w:val="18"/>
                <w:szCs w:val="18"/>
              </w:rPr>
            </w:pPr>
            <w:r w:rsidRPr="00AC375F">
              <w:rPr>
                <w:sz w:val="18"/>
                <w:szCs w:val="18"/>
              </w:rPr>
              <w:t>1</w:t>
            </w:r>
          </w:p>
        </w:tc>
        <w:tc>
          <w:tcPr>
            <w:tcW w:w="1283" w:type="dxa"/>
            <w:shd w:val="clear" w:color="auto" w:fill="auto"/>
            <w:noWrap/>
          </w:tcPr>
          <w:p w14:paraId="7FAA174D" w14:textId="77777777" w:rsidR="00AC375F" w:rsidRPr="00AC375F" w:rsidRDefault="00AC375F" w:rsidP="00AC375F">
            <w:pPr>
              <w:pBdr>
                <w:bar w:val="single" w:sz="4" w:color="auto"/>
              </w:pBdr>
              <w:jc w:val="center"/>
              <w:rPr>
                <w:sz w:val="18"/>
                <w:szCs w:val="18"/>
              </w:rPr>
            </w:pPr>
            <w:r w:rsidRPr="00AC375F">
              <w:rPr>
                <w:sz w:val="18"/>
                <w:szCs w:val="18"/>
              </w:rPr>
              <w:t>studeni</w:t>
            </w:r>
          </w:p>
        </w:tc>
        <w:tc>
          <w:tcPr>
            <w:tcW w:w="1449" w:type="dxa"/>
            <w:shd w:val="clear" w:color="auto" w:fill="auto"/>
            <w:noWrap/>
          </w:tcPr>
          <w:p w14:paraId="3B4CE45A" w14:textId="77777777" w:rsidR="00AC375F" w:rsidRPr="00AC375F" w:rsidRDefault="00AC375F" w:rsidP="00AC375F">
            <w:pPr>
              <w:pBdr>
                <w:bar w:val="single" w:sz="4" w:color="auto"/>
              </w:pBdr>
              <w:jc w:val="center"/>
              <w:rPr>
                <w:sz w:val="18"/>
                <w:szCs w:val="18"/>
              </w:rPr>
            </w:pPr>
            <w:r w:rsidRPr="00AC375F">
              <w:rPr>
                <w:sz w:val="18"/>
                <w:szCs w:val="18"/>
              </w:rPr>
              <w:t>2</w:t>
            </w:r>
          </w:p>
        </w:tc>
      </w:tr>
      <w:tr w:rsidR="00AC375F" w:rsidRPr="00AC375F" w14:paraId="03CB6EF2" w14:textId="77777777" w:rsidTr="00991955">
        <w:trPr>
          <w:trHeight w:val="309"/>
        </w:trPr>
        <w:tc>
          <w:tcPr>
            <w:tcW w:w="4439" w:type="dxa"/>
            <w:shd w:val="clear" w:color="auto" w:fill="auto"/>
            <w:vAlign w:val="center"/>
          </w:tcPr>
          <w:p w14:paraId="4AF32969" w14:textId="77777777" w:rsidR="00AC375F" w:rsidRPr="00AC375F" w:rsidRDefault="00AC375F" w:rsidP="00AC375F">
            <w:pPr>
              <w:pBdr>
                <w:bar w:val="single" w:sz="4" w:color="auto"/>
              </w:pBdr>
              <w:rPr>
                <w:b/>
                <w:bCs/>
                <w:sz w:val="18"/>
                <w:szCs w:val="18"/>
              </w:rPr>
            </w:pPr>
            <w:r w:rsidRPr="00AC375F">
              <w:rPr>
                <w:rFonts w:eastAsia="Times New Roman"/>
                <w:b/>
                <w:sz w:val="18"/>
                <w:szCs w:val="18"/>
              </w:rPr>
              <w:t>Sastanak Nacionalnih farmakopejskih tijela u organizaciji EDQM-a, mjesečni</w:t>
            </w:r>
          </w:p>
        </w:tc>
        <w:tc>
          <w:tcPr>
            <w:tcW w:w="1413" w:type="dxa"/>
            <w:noWrap/>
          </w:tcPr>
          <w:p w14:paraId="6D886B3F" w14:textId="77777777" w:rsidR="00AC375F" w:rsidRPr="00AC375F" w:rsidRDefault="00AC375F" w:rsidP="00AC375F">
            <w:pPr>
              <w:pBdr>
                <w:bar w:val="single" w:sz="4" w:color="auto"/>
              </w:pBdr>
              <w:jc w:val="center"/>
              <w:rPr>
                <w:sz w:val="18"/>
                <w:szCs w:val="18"/>
              </w:rPr>
            </w:pPr>
            <w:r w:rsidRPr="00AC375F">
              <w:rPr>
                <w:sz w:val="18"/>
                <w:szCs w:val="18"/>
              </w:rPr>
              <w:t>virtualno</w:t>
            </w:r>
          </w:p>
        </w:tc>
        <w:tc>
          <w:tcPr>
            <w:tcW w:w="940" w:type="dxa"/>
            <w:noWrap/>
          </w:tcPr>
          <w:p w14:paraId="25874261" w14:textId="77777777" w:rsidR="00AC375F" w:rsidRPr="00AC375F" w:rsidRDefault="00AC375F" w:rsidP="00AC375F">
            <w:pPr>
              <w:pBdr>
                <w:bar w:val="single" w:sz="4" w:color="auto"/>
              </w:pBdr>
              <w:jc w:val="center"/>
              <w:rPr>
                <w:sz w:val="18"/>
                <w:szCs w:val="18"/>
              </w:rPr>
            </w:pPr>
            <w:r w:rsidRPr="00AC375F">
              <w:rPr>
                <w:sz w:val="18"/>
                <w:szCs w:val="18"/>
              </w:rPr>
              <w:t>1</w:t>
            </w:r>
          </w:p>
        </w:tc>
        <w:tc>
          <w:tcPr>
            <w:tcW w:w="1283" w:type="dxa"/>
            <w:noWrap/>
          </w:tcPr>
          <w:p w14:paraId="510A4BB1" w14:textId="77777777" w:rsidR="00AC375F" w:rsidRPr="00AC375F" w:rsidRDefault="00AC375F" w:rsidP="00AC375F">
            <w:pPr>
              <w:pBdr>
                <w:bar w:val="single" w:sz="4" w:color="auto"/>
              </w:pBdr>
              <w:jc w:val="center"/>
              <w:rPr>
                <w:sz w:val="18"/>
                <w:szCs w:val="18"/>
              </w:rPr>
            </w:pPr>
            <w:r w:rsidRPr="00AC375F">
              <w:rPr>
                <w:sz w:val="18"/>
                <w:szCs w:val="18"/>
              </w:rPr>
              <w:t>veljača</w:t>
            </w:r>
          </w:p>
        </w:tc>
        <w:tc>
          <w:tcPr>
            <w:tcW w:w="1449" w:type="dxa"/>
            <w:noWrap/>
          </w:tcPr>
          <w:p w14:paraId="1306B7F2" w14:textId="77777777" w:rsidR="00AC375F" w:rsidRPr="00AC375F" w:rsidRDefault="00AC375F" w:rsidP="00AC375F">
            <w:pPr>
              <w:pBdr>
                <w:bar w:val="single" w:sz="4" w:color="auto"/>
              </w:pBdr>
              <w:jc w:val="center"/>
              <w:rPr>
                <w:sz w:val="18"/>
                <w:szCs w:val="18"/>
              </w:rPr>
            </w:pPr>
            <w:r w:rsidRPr="00AC375F">
              <w:rPr>
                <w:sz w:val="18"/>
                <w:szCs w:val="18"/>
              </w:rPr>
              <w:t>1</w:t>
            </w:r>
          </w:p>
        </w:tc>
      </w:tr>
      <w:tr w:rsidR="00AC375F" w:rsidRPr="00AC375F" w14:paraId="3468C0B0" w14:textId="77777777" w:rsidTr="00991955">
        <w:trPr>
          <w:trHeight w:val="309"/>
        </w:trPr>
        <w:tc>
          <w:tcPr>
            <w:tcW w:w="4439" w:type="dxa"/>
            <w:shd w:val="clear" w:color="auto" w:fill="auto"/>
          </w:tcPr>
          <w:p w14:paraId="2E6BFDF3" w14:textId="77777777" w:rsidR="00AC375F" w:rsidRPr="00AC375F" w:rsidRDefault="00AC375F" w:rsidP="00AC375F">
            <w:pPr>
              <w:pBdr>
                <w:bar w:val="single" w:sz="4" w:color="auto"/>
              </w:pBdr>
              <w:rPr>
                <w:b/>
                <w:bCs/>
                <w:sz w:val="18"/>
                <w:szCs w:val="18"/>
              </w:rPr>
            </w:pPr>
          </w:p>
        </w:tc>
        <w:tc>
          <w:tcPr>
            <w:tcW w:w="1413" w:type="dxa"/>
            <w:noWrap/>
          </w:tcPr>
          <w:p w14:paraId="7FFA2A6A" w14:textId="77777777" w:rsidR="00AC375F" w:rsidRPr="00AC375F" w:rsidRDefault="00AC375F" w:rsidP="00AC375F">
            <w:pPr>
              <w:pBdr>
                <w:bar w:val="single" w:sz="4" w:color="auto"/>
              </w:pBdr>
              <w:jc w:val="center"/>
              <w:rPr>
                <w:sz w:val="18"/>
                <w:szCs w:val="18"/>
              </w:rPr>
            </w:pPr>
            <w:r w:rsidRPr="00AC375F">
              <w:rPr>
                <w:sz w:val="18"/>
                <w:szCs w:val="18"/>
              </w:rPr>
              <w:t>virtualno</w:t>
            </w:r>
          </w:p>
        </w:tc>
        <w:tc>
          <w:tcPr>
            <w:tcW w:w="940" w:type="dxa"/>
            <w:noWrap/>
          </w:tcPr>
          <w:p w14:paraId="3B3A2E3A" w14:textId="77777777" w:rsidR="00AC375F" w:rsidRPr="00AC375F" w:rsidRDefault="00AC375F" w:rsidP="00AC375F">
            <w:pPr>
              <w:pBdr>
                <w:bar w:val="single" w:sz="4" w:color="auto"/>
              </w:pBdr>
              <w:jc w:val="center"/>
              <w:rPr>
                <w:sz w:val="18"/>
                <w:szCs w:val="18"/>
              </w:rPr>
            </w:pPr>
            <w:r w:rsidRPr="00AC375F">
              <w:rPr>
                <w:sz w:val="18"/>
                <w:szCs w:val="18"/>
              </w:rPr>
              <w:t>1</w:t>
            </w:r>
          </w:p>
        </w:tc>
        <w:tc>
          <w:tcPr>
            <w:tcW w:w="1283" w:type="dxa"/>
            <w:noWrap/>
          </w:tcPr>
          <w:p w14:paraId="420C3B84" w14:textId="77777777" w:rsidR="00AC375F" w:rsidRPr="00AC375F" w:rsidRDefault="00AC375F" w:rsidP="00AC375F">
            <w:pPr>
              <w:pBdr>
                <w:bar w:val="single" w:sz="4" w:color="auto"/>
              </w:pBdr>
              <w:jc w:val="center"/>
              <w:rPr>
                <w:sz w:val="18"/>
                <w:szCs w:val="18"/>
              </w:rPr>
            </w:pPr>
            <w:r w:rsidRPr="00AC375F">
              <w:rPr>
                <w:sz w:val="18"/>
                <w:szCs w:val="18"/>
              </w:rPr>
              <w:t>ožujak</w:t>
            </w:r>
          </w:p>
        </w:tc>
        <w:tc>
          <w:tcPr>
            <w:tcW w:w="1449" w:type="dxa"/>
            <w:noWrap/>
          </w:tcPr>
          <w:p w14:paraId="6A5405A0" w14:textId="77777777" w:rsidR="00AC375F" w:rsidRPr="00AC375F" w:rsidRDefault="00AC375F" w:rsidP="00AC375F">
            <w:pPr>
              <w:pBdr>
                <w:bar w:val="single" w:sz="4" w:color="auto"/>
              </w:pBdr>
              <w:jc w:val="center"/>
              <w:rPr>
                <w:sz w:val="18"/>
                <w:szCs w:val="18"/>
              </w:rPr>
            </w:pPr>
            <w:r w:rsidRPr="00AC375F">
              <w:rPr>
                <w:sz w:val="18"/>
                <w:szCs w:val="18"/>
              </w:rPr>
              <w:t>1</w:t>
            </w:r>
          </w:p>
        </w:tc>
      </w:tr>
      <w:tr w:rsidR="00AC375F" w:rsidRPr="00AC375F" w14:paraId="3C676D63" w14:textId="77777777" w:rsidTr="00991955">
        <w:trPr>
          <w:trHeight w:val="309"/>
        </w:trPr>
        <w:tc>
          <w:tcPr>
            <w:tcW w:w="4439" w:type="dxa"/>
            <w:shd w:val="clear" w:color="auto" w:fill="auto"/>
          </w:tcPr>
          <w:p w14:paraId="31B4F98E" w14:textId="77777777" w:rsidR="00AC375F" w:rsidRPr="00AC375F" w:rsidRDefault="00AC375F" w:rsidP="00AC375F">
            <w:pPr>
              <w:pBdr>
                <w:bar w:val="single" w:sz="4" w:color="auto"/>
              </w:pBdr>
              <w:rPr>
                <w:b/>
                <w:bCs/>
                <w:sz w:val="18"/>
                <w:szCs w:val="18"/>
              </w:rPr>
            </w:pPr>
          </w:p>
        </w:tc>
        <w:tc>
          <w:tcPr>
            <w:tcW w:w="1413" w:type="dxa"/>
            <w:noWrap/>
          </w:tcPr>
          <w:p w14:paraId="06D6795B" w14:textId="77777777" w:rsidR="00AC375F" w:rsidRPr="00AC375F" w:rsidRDefault="00AC375F" w:rsidP="00AC375F">
            <w:pPr>
              <w:pBdr>
                <w:bar w:val="single" w:sz="4" w:color="auto"/>
              </w:pBdr>
              <w:jc w:val="center"/>
              <w:rPr>
                <w:sz w:val="18"/>
                <w:szCs w:val="18"/>
              </w:rPr>
            </w:pPr>
            <w:r w:rsidRPr="00AC375F">
              <w:rPr>
                <w:sz w:val="18"/>
                <w:szCs w:val="18"/>
              </w:rPr>
              <w:t>virtualno</w:t>
            </w:r>
          </w:p>
        </w:tc>
        <w:tc>
          <w:tcPr>
            <w:tcW w:w="940" w:type="dxa"/>
            <w:noWrap/>
          </w:tcPr>
          <w:p w14:paraId="6CFA5772" w14:textId="77777777" w:rsidR="00AC375F" w:rsidRPr="00AC375F" w:rsidRDefault="00AC375F" w:rsidP="00AC375F">
            <w:pPr>
              <w:pBdr>
                <w:bar w:val="single" w:sz="4" w:color="auto"/>
              </w:pBdr>
              <w:jc w:val="center"/>
              <w:rPr>
                <w:sz w:val="18"/>
                <w:szCs w:val="18"/>
              </w:rPr>
            </w:pPr>
            <w:r w:rsidRPr="00AC375F">
              <w:rPr>
                <w:sz w:val="18"/>
                <w:szCs w:val="18"/>
              </w:rPr>
              <w:t>2</w:t>
            </w:r>
          </w:p>
        </w:tc>
        <w:tc>
          <w:tcPr>
            <w:tcW w:w="1283" w:type="dxa"/>
            <w:noWrap/>
          </w:tcPr>
          <w:p w14:paraId="5AF9A3E1" w14:textId="77777777" w:rsidR="00AC375F" w:rsidRPr="00AC375F" w:rsidRDefault="00AC375F" w:rsidP="00AC375F">
            <w:pPr>
              <w:pBdr>
                <w:bar w:val="single" w:sz="4" w:color="auto"/>
              </w:pBdr>
              <w:jc w:val="center"/>
              <w:rPr>
                <w:sz w:val="18"/>
                <w:szCs w:val="18"/>
              </w:rPr>
            </w:pPr>
            <w:r w:rsidRPr="00AC375F">
              <w:rPr>
                <w:sz w:val="18"/>
                <w:szCs w:val="18"/>
              </w:rPr>
              <w:t>svibanj</w:t>
            </w:r>
          </w:p>
        </w:tc>
        <w:tc>
          <w:tcPr>
            <w:tcW w:w="1449" w:type="dxa"/>
            <w:noWrap/>
          </w:tcPr>
          <w:p w14:paraId="3610C522" w14:textId="77777777" w:rsidR="00AC375F" w:rsidRPr="00AC375F" w:rsidRDefault="00AC375F" w:rsidP="00AC375F">
            <w:pPr>
              <w:pBdr>
                <w:bar w:val="single" w:sz="4" w:color="auto"/>
              </w:pBdr>
              <w:jc w:val="center"/>
              <w:rPr>
                <w:sz w:val="18"/>
                <w:szCs w:val="18"/>
              </w:rPr>
            </w:pPr>
            <w:r w:rsidRPr="00AC375F">
              <w:rPr>
                <w:sz w:val="18"/>
                <w:szCs w:val="18"/>
              </w:rPr>
              <w:t>1</w:t>
            </w:r>
          </w:p>
        </w:tc>
      </w:tr>
      <w:tr w:rsidR="00AC375F" w:rsidRPr="00AC375F" w14:paraId="78653B15" w14:textId="77777777" w:rsidTr="00991955">
        <w:trPr>
          <w:trHeight w:val="309"/>
        </w:trPr>
        <w:tc>
          <w:tcPr>
            <w:tcW w:w="4439" w:type="dxa"/>
            <w:shd w:val="clear" w:color="auto" w:fill="auto"/>
          </w:tcPr>
          <w:p w14:paraId="66DC461B" w14:textId="77777777" w:rsidR="00AC375F" w:rsidRPr="00AC375F" w:rsidRDefault="00AC375F" w:rsidP="00AC375F">
            <w:pPr>
              <w:pBdr>
                <w:bar w:val="single" w:sz="4" w:color="auto"/>
              </w:pBdr>
              <w:rPr>
                <w:b/>
                <w:bCs/>
                <w:sz w:val="18"/>
                <w:szCs w:val="18"/>
              </w:rPr>
            </w:pPr>
          </w:p>
        </w:tc>
        <w:tc>
          <w:tcPr>
            <w:tcW w:w="1413" w:type="dxa"/>
            <w:noWrap/>
          </w:tcPr>
          <w:p w14:paraId="2B7A5D2A" w14:textId="77777777" w:rsidR="00AC375F" w:rsidRPr="00AC375F" w:rsidRDefault="00AC375F" w:rsidP="00AC375F">
            <w:pPr>
              <w:pBdr>
                <w:bar w:val="single" w:sz="4" w:color="auto"/>
              </w:pBdr>
              <w:jc w:val="center"/>
              <w:rPr>
                <w:sz w:val="18"/>
                <w:szCs w:val="18"/>
              </w:rPr>
            </w:pPr>
            <w:r w:rsidRPr="00AC375F">
              <w:rPr>
                <w:sz w:val="18"/>
                <w:szCs w:val="18"/>
              </w:rPr>
              <w:t>virtualno</w:t>
            </w:r>
          </w:p>
        </w:tc>
        <w:tc>
          <w:tcPr>
            <w:tcW w:w="940" w:type="dxa"/>
            <w:noWrap/>
          </w:tcPr>
          <w:p w14:paraId="1054E88E" w14:textId="77777777" w:rsidR="00AC375F" w:rsidRPr="00AC375F" w:rsidRDefault="00AC375F" w:rsidP="00AC375F">
            <w:pPr>
              <w:pBdr>
                <w:bar w:val="single" w:sz="4" w:color="auto"/>
              </w:pBdr>
              <w:jc w:val="center"/>
              <w:rPr>
                <w:sz w:val="18"/>
                <w:szCs w:val="18"/>
              </w:rPr>
            </w:pPr>
            <w:r w:rsidRPr="00AC375F">
              <w:rPr>
                <w:sz w:val="18"/>
                <w:szCs w:val="18"/>
              </w:rPr>
              <w:t>2</w:t>
            </w:r>
          </w:p>
        </w:tc>
        <w:tc>
          <w:tcPr>
            <w:tcW w:w="1283" w:type="dxa"/>
            <w:noWrap/>
          </w:tcPr>
          <w:p w14:paraId="246A5053" w14:textId="77777777" w:rsidR="00AC375F" w:rsidRPr="00AC375F" w:rsidRDefault="00AC375F" w:rsidP="00AC375F">
            <w:pPr>
              <w:pBdr>
                <w:bar w:val="single" w:sz="4" w:color="auto"/>
              </w:pBdr>
              <w:jc w:val="center"/>
              <w:rPr>
                <w:sz w:val="18"/>
                <w:szCs w:val="18"/>
              </w:rPr>
            </w:pPr>
            <w:r w:rsidRPr="00AC375F">
              <w:rPr>
                <w:sz w:val="18"/>
                <w:szCs w:val="18"/>
              </w:rPr>
              <w:t>lipanj</w:t>
            </w:r>
          </w:p>
        </w:tc>
        <w:tc>
          <w:tcPr>
            <w:tcW w:w="1449" w:type="dxa"/>
            <w:noWrap/>
          </w:tcPr>
          <w:p w14:paraId="1D985799" w14:textId="77777777" w:rsidR="00AC375F" w:rsidRPr="00AC375F" w:rsidRDefault="00AC375F" w:rsidP="00AC375F">
            <w:pPr>
              <w:pBdr>
                <w:bar w:val="single" w:sz="4" w:color="auto"/>
              </w:pBdr>
              <w:jc w:val="center"/>
              <w:rPr>
                <w:sz w:val="18"/>
                <w:szCs w:val="18"/>
              </w:rPr>
            </w:pPr>
            <w:r w:rsidRPr="00AC375F">
              <w:rPr>
                <w:sz w:val="18"/>
                <w:szCs w:val="18"/>
              </w:rPr>
              <w:t>1</w:t>
            </w:r>
          </w:p>
        </w:tc>
      </w:tr>
      <w:tr w:rsidR="00AC375F" w:rsidRPr="00AC375F" w14:paraId="1CE02B13" w14:textId="77777777" w:rsidTr="00991955">
        <w:trPr>
          <w:trHeight w:val="309"/>
        </w:trPr>
        <w:tc>
          <w:tcPr>
            <w:tcW w:w="4439" w:type="dxa"/>
            <w:shd w:val="clear" w:color="auto" w:fill="auto"/>
          </w:tcPr>
          <w:p w14:paraId="5E987ECD" w14:textId="77777777" w:rsidR="00AC375F" w:rsidRPr="00AC375F" w:rsidRDefault="00AC375F" w:rsidP="00AC375F">
            <w:pPr>
              <w:pBdr>
                <w:bar w:val="single" w:sz="4" w:color="auto"/>
              </w:pBdr>
              <w:rPr>
                <w:b/>
                <w:bCs/>
                <w:sz w:val="18"/>
                <w:szCs w:val="18"/>
              </w:rPr>
            </w:pPr>
          </w:p>
        </w:tc>
        <w:tc>
          <w:tcPr>
            <w:tcW w:w="1413" w:type="dxa"/>
            <w:noWrap/>
          </w:tcPr>
          <w:p w14:paraId="1B456726" w14:textId="77777777" w:rsidR="00AC375F" w:rsidRPr="00AC375F" w:rsidRDefault="00AC375F" w:rsidP="00AC375F">
            <w:pPr>
              <w:pBdr>
                <w:bar w:val="single" w:sz="4" w:color="auto"/>
              </w:pBdr>
              <w:jc w:val="center"/>
              <w:rPr>
                <w:sz w:val="18"/>
                <w:szCs w:val="18"/>
              </w:rPr>
            </w:pPr>
            <w:r w:rsidRPr="00AC375F">
              <w:rPr>
                <w:sz w:val="18"/>
                <w:szCs w:val="18"/>
              </w:rPr>
              <w:t>virtualno</w:t>
            </w:r>
          </w:p>
        </w:tc>
        <w:tc>
          <w:tcPr>
            <w:tcW w:w="940" w:type="dxa"/>
            <w:noWrap/>
          </w:tcPr>
          <w:p w14:paraId="5092ED21" w14:textId="77777777" w:rsidR="00AC375F" w:rsidRPr="00AC375F" w:rsidRDefault="00AC375F" w:rsidP="00AC375F">
            <w:pPr>
              <w:pBdr>
                <w:bar w:val="single" w:sz="4" w:color="auto"/>
              </w:pBdr>
              <w:jc w:val="center"/>
              <w:rPr>
                <w:sz w:val="18"/>
                <w:szCs w:val="18"/>
              </w:rPr>
            </w:pPr>
            <w:r w:rsidRPr="00AC375F">
              <w:rPr>
                <w:sz w:val="18"/>
                <w:szCs w:val="18"/>
              </w:rPr>
              <w:t>1</w:t>
            </w:r>
          </w:p>
        </w:tc>
        <w:tc>
          <w:tcPr>
            <w:tcW w:w="1283" w:type="dxa"/>
            <w:noWrap/>
          </w:tcPr>
          <w:p w14:paraId="2F9FDA0A" w14:textId="77777777" w:rsidR="00AC375F" w:rsidRPr="00AC375F" w:rsidRDefault="00AC375F" w:rsidP="00AC375F">
            <w:pPr>
              <w:pBdr>
                <w:bar w:val="single" w:sz="4" w:color="auto"/>
              </w:pBdr>
              <w:jc w:val="center"/>
              <w:rPr>
                <w:sz w:val="18"/>
                <w:szCs w:val="18"/>
              </w:rPr>
            </w:pPr>
            <w:r w:rsidRPr="00AC375F">
              <w:rPr>
                <w:sz w:val="18"/>
                <w:szCs w:val="18"/>
              </w:rPr>
              <w:t>rujan</w:t>
            </w:r>
          </w:p>
        </w:tc>
        <w:tc>
          <w:tcPr>
            <w:tcW w:w="1449" w:type="dxa"/>
            <w:noWrap/>
          </w:tcPr>
          <w:p w14:paraId="227C7D50" w14:textId="77777777" w:rsidR="00AC375F" w:rsidRPr="00AC375F" w:rsidRDefault="00AC375F" w:rsidP="00AC375F">
            <w:pPr>
              <w:pBdr>
                <w:bar w:val="single" w:sz="4" w:color="auto"/>
              </w:pBdr>
              <w:jc w:val="center"/>
              <w:rPr>
                <w:sz w:val="18"/>
                <w:szCs w:val="18"/>
              </w:rPr>
            </w:pPr>
            <w:r w:rsidRPr="00AC375F">
              <w:rPr>
                <w:sz w:val="18"/>
                <w:szCs w:val="18"/>
              </w:rPr>
              <w:t>1</w:t>
            </w:r>
          </w:p>
        </w:tc>
      </w:tr>
      <w:tr w:rsidR="00AC375F" w:rsidRPr="00AC375F" w14:paraId="51D8700C" w14:textId="77777777" w:rsidTr="00991955">
        <w:trPr>
          <w:trHeight w:val="309"/>
        </w:trPr>
        <w:tc>
          <w:tcPr>
            <w:tcW w:w="4439" w:type="dxa"/>
            <w:shd w:val="clear" w:color="auto" w:fill="auto"/>
          </w:tcPr>
          <w:p w14:paraId="5EE1368A" w14:textId="77777777" w:rsidR="00AC375F" w:rsidRPr="00AC375F" w:rsidRDefault="00AC375F" w:rsidP="00AC375F">
            <w:pPr>
              <w:pBdr>
                <w:bar w:val="single" w:sz="4" w:color="auto"/>
              </w:pBdr>
              <w:rPr>
                <w:b/>
                <w:bCs/>
                <w:sz w:val="18"/>
                <w:szCs w:val="18"/>
              </w:rPr>
            </w:pPr>
          </w:p>
        </w:tc>
        <w:tc>
          <w:tcPr>
            <w:tcW w:w="1413" w:type="dxa"/>
            <w:noWrap/>
          </w:tcPr>
          <w:p w14:paraId="00F646A5" w14:textId="77777777" w:rsidR="00AC375F" w:rsidRPr="00AC375F" w:rsidRDefault="00AC375F" w:rsidP="00AC375F">
            <w:pPr>
              <w:pBdr>
                <w:bar w:val="single" w:sz="4" w:color="auto"/>
              </w:pBdr>
              <w:jc w:val="center"/>
              <w:rPr>
                <w:sz w:val="18"/>
                <w:szCs w:val="18"/>
              </w:rPr>
            </w:pPr>
            <w:r w:rsidRPr="00AC375F">
              <w:rPr>
                <w:sz w:val="18"/>
                <w:szCs w:val="18"/>
              </w:rPr>
              <w:t>virtualno</w:t>
            </w:r>
          </w:p>
        </w:tc>
        <w:tc>
          <w:tcPr>
            <w:tcW w:w="940" w:type="dxa"/>
            <w:noWrap/>
          </w:tcPr>
          <w:p w14:paraId="0300DABF" w14:textId="77777777" w:rsidR="00AC375F" w:rsidRPr="00AC375F" w:rsidRDefault="00AC375F" w:rsidP="00AC375F">
            <w:pPr>
              <w:pBdr>
                <w:bar w:val="single" w:sz="4" w:color="auto"/>
              </w:pBdr>
              <w:jc w:val="center"/>
              <w:rPr>
                <w:sz w:val="18"/>
                <w:szCs w:val="18"/>
              </w:rPr>
            </w:pPr>
            <w:r w:rsidRPr="00AC375F">
              <w:rPr>
                <w:sz w:val="18"/>
                <w:szCs w:val="18"/>
              </w:rPr>
              <w:t>2</w:t>
            </w:r>
          </w:p>
        </w:tc>
        <w:tc>
          <w:tcPr>
            <w:tcW w:w="1283" w:type="dxa"/>
            <w:noWrap/>
          </w:tcPr>
          <w:p w14:paraId="52D48AB5" w14:textId="77777777" w:rsidR="00AC375F" w:rsidRPr="00AC375F" w:rsidRDefault="00AC375F" w:rsidP="00AC375F">
            <w:pPr>
              <w:pBdr>
                <w:bar w:val="single" w:sz="4" w:color="auto"/>
              </w:pBdr>
              <w:jc w:val="center"/>
              <w:rPr>
                <w:sz w:val="18"/>
                <w:szCs w:val="18"/>
              </w:rPr>
            </w:pPr>
            <w:r w:rsidRPr="00AC375F">
              <w:rPr>
                <w:sz w:val="18"/>
                <w:szCs w:val="18"/>
              </w:rPr>
              <w:t>listopad</w:t>
            </w:r>
          </w:p>
        </w:tc>
        <w:tc>
          <w:tcPr>
            <w:tcW w:w="1449" w:type="dxa"/>
            <w:noWrap/>
          </w:tcPr>
          <w:p w14:paraId="3EDA255E" w14:textId="77777777" w:rsidR="00AC375F" w:rsidRPr="00AC375F" w:rsidRDefault="00AC375F" w:rsidP="00AC375F">
            <w:pPr>
              <w:pBdr>
                <w:bar w:val="single" w:sz="4" w:color="auto"/>
              </w:pBdr>
              <w:jc w:val="center"/>
              <w:rPr>
                <w:sz w:val="18"/>
                <w:szCs w:val="18"/>
              </w:rPr>
            </w:pPr>
            <w:r w:rsidRPr="00AC375F">
              <w:rPr>
                <w:sz w:val="18"/>
                <w:szCs w:val="18"/>
              </w:rPr>
              <w:t>1</w:t>
            </w:r>
          </w:p>
        </w:tc>
      </w:tr>
      <w:tr w:rsidR="00AC375F" w:rsidRPr="00AC375F" w14:paraId="22169068" w14:textId="77777777" w:rsidTr="00991955">
        <w:trPr>
          <w:trHeight w:val="309"/>
        </w:trPr>
        <w:tc>
          <w:tcPr>
            <w:tcW w:w="4439" w:type="dxa"/>
            <w:shd w:val="clear" w:color="auto" w:fill="auto"/>
          </w:tcPr>
          <w:p w14:paraId="774F6196" w14:textId="77777777" w:rsidR="00AC375F" w:rsidRPr="00AC375F" w:rsidRDefault="00AC375F" w:rsidP="00AC375F">
            <w:pPr>
              <w:pBdr>
                <w:bar w:val="single" w:sz="4" w:color="auto"/>
              </w:pBdr>
              <w:rPr>
                <w:b/>
                <w:bCs/>
                <w:sz w:val="18"/>
                <w:szCs w:val="18"/>
              </w:rPr>
            </w:pPr>
            <w:r w:rsidRPr="00AC375F">
              <w:rPr>
                <w:b/>
                <w:bCs/>
                <w:sz w:val="18"/>
                <w:szCs w:val="18"/>
              </w:rPr>
              <w:t>Falsified Medicines Working Group of OMCL Network</w:t>
            </w:r>
          </w:p>
        </w:tc>
        <w:tc>
          <w:tcPr>
            <w:tcW w:w="1413" w:type="dxa"/>
            <w:noWrap/>
          </w:tcPr>
          <w:p w14:paraId="3B5FA08B" w14:textId="77777777" w:rsidR="00AC375F" w:rsidRPr="00AC375F" w:rsidRDefault="00AC375F" w:rsidP="00AC375F">
            <w:pPr>
              <w:pBdr>
                <w:bar w:val="single" w:sz="4" w:color="auto"/>
              </w:pBdr>
              <w:jc w:val="center"/>
              <w:rPr>
                <w:sz w:val="18"/>
                <w:szCs w:val="18"/>
              </w:rPr>
            </w:pPr>
            <w:r w:rsidRPr="00AC375F">
              <w:rPr>
                <w:sz w:val="18"/>
                <w:szCs w:val="18"/>
              </w:rPr>
              <w:t>Madrid</w:t>
            </w:r>
          </w:p>
        </w:tc>
        <w:tc>
          <w:tcPr>
            <w:tcW w:w="940" w:type="dxa"/>
            <w:noWrap/>
          </w:tcPr>
          <w:p w14:paraId="5E9EC172" w14:textId="77777777" w:rsidR="00AC375F" w:rsidRPr="00AC375F" w:rsidRDefault="00AC375F" w:rsidP="00AC375F">
            <w:pPr>
              <w:pBdr>
                <w:bar w:val="single" w:sz="4" w:color="auto"/>
              </w:pBdr>
              <w:jc w:val="center"/>
              <w:rPr>
                <w:sz w:val="18"/>
                <w:szCs w:val="18"/>
              </w:rPr>
            </w:pPr>
            <w:r w:rsidRPr="00AC375F">
              <w:rPr>
                <w:sz w:val="18"/>
                <w:szCs w:val="18"/>
              </w:rPr>
              <w:t>1</w:t>
            </w:r>
          </w:p>
        </w:tc>
        <w:tc>
          <w:tcPr>
            <w:tcW w:w="1283" w:type="dxa"/>
            <w:noWrap/>
          </w:tcPr>
          <w:p w14:paraId="0B702129" w14:textId="77777777" w:rsidR="00AC375F" w:rsidRPr="00AC375F" w:rsidRDefault="00AC375F" w:rsidP="00AC375F">
            <w:pPr>
              <w:pBdr>
                <w:bar w:val="single" w:sz="4" w:color="auto"/>
              </w:pBdr>
              <w:jc w:val="center"/>
              <w:rPr>
                <w:sz w:val="18"/>
                <w:szCs w:val="18"/>
              </w:rPr>
            </w:pPr>
            <w:r w:rsidRPr="00AC375F">
              <w:rPr>
                <w:sz w:val="18"/>
                <w:szCs w:val="18"/>
              </w:rPr>
              <w:t>lipanj</w:t>
            </w:r>
          </w:p>
        </w:tc>
        <w:tc>
          <w:tcPr>
            <w:tcW w:w="1449" w:type="dxa"/>
            <w:noWrap/>
          </w:tcPr>
          <w:p w14:paraId="67B4E733" w14:textId="77777777" w:rsidR="00AC375F" w:rsidRPr="00AC375F" w:rsidRDefault="00AC375F" w:rsidP="00AC375F">
            <w:pPr>
              <w:pBdr>
                <w:bar w:val="single" w:sz="4" w:color="auto"/>
              </w:pBdr>
              <w:jc w:val="center"/>
              <w:rPr>
                <w:sz w:val="18"/>
                <w:szCs w:val="18"/>
              </w:rPr>
            </w:pPr>
            <w:r w:rsidRPr="00AC375F">
              <w:rPr>
                <w:sz w:val="18"/>
                <w:szCs w:val="18"/>
              </w:rPr>
              <w:t>1</w:t>
            </w:r>
          </w:p>
        </w:tc>
      </w:tr>
      <w:tr w:rsidR="00AC375F" w:rsidRPr="00AC375F" w14:paraId="58B0C2E5" w14:textId="77777777" w:rsidTr="00991955">
        <w:trPr>
          <w:trHeight w:val="309"/>
        </w:trPr>
        <w:tc>
          <w:tcPr>
            <w:tcW w:w="4439" w:type="dxa"/>
            <w:shd w:val="clear" w:color="auto" w:fill="auto"/>
          </w:tcPr>
          <w:p w14:paraId="56AEA971" w14:textId="77777777" w:rsidR="00AC375F" w:rsidRPr="00AC375F" w:rsidRDefault="00AC375F" w:rsidP="00AC375F">
            <w:pPr>
              <w:pBdr>
                <w:bar w:val="single" w:sz="4" w:color="auto"/>
              </w:pBdr>
              <w:rPr>
                <w:b/>
                <w:bCs/>
                <w:sz w:val="18"/>
                <w:szCs w:val="18"/>
              </w:rPr>
            </w:pPr>
          </w:p>
        </w:tc>
        <w:tc>
          <w:tcPr>
            <w:tcW w:w="1413" w:type="dxa"/>
            <w:noWrap/>
          </w:tcPr>
          <w:p w14:paraId="05A72EB8" w14:textId="77777777" w:rsidR="00AC375F" w:rsidRPr="00AC375F" w:rsidRDefault="00AC375F" w:rsidP="00AC375F">
            <w:pPr>
              <w:pBdr>
                <w:bar w:val="single" w:sz="4" w:color="auto"/>
              </w:pBdr>
              <w:jc w:val="center"/>
              <w:rPr>
                <w:sz w:val="18"/>
                <w:szCs w:val="18"/>
              </w:rPr>
            </w:pPr>
          </w:p>
        </w:tc>
        <w:tc>
          <w:tcPr>
            <w:tcW w:w="940" w:type="dxa"/>
            <w:noWrap/>
          </w:tcPr>
          <w:p w14:paraId="79B7F413" w14:textId="77777777" w:rsidR="00AC375F" w:rsidRPr="00AC375F" w:rsidRDefault="00AC375F" w:rsidP="00AC375F">
            <w:pPr>
              <w:pBdr>
                <w:bar w:val="single" w:sz="4" w:color="auto"/>
              </w:pBdr>
              <w:jc w:val="center"/>
              <w:rPr>
                <w:sz w:val="18"/>
                <w:szCs w:val="18"/>
              </w:rPr>
            </w:pPr>
          </w:p>
        </w:tc>
        <w:tc>
          <w:tcPr>
            <w:tcW w:w="1283" w:type="dxa"/>
            <w:noWrap/>
          </w:tcPr>
          <w:p w14:paraId="211B75B0" w14:textId="77777777" w:rsidR="00AC375F" w:rsidRPr="00AC375F" w:rsidRDefault="00AC375F" w:rsidP="00AC375F">
            <w:pPr>
              <w:pBdr>
                <w:bar w:val="single" w:sz="4" w:color="auto"/>
              </w:pBdr>
              <w:jc w:val="center"/>
              <w:rPr>
                <w:sz w:val="18"/>
                <w:szCs w:val="18"/>
              </w:rPr>
            </w:pPr>
          </w:p>
        </w:tc>
        <w:tc>
          <w:tcPr>
            <w:tcW w:w="1449" w:type="dxa"/>
            <w:noWrap/>
          </w:tcPr>
          <w:p w14:paraId="357EB349" w14:textId="77777777" w:rsidR="00AC375F" w:rsidRPr="00AC375F" w:rsidRDefault="00AC375F" w:rsidP="00AC375F">
            <w:pPr>
              <w:pBdr>
                <w:bar w:val="single" w:sz="4" w:color="auto"/>
              </w:pBdr>
              <w:jc w:val="center"/>
              <w:rPr>
                <w:sz w:val="18"/>
                <w:szCs w:val="18"/>
              </w:rPr>
            </w:pPr>
          </w:p>
        </w:tc>
      </w:tr>
      <w:tr w:rsidR="00AC375F" w:rsidRPr="00AC375F" w14:paraId="49595C6B" w14:textId="77777777" w:rsidTr="00991955">
        <w:trPr>
          <w:trHeight w:val="309"/>
        </w:trPr>
        <w:tc>
          <w:tcPr>
            <w:tcW w:w="4439" w:type="dxa"/>
            <w:shd w:val="clear" w:color="auto" w:fill="auto"/>
          </w:tcPr>
          <w:p w14:paraId="1031C10F" w14:textId="77777777" w:rsidR="00AC375F" w:rsidRPr="00AC375F" w:rsidRDefault="00AC375F" w:rsidP="00AC375F">
            <w:pPr>
              <w:pBdr>
                <w:bar w:val="single" w:sz="4" w:color="auto"/>
              </w:pBdr>
              <w:rPr>
                <w:b/>
                <w:bCs/>
                <w:sz w:val="18"/>
                <w:szCs w:val="18"/>
              </w:rPr>
            </w:pPr>
            <w:r w:rsidRPr="00AC375F">
              <w:rPr>
                <w:b/>
                <w:bCs/>
                <w:sz w:val="18"/>
                <w:szCs w:val="18"/>
              </w:rPr>
              <w:t>EDQM Network on Borderline Products</w:t>
            </w:r>
          </w:p>
        </w:tc>
        <w:tc>
          <w:tcPr>
            <w:tcW w:w="1413" w:type="dxa"/>
            <w:noWrap/>
          </w:tcPr>
          <w:p w14:paraId="5FC80535" w14:textId="77777777" w:rsidR="00AC375F" w:rsidRPr="00AC375F" w:rsidRDefault="00AC375F" w:rsidP="00AC375F">
            <w:pPr>
              <w:pBdr>
                <w:bar w:val="single" w:sz="4" w:color="auto"/>
              </w:pBdr>
              <w:jc w:val="center"/>
              <w:rPr>
                <w:sz w:val="18"/>
                <w:szCs w:val="18"/>
              </w:rPr>
            </w:pPr>
            <w:r w:rsidRPr="00AC375F">
              <w:rPr>
                <w:sz w:val="18"/>
                <w:szCs w:val="18"/>
              </w:rPr>
              <w:t>Bern</w:t>
            </w:r>
          </w:p>
        </w:tc>
        <w:tc>
          <w:tcPr>
            <w:tcW w:w="940" w:type="dxa"/>
            <w:noWrap/>
          </w:tcPr>
          <w:p w14:paraId="177CBB44" w14:textId="77777777" w:rsidR="00AC375F" w:rsidRPr="00AC375F" w:rsidRDefault="00AC375F" w:rsidP="00AC375F">
            <w:pPr>
              <w:pBdr>
                <w:bar w:val="single" w:sz="4" w:color="auto"/>
              </w:pBdr>
              <w:jc w:val="center"/>
              <w:rPr>
                <w:sz w:val="18"/>
                <w:szCs w:val="18"/>
              </w:rPr>
            </w:pPr>
            <w:r w:rsidRPr="00AC375F">
              <w:rPr>
                <w:sz w:val="18"/>
                <w:szCs w:val="18"/>
              </w:rPr>
              <w:t>2</w:t>
            </w:r>
          </w:p>
        </w:tc>
        <w:tc>
          <w:tcPr>
            <w:tcW w:w="1283" w:type="dxa"/>
            <w:noWrap/>
          </w:tcPr>
          <w:p w14:paraId="2728E098" w14:textId="77777777" w:rsidR="00AC375F" w:rsidRPr="00AC375F" w:rsidRDefault="00AC375F" w:rsidP="00AC375F">
            <w:pPr>
              <w:pBdr>
                <w:bar w:val="single" w:sz="4" w:color="auto"/>
              </w:pBdr>
              <w:jc w:val="center"/>
              <w:rPr>
                <w:sz w:val="18"/>
                <w:szCs w:val="18"/>
              </w:rPr>
            </w:pPr>
            <w:r w:rsidRPr="00AC375F">
              <w:rPr>
                <w:sz w:val="18"/>
                <w:szCs w:val="18"/>
              </w:rPr>
              <w:t>svibanj/lipanj</w:t>
            </w:r>
          </w:p>
        </w:tc>
        <w:tc>
          <w:tcPr>
            <w:tcW w:w="1449" w:type="dxa"/>
            <w:noWrap/>
          </w:tcPr>
          <w:p w14:paraId="663CE63B" w14:textId="77777777" w:rsidR="00AC375F" w:rsidRPr="00AC375F" w:rsidRDefault="00AC375F" w:rsidP="00AC375F">
            <w:pPr>
              <w:pBdr>
                <w:bar w:val="single" w:sz="4" w:color="auto"/>
              </w:pBdr>
              <w:jc w:val="center"/>
              <w:rPr>
                <w:sz w:val="18"/>
                <w:szCs w:val="18"/>
              </w:rPr>
            </w:pPr>
            <w:r w:rsidRPr="00AC375F">
              <w:rPr>
                <w:sz w:val="18"/>
                <w:szCs w:val="18"/>
              </w:rPr>
              <w:t>2,2</w:t>
            </w:r>
          </w:p>
        </w:tc>
      </w:tr>
      <w:tr w:rsidR="00AC375F" w:rsidRPr="00AC375F" w14:paraId="75225BEC" w14:textId="77777777" w:rsidTr="00991955">
        <w:trPr>
          <w:trHeight w:val="309"/>
        </w:trPr>
        <w:tc>
          <w:tcPr>
            <w:tcW w:w="4439" w:type="dxa"/>
            <w:shd w:val="clear" w:color="auto" w:fill="auto"/>
          </w:tcPr>
          <w:p w14:paraId="043B5FCC" w14:textId="77777777" w:rsidR="00AC375F" w:rsidRPr="00AC375F" w:rsidRDefault="00AC375F" w:rsidP="00AC375F">
            <w:pPr>
              <w:pBdr>
                <w:bar w:val="single" w:sz="4" w:color="auto"/>
              </w:pBdr>
              <w:rPr>
                <w:b/>
                <w:bCs/>
                <w:sz w:val="18"/>
                <w:szCs w:val="18"/>
              </w:rPr>
            </w:pPr>
          </w:p>
        </w:tc>
        <w:tc>
          <w:tcPr>
            <w:tcW w:w="1413" w:type="dxa"/>
            <w:noWrap/>
          </w:tcPr>
          <w:p w14:paraId="74D6D04D" w14:textId="77777777" w:rsidR="00AC375F" w:rsidRPr="00AC375F" w:rsidRDefault="00AC375F" w:rsidP="00AC375F">
            <w:pPr>
              <w:pBdr>
                <w:bar w:val="single" w:sz="4" w:color="auto"/>
              </w:pBdr>
              <w:jc w:val="center"/>
              <w:rPr>
                <w:sz w:val="18"/>
                <w:szCs w:val="18"/>
              </w:rPr>
            </w:pPr>
            <w:r w:rsidRPr="00AC375F">
              <w:rPr>
                <w:sz w:val="18"/>
                <w:szCs w:val="18"/>
              </w:rPr>
              <w:t xml:space="preserve">virtualno </w:t>
            </w:r>
          </w:p>
        </w:tc>
        <w:tc>
          <w:tcPr>
            <w:tcW w:w="940" w:type="dxa"/>
            <w:noWrap/>
          </w:tcPr>
          <w:p w14:paraId="700206D7" w14:textId="77777777" w:rsidR="00AC375F" w:rsidRPr="00AC375F" w:rsidRDefault="00AC375F" w:rsidP="00AC375F">
            <w:pPr>
              <w:pBdr>
                <w:bar w:val="single" w:sz="4" w:color="auto"/>
              </w:pBdr>
              <w:jc w:val="center"/>
              <w:rPr>
                <w:sz w:val="18"/>
                <w:szCs w:val="18"/>
              </w:rPr>
            </w:pPr>
            <w:r w:rsidRPr="00AC375F">
              <w:rPr>
                <w:sz w:val="18"/>
                <w:szCs w:val="18"/>
              </w:rPr>
              <w:t>1</w:t>
            </w:r>
          </w:p>
        </w:tc>
        <w:tc>
          <w:tcPr>
            <w:tcW w:w="1283" w:type="dxa"/>
            <w:noWrap/>
          </w:tcPr>
          <w:p w14:paraId="18CD6377" w14:textId="77777777" w:rsidR="00AC375F" w:rsidRPr="00AC375F" w:rsidRDefault="00AC375F" w:rsidP="00AC375F">
            <w:pPr>
              <w:pBdr>
                <w:bar w:val="single" w:sz="4" w:color="auto"/>
              </w:pBdr>
              <w:jc w:val="center"/>
              <w:rPr>
                <w:sz w:val="18"/>
                <w:szCs w:val="18"/>
              </w:rPr>
            </w:pPr>
            <w:r w:rsidRPr="00AC375F">
              <w:rPr>
                <w:sz w:val="18"/>
                <w:szCs w:val="18"/>
              </w:rPr>
              <w:t>studeni</w:t>
            </w:r>
          </w:p>
        </w:tc>
        <w:tc>
          <w:tcPr>
            <w:tcW w:w="1449" w:type="dxa"/>
            <w:noWrap/>
          </w:tcPr>
          <w:p w14:paraId="1A6D7B5D" w14:textId="77777777" w:rsidR="00AC375F" w:rsidRPr="00AC375F" w:rsidRDefault="00AC375F" w:rsidP="00AC375F">
            <w:pPr>
              <w:pBdr>
                <w:bar w:val="single" w:sz="4" w:color="auto"/>
              </w:pBdr>
              <w:jc w:val="center"/>
              <w:rPr>
                <w:sz w:val="18"/>
                <w:szCs w:val="18"/>
              </w:rPr>
            </w:pPr>
            <w:r w:rsidRPr="00AC375F">
              <w:rPr>
                <w:sz w:val="18"/>
                <w:szCs w:val="18"/>
              </w:rPr>
              <w:t>1,1</w:t>
            </w:r>
          </w:p>
        </w:tc>
      </w:tr>
    </w:tbl>
    <w:p w14:paraId="64FAF673" w14:textId="65C17F8A" w:rsidR="00AC375F" w:rsidRPr="00AC375F" w:rsidRDefault="00AC375F" w:rsidP="00AC375F"/>
    <w:tbl>
      <w:tblPr>
        <w:tblW w:w="94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5"/>
        <w:gridCol w:w="1484"/>
        <w:gridCol w:w="944"/>
        <w:gridCol w:w="1378"/>
        <w:gridCol w:w="1177"/>
      </w:tblGrid>
      <w:tr w:rsidR="00AC375F" w:rsidRPr="00AC375F" w14:paraId="063B7483" w14:textId="77777777" w:rsidTr="00991955">
        <w:trPr>
          <w:trHeight w:val="330"/>
        </w:trPr>
        <w:tc>
          <w:tcPr>
            <w:tcW w:w="4445" w:type="dxa"/>
            <w:shd w:val="clear" w:color="auto" w:fill="A3E7FF"/>
            <w:noWrap/>
            <w:hideMark/>
          </w:tcPr>
          <w:p w14:paraId="0ACD78F1" w14:textId="77777777" w:rsidR="00AC375F" w:rsidRPr="00AC375F" w:rsidRDefault="00AC375F" w:rsidP="00AC375F">
            <w:pPr>
              <w:rPr>
                <w:b/>
                <w:bCs/>
                <w:i/>
                <w:iCs/>
                <w:sz w:val="18"/>
                <w:szCs w:val="18"/>
              </w:rPr>
            </w:pPr>
            <w:r w:rsidRPr="00AC375F">
              <w:rPr>
                <w:b/>
                <w:bCs/>
                <w:i/>
                <w:iCs/>
                <w:sz w:val="18"/>
                <w:szCs w:val="18"/>
              </w:rPr>
              <w:t>Council of the EU</w:t>
            </w:r>
          </w:p>
        </w:tc>
        <w:tc>
          <w:tcPr>
            <w:tcW w:w="1484" w:type="dxa"/>
            <w:shd w:val="clear" w:color="auto" w:fill="A3E7FF"/>
            <w:noWrap/>
            <w:hideMark/>
          </w:tcPr>
          <w:p w14:paraId="07A55CE4" w14:textId="77777777" w:rsidR="00AC375F" w:rsidRPr="00AC375F" w:rsidRDefault="00AC375F" w:rsidP="00AC375F">
            <w:pPr>
              <w:jc w:val="center"/>
              <w:rPr>
                <w:i/>
                <w:iCs/>
                <w:sz w:val="18"/>
                <w:szCs w:val="18"/>
              </w:rPr>
            </w:pPr>
          </w:p>
        </w:tc>
        <w:tc>
          <w:tcPr>
            <w:tcW w:w="944" w:type="dxa"/>
            <w:shd w:val="clear" w:color="auto" w:fill="A3E7FF"/>
            <w:noWrap/>
            <w:hideMark/>
          </w:tcPr>
          <w:p w14:paraId="6DE9582A" w14:textId="77777777" w:rsidR="00AC375F" w:rsidRPr="00AC375F" w:rsidRDefault="00AC375F" w:rsidP="00AC375F">
            <w:pPr>
              <w:jc w:val="center"/>
              <w:rPr>
                <w:i/>
                <w:iCs/>
                <w:sz w:val="18"/>
                <w:szCs w:val="18"/>
              </w:rPr>
            </w:pPr>
          </w:p>
        </w:tc>
        <w:tc>
          <w:tcPr>
            <w:tcW w:w="1378" w:type="dxa"/>
            <w:shd w:val="clear" w:color="auto" w:fill="A3E7FF"/>
            <w:noWrap/>
            <w:hideMark/>
          </w:tcPr>
          <w:p w14:paraId="2BE82C16" w14:textId="77777777" w:rsidR="00AC375F" w:rsidRPr="00AC375F" w:rsidRDefault="00AC375F" w:rsidP="00AC375F">
            <w:pPr>
              <w:jc w:val="center"/>
              <w:rPr>
                <w:i/>
                <w:iCs/>
                <w:sz w:val="18"/>
                <w:szCs w:val="18"/>
              </w:rPr>
            </w:pPr>
          </w:p>
        </w:tc>
        <w:tc>
          <w:tcPr>
            <w:tcW w:w="1177" w:type="dxa"/>
            <w:shd w:val="clear" w:color="auto" w:fill="A3E7FF"/>
            <w:noWrap/>
            <w:hideMark/>
          </w:tcPr>
          <w:p w14:paraId="04EFFFF8" w14:textId="77777777" w:rsidR="00AC375F" w:rsidRPr="00AC375F" w:rsidRDefault="00AC375F" w:rsidP="00AC375F">
            <w:pPr>
              <w:jc w:val="center"/>
              <w:rPr>
                <w:i/>
                <w:iCs/>
                <w:sz w:val="18"/>
                <w:szCs w:val="18"/>
              </w:rPr>
            </w:pPr>
          </w:p>
        </w:tc>
      </w:tr>
      <w:tr w:rsidR="00AC375F" w:rsidRPr="00AC375F" w14:paraId="1C474ACC" w14:textId="77777777" w:rsidTr="00991955">
        <w:trPr>
          <w:trHeight w:val="585"/>
        </w:trPr>
        <w:tc>
          <w:tcPr>
            <w:tcW w:w="4445" w:type="dxa"/>
            <w:shd w:val="clear" w:color="auto" w:fill="auto"/>
            <w:noWrap/>
            <w:hideMark/>
          </w:tcPr>
          <w:p w14:paraId="31F16789" w14:textId="77777777" w:rsidR="00AC375F" w:rsidRPr="00AC375F" w:rsidRDefault="00AC375F" w:rsidP="00AC375F">
            <w:pPr>
              <w:rPr>
                <w:i/>
                <w:iCs/>
                <w:sz w:val="18"/>
                <w:szCs w:val="18"/>
              </w:rPr>
            </w:pPr>
            <w:r w:rsidRPr="00AC375F">
              <w:rPr>
                <w:i/>
                <w:iCs/>
                <w:sz w:val="18"/>
                <w:szCs w:val="18"/>
              </w:rPr>
              <w:t>naziv skupine</w:t>
            </w:r>
          </w:p>
        </w:tc>
        <w:tc>
          <w:tcPr>
            <w:tcW w:w="1484" w:type="dxa"/>
            <w:shd w:val="clear" w:color="auto" w:fill="auto"/>
            <w:noWrap/>
            <w:hideMark/>
          </w:tcPr>
          <w:p w14:paraId="151DB11D" w14:textId="77777777" w:rsidR="00AC375F" w:rsidRPr="00AC375F" w:rsidRDefault="00AC375F" w:rsidP="00AC375F">
            <w:pPr>
              <w:jc w:val="center"/>
              <w:rPr>
                <w:i/>
                <w:iCs/>
                <w:sz w:val="18"/>
                <w:szCs w:val="18"/>
              </w:rPr>
            </w:pPr>
            <w:r w:rsidRPr="00AC375F">
              <w:rPr>
                <w:i/>
                <w:iCs/>
                <w:sz w:val="18"/>
                <w:szCs w:val="18"/>
              </w:rPr>
              <w:t>mjesto</w:t>
            </w:r>
          </w:p>
        </w:tc>
        <w:tc>
          <w:tcPr>
            <w:tcW w:w="944" w:type="dxa"/>
            <w:shd w:val="clear" w:color="auto" w:fill="auto"/>
            <w:hideMark/>
          </w:tcPr>
          <w:p w14:paraId="2F205DCF" w14:textId="77777777" w:rsidR="00AC375F" w:rsidRPr="00AC375F" w:rsidRDefault="00AC375F" w:rsidP="00AC375F">
            <w:pPr>
              <w:jc w:val="center"/>
              <w:rPr>
                <w:i/>
                <w:iCs/>
                <w:sz w:val="18"/>
                <w:szCs w:val="18"/>
              </w:rPr>
            </w:pPr>
            <w:r w:rsidRPr="00AC375F">
              <w:rPr>
                <w:i/>
                <w:iCs/>
                <w:sz w:val="18"/>
                <w:szCs w:val="18"/>
              </w:rPr>
              <w:t>broj</w:t>
            </w:r>
          </w:p>
          <w:p w14:paraId="07BB917D" w14:textId="77777777" w:rsidR="00AC375F" w:rsidRPr="00AC375F" w:rsidRDefault="00AC375F" w:rsidP="00AC375F">
            <w:pPr>
              <w:jc w:val="center"/>
              <w:rPr>
                <w:i/>
                <w:iCs/>
                <w:sz w:val="18"/>
                <w:szCs w:val="18"/>
              </w:rPr>
            </w:pPr>
            <w:r w:rsidRPr="00AC375F">
              <w:rPr>
                <w:i/>
                <w:iCs/>
                <w:sz w:val="18"/>
                <w:szCs w:val="18"/>
              </w:rPr>
              <w:t>djelatnika</w:t>
            </w:r>
          </w:p>
        </w:tc>
        <w:tc>
          <w:tcPr>
            <w:tcW w:w="1378" w:type="dxa"/>
            <w:shd w:val="clear" w:color="auto" w:fill="auto"/>
            <w:noWrap/>
            <w:hideMark/>
          </w:tcPr>
          <w:p w14:paraId="41C9203B" w14:textId="77777777" w:rsidR="00AC375F" w:rsidRPr="00AC375F" w:rsidRDefault="00AC375F" w:rsidP="00AC375F">
            <w:pPr>
              <w:jc w:val="center"/>
              <w:rPr>
                <w:i/>
                <w:iCs/>
                <w:sz w:val="18"/>
                <w:szCs w:val="18"/>
              </w:rPr>
            </w:pPr>
            <w:r w:rsidRPr="00AC375F">
              <w:rPr>
                <w:i/>
                <w:iCs/>
                <w:sz w:val="18"/>
                <w:szCs w:val="18"/>
              </w:rPr>
              <w:t>mjesec</w:t>
            </w:r>
          </w:p>
        </w:tc>
        <w:tc>
          <w:tcPr>
            <w:tcW w:w="1177" w:type="dxa"/>
            <w:shd w:val="clear" w:color="auto" w:fill="auto"/>
            <w:hideMark/>
          </w:tcPr>
          <w:p w14:paraId="5BE65DA2" w14:textId="77777777" w:rsidR="00AC375F" w:rsidRPr="00AC375F" w:rsidRDefault="00AC375F" w:rsidP="00AC375F">
            <w:pPr>
              <w:rPr>
                <w:i/>
                <w:iCs/>
                <w:sz w:val="18"/>
                <w:szCs w:val="18"/>
              </w:rPr>
            </w:pPr>
            <w:r w:rsidRPr="00AC375F">
              <w:rPr>
                <w:i/>
                <w:iCs/>
                <w:sz w:val="18"/>
                <w:szCs w:val="18"/>
              </w:rPr>
              <w:t>broj dana/</w:t>
            </w:r>
          </w:p>
          <w:p w14:paraId="2FA306C4" w14:textId="77777777" w:rsidR="00AC375F" w:rsidRPr="00AC375F" w:rsidRDefault="00AC375F" w:rsidP="00AC375F">
            <w:pPr>
              <w:jc w:val="center"/>
              <w:rPr>
                <w:i/>
                <w:iCs/>
                <w:sz w:val="18"/>
                <w:szCs w:val="18"/>
              </w:rPr>
            </w:pPr>
            <w:r w:rsidRPr="00AC375F">
              <w:rPr>
                <w:i/>
                <w:iCs/>
                <w:sz w:val="18"/>
                <w:szCs w:val="18"/>
              </w:rPr>
              <w:t>sastanku</w:t>
            </w:r>
          </w:p>
        </w:tc>
      </w:tr>
      <w:tr w:rsidR="00AC375F" w:rsidRPr="00AC375F" w14:paraId="6BF377FA" w14:textId="77777777" w:rsidTr="00991955">
        <w:trPr>
          <w:trHeight w:val="300"/>
        </w:trPr>
        <w:tc>
          <w:tcPr>
            <w:tcW w:w="4445" w:type="dxa"/>
            <w:shd w:val="clear" w:color="auto" w:fill="auto"/>
            <w:noWrap/>
            <w:hideMark/>
          </w:tcPr>
          <w:p w14:paraId="760D336C" w14:textId="77777777" w:rsidR="00AC375F" w:rsidRPr="00AC375F" w:rsidRDefault="00AC375F" w:rsidP="00AC375F">
            <w:pPr>
              <w:rPr>
                <w:b/>
                <w:bCs/>
                <w:sz w:val="18"/>
                <w:szCs w:val="18"/>
              </w:rPr>
            </w:pPr>
            <w:r w:rsidRPr="00AC375F">
              <w:rPr>
                <w:b/>
                <w:sz w:val="18"/>
                <w:szCs w:val="18"/>
              </w:rPr>
              <w:t>Sastanci RS Vijeća EU za lijekove i medicinske proizvode</w:t>
            </w:r>
          </w:p>
        </w:tc>
        <w:tc>
          <w:tcPr>
            <w:tcW w:w="1484" w:type="dxa"/>
            <w:shd w:val="clear" w:color="auto" w:fill="auto"/>
            <w:noWrap/>
          </w:tcPr>
          <w:p w14:paraId="737AA2BA" w14:textId="77777777" w:rsidR="00AC375F" w:rsidRPr="00AC375F" w:rsidRDefault="00AC375F" w:rsidP="00AC375F">
            <w:pPr>
              <w:jc w:val="center"/>
              <w:rPr>
                <w:sz w:val="18"/>
                <w:szCs w:val="18"/>
              </w:rPr>
            </w:pPr>
            <w:r w:rsidRPr="00AC375F">
              <w:rPr>
                <w:sz w:val="18"/>
                <w:szCs w:val="18"/>
              </w:rPr>
              <w:t>Bruxelles</w:t>
            </w:r>
          </w:p>
        </w:tc>
        <w:tc>
          <w:tcPr>
            <w:tcW w:w="944" w:type="dxa"/>
            <w:shd w:val="clear" w:color="auto" w:fill="auto"/>
            <w:noWrap/>
          </w:tcPr>
          <w:p w14:paraId="42C1BA5F" w14:textId="77777777" w:rsidR="00AC375F" w:rsidRPr="00AC375F" w:rsidRDefault="00AC375F" w:rsidP="00AC375F">
            <w:pPr>
              <w:jc w:val="center"/>
              <w:rPr>
                <w:sz w:val="18"/>
                <w:szCs w:val="18"/>
              </w:rPr>
            </w:pPr>
            <w:r w:rsidRPr="00AC375F">
              <w:rPr>
                <w:sz w:val="18"/>
                <w:szCs w:val="18"/>
              </w:rPr>
              <w:t>1</w:t>
            </w:r>
          </w:p>
        </w:tc>
        <w:tc>
          <w:tcPr>
            <w:tcW w:w="1378" w:type="dxa"/>
            <w:shd w:val="clear" w:color="auto" w:fill="auto"/>
            <w:noWrap/>
          </w:tcPr>
          <w:p w14:paraId="1D17B1A5" w14:textId="77777777" w:rsidR="00AC375F" w:rsidRPr="00AC375F" w:rsidRDefault="00AC375F" w:rsidP="00AC375F">
            <w:pPr>
              <w:jc w:val="center"/>
              <w:rPr>
                <w:sz w:val="18"/>
                <w:szCs w:val="18"/>
              </w:rPr>
            </w:pPr>
            <w:r w:rsidRPr="00AC375F">
              <w:rPr>
                <w:sz w:val="18"/>
                <w:szCs w:val="18"/>
              </w:rPr>
              <w:t>siječanj</w:t>
            </w:r>
          </w:p>
        </w:tc>
        <w:tc>
          <w:tcPr>
            <w:tcW w:w="1177" w:type="dxa"/>
            <w:shd w:val="clear" w:color="auto" w:fill="auto"/>
            <w:noWrap/>
          </w:tcPr>
          <w:p w14:paraId="3106C655" w14:textId="77777777" w:rsidR="00AC375F" w:rsidRPr="00AC375F" w:rsidRDefault="00AC375F" w:rsidP="00AC375F">
            <w:pPr>
              <w:jc w:val="center"/>
              <w:rPr>
                <w:sz w:val="18"/>
                <w:szCs w:val="18"/>
              </w:rPr>
            </w:pPr>
            <w:r w:rsidRPr="00AC375F">
              <w:rPr>
                <w:sz w:val="18"/>
                <w:szCs w:val="18"/>
              </w:rPr>
              <w:t>1</w:t>
            </w:r>
          </w:p>
        </w:tc>
      </w:tr>
      <w:tr w:rsidR="00AC375F" w:rsidRPr="00AC375F" w14:paraId="6D8D3428" w14:textId="77777777" w:rsidTr="00991955">
        <w:trPr>
          <w:trHeight w:val="300"/>
        </w:trPr>
        <w:tc>
          <w:tcPr>
            <w:tcW w:w="4445" w:type="dxa"/>
            <w:shd w:val="clear" w:color="auto" w:fill="auto"/>
            <w:noWrap/>
            <w:hideMark/>
          </w:tcPr>
          <w:p w14:paraId="764EAE7F" w14:textId="77777777" w:rsidR="00AC375F" w:rsidRPr="00AC375F" w:rsidRDefault="00AC375F" w:rsidP="00AC375F">
            <w:pPr>
              <w:rPr>
                <w:b/>
                <w:bCs/>
                <w:sz w:val="18"/>
                <w:szCs w:val="18"/>
              </w:rPr>
            </w:pPr>
            <w:r w:rsidRPr="00AC375F">
              <w:rPr>
                <w:b/>
                <w:bCs/>
                <w:sz w:val="18"/>
                <w:szCs w:val="18"/>
              </w:rPr>
              <w:t> </w:t>
            </w:r>
          </w:p>
        </w:tc>
        <w:tc>
          <w:tcPr>
            <w:tcW w:w="1484" w:type="dxa"/>
            <w:shd w:val="clear" w:color="auto" w:fill="auto"/>
            <w:noWrap/>
          </w:tcPr>
          <w:p w14:paraId="438947EE" w14:textId="77777777" w:rsidR="00AC375F" w:rsidRPr="00AC375F" w:rsidRDefault="00AC375F" w:rsidP="00AC375F">
            <w:pPr>
              <w:jc w:val="center"/>
              <w:rPr>
                <w:sz w:val="18"/>
                <w:szCs w:val="18"/>
              </w:rPr>
            </w:pPr>
            <w:r w:rsidRPr="00AC375F">
              <w:rPr>
                <w:sz w:val="18"/>
                <w:szCs w:val="18"/>
              </w:rPr>
              <w:t>Bruxelles</w:t>
            </w:r>
          </w:p>
        </w:tc>
        <w:tc>
          <w:tcPr>
            <w:tcW w:w="944" w:type="dxa"/>
            <w:shd w:val="clear" w:color="auto" w:fill="auto"/>
            <w:noWrap/>
          </w:tcPr>
          <w:p w14:paraId="049950CD" w14:textId="77777777" w:rsidR="00AC375F" w:rsidRPr="00AC375F" w:rsidRDefault="00AC375F" w:rsidP="00AC375F">
            <w:pPr>
              <w:jc w:val="center"/>
              <w:rPr>
                <w:sz w:val="18"/>
                <w:szCs w:val="18"/>
              </w:rPr>
            </w:pPr>
            <w:r w:rsidRPr="00AC375F">
              <w:rPr>
                <w:sz w:val="18"/>
                <w:szCs w:val="18"/>
              </w:rPr>
              <w:t>1</w:t>
            </w:r>
          </w:p>
        </w:tc>
        <w:tc>
          <w:tcPr>
            <w:tcW w:w="1378" w:type="dxa"/>
            <w:shd w:val="clear" w:color="auto" w:fill="auto"/>
            <w:noWrap/>
          </w:tcPr>
          <w:p w14:paraId="08BD8C10" w14:textId="77777777" w:rsidR="00AC375F" w:rsidRPr="00AC375F" w:rsidRDefault="00AC375F" w:rsidP="00AC375F">
            <w:pPr>
              <w:jc w:val="center"/>
              <w:rPr>
                <w:sz w:val="18"/>
                <w:szCs w:val="18"/>
              </w:rPr>
            </w:pPr>
            <w:r w:rsidRPr="00AC375F">
              <w:rPr>
                <w:sz w:val="18"/>
                <w:szCs w:val="18"/>
              </w:rPr>
              <w:t>siječanj</w:t>
            </w:r>
          </w:p>
        </w:tc>
        <w:tc>
          <w:tcPr>
            <w:tcW w:w="1177" w:type="dxa"/>
            <w:shd w:val="clear" w:color="auto" w:fill="auto"/>
            <w:noWrap/>
          </w:tcPr>
          <w:p w14:paraId="6AB2EF24" w14:textId="77777777" w:rsidR="00AC375F" w:rsidRPr="00AC375F" w:rsidRDefault="00AC375F" w:rsidP="00AC375F">
            <w:pPr>
              <w:jc w:val="center"/>
              <w:rPr>
                <w:sz w:val="18"/>
                <w:szCs w:val="18"/>
              </w:rPr>
            </w:pPr>
            <w:r w:rsidRPr="00AC375F">
              <w:rPr>
                <w:sz w:val="18"/>
                <w:szCs w:val="18"/>
              </w:rPr>
              <w:t>1</w:t>
            </w:r>
          </w:p>
        </w:tc>
      </w:tr>
      <w:tr w:rsidR="00AC375F" w:rsidRPr="00AC375F" w14:paraId="4EEB9626" w14:textId="77777777" w:rsidTr="00991955">
        <w:trPr>
          <w:trHeight w:val="300"/>
        </w:trPr>
        <w:tc>
          <w:tcPr>
            <w:tcW w:w="4445" w:type="dxa"/>
            <w:shd w:val="clear" w:color="auto" w:fill="auto"/>
            <w:noWrap/>
          </w:tcPr>
          <w:p w14:paraId="5D16DAF1" w14:textId="77777777" w:rsidR="00AC375F" w:rsidRPr="00AC375F" w:rsidRDefault="00AC375F" w:rsidP="00AC375F">
            <w:pPr>
              <w:rPr>
                <w:b/>
                <w:bCs/>
                <w:sz w:val="18"/>
                <w:szCs w:val="18"/>
              </w:rPr>
            </w:pPr>
          </w:p>
        </w:tc>
        <w:tc>
          <w:tcPr>
            <w:tcW w:w="1484" w:type="dxa"/>
            <w:shd w:val="clear" w:color="auto" w:fill="auto"/>
            <w:noWrap/>
          </w:tcPr>
          <w:p w14:paraId="50DA257E" w14:textId="77777777" w:rsidR="00AC375F" w:rsidRPr="00AC375F" w:rsidRDefault="00AC375F" w:rsidP="00AC375F">
            <w:pPr>
              <w:jc w:val="center"/>
              <w:rPr>
                <w:sz w:val="18"/>
                <w:szCs w:val="18"/>
              </w:rPr>
            </w:pPr>
            <w:r w:rsidRPr="00AC375F">
              <w:rPr>
                <w:sz w:val="18"/>
                <w:szCs w:val="18"/>
              </w:rPr>
              <w:t>Bruxelles</w:t>
            </w:r>
          </w:p>
        </w:tc>
        <w:tc>
          <w:tcPr>
            <w:tcW w:w="944" w:type="dxa"/>
            <w:shd w:val="clear" w:color="auto" w:fill="auto"/>
            <w:noWrap/>
          </w:tcPr>
          <w:p w14:paraId="5BDD39B9" w14:textId="77777777" w:rsidR="00AC375F" w:rsidRPr="00AC375F" w:rsidRDefault="00AC375F" w:rsidP="00AC375F">
            <w:pPr>
              <w:jc w:val="center"/>
              <w:rPr>
                <w:sz w:val="18"/>
                <w:szCs w:val="18"/>
              </w:rPr>
            </w:pPr>
            <w:r w:rsidRPr="00AC375F">
              <w:rPr>
                <w:sz w:val="18"/>
                <w:szCs w:val="18"/>
              </w:rPr>
              <w:t>1</w:t>
            </w:r>
          </w:p>
        </w:tc>
        <w:tc>
          <w:tcPr>
            <w:tcW w:w="1378" w:type="dxa"/>
            <w:shd w:val="clear" w:color="auto" w:fill="auto"/>
            <w:noWrap/>
          </w:tcPr>
          <w:p w14:paraId="50FC5E13" w14:textId="77777777" w:rsidR="00AC375F" w:rsidRPr="00AC375F" w:rsidRDefault="00AC375F" w:rsidP="00AC375F">
            <w:pPr>
              <w:jc w:val="center"/>
              <w:rPr>
                <w:sz w:val="18"/>
                <w:szCs w:val="18"/>
              </w:rPr>
            </w:pPr>
            <w:r w:rsidRPr="00AC375F">
              <w:rPr>
                <w:sz w:val="18"/>
                <w:szCs w:val="18"/>
              </w:rPr>
              <w:t>siječanj</w:t>
            </w:r>
          </w:p>
        </w:tc>
        <w:tc>
          <w:tcPr>
            <w:tcW w:w="1177" w:type="dxa"/>
            <w:shd w:val="clear" w:color="auto" w:fill="auto"/>
            <w:noWrap/>
          </w:tcPr>
          <w:p w14:paraId="7CB1E002" w14:textId="77777777" w:rsidR="00AC375F" w:rsidRPr="00AC375F" w:rsidRDefault="00AC375F" w:rsidP="00AC375F">
            <w:pPr>
              <w:jc w:val="center"/>
              <w:rPr>
                <w:sz w:val="18"/>
                <w:szCs w:val="18"/>
              </w:rPr>
            </w:pPr>
            <w:r w:rsidRPr="00AC375F">
              <w:rPr>
                <w:sz w:val="18"/>
                <w:szCs w:val="18"/>
              </w:rPr>
              <w:t>2</w:t>
            </w:r>
          </w:p>
        </w:tc>
      </w:tr>
      <w:tr w:rsidR="00AC375F" w:rsidRPr="00AC375F" w14:paraId="7CC05F70" w14:textId="77777777" w:rsidTr="00991955">
        <w:trPr>
          <w:trHeight w:val="300"/>
        </w:trPr>
        <w:tc>
          <w:tcPr>
            <w:tcW w:w="4445" w:type="dxa"/>
            <w:shd w:val="clear" w:color="auto" w:fill="auto"/>
            <w:noWrap/>
          </w:tcPr>
          <w:p w14:paraId="3EEC1F86" w14:textId="77777777" w:rsidR="00AC375F" w:rsidRPr="00AC375F" w:rsidRDefault="00AC375F" w:rsidP="00AC375F">
            <w:pPr>
              <w:rPr>
                <w:b/>
                <w:bCs/>
                <w:sz w:val="18"/>
                <w:szCs w:val="18"/>
              </w:rPr>
            </w:pPr>
          </w:p>
        </w:tc>
        <w:tc>
          <w:tcPr>
            <w:tcW w:w="1484" w:type="dxa"/>
            <w:shd w:val="clear" w:color="auto" w:fill="auto"/>
            <w:noWrap/>
          </w:tcPr>
          <w:p w14:paraId="03822ADB" w14:textId="77777777" w:rsidR="00AC375F" w:rsidRPr="00AC375F" w:rsidRDefault="00AC375F" w:rsidP="00AC375F">
            <w:pPr>
              <w:jc w:val="center"/>
              <w:rPr>
                <w:sz w:val="18"/>
                <w:szCs w:val="18"/>
              </w:rPr>
            </w:pPr>
            <w:r w:rsidRPr="00AC375F">
              <w:rPr>
                <w:sz w:val="18"/>
                <w:szCs w:val="18"/>
              </w:rPr>
              <w:t>Bruxelles</w:t>
            </w:r>
          </w:p>
        </w:tc>
        <w:tc>
          <w:tcPr>
            <w:tcW w:w="944" w:type="dxa"/>
            <w:shd w:val="clear" w:color="auto" w:fill="auto"/>
            <w:noWrap/>
          </w:tcPr>
          <w:p w14:paraId="33B2B880" w14:textId="77777777" w:rsidR="00AC375F" w:rsidRPr="00AC375F" w:rsidRDefault="00AC375F" w:rsidP="00AC375F">
            <w:pPr>
              <w:jc w:val="center"/>
              <w:rPr>
                <w:sz w:val="18"/>
                <w:szCs w:val="18"/>
              </w:rPr>
            </w:pPr>
            <w:r w:rsidRPr="00AC375F">
              <w:rPr>
                <w:sz w:val="18"/>
                <w:szCs w:val="18"/>
              </w:rPr>
              <w:t>1</w:t>
            </w:r>
          </w:p>
        </w:tc>
        <w:tc>
          <w:tcPr>
            <w:tcW w:w="1378" w:type="dxa"/>
            <w:shd w:val="clear" w:color="auto" w:fill="auto"/>
            <w:noWrap/>
          </w:tcPr>
          <w:p w14:paraId="6A5CCF07" w14:textId="77777777" w:rsidR="00AC375F" w:rsidRPr="00AC375F" w:rsidRDefault="00AC375F" w:rsidP="00AC375F">
            <w:pPr>
              <w:jc w:val="center"/>
              <w:rPr>
                <w:sz w:val="18"/>
                <w:szCs w:val="18"/>
              </w:rPr>
            </w:pPr>
            <w:r w:rsidRPr="00AC375F">
              <w:rPr>
                <w:sz w:val="18"/>
                <w:szCs w:val="18"/>
              </w:rPr>
              <w:t>siječanj</w:t>
            </w:r>
          </w:p>
        </w:tc>
        <w:tc>
          <w:tcPr>
            <w:tcW w:w="1177" w:type="dxa"/>
            <w:shd w:val="clear" w:color="auto" w:fill="auto"/>
            <w:noWrap/>
          </w:tcPr>
          <w:p w14:paraId="057F3928" w14:textId="77777777" w:rsidR="00AC375F" w:rsidRPr="00AC375F" w:rsidRDefault="00AC375F" w:rsidP="00AC375F">
            <w:pPr>
              <w:jc w:val="center"/>
              <w:rPr>
                <w:sz w:val="18"/>
                <w:szCs w:val="18"/>
              </w:rPr>
            </w:pPr>
            <w:r w:rsidRPr="00AC375F">
              <w:rPr>
                <w:sz w:val="18"/>
                <w:szCs w:val="18"/>
              </w:rPr>
              <w:t>1</w:t>
            </w:r>
          </w:p>
        </w:tc>
      </w:tr>
      <w:tr w:rsidR="00AC375F" w:rsidRPr="00AC375F" w14:paraId="45160F6A" w14:textId="77777777" w:rsidTr="00991955">
        <w:trPr>
          <w:trHeight w:val="300"/>
        </w:trPr>
        <w:tc>
          <w:tcPr>
            <w:tcW w:w="4445" w:type="dxa"/>
            <w:shd w:val="clear" w:color="auto" w:fill="auto"/>
            <w:noWrap/>
          </w:tcPr>
          <w:p w14:paraId="7B1A3675" w14:textId="77777777" w:rsidR="00AC375F" w:rsidRPr="00AC375F" w:rsidRDefault="00AC375F" w:rsidP="00AC375F">
            <w:pPr>
              <w:rPr>
                <w:b/>
                <w:bCs/>
                <w:sz w:val="18"/>
                <w:szCs w:val="18"/>
              </w:rPr>
            </w:pPr>
          </w:p>
        </w:tc>
        <w:tc>
          <w:tcPr>
            <w:tcW w:w="1484" w:type="dxa"/>
            <w:shd w:val="clear" w:color="auto" w:fill="auto"/>
            <w:noWrap/>
          </w:tcPr>
          <w:p w14:paraId="37A82090" w14:textId="77777777" w:rsidR="00AC375F" w:rsidRPr="00AC375F" w:rsidRDefault="00AC375F" w:rsidP="00AC375F">
            <w:pPr>
              <w:jc w:val="center"/>
              <w:rPr>
                <w:sz w:val="18"/>
                <w:szCs w:val="18"/>
              </w:rPr>
            </w:pPr>
            <w:r w:rsidRPr="00AC375F">
              <w:rPr>
                <w:sz w:val="18"/>
                <w:szCs w:val="18"/>
              </w:rPr>
              <w:t>Bruxelles</w:t>
            </w:r>
          </w:p>
        </w:tc>
        <w:tc>
          <w:tcPr>
            <w:tcW w:w="944" w:type="dxa"/>
            <w:shd w:val="clear" w:color="auto" w:fill="auto"/>
            <w:noWrap/>
          </w:tcPr>
          <w:p w14:paraId="47F60A1B" w14:textId="77777777" w:rsidR="00AC375F" w:rsidRPr="00AC375F" w:rsidRDefault="00AC375F" w:rsidP="00AC375F">
            <w:pPr>
              <w:jc w:val="center"/>
              <w:rPr>
                <w:sz w:val="18"/>
                <w:szCs w:val="18"/>
              </w:rPr>
            </w:pPr>
            <w:r w:rsidRPr="00AC375F">
              <w:rPr>
                <w:sz w:val="18"/>
                <w:szCs w:val="18"/>
              </w:rPr>
              <w:t>1</w:t>
            </w:r>
          </w:p>
        </w:tc>
        <w:tc>
          <w:tcPr>
            <w:tcW w:w="1378" w:type="dxa"/>
            <w:shd w:val="clear" w:color="auto" w:fill="auto"/>
            <w:noWrap/>
          </w:tcPr>
          <w:p w14:paraId="44EE86D3" w14:textId="77777777" w:rsidR="00AC375F" w:rsidRPr="00AC375F" w:rsidRDefault="00AC375F" w:rsidP="00AC375F">
            <w:pPr>
              <w:jc w:val="center"/>
              <w:rPr>
                <w:sz w:val="18"/>
                <w:szCs w:val="18"/>
              </w:rPr>
            </w:pPr>
            <w:r w:rsidRPr="00AC375F">
              <w:rPr>
                <w:sz w:val="18"/>
                <w:szCs w:val="18"/>
              </w:rPr>
              <w:t>siječanj</w:t>
            </w:r>
          </w:p>
        </w:tc>
        <w:tc>
          <w:tcPr>
            <w:tcW w:w="1177" w:type="dxa"/>
            <w:shd w:val="clear" w:color="auto" w:fill="auto"/>
            <w:noWrap/>
          </w:tcPr>
          <w:p w14:paraId="0DB71E67" w14:textId="77777777" w:rsidR="00AC375F" w:rsidRPr="00AC375F" w:rsidRDefault="00AC375F" w:rsidP="00AC375F">
            <w:pPr>
              <w:jc w:val="center"/>
              <w:rPr>
                <w:sz w:val="18"/>
                <w:szCs w:val="18"/>
              </w:rPr>
            </w:pPr>
            <w:r w:rsidRPr="00AC375F">
              <w:rPr>
                <w:sz w:val="18"/>
                <w:szCs w:val="18"/>
              </w:rPr>
              <w:t>1</w:t>
            </w:r>
          </w:p>
        </w:tc>
      </w:tr>
      <w:tr w:rsidR="00AC375F" w:rsidRPr="00AC375F" w14:paraId="2F80ADF0" w14:textId="77777777" w:rsidTr="00991955">
        <w:trPr>
          <w:trHeight w:val="300"/>
        </w:trPr>
        <w:tc>
          <w:tcPr>
            <w:tcW w:w="4445" w:type="dxa"/>
            <w:shd w:val="clear" w:color="auto" w:fill="auto"/>
            <w:noWrap/>
          </w:tcPr>
          <w:p w14:paraId="7A5A1F9C" w14:textId="77777777" w:rsidR="00AC375F" w:rsidRPr="00AC375F" w:rsidRDefault="00AC375F" w:rsidP="00AC375F">
            <w:pPr>
              <w:rPr>
                <w:b/>
                <w:bCs/>
                <w:sz w:val="18"/>
                <w:szCs w:val="18"/>
              </w:rPr>
            </w:pPr>
          </w:p>
        </w:tc>
        <w:tc>
          <w:tcPr>
            <w:tcW w:w="1484" w:type="dxa"/>
            <w:shd w:val="clear" w:color="auto" w:fill="auto"/>
            <w:noWrap/>
          </w:tcPr>
          <w:p w14:paraId="6E7B9629" w14:textId="77777777" w:rsidR="00AC375F" w:rsidRPr="00AC375F" w:rsidRDefault="00AC375F" w:rsidP="00AC375F">
            <w:pPr>
              <w:jc w:val="center"/>
              <w:rPr>
                <w:sz w:val="18"/>
                <w:szCs w:val="18"/>
              </w:rPr>
            </w:pPr>
            <w:r w:rsidRPr="00AC375F">
              <w:rPr>
                <w:sz w:val="18"/>
                <w:szCs w:val="18"/>
              </w:rPr>
              <w:t>Bruxelles</w:t>
            </w:r>
          </w:p>
        </w:tc>
        <w:tc>
          <w:tcPr>
            <w:tcW w:w="944" w:type="dxa"/>
            <w:shd w:val="clear" w:color="auto" w:fill="auto"/>
            <w:noWrap/>
          </w:tcPr>
          <w:p w14:paraId="163C91B7" w14:textId="77777777" w:rsidR="00AC375F" w:rsidRPr="00AC375F" w:rsidRDefault="00AC375F" w:rsidP="00AC375F">
            <w:pPr>
              <w:jc w:val="center"/>
              <w:rPr>
                <w:sz w:val="18"/>
                <w:szCs w:val="18"/>
              </w:rPr>
            </w:pPr>
            <w:r w:rsidRPr="00AC375F">
              <w:rPr>
                <w:sz w:val="18"/>
                <w:szCs w:val="18"/>
              </w:rPr>
              <w:t>1</w:t>
            </w:r>
          </w:p>
        </w:tc>
        <w:tc>
          <w:tcPr>
            <w:tcW w:w="1378" w:type="dxa"/>
            <w:shd w:val="clear" w:color="auto" w:fill="auto"/>
            <w:noWrap/>
          </w:tcPr>
          <w:p w14:paraId="2CAEE5D5" w14:textId="77777777" w:rsidR="00AC375F" w:rsidRPr="00AC375F" w:rsidRDefault="00AC375F" w:rsidP="00AC375F">
            <w:pPr>
              <w:jc w:val="center"/>
              <w:rPr>
                <w:sz w:val="18"/>
                <w:szCs w:val="18"/>
              </w:rPr>
            </w:pPr>
            <w:r w:rsidRPr="00AC375F">
              <w:rPr>
                <w:sz w:val="18"/>
                <w:szCs w:val="18"/>
              </w:rPr>
              <w:t>siječanj</w:t>
            </w:r>
          </w:p>
        </w:tc>
        <w:tc>
          <w:tcPr>
            <w:tcW w:w="1177" w:type="dxa"/>
            <w:shd w:val="clear" w:color="auto" w:fill="auto"/>
            <w:noWrap/>
          </w:tcPr>
          <w:p w14:paraId="4CB3F9BD" w14:textId="77777777" w:rsidR="00AC375F" w:rsidRPr="00AC375F" w:rsidRDefault="00AC375F" w:rsidP="00AC375F">
            <w:pPr>
              <w:jc w:val="center"/>
              <w:rPr>
                <w:sz w:val="18"/>
                <w:szCs w:val="18"/>
              </w:rPr>
            </w:pPr>
            <w:r w:rsidRPr="00AC375F">
              <w:rPr>
                <w:sz w:val="18"/>
                <w:szCs w:val="18"/>
              </w:rPr>
              <w:t>2</w:t>
            </w:r>
          </w:p>
        </w:tc>
      </w:tr>
      <w:tr w:rsidR="00AC375F" w:rsidRPr="00AC375F" w14:paraId="0CDBCE98" w14:textId="77777777" w:rsidTr="00991955">
        <w:trPr>
          <w:trHeight w:val="300"/>
        </w:trPr>
        <w:tc>
          <w:tcPr>
            <w:tcW w:w="4445" w:type="dxa"/>
            <w:shd w:val="clear" w:color="auto" w:fill="auto"/>
            <w:noWrap/>
          </w:tcPr>
          <w:p w14:paraId="769DA7B3" w14:textId="77777777" w:rsidR="00AC375F" w:rsidRPr="00AC375F" w:rsidRDefault="00AC375F" w:rsidP="00AC375F">
            <w:pPr>
              <w:rPr>
                <w:b/>
                <w:bCs/>
                <w:sz w:val="18"/>
                <w:szCs w:val="18"/>
              </w:rPr>
            </w:pPr>
          </w:p>
        </w:tc>
        <w:tc>
          <w:tcPr>
            <w:tcW w:w="1484" w:type="dxa"/>
            <w:shd w:val="clear" w:color="auto" w:fill="auto"/>
            <w:noWrap/>
          </w:tcPr>
          <w:p w14:paraId="1937843A" w14:textId="77777777" w:rsidR="00AC375F" w:rsidRPr="00AC375F" w:rsidRDefault="00AC375F" w:rsidP="00AC375F">
            <w:pPr>
              <w:jc w:val="center"/>
              <w:rPr>
                <w:sz w:val="18"/>
                <w:szCs w:val="18"/>
              </w:rPr>
            </w:pPr>
            <w:r w:rsidRPr="00AC375F">
              <w:rPr>
                <w:sz w:val="18"/>
                <w:szCs w:val="18"/>
              </w:rPr>
              <w:t>Bruxelles</w:t>
            </w:r>
          </w:p>
        </w:tc>
        <w:tc>
          <w:tcPr>
            <w:tcW w:w="944" w:type="dxa"/>
            <w:shd w:val="clear" w:color="auto" w:fill="auto"/>
            <w:noWrap/>
          </w:tcPr>
          <w:p w14:paraId="01D864D7" w14:textId="77777777" w:rsidR="00AC375F" w:rsidRPr="00AC375F" w:rsidRDefault="00AC375F" w:rsidP="00AC375F">
            <w:pPr>
              <w:jc w:val="center"/>
              <w:rPr>
                <w:sz w:val="18"/>
                <w:szCs w:val="18"/>
              </w:rPr>
            </w:pPr>
            <w:r w:rsidRPr="00AC375F">
              <w:rPr>
                <w:sz w:val="18"/>
                <w:szCs w:val="18"/>
              </w:rPr>
              <w:t>1</w:t>
            </w:r>
          </w:p>
        </w:tc>
        <w:tc>
          <w:tcPr>
            <w:tcW w:w="1378" w:type="dxa"/>
            <w:shd w:val="clear" w:color="auto" w:fill="auto"/>
            <w:noWrap/>
          </w:tcPr>
          <w:p w14:paraId="65A12F52" w14:textId="77777777" w:rsidR="00AC375F" w:rsidRPr="00AC375F" w:rsidRDefault="00AC375F" w:rsidP="00AC375F">
            <w:pPr>
              <w:jc w:val="center"/>
              <w:rPr>
                <w:sz w:val="18"/>
                <w:szCs w:val="18"/>
              </w:rPr>
            </w:pPr>
            <w:r w:rsidRPr="00AC375F">
              <w:rPr>
                <w:sz w:val="18"/>
                <w:szCs w:val="18"/>
              </w:rPr>
              <w:t>veljača</w:t>
            </w:r>
          </w:p>
        </w:tc>
        <w:tc>
          <w:tcPr>
            <w:tcW w:w="1177" w:type="dxa"/>
            <w:shd w:val="clear" w:color="auto" w:fill="auto"/>
            <w:noWrap/>
          </w:tcPr>
          <w:p w14:paraId="73A144DD" w14:textId="77777777" w:rsidR="00AC375F" w:rsidRPr="00AC375F" w:rsidRDefault="00AC375F" w:rsidP="00AC375F">
            <w:pPr>
              <w:jc w:val="center"/>
              <w:rPr>
                <w:sz w:val="18"/>
                <w:szCs w:val="18"/>
              </w:rPr>
            </w:pPr>
            <w:r w:rsidRPr="00AC375F">
              <w:rPr>
                <w:sz w:val="18"/>
                <w:szCs w:val="18"/>
              </w:rPr>
              <w:t>1</w:t>
            </w:r>
          </w:p>
        </w:tc>
      </w:tr>
      <w:tr w:rsidR="00AC375F" w:rsidRPr="00AC375F" w14:paraId="47706154" w14:textId="77777777" w:rsidTr="00991955">
        <w:trPr>
          <w:trHeight w:val="300"/>
        </w:trPr>
        <w:tc>
          <w:tcPr>
            <w:tcW w:w="4445" w:type="dxa"/>
            <w:shd w:val="clear" w:color="auto" w:fill="auto"/>
            <w:noWrap/>
          </w:tcPr>
          <w:p w14:paraId="67915DE1" w14:textId="77777777" w:rsidR="00AC375F" w:rsidRPr="00AC375F" w:rsidRDefault="00AC375F" w:rsidP="00AC375F">
            <w:pPr>
              <w:rPr>
                <w:b/>
                <w:bCs/>
                <w:sz w:val="18"/>
                <w:szCs w:val="18"/>
              </w:rPr>
            </w:pPr>
          </w:p>
        </w:tc>
        <w:tc>
          <w:tcPr>
            <w:tcW w:w="1484" w:type="dxa"/>
            <w:shd w:val="clear" w:color="auto" w:fill="auto"/>
            <w:noWrap/>
          </w:tcPr>
          <w:p w14:paraId="4ECB7793" w14:textId="77777777" w:rsidR="00AC375F" w:rsidRPr="00AC375F" w:rsidRDefault="00AC375F" w:rsidP="00AC375F">
            <w:pPr>
              <w:jc w:val="center"/>
              <w:rPr>
                <w:sz w:val="18"/>
                <w:szCs w:val="18"/>
              </w:rPr>
            </w:pPr>
            <w:r w:rsidRPr="00AC375F">
              <w:rPr>
                <w:sz w:val="18"/>
                <w:szCs w:val="18"/>
              </w:rPr>
              <w:t>Bruxelles</w:t>
            </w:r>
          </w:p>
        </w:tc>
        <w:tc>
          <w:tcPr>
            <w:tcW w:w="944" w:type="dxa"/>
            <w:shd w:val="clear" w:color="auto" w:fill="auto"/>
            <w:noWrap/>
          </w:tcPr>
          <w:p w14:paraId="6EB71F63" w14:textId="77777777" w:rsidR="00AC375F" w:rsidRPr="00AC375F" w:rsidRDefault="00AC375F" w:rsidP="00AC375F">
            <w:pPr>
              <w:jc w:val="center"/>
              <w:rPr>
                <w:sz w:val="18"/>
                <w:szCs w:val="18"/>
              </w:rPr>
            </w:pPr>
            <w:r w:rsidRPr="00AC375F">
              <w:rPr>
                <w:sz w:val="18"/>
                <w:szCs w:val="18"/>
              </w:rPr>
              <w:t>1</w:t>
            </w:r>
          </w:p>
        </w:tc>
        <w:tc>
          <w:tcPr>
            <w:tcW w:w="1378" w:type="dxa"/>
            <w:shd w:val="clear" w:color="auto" w:fill="auto"/>
            <w:noWrap/>
          </w:tcPr>
          <w:p w14:paraId="023C02C5" w14:textId="77777777" w:rsidR="00AC375F" w:rsidRPr="00AC375F" w:rsidRDefault="00AC375F" w:rsidP="00AC375F">
            <w:pPr>
              <w:jc w:val="center"/>
              <w:rPr>
                <w:sz w:val="18"/>
                <w:szCs w:val="18"/>
              </w:rPr>
            </w:pPr>
            <w:r w:rsidRPr="00AC375F">
              <w:rPr>
                <w:sz w:val="18"/>
                <w:szCs w:val="18"/>
              </w:rPr>
              <w:t>veljača</w:t>
            </w:r>
          </w:p>
        </w:tc>
        <w:tc>
          <w:tcPr>
            <w:tcW w:w="1177" w:type="dxa"/>
            <w:shd w:val="clear" w:color="auto" w:fill="auto"/>
            <w:noWrap/>
          </w:tcPr>
          <w:p w14:paraId="5342DEF6" w14:textId="77777777" w:rsidR="00AC375F" w:rsidRPr="00AC375F" w:rsidRDefault="00AC375F" w:rsidP="00AC375F">
            <w:pPr>
              <w:jc w:val="center"/>
              <w:rPr>
                <w:sz w:val="18"/>
                <w:szCs w:val="18"/>
              </w:rPr>
            </w:pPr>
            <w:r w:rsidRPr="00AC375F">
              <w:rPr>
                <w:sz w:val="18"/>
                <w:szCs w:val="18"/>
              </w:rPr>
              <w:t>1</w:t>
            </w:r>
          </w:p>
        </w:tc>
      </w:tr>
      <w:tr w:rsidR="00AC375F" w:rsidRPr="00AC375F" w14:paraId="5E27B731" w14:textId="77777777" w:rsidTr="00991955">
        <w:trPr>
          <w:trHeight w:val="300"/>
        </w:trPr>
        <w:tc>
          <w:tcPr>
            <w:tcW w:w="4445" w:type="dxa"/>
            <w:shd w:val="clear" w:color="auto" w:fill="auto"/>
            <w:noWrap/>
          </w:tcPr>
          <w:p w14:paraId="3D52BBD1" w14:textId="77777777" w:rsidR="00AC375F" w:rsidRPr="00AC375F" w:rsidRDefault="00AC375F" w:rsidP="00AC375F">
            <w:pPr>
              <w:rPr>
                <w:b/>
                <w:bCs/>
                <w:sz w:val="18"/>
                <w:szCs w:val="18"/>
              </w:rPr>
            </w:pPr>
          </w:p>
        </w:tc>
        <w:tc>
          <w:tcPr>
            <w:tcW w:w="1484" w:type="dxa"/>
            <w:shd w:val="clear" w:color="auto" w:fill="auto"/>
            <w:noWrap/>
          </w:tcPr>
          <w:p w14:paraId="29FC14C6" w14:textId="77777777" w:rsidR="00AC375F" w:rsidRPr="00AC375F" w:rsidRDefault="00AC375F" w:rsidP="00AC375F">
            <w:pPr>
              <w:jc w:val="center"/>
              <w:rPr>
                <w:sz w:val="18"/>
                <w:szCs w:val="18"/>
              </w:rPr>
            </w:pPr>
            <w:r w:rsidRPr="00AC375F">
              <w:rPr>
                <w:sz w:val="18"/>
                <w:szCs w:val="18"/>
              </w:rPr>
              <w:t>Bruxelles</w:t>
            </w:r>
          </w:p>
        </w:tc>
        <w:tc>
          <w:tcPr>
            <w:tcW w:w="944" w:type="dxa"/>
            <w:shd w:val="clear" w:color="auto" w:fill="auto"/>
            <w:noWrap/>
          </w:tcPr>
          <w:p w14:paraId="46B5AD39" w14:textId="77777777" w:rsidR="00AC375F" w:rsidRPr="00AC375F" w:rsidRDefault="00AC375F" w:rsidP="00AC375F">
            <w:pPr>
              <w:jc w:val="center"/>
              <w:rPr>
                <w:sz w:val="18"/>
                <w:szCs w:val="18"/>
              </w:rPr>
            </w:pPr>
            <w:r w:rsidRPr="00AC375F">
              <w:rPr>
                <w:sz w:val="18"/>
                <w:szCs w:val="18"/>
              </w:rPr>
              <w:t>1</w:t>
            </w:r>
          </w:p>
        </w:tc>
        <w:tc>
          <w:tcPr>
            <w:tcW w:w="1378" w:type="dxa"/>
            <w:shd w:val="clear" w:color="auto" w:fill="auto"/>
            <w:noWrap/>
          </w:tcPr>
          <w:p w14:paraId="42C32D83" w14:textId="77777777" w:rsidR="00AC375F" w:rsidRPr="00AC375F" w:rsidRDefault="00AC375F" w:rsidP="00AC375F">
            <w:pPr>
              <w:jc w:val="center"/>
              <w:rPr>
                <w:sz w:val="18"/>
                <w:szCs w:val="18"/>
              </w:rPr>
            </w:pPr>
            <w:r w:rsidRPr="00AC375F">
              <w:rPr>
                <w:sz w:val="18"/>
                <w:szCs w:val="18"/>
              </w:rPr>
              <w:t>veljača</w:t>
            </w:r>
          </w:p>
        </w:tc>
        <w:tc>
          <w:tcPr>
            <w:tcW w:w="1177" w:type="dxa"/>
            <w:shd w:val="clear" w:color="auto" w:fill="auto"/>
            <w:noWrap/>
          </w:tcPr>
          <w:p w14:paraId="54B5D135" w14:textId="77777777" w:rsidR="00AC375F" w:rsidRPr="00AC375F" w:rsidRDefault="00AC375F" w:rsidP="00AC375F">
            <w:pPr>
              <w:jc w:val="center"/>
              <w:rPr>
                <w:sz w:val="18"/>
                <w:szCs w:val="18"/>
              </w:rPr>
            </w:pPr>
            <w:r w:rsidRPr="00AC375F">
              <w:rPr>
                <w:sz w:val="18"/>
                <w:szCs w:val="18"/>
              </w:rPr>
              <w:t>2</w:t>
            </w:r>
          </w:p>
        </w:tc>
      </w:tr>
      <w:tr w:rsidR="00AC375F" w:rsidRPr="00AC375F" w14:paraId="22C680E3" w14:textId="77777777" w:rsidTr="00991955">
        <w:trPr>
          <w:trHeight w:val="300"/>
        </w:trPr>
        <w:tc>
          <w:tcPr>
            <w:tcW w:w="4445" w:type="dxa"/>
            <w:shd w:val="clear" w:color="auto" w:fill="auto"/>
            <w:noWrap/>
          </w:tcPr>
          <w:p w14:paraId="34ABC3F2" w14:textId="77777777" w:rsidR="00AC375F" w:rsidRPr="00AC375F" w:rsidRDefault="00AC375F" w:rsidP="00AC375F">
            <w:pPr>
              <w:rPr>
                <w:b/>
                <w:bCs/>
                <w:sz w:val="18"/>
                <w:szCs w:val="18"/>
              </w:rPr>
            </w:pPr>
          </w:p>
        </w:tc>
        <w:tc>
          <w:tcPr>
            <w:tcW w:w="1484" w:type="dxa"/>
            <w:shd w:val="clear" w:color="auto" w:fill="auto"/>
            <w:noWrap/>
          </w:tcPr>
          <w:p w14:paraId="3C88D908" w14:textId="77777777" w:rsidR="00AC375F" w:rsidRPr="00AC375F" w:rsidRDefault="00AC375F" w:rsidP="00AC375F">
            <w:pPr>
              <w:jc w:val="center"/>
              <w:rPr>
                <w:sz w:val="18"/>
                <w:szCs w:val="18"/>
              </w:rPr>
            </w:pPr>
            <w:r w:rsidRPr="00AC375F">
              <w:rPr>
                <w:sz w:val="18"/>
                <w:szCs w:val="18"/>
              </w:rPr>
              <w:t>Bruxelles</w:t>
            </w:r>
          </w:p>
        </w:tc>
        <w:tc>
          <w:tcPr>
            <w:tcW w:w="944" w:type="dxa"/>
            <w:shd w:val="clear" w:color="auto" w:fill="auto"/>
            <w:noWrap/>
          </w:tcPr>
          <w:p w14:paraId="68FAD1A2" w14:textId="77777777" w:rsidR="00AC375F" w:rsidRPr="00AC375F" w:rsidRDefault="00AC375F" w:rsidP="00AC375F">
            <w:pPr>
              <w:jc w:val="center"/>
              <w:rPr>
                <w:sz w:val="18"/>
                <w:szCs w:val="18"/>
              </w:rPr>
            </w:pPr>
            <w:r w:rsidRPr="00AC375F">
              <w:rPr>
                <w:sz w:val="18"/>
                <w:szCs w:val="18"/>
              </w:rPr>
              <w:t>1</w:t>
            </w:r>
          </w:p>
        </w:tc>
        <w:tc>
          <w:tcPr>
            <w:tcW w:w="1378" w:type="dxa"/>
            <w:shd w:val="clear" w:color="auto" w:fill="auto"/>
            <w:noWrap/>
          </w:tcPr>
          <w:p w14:paraId="794929DC" w14:textId="77777777" w:rsidR="00AC375F" w:rsidRPr="00AC375F" w:rsidRDefault="00AC375F" w:rsidP="00AC375F">
            <w:pPr>
              <w:jc w:val="center"/>
              <w:rPr>
                <w:sz w:val="18"/>
                <w:szCs w:val="18"/>
              </w:rPr>
            </w:pPr>
            <w:r w:rsidRPr="00AC375F">
              <w:rPr>
                <w:sz w:val="18"/>
                <w:szCs w:val="18"/>
              </w:rPr>
              <w:t>veljača</w:t>
            </w:r>
          </w:p>
        </w:tc>
        <w:tc>
          <w:tcPr>
            <w:tcW w:w="1177" w:type="dxa"/>
            <w:shd w:val="clear" w:color="auto" w:fill="auto"/>
            <w:noWrap/>
          </w:tcPr>
          <w:p w14:paraId="06D7E05A" w14:textId="77777777" w:rsidR="00AC375F" w:rsidRPr="00AC375F" w:rsidRDefault="00AC375F" w:rsidP="00AC375F">
            <w:pPr>
              <w:jc w:val="center"/>
              <w:rPr>
                <w:sz w:val="18"/>
                <w:szCs w:val="18"/>
              </w:rPr>
            </w:pPr>
            <w:r w:rsidRPr="00AC375F">
              <w:rPr>
                <w:sz w:val="18"/>
                <w:szCs w:val="18"/>
              </w:rPr>
              <w:t>1</w:t>
            </w:r>
          </w:p>
        </w:tc>
      </w:tr>
      <w:tr w:rsidR="00AC375F" w:rsidRPr="00AC375F" w14:paraId="48ADBD08" w14:textId="77777777" w:rsidTr="00991955">
        <w:trPr>
          <w:trHeight w:val="300"/>
        </w:trPr>
        <w:tc>
          <w:tcPr>
            <w:tcW w:w="4445" w:type="dxa"/>
            <w:shd w:val="clear" w:color="auto" w:fill="auto"/>
            <w:noWrap/>
          </w:tcPr>
          <w:p w14:paraId="344B540A" w14:textId="77777777" w:rsidR="00AC375F" w:rsidRPr="00AC375F" w:rsidRDefault="00AC375F" w:rsidP="00AC375F">
            <w:pPr>
              <w:rPr>
                <w:b/>
                <w:bCs/>
                <w:sz w:val="18"/>
                <w:szCs w:val="18"/>
              </w:rPr>
            </w:pPr>
          </w:p>
        </w:tc>
        <w:tc>
          <w:tcPr>
            <w:tcW w:w="1484" w:type="dxa"/>
            <w:shd w:val="clear" w:color="auto" w:fill="auto"/>
            <w:noWrap/>
          </w:tcPr>
          <w:p w14:paraId="48E3D9BA" w14:textId="77777777" w:rsidR="00AC375F" w:rsidRPr="00AC375F" w:rsidRDefault="00AC375F" w:rsidP="00AC375F">
            <w:pPr>
              <w:jc w:val="center"/>
              <w:rPr>
                <w:sz w:val="18"/>
                <w:szCs w:val="18"/>
              </w:rPr>
            </w:pPr>
            <w:r w:rsidRPr="00AC375F">
              <w:rPr>
                <w:sz w:val="18"/>
                <w:szCs w:val="18"/>
              </w:rPr>
              <w:t>Bruxelles</w:t>
            </w:r>
          </w:p>
        </w:tc>
        <w:tc>
          <w:tcPr>
            <w:tcW w:w="944" w:type="dxa"/>
            <w:shd w:val="clear" w:color="auto" w:fill="auto"/>
            <w:noWrap/>
          </w:tcPr>
          <w:p w14:paraId="68248318" w14:textId="77777777" w:rsidR="00AC375F" w:rsidRPr="00AC375F" w:rsidRDefault="00AC375F" w:rsidP="00AC375F">
            <w:pPr>
              <w:jc w:val="center"/>
              <w:rPr>
                <w:sz w:val="18"/>
                <w:szCs w:val="18"/>
              </w:rPr>
            </w:pPr>
            <w:r w:rsidRPr="00AC375F">
              <w:rPr>
                <w:sz w:val="18"/>
                <w:szCs w:val="18"/>
              </w:rPr>
              <w:t>1</w:t>
            </w:r>
          </w:p>
        </w:tc>
        <w:tc>
          <w:tcPr>
            <w:tcW w:w="1378" w:type="dxa"/>
            <w:shd w:val="clear" w:color="auto" w:fill="auto"/>
            <w:noWrap/>
          </w:tcPr>
          <w:p w14:paraId="5BC61758" w14:textId="77777777" w:rsidR="00AC375F" w:rsidRPr="00AC375F" w:rsidRDefault="00AC375F" w:rsidP="00AC375F">
            <w:pPr>
              <w:jc w:val="center"/>
              <w:rPr>
                <w:sz w:val="18"/>
                <w:szCs w:val="18"/>
              </w:rPr>
            </w:pPr>
            <w:r w:rsidRPr="00AC375F">
              <w:rPr>
                <w:sz w:val="18"/>
                <w:szCs w:val="18"/>
              </w:rPr>
              <w:t>veljača</w:t>
            </w:r>
          </w:p>
        </w:tc>
        <w:tc>
          <w:tcPr>
            <w:tcW w:w="1177" w:type="dxa"/>
            <w:shd w:val="clear" w:color="auto" w:fill="auto"/>
            <w:noWrap/>
          </w:tcPr>
          <w:p w14:paraId="597A6CD3" w14:textId="77777777" w:rsidR="00AC375F" w:rsidRPr="00AC375F" w:rsidRDefault="00AC375F" w:rsidP="00AC375F">
            <w:pPr>
              <w:jc w:val="center"/>
              <w:rPr>
                <w:sz w:val="18"/>
                <w:szCs w:val="18"/>
              </w:rPr>
            </w:pPr>
            <w:r w:rsidRPr="00AC375F">
              <w:rPr>
                <w:sz w:val="18"/>
                <w:szCs w:val="18"/>
              </w:rPr>
              <w:t>1</w:t>
            </w:r>
          </w:p>
        </w:tc>
      </w:tr>
      <w:tr w:rsidR="00AC375F" w:rsidRPr="00AC375F" w14:paraId="64239A28" w14:textId="77777777" w:rsidTr="00991955">
        <w:trPr>
          <w:trHeight w:val="300"/>
        </w:trPr>
        <w:tc>
          <w:tcPr>
            <w:tcW w:w="4445" w:type="dxa"/>
            <w:shd w:val="clear" w:color="auto" w:fill="auto"/>
            <w:noWrap/>
          </w:tcPr>
          <w:p w14:paraId="4C39C8B4" w14:textId="77777777" w:rsidR="00AC375F" w:rsidRPr="00AC375F" w:rsidRDefault="00AC375F" w:rsidP="00AC375F">
            <w:pPr>
              <w:rPr>
                <w:b/>
                <w:bCs/>
                <w:sz w:val="18"/>
                <w:szCs w:val="18"/>
              </w:rPr>
            </w:pPr>
          </w:p>
        </w:tc>
        <w:tc>
          <w:tcPr>
            <w:tcW w:w="1484" w:type="dxa"/>
            <w:shd w:val="clear" w:color="auto" w:fill="auto"/>
            <w:noWrap/>
          </w:tcPr>
          <w:p w14:paraId="5FD57156" w14:textId="77777777" w:rsidR="00AC375F" w:rsidRPr="00AC375F" w:rsidRDefault="00AC375F" w:rsidP="00AC375F">
            <w:pPr>
              <w:jc w:val="center"/>
              <w:rPr>
                <w:sz w:val="18"/>
                <w:szCs w:val="18"/>
              </w:rPr>
            </w:pPr>
            <w:r w:rsidRPr="00AC375F">
              <w:rPr>
                <w:sz w:val="18"/>
                <w:szCs w:val="18"/>
              </w:rPr>
              <w:t>Bruxelles</w:t>
            </w:r>
          </w:p>
        </w:tc>
        <w:tc>
          <w:tcPr>
            <w:tcW w:w="944" w:type="dxa"/>
            <w:shd w:val="clear" w:color="auto" w:fill="auto"/>
            <w:noWrap/>
          </w:tcPr>
          <w:p w14:paraId="1A69E92E" w14:textId="77777777" w:rsidR="00AC375F" w:rsidRPr="00AC375F" w:rsidRDefault="00AC375F" w:rsidP="00AC375F">
            <w:pPr>
              <w:jc w:val="center"/>
              <w:rPr>
                <w:sz w:val="18"/>
                <w:szCs w:val="18"/>
              </w:rPr>
            </w:pPr>
            <w:r w:rsidRPr="00AC375F">
              <w:rPr>
                <w:sz w:val="18"/>
                <w:szCs w:val="18"/>
              </w:rPr>
              <w:t>1</w:t>
            </w:r>
          </w:p>
        </w:tc>
        <w:tc>
          <w:tcPr>
            <w:tcW w:w="1378" w:type="dxa"/>
            <w:shd w:val="clear" w:color="auto" w:fill="auto"/>
            <w:noWrap/>
          </w:tcPr>
          <w:p w14:paraId="6C2343A1" w14:textId="77777777" w:rsidR="00AC375F" w:rsidRPr="00AC375F" w:rsidRDefault="00AC375F" w:rsidP="00AC375F">
            <w:pPr>
              <w:jc w:val="center"/>
              <w:rPr>
                <w:sz w:val="18"/>
                <w:szCs w:val="18"/>
              </w:rPr>
            </w:pPr>
            <w:r w:rsidRPr="00AC375F">
              <w:rPr>
                <w:sz w:val="18"/>
                <w:szCs w:val="18"/>
              </w:rPr>
              <w:t>veljača</w:t>
            </w:r>
          </w:p>
        </w:tc>
        <w:tc>
          <w:tcPr>
            <w:tcW w:w="1177" w:type="dxa"/>
            <w:shd w:val="clear" w:color="auto" w:fill="auto"/>
            <w:noWrap/>
          </w:tcPr>
          <w:p w14:paraId="1FE660FD" w14:textId="77777777" w:rsidR="00AC375F" w:rsidRPr="00AC375F" w:rsidRDefault="00AC375F" w:rsidP="00AC375F">
            <w:pPr>
              <w:jc w:val="center"/>
              <w:rPr>
                <w:sz w:val="18"/>
                <w:szCs w:val="18"/>
              </w:rPr>
            </w:pPr>
            <w:r w:rsidRPr="00AC375F">
              <w:rPr>
                <w:sz w:val="18"/>
                <w:szCs w:val="18"/>
              </w:rPr>
              <w:t>2</w:t>
            </w:r>
          </w:p>
        </w:tc>
      </w:tr>
      <w:tr w:rsidR="00AC375F" w:rsidRPr="00AC375F" w14:paraId="70BCD218" w14:textId="77777777" w:rsidTr="00991955">
        <w:trPr>
          <w:trHeight w:val="300"/>
        </w:trPr>
        <w:tc>
          <w:tcPr>
            <w:tcW w:w="4445" w:type="dxa"/>
            <w:shd w:val="clear" w:color="auto" w:fill="auto"/>
            <w:noWrap/>
          </w:tcPr>
          <w:p w14:paraId="44DDDEFA" w14:textId="77777777" w:rsidR="00AC375F" w:rsidRPr="00AC375F" w:rsidRDefault="00AC375F" w:rsidP="00AC375F">
            <w:pPr>
              <w:rPr>
                <w:b/>
                <w:bCs/>
                <w:sz w:val="18"/>
                <w:szCs w:val="18"/>
              </w:rPr>
            </w:pPr>
          </w:p>
        </w:tc>
        <w:tc>
          <w:tcPr>
            <w:tcW w:w="1484" w:type="dxa"/>
            <w:shd w:val="clear" w:color="auto" w:fill="auto"/>
            <w:noWrap/>
          </w:tcPr>
          <w:p w14:paraId="0EBFEC9F" w14:textId="77777777" w:rsidR="00AC375F" w:rsidRPr="00AC375F" w:rsidRDefault="00AC375F" w:rsidP="00AC375F">
            <w:pPr>
              <w:jc w:val="center"/>
              <w:rPr>
                <w:sz w:val="18"/>
                <w:szCs w:val="18"/>
              </w:rPr>
            </w:pPr>
            <w:r w:rsidRPr="00AC375F">
              <w:rPr>
                <w:sz w:val="18"/>
                <w:szCs w:val="18"/>
              </w:rPr>
              <w:t>Bruxelles</w:t>
            </w:r>
          </w:p>
        </w:tc>
        <w:tc>
          <w:tcPr>
            <w:tcW w:w="944" w:type="dxa"/>
            <w:shd w:val="clear" w:color="auto" w:fill="auto"/>
            <w:noWrap/>
          </w:tcPr>
          <w:p w14:paraId="73E55465" w14:textId="77777777" w:rsidR="00AC375F" w:rsidRPr="00AC375F" w:rsidRDefault="00AC375F" w:rsidP="00AC375F">
            <w:pPr>
              <w:jc w:val="center"/>
              <w:rPr>
                <w:sz w:val="18"/>
                <w:szCs w:val="18"/>
              </w:rPr>
            </w:pPr>
            <w:r w:rsidRPr="00AC375F">
              <w:rPr>
                <w:sz w:val="18"/>
                <w:szCs w:val="18"/>
              </w:rPr>
              <w:t>1</w:t>
            </w:r>
          </w:p>
        </w:tc>
        <w:tc>
          <w:tcPr>
            <w:tcW w:w="1378" w:type="dxa"/>
            <w:shd w:val="clear" w:color="auto" w:fill="auto"/>
            <w:noWrap/>
          </w:tcPr>
          <w:p w14:paraId="3FE38F37" w14:textId="77777777" w:rsidR="00AC375F" w:rsidRPr="00AC375F" w:rsidRDefault="00AC375F" w:rsidP="00AC375F">
            <w:pPr>
              <w:jc w:val="center"/>
              <w:rPr>
                <w:sz w:val="18"/>
                <w:szCs w:val="18"/>
              </w:rPr>
            </w:pPr>
            <w:r w:rsidRPr="00AC375F">
              <w:rPr>
                <w:sz w:val="18"/>
                <w:szCs w:val="18"/>
              </w:rPr>
              <w:t>veljača</w:t>
            </w:r>
          </w:p>
        </w:tc>
        <w:tc>
          <w:tcPr>
            <w:tcW w:w="1177" w:type="dxa"/>
            <w:shd w:val="clear" w:color="auto" w:fill="auto"/>
            <w:noWrap/>
          </w:tcPr>
          <w:p w14:paraId="17FA19CF" w14:textId="77777777" w:rsidR="00AC375F" w:rsidRPr="00AC375F" w:rsidRDefault="00AC375F" w:rsidP="00AC375F">
            <w:pPr>
              <w:jc w:val="center"/>
              <w:rPr>
                <w:sz w:val="18"/>
                <w:szCs w:val="18"/>
              </w:rPr>
            </w:pPr>
            <w:r w:rsidRPr="00AC375F">
              <w:rPr>
                <w:sz w:val="18"/>
                <w:szCs w:val="18"/>
              </w:rPr>
              <w:t>1</w:t>
            </w:r>
          </w:p>
        </w:tc>
      </w:tr>
      <w:tr w:rsidR="00AC375F" w:rsidRPr="00AC375F" w14:paraId="30ACAE7E" w14:textId="77777777" w:rsidTr="00991955">
        <w:trPr>
          <w:trHeight w:val="300"/>
        </w:trPr>
        <w:tc>
          <w:tcPr>
            <w:tcW w:w="4445" w:type="dxa"/>
            <w:shd w:val="clear" w:color="auto" w:fill="auto"/>
            <w:noWrap/>
          </w:tcPr>
          <w:p w14:paraId="16D4CFE4" w14:textId="77777777" w:rsidR="00AC375F" w:rsidRPr="00AC375F" w:rsidRDefault="00AC375F" w:rsidP="00AC375F">
            <w:pPr>
              <w:rPr>
                <w:b/>
                <w:bCs/>
                <w:sz w:val="18"/>
                <w:szCs w:val="18"/>
              </w:rPr>
            </w:pPr>
          </w:p>
        </w:tc>
        <w:tc>
          <w:tcPr>
            <w:tcW w:w="1484" w:type="dxa"/>
            <w:shd w:val="clear" w:color="auto" w:fill="auto"/>
            <w:noWrap/>
          </w:tcPr>
          <w:p w14:paraId="7D382A54" w14:textId="77777777" w:rsidR="00AC375F" w:rsidRPr="00AC375F" w:rsidRDefault="00AC375F" w:rsidP="00AC375F">
            <w:pPr>
              <w:jc w:val="center"/>
              <w:rPr>
                <w:sz w:val="18"/>
                <w:szCs w:val="18"/>
              </w:rPr>
            </w:pPr>
            <w:r w:rsidRPr="00AC375F">
              <w:rPr>
                <w:sz w:val="18"/>
                <w:szCs w:val="18"/>
              </w:rPr>
              <w:t>Bruxelles</w:t>
            </w:r>
          </w:p>
        </w:tc>
        <w:tc>
          <w:tcPr>
            <w:tcW w:w="944" w:type="dxa"/>
            <w:shd w:val="clear" w:color="auto" w:fill="auto"/>
            <w:noWrap/>
          </w:tcPr>
          <w:p w14:paraId="6EBCC3CF" w14:textId="77777777" w:rsidR="00AC375F" w:rsidRPr="00AC375F" w:rsidRDefault="00AC375F" w:rsidP="00AC375F">
            <w:pPr>
              <w:jc w:val="center"/>
              <w:rPr>
                <w:sz w:val="18"/>
                <w:szCs w:val="18"/>
              </w:rPr>
            </w:pPr>
            <w:r w:rsidRPr="00AC375F">
              <w:rPr>
                <w:sz w:val="18"/>
                <w:szCs w:val="18"/>
              </w:rPr>
              <w:t>1</w:t>
            </w:r>
          </w:p>
        </w:tc>
        <w:tc>
          <w:tcPr>
            <w:tcW w:w="1378" w:type="dxa"/>
            <w:shd w:val="clear" w:color="auto" w:fill="auto"/>
            <w:noWrap/>
          </w:tcPr>
          <w:p w14:paraId="5AB0E099" w14:textId="77777777" w:rsidR="00AC375F" w:rsidRPr="00AC375F" w:rsidRDefault="00AC375F" w:rsidP="00AC375F">
            <w:pPr>
              <w:jc w:val="center"/>
              <w:rPr>
                <w:sz w:val="18"/>
                <w:szCs w:val="18"/>
              </w:rPr>
            </w:pPr>
            <w:r w:rsidRPr="00AC375F">
              <w:rPr>
                <w:sz w:val="18"/>
                <w:szCs w:val="18"/>
              </w:rPr>
              <w:t>veljača</w:t>
            </w:r>
          </w:p>
        </w:tc>
        <w:tc>
          <w:tcPr>
            <w:tcW w:w="1177" w:type="dxa"/>
            <w:shd w:val="clear" w:color="auto" w:fill="auto"/>
            <w:noWrap/>
          </w:tcPr>
          <w:p w14:paraId="4EA525EC" w14:textId="77777777" w:rsidR="00AC375F" w:rsidRPr="00AC375F" w:rsidRDefault="00AC375F" w:rsidP="00AC375F">
            <w:pPr>
              <w:jc w:val="center"/>
              <w:rPr>
                <w:sz w:val="18"/>
                <w:szCs w:val="18"/>
              </w:rPr>
            </w:pPr>
            <w:r w:rsidRPr="00AC375F">
              <w:rPr>
                <w:sz w:val="18"/>
                <w:szCs w:val="18"/>
              </w:rPr>
              <w:t>1</w:t>
            </w:r>
          </w:p>
        </w:tc>
      </w:tr>
      <w:tr w:rsidR="00AC375F" w:rsidRPr="00AC375F" w14:paraId="696D3ACD" w14:textId="77777777" w:rsidTr="00991955">
        <w:trPr>
          <w:trHeight w:val="300"/>
        </w:trPr>
        <w:tc>
          <w:tcPr>
            <w:tcW w:w="4445" w:type="dxa"/>
            <w:shd w:val="clear" w:color="auto" w:fill="auto"/>
            <w:noWrap/>
          </w:tcPr>
          <w:p w14:paraId="6BAEF6DB" w14:textId="77777777" w:rsidR="00AC375F" w:rsidRPr="00AC375F" w:rsidRDefault="00AC375F" w:rsidP="00AC375F">
            <w:pPr>
              <w:rPr>
                <w:b/>
                <w:bCs/>
                <w:sz w:val="18"/>
                <w:szCs w:val="18"/>
              </w:rPr>
            </w:pPr>
          </w:p>
        </w:tc>
        <w:tc>
          <w:tcPr>
            <w:tcW w:w="1484" w:type="dxa"/>
            <w:shd w:val="clear" w:color="auto" w:fill="auto"/>
            <w:noWrap/>
          </w:tcPr>
          <w:p w14:paraId="32411CA8" w14:textId="77777777" w:rsidR="00AC375F" w:rsidRPr="00AC375F" w:rsidRDefault="00AC375F" w:rsidP="00AC375F">
            <w:pPr>
              <w:jc w:val="center"/>
              <w:rPr>
                <w:sz w:val="18"/>
                <w:szCs w:val="18"/>
              </w:rPr>
            </w:pPr>
            <w:r w:rsidRPr="00AC375F">
              <w:rPr>
                <w:sz w:val="18"/>
                <w:szCs w:val="18"/>
              </w:rPr>
              <w:t>Bruxelles</w:t>
            </w:r>
          </w:p>
        </w:tc>
        <w:tc>
          <w:tcPr>
            <w:tcW w:w="944" w:type="dxa"/>
            <w:shd w:val="clear" w:color="auto" w:fill="auto"/>
            <w:noWrap/>
          </w:tcPr>
          <w:p w14:paraId="06F51E7E" w14:textId="77777777" w:rsidR="00AC375F" w:rsidRPr="00AC375F" w:rsidRDefault="00AC375F" w:rsidP="00AC375F">
            <w:pPr>
              <w:jc w:val="center"/>
              <w:rPr>
                <w:sz w:val="18"/>
                <w:szCs w:val="18"/>
              </w:rPr>
            </w:pPr>
            <w:r w:rsidRPr="00AC375F">
              <w:rPr>
                <w:sz w:val="18"/>
                <w:szCs w:val="18"/>
              </w:rPr>
              <w:t>1</w:t>
            </w:r>
          </w:p>
        </w:tc>
        <w:tc>
          <w:tcPr>
            <w:tcW w:w="1378" w:type="dxa"/>
            <w:shd w:val="clear" w:color="auto" w:fill="auto"/>
            <w:noWrap/>
          </w:tcPr>
          <w:p w14:paraId="049F89DD" w14:textId="77777777" w:rsidR="00AC375F" w:rsidRPr="00AC375F" w:rsidRDefault="00AC375F" w:rsidP="00AC375F">
            <w:pPr>
              <w:jc w:val="center"/>
              <w:rPr>
                <w:sz w:val="18"/>
                <w:szCs w:val="18"/>
              </w:rPr>
            </w:pPr>
            <w:r w:rsidRPr="00AC375F">
              <w:rPr>
                <w:sz w:val="18"/>
                <w:szCs w:val="18"/>
              </w:rPr>
              <w:t>veljača</w:t>
            </w:r>
          </w:p>
        </w:tc>
        <w:tc>
          <w:tcPr>
            <w:tcW w:w="1177" w:type="dxa"/>
            <w:shd w:val="clear" w:color="auto" w:fill="auto"/>
            <w:noWrap/>
          </w:tcPr>
          <w:p w14:paraId="77789EB3" w14:textId="77777777" w:rsidR="00AC375F" w:rsidRPr="00AC375F" w:rsidRDefault="00AC375F" w:rsidP="00AC375F">
            <w:pPr>
              <w:jc w:val="center"/>
              <w:rPr>
                <w:sz w:val="18"/>
                <w:szCs w:val="18"/>
              </w:rPr>
            </w:pPr>
            <w:r w:rsidRPr="00AC375F">
              <w:rPr>
                <w:sz w:val="18"/>
                <w:szCs w:val="18"/>
              </w:rPr>
              <w:t>1</w:t>
            </w:r>
          </w:p>
        </w:tc>
      </w:tr>
      <w:tr w:rsidR="00AC375F" w:rsidRPr="00AC375F" w14:paraId="0E585254" w14:textId="77777777" w:rsidTr="00991955">
        <w:trPr>
          <w:trHeight w:val="300"/>
        </w:trPr>
        <w:tc>
          <w:tcPr>
            <w:tcW w:w="4445" w:type="dxa"/>
            <w:shd w:val="clear" w:color="auto" w:fill="auto"/>
            <w:noWrap/>
          </w:tcPr>
          <w:p w14:paraId="1E75BB64" w14:textId="77777777" w:rsidR="00AC375F" w:rsidRPr="00AC375F" w:rsidRDefault="00AC375F" w:rsidP="00AC375F">
            <w:pPr>
              <w:rPr>
                <w:b/>
                <w:bCs/>
                <w:sz w:val="18"/>
                <w:szCs w:val="18"/>
              </w:rPr>
            </w:pPr>
          </w:p>
        </w:tc>
        <w:tc>
          <w:tcPr>
            <w:tcW w:w="1484" w:type="dxa"/>
            <w:shd w:val="clear" w:color="auto" w:fill="auto"/>
            <w:noWrap/>
          </w:tcPr>
          <w:p w14:paraId="25A2BAE7" w14:textId="77777777" w:rsidR="00AC375F" w:rsidRPr="00AC375F" w:rsidRDefault="00AC375F" w:rsidP="00AC375F">
            <w:pPr>
              <w:jc w:val="center"/>
              <w:rPr>
                <w:sz w:val="18"/>
                <w:szCs w:val="18"/>
              </w:rPr>
            </w:pPr>
            <w:r w:rsidRPr="00AC375F">
              <w:rPr>
                <w:sz w:val="18"/>
                <w:szCs w:val="18"/>
              </w:rPr>
              <w:t>Bruxelles</w:t>
            </w:r>
          </w:p>
        </w:tc>
        <w:tc>
          <w:tcPr>
            <w:tcW w:w="944" w:type="dxa"/>
            <w:shd w:val="clear" w:color="auto" w:fill="auto"/>
            <w:noWrap/>
          </w:tcPr>
          <w:p w14:paraId="6EE90602" w14:textId="77777777" w:rsidR="00AC375F" w:rsidRPr="00AC375F" w:rsidRDefault="00AC375F" w:rsidP="00AC375F">
            <w:pPr>
              <w:jc w:val="center"/>
              <w:rPr>
                <w:sz w:val="18"/>
                <w:szCs w:val="18"/>
              </w:rPr>
            </w:pPr>
            <w:r w:rsidRPr="00AC375F">
              <w:rPr>
                <w:sz w:val="18"/>
                <w:szCs w:val="18"/>
              </w:rPr>
              <w:t>1</w:t>
            </w:r>
          </w:p>
        </w:tc>
        <w:tc>
          <w:tcPr>
            <w:tcW w:w="1378" w:type="dxa"/>
            <w:shd w:val="clear" w:color="auto" w:fill="auto"/>
            <w:noWrap/>
          </w:tcPr>
          <w:p w14:paraId="7C986F9C" w14:textId="77777777" w:rsidR="00AC375F" w:rsidRPr="00AC375F" w:rsidRDefault="00AC375F" w:rsidP="00AC375F">
            <w:pPr>
              <w:jc w:val="center"/>
              <w:rPr>
                <w:sz w:val="18"/>
                <w:szCs w:val="18"/>
              </w:rPr>
            </w:pPr>
            <w:r w:rsidRPr="00AC375F">
              <w:rPr>
                <w:sz w:val="18"/>
                <w:szCs w:val="18"/>
              </w:rPr>
              <w:t>ožujak</w:t>
            </w:r>
          </w:p>
        </w:tc>
        <w:tc>
          <w:tcPr>
            <w:tcW w:w="1177" w:type="dxa"/>
            <w:shd w:val="clear" w:color="auto" w:fill="auto"/>
            <w:noWrap/>
          </w:tcPr>
          <w:p w14:paraId="7EFEC1A8" w14:textId="77777777" w:rsidR="00AC375F" w:rsidRPr="00AC375F" w:rsidRDefault="00AC375F" w:rsidP="00AC375F">
            <w:pPr>
              <w:jc w:val="center"/>
              <w:rPr>
                <w:sz w:val="18"/>
                <w:szCs w:val="18"/>
              </w:rPr>
            </w:pPr>
            <w:r w:rsidRPr="00AC375F">
              <w:rPr>
                <w:sz w:val="18"/>
                <w:szCs w:val="18"/>
              </w:rPr>
              <w:t>1</w:t>
            </w:r>
          </w:p>
        </w:tc>
      </w:tr>
      <w:tr w:rsidR="00AC375F" w:rsidRPr="00AC375F" w14:paraId="6BAEFC19" w14:textId="77777777" w:rsidTr="00991955">
        <w:trPr>
          <w:trHeight w:val="300"/>
        </w:trPr>
        <w:tc>
          <w:tcPr>
            <w:tcW w:w="4445" w:type="dxa"/>
            <w:shd w:val="clear" w:color="auto" w:fill="auto"/>
            <w:noWrap/>
          </w:tcPr>
          <w:p w14:paraId="6D5B2393" w14:textId="77777777" w:rsidR="00AC375F" w:rsidRPr="00AC375F" w:rsidRDefault="00AC375F" w:rsidP="00AC375F">
            <w:pPr>
              <w:rPr>
                <w:b/>
                <w:bCs/>
                <w:sz w:val="18"/>
                <w:szCs w:val="18"/>
              </w:rPr>
            </w:pPr>
          </w:p>
        </w:tc>
        <w:tc>
          <w:tcPr>
            <w:tcW w:w="1484" w:type="dxa"/>
            <w:shd w:val="clear" w:color="auto" w:fill="auto"/>
            <w:noWrap/>
          </w:tcPr>
          <w:p w14:paraId="5C70AE0B" w14:textId="77777777" w:rsidR="00AC375F" w:rsidRPr="00AC375F" w:rsidRDefault="00AC375F" w:rsidP="00AC375F">
            <w:pPr>
              <w:jc w:val="center"/>
              <w:rPr>
                <w:sz w:val="18"/>
                <w:szCs w:val="18"/>
              </w:rPr>
            </w:pPr>
            <w:r w:rsidRPr="00AC375F">
              <w:rPr>
                <w:sz w:val="18"/>
                <w:szCs w:val="18"/>
              </w:rPr>
              <w:t>Bruxelles</w:t>
            </w:r>
          </w:p>
        </w:tc>
        <w:tc>
          <w:tcPr>
            <w:tcW w:w="944" w:type="dxa"/>
            <w:shd w:val="clear" w:color="auto" w:fill="auto"/>
            <w:noWrap/>
          </w:tcPr>
          <w:p w14:paraId="69D1CEB6" w14:textId="77777777" w:rsidR="00AC375F" w:rsidRPr="00AC375F" w:rsidRDefault="00AC375F" w:rsidP="00AC375F">
            <w:pPr>
              <w:jc w:val="center"/>
              <w:rPr>
                <w:sz w:val="18"/>
                <w:szCs w:val="18"/>
              </w:rPr>
            </w:pPr>
            <w:r w:rsidRPr="00AC375F">
              <w:rPr>
                <w:sz w:val="18"/>
                <w:szCs w:val="18"/>
              </w:rPr>
              <w:t>1</w:t>
            </w:r>
          </w:p>
        </w:tc>
        <w:tc>
          <w:tcPr>
            <w:tcW w:w="1378" w:type="dxa"/>
            <w:shd w:val="clear" w:color="auto" w:fill="auto"/>
            <w:noWrap/>
          </w:tcPr>
          <w:p w14:paraId="30F3F97B" w14:textId="77777777" w:rsidR="00AC375F" w:rsidRPr="00AC375F" w:rsidRDefault="00AC375F" w:rsidP="00AC375F">
            <w:pPr>
              <w:jc w:val="center"/>
              <w:rPr>
                <w:sz w:val="18"/>
                <w:szCs w:val="18"/>
              </w:rPr>
            </w:pPr>
            <w:r w:rsidRPr="00AC375F">
              <w:rPr>
                <w:sz w:val="18"/>
                <w:szCs w:val="18"/>
              </w:rPr>
              <w:t>ožujak</w:t>
            </w:r>
          </w:p>
        </w:tc>
        <w:tc>
          <w:tcPr>
            <w:tcW w:w="1177" w:type="dxa"/>
            <w:shd w:val="clear" w:color="auto" w:fill="auto"/>
            <w:noWrap/>
          </w:tcPr>
          <w:p w14:paraId="1AB6A39A" w14:textId="77777777" w:rsidR="00AC375F" w:rsidRPr="00AC375F" w:rsidRDefault="00AC375F" w:rsidP="00AC375F">
            <w:pPr>
              <w:jc w:val="center"/>
              <w:rPr>
                <w:sz w:val="18"/>
                <w:szCs w:val="18"/>
              </w:rPr>
            </w:pPr>
            <w:r w:rsidRPr="00AC375F">
              <w:rPr>
                <w:sz w:val="18"/>
                <w:szCs w:val="18"/>
              </w:rPr>
              <w:t>1</w:t>
            </w:r>
          </w:p>
        </w:tc>
      </w:tr>
      <w:tr w:rsidR="00AC375F" w:rsidRPr="00AC375F" w14:paraId="3BDB3360" w14:textId="77777777" w:rsidTr="00991955">
        <w:trPr>
          <w:trHeight w:val="300"/>
        </w:trPr>
        <w:tc>
          <w:tcPr>
            <w:tcW w:w="4445" w:type="dxa"/>
            <w:shd w:val="clear" w:color="auto" w:fill="auto"/>
            <w:noWrap/>
          </w:tcPr>
          <w:p w14:paraId="330A2AEB" w14:textId="77777777" w:rsidR="00AC375F" w:rsidRPr="00AC375F" w:rsidRDefault="00AC375F" w:rsidP="00AC375F">
            <w:pPr>
              <w:rPr>
                <w:b/>
                <w:bCs/>
                <w:sz w:val="18"/>
                <w:szCs w:val="18"/>
              </w:rPr>
            </w:pPr>
          </w:p>
        </w:tc>
        <w:tc>
          <w:tcPr>
            <w:tcW w:w="1484" w:type="dxa"/>
            <w:shd w:val="clear" w:color="auto" w:fill="auto"/>
            <w:noWrap/>
          </w:tcPr>
          <w:p w14:paraId="281D3923" w14:textId="77777777" w:rsidR="00AC375F" w:rsidRPr="00AC375F" w:rsidRDefault="00AC375F" w:rsidP="00AC375F">
            <w:pPr>
              <w:jc w:val="center"/>
              <w:rPr>
                <w:sz w:val="18"/>
                <w:szCs w:val="18"/>
              </w:rPr>
            </w:pPr>
            <w:r w:rsidRPr="00AC375F">
              <w:rPr>
                <w:sz w:val="18"/>
                <w:szCs w:val="18"/>
              </w:rPr>
              <w:t>Bruxelles</w:t>
            </w:r>
          </w:p>
        </w:tc>
        <w:tc>
          <w:tcPr>
            <w:tcW w:w="944" w:type="dxa"/>
            <w:shd w:val="clear" w:color="auto" w:fill="auto"/>
            <w:noWrap/>
          </w:tcPr>
          <w:p w14:paraId="0425BD4C" w14:textId="77777777" w:rsidR="00AC375F" w:rsidRPr="00AC375F" w:rsidRDefault="00AC375F" w:rsidP="00AC375F">
            <w:pPr>
              <w:jc w:val="center"/>
              <w:rPr>
                <w:sz w:val="18"/>
                <w:szCs w:val="18"/>
              </w:rPr>
            </w:pPr>
            <w:r w:rsidRPr="00AC375F">
              <w:rPr>
                <w:sz w:val="18"/>
                <w:szCs w:val="18"/>
              </w:rPr>
              <w:t>1</w:t>
            </w:r>
          </w:p>
        </w:tc>
        <w:tc>
          <w:tcPr>
            <w:tcW w:w="1378" w:type="dxa"/>
            <w:shd w:val="clear" w:color="auto" w:fill="auto"/>
            <w:noWrap/>
          </w:tcPr>
          <w:p w14:paraId="36DBCE53" w14:textId="77777777" w:rsidR="00AC375F" w:rsidRPr="00AC375F" w:rsidRDefault="00AC375F" w:rsidP="00AC375F">
            <w:pPr>
              <w:jc w:val="center"/>
              <w:rPr>
                <w:sz w:val="18"/>
                <w:szCs w:val="18"/>
              </w:rPr>
            </w:pPr>
            <w:r w:rsidRPr="00AC375F">
              <w:rPr>
                <w:sz w:val="18"/>
                <w:szCs w:val="18"/>
              </w:rPr>
              <w:t>ožujak</w:t>
            </w:r>
          </w:p>
        </w:tc>
        <w:tc>
          <w:tcPr>
            <w:tcW w:w="1177" w:type="dxa"/>
            <w:shd w:val="clear" w:color="auto" w:fill="auto"/>
            <w:noWrap/>
          </w:tcPr>
          <w:p w14:paraId="29870518" w14:textId="77777777" w:rsidR="00AC375F" w:rsidRPr="00AC375F" w:rsidRDefault="00AC375F" w:rsidP="00AC375F">
            <w:pPr>
              <w:jc w:val="center"/>
              <w:rPr>
                <w:sz w:val="18"/>
                <w:szCs w:val="18"/>
              </w:rPr>
            </w:pPr>
            <w:r w:rsidRPr="00AC375F">
              <w:rPr>
                <w:sz w:val="18"/>
                <w:szCs w:val="18"/>
              </w:rPr>
              <w:t>1</w:t>
            </w:r>
          </w:p>
        </w:tc>
      </w:tr>
      <w:tr w:rsidR="00AC375F" w:rsidRPr="00AC375F" w14:paraId="5EE9AFD9" w14:textId="77777777" w:rsidTr="00991955">
        <w:trPr>
          <w:trHeight w:val="300"/>
        </w:trPr>
        <w:tc>
          <w:tcPr>
            <w:tcW w:w="4445" w:type="dxa"/>
            <w:shd w:val="clear" w:color="auto" w:fill="auto"/>
            <w:noWrap/>
          </w:tcPr>
          <w:p w14:paraId="634EB28E" w14:textId="77777777" w:rsidR="00AC375F" w:rsidRPr="00AC375F" w:rsidRDefault="00AC375F" w:rsidP="00AC375F">
            <w:pPr>
              <w:rPr>
                <w:b/>
                <w:bCs/>
                <w:sz w:val="18"/>
                <w:szCs w:val="18"/>
              </w:rPr>
            </w:pPr>
          </w:p>
        </w:tc>
        <w:tc>
          <w:tcPr>
            <w:tcW w:w="1484" w:type="dxa"/>
            <w:shd w:val="clear" w:color="auto" w:fill="auto"/>
            <w:noWrap/>
          </w:tcPr>
          <w:p w14:paraId="5D24D2C4" w14:textId="77777777" w:rsidR="00AC375F" w:rsidRPr="00AC375F" w:rsidRDefault="00AC375F" w:rsidP="00AC375F">
            <w:pPr>
              <w:jc w:val="center"/>
              <w:rPr>
                <w:sz w:val="18"/>
                <w:szCs w:val="18"/>
              </w:rPr>
            </w:pPr>
            <w:r w:rsidRPr="00AC375F">
              <w:rPr>
                <w:sz w:val="18"/>
                <w:szCs w:val="18"/>
              </w:rPr>
              <w:t>Bruxelles</w:t>
            </w:r>
          </w:p>
        </w:tc>
        <w:tc>
          <w:tcPr>
            <w:tcW w:w="944" w:type="dxa"/>
            <w:shd w:val="clear" w:color="auto" w:fill="auto"/>
            <w:noWrap/>
          </w:tcPr>
          <w:p w14:paraId="68B69998" w14:textId="77777777" w:rsidR="00AC375F" w:rsidRPr="00AC375F" w:rsidRDefault="00AC375F" w:rsidP="00AC375F">
            <w:pPr>
              <w:jc w:val="center"/>
              <w:rPr>
                <w:sz w:val="18"/>
                <w:szCs w:val="18"/>
              </w:rPr>
            </w:pPr>
            <w:r w:rsidRPr="00AC375F">
              <w:rPr>
                <w:sz w:val="18"/>
                <w:szCs w:val="18"/>
              </w:rPr>
              <w:t>1</w:t>
            </w:r>
          </w:p>
        </w:tc>
        <w:tc>
          <w:tcPr>
            <w:tcW w:w="1378" w:type="dxa"/>
            <w:shd w:val="clear" w:color="auto" w:fill="auto"/>
            <w:noWrap/>
          </w:tcPr>
          <w:p w14:paraId="402F47BE" w14:textId="77777777" w:rsidR="00AC375F" w:rsidRPr="00AC375F" w:rsidRDefault="00AC375F" w:rsidP="00AC375F">
            <w:pPr>
              <w:jc w:val="center"/>
              <w:rPr>
                <w:sz w:val="18"/>
                <w:szCs w:val="18"/>
              </w:rPr>
            </w:pPr>
            <w:r w:rsidRPr="00AC375F">
              <w:rPr>
                <w:sz w:val="18"/>
                <w:szCs w:val="18"/>
              </w:rPr>
              <w:t>ožujak</w:t>
            </w:r>
          </w:p>
        </w:tc>
        <w:tc>
          <w:tcPr>
            <w:tcW w:w="1177" w:type="dxa"/>
            <w:shd w:val="clear" w:color="auto" w:fill="auto"/>
            <w:noWrap/>
          </w:tcPr>
          <w:p w14:paraId="70E01099" w14:textId="77777777" w:rsidR="00AC375F" w:rsidRPr="00AC375F" w:rsidRDefault="00AC375F" w:rsidP="00AC375F">
            <w:pPr>
              <w:jc w:val="center"/>
              <w:rPr>
                <w:sz w:val="18"/>
                <w:szCs w:val="18"/>
              </w:rPr>
            </w:pPr>
            <w:r w:rsidRPr="00AC375F">
              <w:rPr>
                <w:sz w:val="18"/>
                <w:szCs w:val="18"/>
              </w:rPr>
              <w:t>1</w:t>
            </w:r>
          </w:p>
        </w:tc>
      </w:tr>
      <w:tr w:rsidR="00AC375F" w:rsidRPr="00AC375F" w14:paraId="7B99870C" w14:textId="77777777" w:rsidTr="00991955">
        <w:trPr>
          <w:trHeight w:val="300"/>
        </w:trPr>
        <w:tc>
          <w:tcPr>
            <w:tcW w:w="4445" w:type="dxa"/>
            <w:shd w:val="clear" w:color="auto" w:fill="auto"/>
            <w:noWrap/>
          </w:tcPr>
          <w:p w14:paraId="460BF1D2" w14:textId="77777777" w:rsidR="00AC375F" w:rsidRPr="00AC375F" w:rsidRDefault="00AC375F" w:rsidP="00AC375F">
            <w:pPr>
              <w:rPr>
                <w:b/>
                <w:bCs/>
                <w:sz w:val="18"/>
                <w:szCs w:val="18"/>
              </w:rPr>
            </w:pPr>
          </w:p>
        </w:tc>
        <w:tc>
          <w:tcPr>
            <w:tcW w:w="1484" w:type="dxa"/>
            <w:shd w:val="clear" w:color="auto" w:fill="auto"/>
            <w:noWrap/>
          </w:tcPr>
          <w:p w14:paraId="5348E4E6" w14:textId="77777777" w:rsidR="00AC375F" w:rsidRPr="00AC375F" w:rsidRDefault="00AC375F" w:rsidP="00AC375F">
            <w:pPr>
              <w:jc w:val="center"/>
              <w:rPr>
                <w:sz w:val="18"/>
                <w:szCs w:val="18"/>
              </w:rPr>
            </w:pPr>
            <w:r w:rsidRPr="00AC375F">
              <w:rPr>
                <w:sz w:val="18"/>
                <w:szCs w:val="18"/>
              </w:rPr>
              <w:t>Bruxelles</w:t>
            </w:r>
          </w:p>
        </w:tc>
        <w:tc>
          <w:tcPr>
            <w:tcW w:w="944" w:type="dxa"/>
            <w:shd w:val="clear" w:color="auto" w:fill="auto"/>
            <w:noWrap/>
          </w:tcPr>
          <w:p w14:paraId="2E821CB4" w14:textId="77777777" w:rsidR="00AC375F" w:rsidRPr="00AC375F" w:rsidRDefault="00AC375F" w:rsidP="00AC375F">
            <w:pPr>
              <w:jc w:val="center"/>
              <w:rPr>
                <w:sz w:val="18"/>
                <w:szCs w:val="18"/>
              </w:rPr>
            </w:pPr>
            <w:r w:rsidRPr="00AC375F">
              <w:rPr>
                <w:sz w:val="18"/>
                <w:szCs w:val="18"/>
              </w:rPr>
              <w:t>1</w:t>
            </w:r>
          </w:p>
        </w:tc>
        <w:tc>
          <w:tcPr>
            <w:tcW w:w="1378" w:type="dxa"/>
            <w:shd w:val="clear" w:color="auto" w:fill="auto"/>
            <w:noWrap/>
          </w:tcPr>
          <w:p w14:paraId="5093F45D" w14:textId="77777777" w:rsidR="00AC375F" w:rsidRPr="00AC375F" w:rsidRDefault="00AC375F" w:rsidP="00AC375F">
            <w:pPr>
              <w:jc w:val="center"/>
              <w:rPr>
                <w:sz w:val="18"/>
                <w:szCs w:val="18"/>
              </w:rPr>
            </w:pPr>
            <w:r w:rsidRPr="00AC375F">
              <w:rPr>
                <w:sz w:val="18"/>
                <w:szCs w:val="18"/>
              </w:rPr>
              <w:t>ožujak</w:t>
            </w:r>
          </w:p>
        </w:tc>
        <w:tc>
          <w:tcPr>
            <w:tcW w:w="1177" w:type="dxa"/>
            <w:shd w:val="clear" w:color="auto" w:fill="auto"/>
            <w:noWrap/>
          </w:tcPr>
          <w:p w14:paraId="57127EDB" w14:textId="77777777" w:rsidR="00AC375F" w:rsidRPr="00AC375F" w:rsidRDefault="00AC375F" w:rsidP="00AC375F">
            <w:pPr>
              <w:jc w:val="center"/>
              <w:rPr>
                <w:sz w:val="18"/>
                <w:szCs w:val="18"/>
              </w:rPr>
            </w:pPr>
            <w:r w:rsidRPr="00AC375F">
              <w:rPr>
                <w:sz w:val="18"/>
                <w:szCs w:val="18"/>
              </w:rPr>
              <w:t>1</w:t>
            </w:r>
          </w:p>
        </w:tc>
      </w:tr>
      <w:tr w:rsidR="00AC375F" w:rsidRPr="00AC375F" w14:paraId="14FDBF37" w14:textId="77777777" w:rsidTr="00991955">
        <w:trPr>
          <w:trHeight w:val="300"/>
        </w:trPr>
        <w:tc>
          <w:tcPr>
            <w:tcW w:w="4445" w:type="dxa"/>
            <w:shd w:val="clear" w:color="auto" w:fill="auto"/>
            <w:noWrap/>
          </w:tcPr>
          <w:p w14:paraId="4BDEE25A" w14:textId="77777777" w:rsidR="00AC375F" w:rsidRPr="00AC375F" w:rsidRDefault="00AC375F" w:rsidP="00AC375F">
            <w:pPr>
              <w:rPr>
                <w:b/>
                <w:bCs/>
                <w:sz w:val="18"/>
                <w:szCs w:val="18"/>
              </w:rPr>
            </w:pPr>
          </w:p>
        </w:tc>
        <w:tc>
          <w:tcPr>
            <w:tcW w:w="1484" w:type="dxa"/>
            <w:shd w:val="clear" w:color="auto" w:fill="auto"/>
            <w:noWrap/>
          </w:tcPr>
          <w:p w14:paraId="409E6E70" w14:textId="77777777" w:rsidR="00AC375F" w:rsidRPr="00AC375F" w:rsidRDefault="00AC375F" w:rsidP="00AC375F">
            <w:pPr>
              <w:jc w:val="center"/>
              <w:rPr>
                <w:sz w:val="18"/>
                <w:szCs w:val="18"/>
              </w:rPr>
            </w:pPr>
            <w:r w:rsidRPr="00AC375F">
              <w:rPr>
                <w:sz w:val="18"/>
                <w:szCs w:val="18"/>
              </w:rPr>
              <w:t>Bruxelles</w:t>
            </w:r>
          </w:p>
        </w:tc>
        <w:tc>
          <w:tcPr>
            <w:tcW w:w="944" w:type="dxa"/>
            <w:shd w:val="clear" w:color="auto" w:fill="auto"/>
            <w:noWrap/>
          </w:tcPr>
          <w:p w14:paraId="18FF8D11" w14:textId="77777777" w:rsidR="00AC375F" w:rsidRPr="00AC375F" w:rsidRDefault="00AC375F" w:rsidP="00AC375F">
            <w:pPr>
              <w:jc w:val="center"/>
              <w:rPr>
                <w:sz w:val="18"/>
                <w:szCs w:val="18"/>
              </w:rPr>
            </w:pPr>
            <w:r w:rsidRPr="00AC375F">
              <w:rPr>
                <w:sz w:val="18"/>
                <w:szCs w:val="18"/>
              </w:rPr>
              <w:t>1</w:t>
            </w:r>
          </w:p>
        </w:tc>
        <w:tc>
          <w:tcPr>
            <w:tcW w:w="1378" w:type="dxa"/>
            <w:shd w:val="clear" w:color="auto" w:fill="auto"/>
            <w:noWrap/>
          </w:tcPr>
          <w:p w14:paraId="1ED37881" w14:textId="77777777" w:rsidR="00AC375F" w:rsidRPr="00AC375F" w:rsidRDefault="00AC375F" w:rsidP="00AC375F">
            <w:pPr>
              <w:jc w:val="center"/>
              <w:rPr>
                <w:sz w:val="18"/>
                <w:szCs w:val="18"/>
              </w:rPr>
            </w:pPr>
            <w:r w:rsidRPr="00AC375F">
              <w:rPr>
                <w:sz w:val="18"/>
                <w:szCs w:val="18"/>
              </w:rPr>
              <w:t>travanj</w:t>
            </w:r>
          </w:p>
        </w:tc>
        <w:tc>
          <w:tcPr>
            <w:tcW w:w="1177" w:type="dxa"/>
            <w:shd w:val="clear" w:color="auto" w:fill="auto"/>
            <w:noWrap/>
          </w:tcPr>
          <w:p w14:paraId="31C2B09A" w14:textId="77777777" w:rsidR="00AC375F" w:rsidRPr="00AC375F" w:rsidRDefault="00AC375F" w:rsidP="00AC375F">
            <w:pPr>
              <w:jc w:val="center"/>
              <w:rPr>
                <w:sz w:val="18"/>
                <w:szCs w:val="18"/>
              </w:rPr>
            </w:pPr>
            <w:r w:rsidRPr="00AC375F">
              <w:rPr>
                <w:sz w:val="18"/>
                <w:szCs w:val="18"/>
              </w:rPr>
              <w:t>1</w:t>
            </w:r>
          </w:p>
        </w:tc>
      </w:tr>
      <w:tr w:rsidR="00AC375F" w:rsidRPr="00AC375F" w14:paraId="392BC1DB" w14:textId="77777777" w:rsidTr="00991955">
        <w:trPr>
          <w:trHeight w:val="300"/>
        </w:trPr>
        <w:tc>
          <w:tcPr>
            <w:tcW w:w="4445" w:type="dxa"/>
            <w:shd w:val="clear" w:color="auto" w:fill="auto"/>
            <w:noWrap/>
          </w:tcPr>
          <w:p w14:paraId="659D6E74" w14:textId="77777777" w:rsidR="00AC375F" w:rsidRPr="00AC375F" w:rsidRDefault="00AC375F" w:rsidP="00AC375F">
            <w:pPr>
              <w:rPr>
                <w:b/>
                <w:bCs/>
                <w:sz w:val="18"/>
                <w:szCs w:val="18"/>
              </w:rPr>
            </w:pPr>
          </w:p>
        </w:tc>
        <w:tc>
          <w:tcPr>
            <w:tcW w:w="1484" w:type="dxa"/>
            <w:shd w:val="clear" w:color="auto" w:fill="auto"/>
            <w:noWrap/>
          </w:tcPr>
          <w:p w14:paraId="63A3514C" w14:textId="77777777" w:rsidR="00AC375F" w:rsidRPr="00AC375F" w:rsidRDefault="00AC375F" w:rsidP="00AC375F">
            <w:pPr>
              <w:jc w:val="center"/>
              <w:rPr>
                <w:sz w:val="18"/>
                <w:szCs w:val="18"/>
              </w:rPr>
            </w:pPr>
            <w:r w:rsidRPr="00AC375F">
              <w:rPr>
                <w:sz w:val="18"/>
                <w:szCs w:val="18"/>
              </w:rPr>
              <w:t>Bruxelles</w:t>
            </w:r>
          </w:p>
        </w:tc>
        <w:tc>
          <w:tcPr>
            <w:tcW w:w="944" w:type="dxa"/>
            <w:shd w:val="clear" w:color="auto" w:fill="auto"/>
            <w:noWrap/>
          </w:tcPr>
          <w:p w14:paraId="0B72C5CD" w14:textId="77777777" w:rsidR="00AC375F" w:rsidRPr="00AC375F" w:rsidRDefault="00AC375F" w:rsidP="00AC375F">
            <w:pPr>
              <w:jc w:val="center"/>
              <w:rPr>
                <w:sz w:val="18"/>
                <w:szCs w:val="18"/>
              </w:rPr>
            </w:pPr>
            <w:r w:rsidRPr="00AC375F">
              <w:rPr>
                <w:sz w:val="18"/>
                <w:szCs w:val="18"/>
              </w:rPr>
              <w:t>1</w:t>
            </w:r>
          </w:p>
        </w:tc>
        <w:tc>
          <w:tcPr>
            <w:tcW w:w="1378" w:type="dxa"/>
            <w:shd w:val="clear" w:color="auto" w:fill="auto"/>
            <w:noWrap/>
          </w:tcPr>
          <w:p w14:paraId="4D1B003F" w14:textId="77777777" w:rsidR="00AC375F" w:rsidRPr="00AC375F" w:rsidRDefault="00AC375F" w:rsidP="00AC375F">
            <w:pPr>
              <w:jc w:val="center"/>
              <w:rPr>
                <w:sz w:val="18"/>
                <w:szCs w:val="18"/>
              </w:rPr>
            </w:pPr>
            <w:r w:rsidRPr="00AC375F">
              <w:rPr>
                <w:sz w:val="18"/>
                <w:szCs w:val="18"/>
              </w:rPr>
              <w:t>travanj</w:t>
            </w:r>
          </w:p>
        </w:tc>
        <w:tc>
          <w:tcPr>
            <w:tcW w:w="1177" w:type="dxa"/>
            <w:shd w:val="clear" w:color="auto" w:fill="auto"/>
            <w:noWrap/>
          </w:tcPr>
          <w:p w14:paraId="1FE54243" w14:textId="77777777" w:rsidR="00AC375F" w:rsidRPr="00AC375F" w:rsidRDefault="00AC375F" w:rsidP="00AC375F">
            <w:pPr>
              <w:jc w:val="center"/>
              <w:rPr>
                <w:sz w:val="18"/>
                <w:szCs w:val="18"/>
              </w:rPr>
            </w:pPr>
            <w:r w:rsidRPr="00AC375F">
              <w:rPr>
                <w:sz w:val="18"/>
                <w:szCs w:val="18"/>
              </w:rPr>
              <w:t>1</w:t>
            </w:r>
          </w:p>
        </w:tc>
      </w:tr>
      <w:tr w:rsidR="00AC375F" w:rsidRPr="00AC375F" w14:paraId="1B703423" w14:textId="77777777" w:rsidTr="00991955">
        <w:trPr>
          <w:trHeight w:val="300"/>
        </w:trPr>
        <w:tc>
          <w:tcPr>
            <w:tcW w:w="4445" w:type="dxa"/>
            <w:shd w:val="clear" w:color="auto" w:fill="auto"/>
            <w:noWrap/>
          </w:tcPr>
          <w:p w14:paraId="5EB8CD44" w14:textId="77777777" w:rsidR="00AC375F" w:rsidRPr="00AC375F" w:rsidRDefault="00AC375F" w:rsidP="00AC375F">
            <w:pPr>
              <w:rPr>
                <w:b/>
                <w:bCs/>
                <w:sz w:val="18"/>
                <w:szCs w:val="18"/>
              </w:rPr>
            </w:pPr>
          </w:p>
        </w:tc>
        <w:tc>
          <w:tcPr>
            <w:tcW w:w="1484" w:type="dxa"/>
            <w:shd w:val="clear" w:color="auto" w:fill="auto"/>
            <w:noWrap/>
          </w:tcPr>
          <w:p w14:paraId="72A79A51" w14:textId="77777777" w:rsidR="00AC375F" w:rsidRPr="00AC375F" w:rsidRDefault="00AC375F" w:rsidP="00AC375F">
            <w:pPr>
              <w:jc w:val="center"/>
              <w:rPr>
                <w:sz w:val="18"/>
                <w:szCs w:val="18"/>
              </w:rPr>
            </w:pPr>
            <w:r w:rsidRPr="00AC375F">
              <w:rPr>
                <w:sz w:val="18"/>
                <w:szCs w:val="18"/>
              </w:rPr>
              <w:t>Bruxelles</w:t>
            </w:r>
          </w:p>
        </w:tc>
        <w:tc>
          <w:tcPr>
            <w:tcW w:w="944" w:type="dxa"/>
            <w:shd w:val="clear" w:color="auto" w:fill="auto"/>
            <w:noWrap/>
          </w:tcPr>
          <w:p w14:paraId="22D815DB" w14:textId="77777777" w:rsidR="00AC375F" w:rsidRPr="00AC375F" w:rsidRDefault="00AC375F" w:rsidP="00AC375F">
            <w:pPr>
              <w:jc w:val="center"/>
              <w:rPr>
                <w:sz w:val="18"/>
                <w:szCs w:val="18"/>
              </w:rPr>
            </w:pPr>
            <w:r w:rsidRPr="00AC375F">
              <w:rPr>
                <w:sz w:val="18"/>
                <w:szCs w:val="18"/>
              </w:rPr>
              <w:t>1</w:t>
            </w:r>
          </w:p>
        </w:tc>
        <w:tc>
          <w:tcPr>
            <w:tcW w:w="1378" w:type="dxa"/>
            <w:shd w:val="clear" w:color="auto" w:fill="auto"/>
            <w:noWrap/>
          </w:tcPr>
          <w:p w14:paraId="56CB32EC" w14:textId="77777777" w:rsidR="00AC375F" w:rsidRPr="00AC375F" w:rsidRDefault="00AC375F" w:rsidP="00AC375F">
            <w:pPr>
              <w:jc w:val="center"/>
              <w:rPr>
                <w:sz w:val="18"/>
                <w:szCs w:val="18"/>
              </w:rPr>
            </w:pPr>
            <w:r w:rsidRPr="00AC375F">
              <w:rPr>
                <w:sz w:val="18"/>
                <w:szCs w:val="18"/>
              </w:rPr>
              <w:t>travanj</w:t>
            </w:r>
          </w:p>
        </w:tc>
        <w:tc>
          <w:tcPr>
            <w:tcW w:w="1177" w:type="dxa"/>
            <w:shd w:val="clear" w:color="auto" w:fill="auto"/>
            <w:noWrap/>
          </w:tcPr>
          <w:p w14:paraId="4C6D62B2" w14:textId="77777777" w:rsidR="00AC375F" w:rsidRPr="00AC375F" w:rsidRDefault="00AC375F" w:rsidP="00AC375F">
            <w:pPr>
              <w:jc w:val="center"/>
              <w:rPr>
                <w:sz w:val="18"/>
                <w:szCs w:val="18"/>
              </w:rPr>
            </w:pPr>
            <w:r w:rsidRPr="00AC375F">
              <w:rPr>
                <w:sz w:val="18"/>
                <w:szCs w:val="18"/>
              </w:rPr>
              <w:t>1</w:t>
            </w:r>
          </w:p>
        </w:tc>
      </w:tr>
      <w:tr w:rsidR="00AC375F" w:rsidRPr="00AC375F" w14:paraId="1A70AD50" w14:textId="77777777" w:rsidTr="00991955">
        <w:trPr>
          <w:trHeight w:val="300"/>
        </w:trPr>
        <w:tc>
          <w:tcPr>
            <w:tcW w:w="4445" w:type="dxa"/>
            <w:shd w:val="clear" w:color="auto" w:fill="auto"/>
            <w:noWrap/>
          </w:tcPr>
          <w:p w14:paraId="3A8CE4A7" w14:textId="77777777" w:rsidR="00AC375F" w:rsidRPr="00AC375F" w:rsidRDefault="00AC375F" w:rsidP="00AC375F">
            <w:pPr>
              <w:rPr>
                <w:b/>
                <w:bCs/>
                <w:sz w:val="18"/>
                <w:szCs w:val="18"/>
              </w:rPr>
            </w:pPr>
          </w:p>
        </w:tc>
        <w:tc>
          <w:tcPr>
            <w:tcW w:w="1484" w:type="dxa"/>
            <w:shd w:val="clear" w:color="auto" w:fill="auto"/>
            <w:noWrap/>
          </w:tcPr>
          <w:p w14:paraId="4A2CAE83" w14:textId="77777777" w:rsidR="00AC375F" w:rsidRPr="00AC375F" w:rsidRDefault="00AC375F" w:rsidP="00AC375F">
            <w:pPr>
              <w:jc w:val="center"/>
              <w:rPr>
                <w:sz w:val="18"/>
                <w:szCs w:val="18"/>
              </w:rPr>
            </w:pPr>
            <w:r w:rsidRPr="00AC375F">
              <w:rPr>
                <w:sz w:val="18"/>
                <w:szCs w:val="18"/>
              </w:rPr>
              <w:t>Bruxelles</w:t>
            </w:r>
          </w:p>
        </w:tc>
        <w:tc>
          <w:tcPr>
            <w:tcW w:w="944" w:type="dxa"/>
            <w:shd w:val="clear" w:color="auto" w:fill="auto"/>
            <w:noWrap/>
          </w:tcPr>
          <w:p w14:paraId="2F2FBB3F" w14:textId="77777777" w:rsidR="00AC375F" w:rsidRPr="00AC375F" w:rsidRDefault="00AC375F" w:rsidP="00AC375F">
            <w:pPr>
              <w:jc w:val="center"/>
              <w:rPr>
                <w:sz w:val="18"/>
                <w:szCs w:val="18"/>
              </w:rPr>
            </w:pPr>
            <w:r w:rsidRPr="00AC375F">
              <w:rPr>
                <w:sz w:val="18"/>
                <w:szCs w:val="18"/>
              </w:rPr>
              <w:t>1</w:t>
            </w:r>
          </w:p>
        </w:tc>
        <w:tc>
          <w:tcPr>
            <w:tcW w:w="1378" w:type="dxa"/>
            <w:shd w:val="clear" w:color="auto" w:fill="auto"/>
            <w:noWrap/>
          </w:tcPr>
          <w:p w14:paraId="552F29B1" w14:textId="77777777" w:rsidR="00AC375F" w:rsidRPr="00AC375F" w:rsidRDefault="00AC375F" w:rsidP="00AC375F">
            <w:pPr>
              <w:jc w:val="center"/>
              <w:rPr>
                <w:sz w:val="18"/>
                <w:szCs w:val="18"/>
              </w:rPr>
            </w:pPr>
            <w:r w:rsidRPr="00AC375F">
              <w:rPr>
                <w:sz w:val="18"/>
                <w:szCs w:val="18"/>
              </w:rPr>
              <w:t>travanj</w:t>
            </w:r>
          </w:p>
        </w:tc>
        <w:tc>
          <w:tcPr>
            <w:tcW w:w="1177" w:type="dxa"/>
            <w:shd w:val="clear" w:color="auto" w:fill="auto"/>
            <w:noWrap/>
          </w:tcPr>
          <w:p w14:paraId="0D5F41EC" w14:textId="77777777" w:rsidR="00AC375F" w:rsidRPr="00AC375F" w:rsidRDefault="00AC375F" w:rsidP="00AC375F">
            <w:pPr>
              <w:jc w:val="center"/>
              <w:rPr>
                <w:sz w:val="18"/>
                <w:szCs w:val="18"/>
              </w:rPr>
            </w:pPr>
            <w:r w:rsidRPr="00AC375F">
              <w:rPr>
                <w:sz w:val="18"/>
                <w:szCs w:val="18"/>
              </w:rPr>
              <w:t>1</w:t>
            </w:r>
          </w:p>
        </w:tc>
      </w:tr>
      <w:tr w:rsidR="00AC375F" w:rsidRPr="00AC375F" w14:paraId="16C139DF" w14:textId="77777777" w:rsidTr="00991955">
        <w:trPr>
          <w:trHeight w:val="300"/>
        </w:trPr>
        <w:tc>
          <w:tcPr>
            <w:tcW w:w="4445" w:type="dxa"/>
            <w:shd w:val="clear" w:color="auto" w:fill="auto"/>
            <w:noWrap/>
          </w:tcPr>
          <w:p w14:paraId="6FB5A0D7" w14:textId="77777777" w:rsidR="00AC375F" w:rsidRPr="00AC375F" w:rsidRDefault="00AC375F" w:rsidP="00AC375F">
            <w:pPr>
              <w:rPr>
                <w:b/>
                <w:bCs/>
                <w:sz w:val="18"/>
                <w:szCs w:val="18"/>
              </w:rPr>
            </w:pPr>
          </w:p>
        </w:tc>
        <w:tc>
          <w:tcPr>
            <w:tcW w:w="1484" w:type="dxa"/>
            <w:shd w:val="clear" w:color="auto" w:fill="auto"/>
            <w:noWrap/>
          </w:tcPr>
          <w:p w14:paraId="25E83C96" w14:textId="77777777" w:rsidR="00AC375F" w:rsidRPr="00AC375F" w:rsidRDefault="00AC375F" w:rsidP="00AC375F">
            <w:pPr>
              <w:jc w:val="center"/>
              <w:rPr>
                <w:sz w:val="18"/>
                <w:szCs w:val="18"/>
              </w:rPr>
            </w:pPr>
            <w:r w:rsidRPr="00AC375F">
              <w:rPr>
                <w:sz w:val="18"/>
                <w:szCs w:val="18"/>
              </w:rPr>
              <w:t>Bruxelles</w:t>
            </w:r>
          </w:p>
        </w:tc>
        <w:tc>
          <w:tcPr>
            <w:tcW w:w="944" w:type="dxa"/>
            <w:shd w:val="clear" w:color="auto" w:fill="auto"/>
            <w:noWrap/>
          </w:tcPr>
          <w:p w14:paraId="5969104C" w14:textId="77777777" w:rsidR="00AC375F" w:rsidRPr="00AC375F" w:rsidRDefault="00AC375F" w:rsidP="00AC375F">
            <w:pPr>
              <w:jc w:val="center"/>
              <w:rPr>
                <w:sz w:val="18"/>
                <w:szCs w:val="18"/>
              </w:rPr>
            </w:pPr>
            <w:r w:rsidRPr="00AC375F">
              <w:rPr>
                <w:sz w:val="18"/>
                <w:szCs w:val="18"/>
              </w:rPr>
              <w:t>1</w:t>
            </w:r>
          </w:p>
        </w:tc>
        <w:tc>
          <w:tcPr>
            <w:tcW w:w="1378" w:type="dxa"/>
            <w:shd w:val="clear" w:color="auto" w:fill="auto"/>
            <w:noWrap/>
          </w:tcPr>
          <w:p w14:paraId="2EA30A3A" w14:textId="77777777" w:rsidR="00AC375F" w:rsidRPr="00AC375F" w:rsidRDefault="00AC375F" w:rsidP="00AC375F">
            <w:pPr>
              <w:jc w:val="center"/>
              <w:rPr>
                <w:sz w:val="18"/>
                <w:szCs w:val="18"/>
              </w:rPr>
            </w:pPr>
            <w:r w:rsidRPr="00AC375F">
              <w:rPr>
                <w:sz w:val="18"/>
                <w:szCs w:val="18"/>
              </w:rPr>
              <w:t>travanj</w:t>
            </w:r>
          </w:p>
        </w:tc>
        <w:tc>
          <w:tcPr>
            <w:tcW w:w="1177" w:type="dxa"/>
            <w:shd w:val="clear" w:color="auto" w:fill="auto"/>
            <w:noWrap/>
          </w:tcPr>
          <w:p w14:paraId="3FCC2C03" w14:textId="77777777" w:rsidR="00AC375F" w:rsidRPr="00AC375F" w:rsidRDefault="00AC375F" w:rsidP="00AC375F">
            <w:pPr>
              <w:jc w:val="center"/>
              <w:rPr>
                <w:sz w:val="18"/>
                <w:szCs w:val="18"/>
              </w:rPr>
            </w:pPr>
            <w:r w:rsidRPr="00AC375F">
              <w:rPr>
                <w:sz w:val="18"/>
                <w:szCs w:val="18"/>
              </w:rPr>
              <w:t>1</w:t>
            </w:r>
          </w:p>
        </w:tc>
      </w:tr>
      <w:tr w:rsidR="00AC375F" w:rsidRPr="00AC375F" w14:paraId="5855682F" w14:textId="77777777" w:rsidTr="00991955">
        <w:trPr>
          <w:trHeight w:val="300"/>
        </w:trPr>
        <w:tc>
          <w:tcPr>
            <w:tcW w:w="4445" w:type="dxa"/>
            <w:shd w:val="clear" w:color="auto" w:fill="auto"/>
            <w:noWrap/>
          </w:tcPr>
          <w:p w14:paraId="0DD5DE21" w14:textId="77777777" w:rsidR="00AC375F" w:rsidRPr="00AC375F" w:rsidRDefault="00AC375F" w:rsidP="00AC375F">
            <w:pPr>
              <w:rPr>
                <w:b/>
                <w:bCs/>
                <w:sz w:val="18"/>
                <w:szCs w:val="18"/>
              </w:rPr>
            </w:pPr>
          </w:p>
        </w:tc>
        <w:tc>
          <w:tcPr>
            <w:tcW w:w="1484" w:type="dxa"/>
            <w:shd w:val="clear" w:color="auto" w:fill="auto"/>
            <w:noWrap/>
          </w:tcPr>
          <w:p w14:paraId="60B761B7" w14:textId="77777777" w:rsidR="00AC375F" w:rsidRPr="00AC375F" w:rsidRDefault="00AC375F" w:rsidP="00AC375F">
            <w:pPr>
              <w:jc w:val="center"/>
              <w:rPr>
                <w:sz w:val="18"/>
                <w:szCs w:val="18"/>
              </w:rPr>
            </w:pPr>
            <w:r w:rsidRPr="00AC375F">
              <w:rPr>
                <w:sz w:val="18"/>
                <w:szCs w:val="18"/>
              </w:rPr>
              <w:t>Bruxelles</w:t>
            </w:r>
          </w:p>
        </w:tc>
        <w:tc>
          <w:tcPr>
            <w:tcW w:w="944" w:type="dxa"/>
            <w:shd w:val="clear" w:color="auto" w:fill="auto"/>
            <w:noWrap/>
          </w:tcPr>
          <w:p w14:paraId="762C9F7D" w14:textId="77777777" w:rsidR="00AC375F" w:rsidRPr="00AC375F" w:rsidRDefault="00AC375F" w:rsidP="00AC375F">
            <w:pPr>
              <w:jc w:val="center"/>
              <w:rPr>
                <w:sz w:val="18"/>
                <w:szCs w:val="18"/>
              </w:rPr>
            </w:pPr>
            <w:r w:rsidRPr="00AC375F">
              <w:rPr>
                <w:sz w:val="18"/>
                <w:szCs w:val="18"/>
              </w:rPr>
              <w:t>1</w:t>
            </w:r>
          </w:p>
        </w:tc>
        <w:tc>
          <w:tcPr>
            <w:tcW w:w="1378" w:type="dxa"/>
            <w:shd w:val="clear" w:color="auto" w:fill="auto"/>
            <w:noWrap/>
          </w:tcPr>
          <w:p w14:paraId="28EF81D6" w14:textId="77777777" w:rsidR="00AC375F" w:rsidRPr="00AC375F" w:rsidRDefault="00AC375F" w:rsidP="00AC375F">
            <w:pPr>
              <w:jc w:val="center"/>
              <w:rPr>
                <w:sz w:val="18"/>
                <w:szCs w:val="18"/>
              </w:rPr>
            </w:pPr>
            <w:r w:rsidRPr="00AC375F">
              <w:rPr>
                <w:sz w:val="18"/>
                <w:szCs w:val="18"/>
              </w:rPr>
              <w:t>svibanj</w:t>
            </w:r>
          </w:p>
        </w:tc>
        <w:tc>
          <w:tcPr>
            <w:tcW w:w="1177" w:type="dxa"/>
            <w:shd w:val="clear" w:color="auto" w:fill="auto"/>
            <w:noWrap/>
          </w:tcPr>
          <w:p w14:paraId="0754B94D" w14:textId="77777777" w:rsidR="00AC375F" w:rsidRPr="00AC375F" w:rsidRDefault="00AC375F" w:rsidP="00AC375F">
            <w:pPr>
              <w:jc w:val="center"/>
              <w:rPr>
                <w:sz w:val="18"/>
                <w:szCs w:val="18"/>
              </w:rPr>
            </w:pPr>
            <w:r w:rsidRPr="00AC375F">
              <w:rPr>
                <w:sz w:val="18"/>
                <w:szCs w:val="18"/>
              </w:rPr>
              <w:t>11</w:t>
            </w:r>
          </w:p>
        </w:tc>
      </w:tr>
      <w:tr w:rsidR="00AC375F" w:rsidRPr="00AC375F" w14:paraId="74CCD050" w14:textId="77777777" w:rsidTr="00991955">
        <w:trPr>
          <w:trHeight w:val="300"/>
        </w:trPr>
        <w:tc>
          <w:tcPr>
            <w:tcW w:w="4445" w:type="dxa"/>
            <w:shd w:val="clear" w:color="auto" w:fill="auto"/>
            <w:noWrap/>
          </w:tcPr>
          <w:p w14:paraId="5F8AA92A" w14:textId="77777777" w:rsidR="00AC375F" w:rsidRPr="00AC375F" w:rsidRDefault="00AC375F" w:rsidP="00AC375F">
            <w:pPr>
              <w:rPr>
                <w:b/>
                <w:bCs/>
                <w:sz w:val="18"/>
                <w:szCs w:val="18"/>
              </w:rPr>
            </w:pPr>
          </w:p>
        </w:tc>
        <w:tc>
          <w:tcPr>
            <w:tcW w:w="1484" w:type="dxa"/>
            <w:shd w:val="clear" w:color="auto" w:fill="auto"/>
            <w:noWrap/>
          </w:tcPr>
          <w:p w14:paraId="6588A525" w14:textId="77777777" w:rsidR="00AC375F" w:rsidRPr="00AC375F" w:rsidRDefault="00AC375F" w:rsidP="00AC375F">
            <w:pPr>
              <w:jc w:val="center"/>
              <w:rPr>
                <w:sz w:val="18"/>
                <w:szCs w:val="18"/>
              </w:rPr>
            </w:pPr>
            <w:r w:rsidRPr="00AC375F">
              <w:rPr>
                <w:sz w:val="18"/>
                <w:szCs w:val="18"/>
              </w:rPr>
              <w:t>Bruxelles</w:t>
            </w:r>
          </w:p>
        </w:tc>
        <w:tc>
          <w:tcPr>
            <w:tcW w:w="944" w:type="dxa"/>
            <w:shd w:val="clear" w:color="auto" w:fill="auto"/>
            <w:noWrap/>
          </w:tcPr>
          <w:p w14:paraId="46346411" w14:textId="77777777" w:rsidR="00AC375F" w:rsidRPr="00AC375F" w:rsidRDefault="00AC375F" w:rsidP="00AC375F">
            <w:pPr>
              <w:jc w:val="center"/>
              <w:rPr>
                <w:sz w:val="18"/>
                <w:szCs w:val="18"/>
              </w:rPr>
            </w:pPr>
            <w:r w:rsidRPr="00AC375F">
              <w:rPr>
                <w:sz w:val="18"/>
                <w:szCs w:val="18"/>
              </w:rPr>
              <w:t>1</w:t>
            </w:r>
          </w:p>
        </w:tc>
        <w:tc>
          <w:tcPr>
            <w:tcW w:w="1378" w:type="dxa"/>
            <w:shd w:val="clear" w:color="auto" w:fill="auto"/>
            <w:noWrap/>
          </w:tcPr>
          <w:p w14:paraId="62EFC208" w14:textId="77777777" w:rsidR="00AC375F" w:rsidRPr="00AC375F" w:rsidRDefault="00AC375F" w:rsidP="00AC375F">
            <w:pPr>
              <w:jc w:val="center"/>
              <w:rPr>
                <w:sz w:val="18"/>
                <w:szCs w:val="18"/>
              </w:rPr>
            </w:pPr>
            <w:r w:rsidRPr="00AC375F">
              <w:rPr>
                <w:sz w:val="18"/>
                <w:szCs w:val="18"/>
              </w:rPr>
              <w:t>lipanj</w:t>
            </w:r>
          </w:p>
        </w:tc>
        <w:tc>
          <w:tcPr>
            <w:tcW w:w="1177" w:type="dxa"/>
            <w:shd w:val="clear" w:color="auto" w:fill="auto"/>
            <w:noWrap/>
          </w:tcPr>
          <w:p w14:paraId="22F38F4A" w14:textId="77777777" w:rsidR="00AC375F" w:rsidRPr="00AC375F" w:rsidRDefault="00AC375F" w:rsidP="00AC375F">
            <w:pPr>
              <w:jc w:val="center"/>
              <w:rPr>
                <w:sz w:val="18"/>
                <w:szCs w:val="18"/>
              </w:rPr>
            </w:pPr>
            <w:r w:rsidRPr="00AC375F">
              <w:rPr>
                <w:sz w:val="18"/>
                <w:szCs w:val="18"/>
              </w:rPr>
              <w:t>6</w:t>
            </w:r>
          </w:p>
        </w:tc>
      </w:tr>
      <w:tr w:rsidR="00AC375F" w:rsidRPr="00AC375F" w14:paraId="4BE754E1" w14:textId="77777777" w:rsidTr="00991955">
        <w:trPr>
          <w:trHeight w:val="300"/>
        </w:trPr>
        <w:tc>
          <w:tcPr>
            <w:tcW w:w="4445" w:type="dxa"/>
            <w:shd w:val="clear" w:color="auto" w:fill="auto"/>
            <w:noWrap/>
          </w:tcPr>
          <w:p w14:paraId="7060835F" w14:textId="77777777" w:rsidR="00AC375F" w:rsidRPr="00AC375F" w:rsidRDefault="00AC375F" w:rsidP="00AC375F">
            <w:pPr>
              <w:rPr>
                <w:b/>
                <w:bCs/>
                <w:sz w:val="18"/>
                <w:szCs w:val="18"/>
              </w:rPr>
            </w:pPr>
          </w:p>
        </w:tc>
        <w:tc>
          <w:tcPr>
            <w:tcW w:w="1484" w:type="dxa"/>
            <w:shd w:val="clear" w:color="auto" w:fill="auto"/>
            <w:noWrap/>
          </w:tcPr>
          <w:p w14:paraId="419CCC85" w14:textId="77777777" w:rsidR="00AC375F" w:rsidRPr="00AC375F" w:rsidRDefault="00AC375F" w:rsidP="00AC375F">
            <w:pPr>
              <w:jc w:val="center"/>
              <w:rPr>
                <w:sz w:val="18"/>
                <w:szCs w:val="18"/>
              </w:rPr>
            </w:pPr>
            <w:r w:rsidRPr="00AC375F">
              <w:rPr>
                <w:sz w:val="18"/>
                <w:szCs w:val="18"/>
              </w:rPr>
              <w:t>Bruxelles</w:t>
            </w:r>
          </w:p>
        </w:tc>
        <w:tc>
          <w:tcPr>
            <w:tcW w:w="944" w:type="dxa"/>
            <w:shd w:val="clear" w:color="auto" w:fill="auto"/>
            <w:noWrap/>
          </w:tcPr>
          <w:p w14:paraId="375EF1A5" w14:textId="77777777" w:rsidR="00AC375F" w:rsidRPr="00AC375F" w:rsidRDefault="00AC375F" w:rsidP="00AC375F">
            <w:pPr>
              <w:jc w:val="center"/>
              <w:rPr>
                <w:sz w:val="18"/>
                <w:szCs w:val="18"/>
              </w:rPr>
            </w:pPr>
            <w:r w:rsidRPr="00AC375F">
              <w:rPr>
                <w:sz w:val="18"/>
                <w:szCs w:val="18"/>
              </w:rPr>
              <w:t>1</w:t>
            </w:r>
          </w:p>
        </w:tc>
        <w:tc>
          <w:tcPr>
            <w:tcW w:w="1378" w:type="dxa"/>
            <w:shd w:val="clear" w:color="auto" w:fill="auto"/>
            <w:noWrap/>
          </w:tcPr>
          <w:p w14:paraId="50690CEC" w14:textId="77777777" w:rsidR="00AC375F" w:rsidRPr="00AC375F" w:rsidRDefault="00AC375F" w:rsidP="00AC375F">
            <w:pPr>
              <w:jc w:val="center"/>
              <w:rPr>
                <w:sz w:val="18"/>
                <w:szCs w:val="18"/>
              </w:rPr>
            </w:pPr>
            <w:r w:rsidRPr="00AC375F">
              <w:rPr>
                <w:sz w:val="18"/>
                <w:szCs w:val="18"/>
              </w:rPr>
              <w:t>srpanj</w:t>
            </w:r>
          </w:p>
        </w:tc>
        <w:tc>
          <w:tcPr>
            <w:tcW w:w="1177" w:type="dxa"/>
            <w:shd w:val="clear" w:color="auto" w:fill="auto"/>
            <w:noWrap/>
          </w:tcPr>
          <w:p w14:paraId="6921AC99" w14:textId="77777777" w:rsidR="00AC375F" w:rsidRPr="00AC375F" w:rsidRDefault="00AC375F" w:rsidP="00AC375F">
            <w:pPr>
              <w:jc w:val="center"/>
              <w:rPr>
                <w:sz w:val="18"/>
                <w:szCs w:val="18"/>
              </w:rPr>
            </w:pPr>
            <w:r w:rsidRPr="00AC375F">
              <w:rPr>
                <w:sz w:val="18"/>
                <w:szCs w:val="18"/>
              </w:rPr>
              <w:t>6</w:t>
            </w:r>
          </w:p>
        </w:tc>
      </w:tr>
      <w:tr w:rsidR="00AC375F" w:rsidRPr="00AC375F" w14:paraId="0775ABAD" w14:textId="77777777" w:rsidTr="00991955">
        <w:trPr>
          <w:trHeight w:val="300"/>
        </w:trPr>
        <w:tc>
          <w:tcPr>
            <w:tcW w:w="4445" w:type="dxa"/>
            <w:shd w:val="clear" w:color="auto" w:fill="auto"/>
            <w:noWrap/>
          </w:tcPr>
          <w:p w14:paraId="04B019C7" w14:textId="77777777" w:rsidR="00AC375F" w:rsidRPr="00AC375F" w:rsidRDefault="00AC375F" w:rsidP="00AC375F">
            <w:pPr>
              <w:rPr>
                <w:b/>
                <w:bCs/>
                <w:sz w:val="18"/>
                <w:szCs w:val="18"/>
              </w:rPr>
            </w:pPr>
          </w:p>
        </w:tc>
        <w:tc>
          <w:tcPr>
            <w:tcW w:w="1484" w:type="dxa"/>
            <w:shd w:val="clear" w:color="auto" w:fill="auto"/>
            <w:noWrap/>
          </w:tcPr>
          <w:p w14:paraId="72D99931" w14:textId="77777777" w:rsidR="00AC375F" w:rsidRPr="00AC375F" w:rsidRDefault="00AC375F" w:rsidP="00AC375F">
            <w:pPr>
              <w:jc w:val="center"/>
              <w:rPr>
                <w:sz w:val="18"/>
                <w:szCs w:val="18"/>
              </w:rPr>
            </w:pPr>
            <w:r w:rsidRPr="00AC375F">
              <w:rPr>
                <w:sz w:val="18"/>
                <w:szCs w:val="18"/>
              </w:rPr>
              <w:t>Bruxelles</w:t>
            </w:r>
          </w:p>
        </w:tc>
        <w:tc>
          <w:tcPr>
            <w:tcW w:w="944" w:type="dxa"/>
            <w:shd w:val="clear" w:color="auto" w:fill="auto"/>
            <w:noWrap/>
          </w:tcPr>
          <w:p w14:paraId="20D6EBF5" w14:textId="77777777" w:rsidR="00AC375F" w:rsidRPr="00AC375F" w:rsidRDefault="00AC375F" w:rsidP="00AC375F">
            <w:pPr>
              <w:jc w:val="center"/>
              <w:rPr>
                <w:sz w:val="18"/>
                <w:szCs w:val="18"/>
              </w:rPr>
            </w:pPr>
            <w:r w:rsidRPr="00AC375F">
              <w:rPr>
                <w:sz w:val="18"/>
                <w:szCs w:val="18"/>
              </w:rPr>
              <w:t>1</w:t>
            </w:r>
          </w:p>
        </w:tc>
        <w:tc>
          <w:tcPr>
            <w:tcW w:w="1378" w:type="dxa"/>
            <w:shd w:val="clear" w:color="auto" w:fill="auto"/>
            <w:noWrap/>
          </w:tcPr>
          <w:p w14:paraId="7026D2EB" w14:textId="77777777" w:rsidR="00AC375F" w:rsidRPr="00AC375F" w:rsidRDefault="00AC375F" w:rsidP="00AC375F">
            <w:pPr>
              <w:jc w:val="center"/>
              <w:rPr>
                <w:sz w:val="18"/>
                <w:szCs w:val="18"/>
              </w:rPr>
            </w:pPr>
            <w:r w:rsidRPr="00AC375F">
              <w:rPr>
                <w:sz w:val="18"/>
                <w:szCs w:val="18"/>
              </w:rPr>
              <w:t>rujan</w:t>
            </w:r>
          </w:p>
        </w:tc>
        <w:tc>
          <w:tcPr>
            <w:tcW w:w="1177" w:type="dxa"/>
            <w:shd w:val="clear" w:color="auto" w:fill="auto"/>
            <w:noWrap/>
          </w:tcPr>
          <w:p w14:paraId="1C767510" w14:textId="77777777" w:rsidR="00AC375F" w:rsidRPr="00AC375F" w:rsidRDefault="00AC375F" w:rsidP="00AC375F">
            <w:pPr>
              <w:jc w:val="center"/>
              <w:rPr>
                <w:sz w:val="18"/>
                <w:szCs w:val="18"/>
              </w:rPr>
            </w:pPr>
            <w:r w:rsidRPr="00AC375F">
              <w:rPr>
                <w:sz w:val="18"/>
                <w:szCs w:val="18"/>
              </w:rPr>
              <w:t>6</w:t>
            </w:r>
          </w:p>
        </w:tc>
      </w:tr>
      <w:tr w:rsidR="00AC375F" w:rsidRPr="00AC375F" w14:paraId="225DD59B" w14:textId="77777777" w:rsidTr="00991955">
        <w:trPr>
          <w:trHeight w:val="300"/>
        </w:trPr>
        <w:tc>
          <w:tcPr>
            <w:tcW w:w="4445" w:type="dxa"/>
            <w:shd w:val="clear" w:color="auto" w:fill="auto"/>
            <w:noWrap/>
          </w:tcPr>
          <w:p w14:paraId="4847BC8D" w14:textId="77777777" w:rsidR="00AC375F" w:rsidRPr="00AC375F" w:rsidRDefault="00AC375F" w:rsidP="00AC375F">
            <w:pPr>
              <w:rPr>
                <w:b/>
                <w:bCs/>
                <w:sz w:val="18"/>
                <w:szCs w:val="18"/>
              </w:rPr>
            </w:pPr>
          </w:p>
        </w:tc>
        <w:tc>
          <w:tcPr>
            <w:tcW w:w="1484" w:type="dxa"/>
            <w:shd w:val="clear" w:color="auto" w:fill="auto"/>
            <w:noWrap/>
          </w:tcPr>
          <w:p w14:paraId="0319499D" w14:textId="77777777" w:rsidR="00AC375F" w:rsidRPr="00AC375F" w:rsidRDefault="00AC375F" w:rsidP="00AC375F">
            <w:pPr>
              <w:jc w:val="center"/>
              <w:rPr>
                <w:sz w:val="18"/>
                <w:szCs w:val="18"/>
              </w:rPr>
            </w:pPr>
            <w:r w:rsidRPr="00AC375F">
              <w:rPr>
                <w:sz w:val="18"/>
                <w:szCs w:val="18"/>
              </w:rPr>
              <w:t>Bruxelles</w:t>
            </w:r>
          </w:p>
        </w:tc>
        <w:tc>
          <w:tcPr>
            <w:tcW w:w="944" w:type="dxa"/>
            <w:shd w:val="clear" w:color="auto" w:fill="auto"/>
            <w:noWrap/>
          </w:tcPr>
          <w:p w14:paraId="7C29BE15" w14:textId="77777777" w:rsidR="00AC375F" w:rsidRPr="00AC375F" w:rsidRDefault="00AC375F" w:rsidP="00AC375F">
            <w:pPr>
              <w:jc w:val="center"/>
              <w:rPr>
                <w:sz w:val="18"/>
                <w:szCs w:val="18"/>
              </w:rPr>
            </w:pPr>
            <w:r w:rsidRPr="00AC375F">
              <w:rPr>
                <w:sz w:val="18"/>
                <w:szCs w:val="18"/>
              </w:rPr>
              <w:t>1</w:t>
            </w:r>
          </w:p>
        </w:tc>
        <w:tc>
          <w:tcPr>
            <w:tcW w:w="1378" w:type="dxa"/>
            <w:shd w:val="clear" w:color="auto" w:fill="auto"/>
            <w:noWrap/>
          </w:tcPr>
          <w:p w14:paraId="686E38B8" w14:textId="77777777" w:rsidR="00AC375F" w:rsidRPr="00AC375F" w:rsidRDefault="00AC375F" w:rsidP="00AC375F">
            <w:pPr>
              <w:jc w:val="center"/>
              <w:rPr>
                <w:sz w:val="18"/>
                <w:szCs w:val="18"/>
              </w:rPr>
            </w:pPr>
            <w:r w:rsidRPr="00AC375F">
              <w:rPr>
                <w:sz w:val="18"/>
                <w:szCs w:val="18"/>
              </w:rPr>
              <w:t>listopad</w:t>
            </w:r>
          </w:p>
        </w:tc>
        <w:tc>
          <w:tcPr>
            <w:tcW w:w="1177" w:type="dxa"/>
            <w:shd w:val="clear" w:color="auto" w:fill="auto"/>
            <w:noWrap/>
          </w:tcPr>
          <w:p w14:paraId="6782DCCF" w14:textId="77777777" w:rsidR="00AC375F" w:rsidRPr="00AC375F" w:rsidRDefault="00AC375F" w:rsidP="00AC375F">
            <w:pPr>
              <w:jc w:val="center"/>
              <w:rPr>
                <w:sz w:val="18"/>
                <w:szCs w:val="18"/>
              </w:rPr>
            </w:pPr>
            <w:r w:rsidRPr="00AC375F">
              <w:rPr>
                <w:sz w:val="18"/>
                <w:szCs w:val="18"/>
              </w:rPr>
              <w:t>9</w:t>
            </w:r>
          </w:p>
        </w:tc>
      </w:tr>
      <w:tr w:rsidR="00AC375F" w:rsidRPr="00AC375F" w14:paraId="68DD1BC2" w14:textId="77777777" w:rsidTr="00991955">
        <w:trPr>
          <w:trHeight w:val="300"/>
        </w:trPr>
        <w:tc>
          <w:tcPr>
            <w:tcW w:w="4445" w:type="dxa"/>
            <w:shd w:val="clear" w:color="auto" w:fill="auto"/>
            <w:noWrap/>
          </w:tcPr>
          <w:p w14:paraId="04D85E13" w14:textId="77777777" w:rsidR="00AC375F" w:rsidRPr="00AC375F" w:rsidRDefault="00AC375F" w:rsidP="00AC375F">
            <w:pPr>
              <w:rPr>
                <w:b/>
                <w:bCs/>
                <w:sz w:val="18"/>
                <w:szCs w:val="18"/>
              </w:rPr>
            </w:pPr>
          </w:p>
        </w:tc>
        <w:tc>
          <w:tcPr>
            <w:tcW w:w="1484" w:type="dxa"/>
            <w:shd w:val="clear" w:color="auto" w:fill="auto"/>
            <w:noWrap/>
          </w:tcPr>
          <w:p w14:paraId="7B9DAC4E" w14:textId="77777777" w:rsidR="00AC375F" w:rsidRPr="00AC375F" w:rsidRDefault="00AC375F" w:rsidP="00AC375F">
            <w:pPr>
              <w:jc w:val="center"/>
              <w:rPr>
                <w:sz w:val="18"/>
                <w:szCs w:val="18"/>
              </w:rPr>
            </w:pPr>
            <w:r w:rsidRPr="00AC375F">
              <w:rPr>
                <w:sz w:val="18"/>
                <w:szCs w:val="18"/>
              </w:rPr>
              <w:t>Bruxelles</w:t>
            </w:r>
          </w:p>
        </w:tc>
        <w:tc>
          <w:tcPr>
            <w:tcW w:w="944" w:type="dxa"/>
            <w:shd w:val="clear" w:color="auto" w:fill="auto"/>
            <w:noWrap/>
          </w:tcPr>
          <w:p w14:paraId="6AE82F62" w14:textId="77777777" w:rsidR="00AC375F" w:rsidRPr="00AC375F" w:rsidRDefault="00AC375F" w:rsidP="00AC375F">
            <w:pPr>
              <w:jc w:val="center"/>
              <w:rPr>
                <w:sz w:val="18"/>
                <w:szCs w:val="18"/>
              </w:rPr>
            </w:pPr>
            <w:r w:rsidRPr="00AC375F">
              <w:rPr>
                <w:sz w:val="18"/>
                <w:szCs w:val="18"/>
              </w:rPr>
              <w:t>1</w:t>
            </w:r>
          </w:p>
        </w:tc>
        <w:tc>
          <w:tcPr>
            <w:tcW w:w="1378" w:type="dxa"/>
            <w:shd w:val="clear" w:color="auto" w:fill="auto"/>
            <w:noWrap/>
          </w:tcPr>
          <w:p w14:paraId="686EB6F7" w14:textId="77777777" w:rsidR="00AC375F" w:rsidRPr="00AC375F" w:rsidRDefault="00AC375F" w:rsidP="00AC375F">
            <w:pPr>
              <w:jc w:val="center"/>
              <w:rPr>
                <w:sz w:val="18"/>
                <w:szCs w:val="18"/>
              </w:rPr>
            </w:pPr>
            <w:r w:rsidRPr="00AC375F">
              <w:rPr>
                <w:sz w:val="18"/>
                <w:szCs w:val="18"/>
              </w:rPr>
              <w:t>studeni</w:t>
            </w:r>
          </w:p>
        </w:tc>
        <w:tc>
          <w:tcPr>
            <w:tcW w:w="1177" w:type="dxa"/>
            <w:shd w:val="clear" w:color="auto" w:fill="auto"/>
            <w:noWrap/>
          </w:tcPr>
          <w:p w14:paraId="7A6DFF03" w14:textId="77777777" w:rsidR="00AC375F" w:rsidRPr="00AC375F" w:rsidRDefault="00AC375F" w:rsidP="00AC375F">
            <w:pPr>
              <w:jc w:val="center"/>
              <w:rPr>
                <w:sz w:val="18"/>
                <w:szCs w:val="18"/>
              </w:rPr>
            </w:pPr>
            <w:r w:rsidRPr="00AC375F">
              <w:rPr>
                <w:sz w:val="18"/>
                <w:szCs w:val="18"/>
              </w:rPr>
              <w:t>10</w:t>
            </w:r>
          </w:p>
        </w:tc>
      </w:tr>
      <w:tr w:rsidR="00AC375F" w:rsidRPr="00AC375F" w14:paraId="6BB23A9B" w14:textId="77777777" w:rsidTr="00991955">
        <w:trPr>
          <w:trHeight w:val="300"/>
        </w:trPr>
        <w:tc>
          <w:tcPr>
            <w:tcW w:w="4445" w:type="dxa"/>
            <w:shd w:val="clear" w:color="auto" w:fill="auto"/>
            <w:noWrap/>
          </w:tcPr>
          <w:p w14:paraId="057EE37B" w14:textId="77777777" w:rsidR="00AC375F" w:rsidRPr="00AC375F" w:rsidRDefault="00AC375F" w:rsidP="00AC375F">
            <w:pPr>
              <w:rPr>
                <w:b/>
                <w:bCs/>
                <w:sz w:val="18"/>
                <w:szCs w:val="18"/>
              </w:rPr>
            </w:pPr>
          </w:p>
        </w:tc>
        <w:tc>
          <w:tcPr>
            <w:tcW w:w="1484" w:type="dxa"/>
            <w:shd w:val="clear" w:color="auto" w:fill="auto"/>
            <w:noWrap/>
          </w:tcPr>
          <w:p w14:paraId="6FE99EC7" w14:textId="77777777" w:rsidR="00AC375F" w:rsidRPr="00AC375F" w:rsidRDefault="00AC375F" w:rsidP="00AC375F">
            <w:pPr>
              <w:jc w:val="center"/>
              <w:rPr>
                <w:sz w:val="18"/>
                <w:szCs w:val="18"/>
              </w:rPr>
            </w:pPr>
            <w:r w:rsidRPr="00AC375F">
              <w:rPr>
                <w:sz w:val="18"/>
                <w:szCs w:val="18"/>
              </w:rPr>
              <w:t>Bruxelles</w:t>
            </w:r>
          </w:p>
        </w:tc>
        <w:tc>
          <w:tcPr>
            <w:tcW w:w="944" w:type="dxa"/>
            <w:shd w:val="clear" w:color="auto" w:fill="auto"/>
            <w:noWrap/>
          </w:tcPr>
          <w:p w14:paraId="707D21DD" w14:textId="77777777" w:rsidR="00AC375F" w:rsidRPr="00AC375F" w:rsidRDefault="00AC375F" w:rsidP="00AC375F">
            <w:pPr>
              <w:jc w:val="center"/>
              <w:rPr>
                <w:sz w:val="18"/>
                <w:szCs w:val="18"/>
              </w:rPr>
            </w:pPr>
            <w:r w:rsidRPr="00AC375F">
              <w:rPr>
                <w:sz w:val="18"/>
                <w:szCs w:val="18"/>
              </w:rPr>
              <w:t>1</w:t>
            </w:r>
          </w:p>
        </w:tc>
        <w:tc>
          <w:tcPr>
            <w:tcW w:w="1378" w:type="dxa"/>
            <w:shd w:val="clear" w:color="auto" w:fill="auto"/>
            <w:noWrap/>
          </w:tcPr>
          <w:p w14:paraId="0B8918F2" w14:textId="77777777" w:rsidR="00AC375F" w:rsidRPr="00AC375F" w:rsidRDefault="00AC375F" w:rsidP="00AC375F">
            <w:pPr>
              <w:jc w:val="center"/>
              <w:rPr>
                <w:sz w:val="18"/>
                <w:szCs w:val="18"/>
              </w:rPr>
            </w:pPr>
            <w:r w:rsidRPr="00AC375F">
              <w:rPr>
                <w:sz w:val="18"/>
                <w:szCs w:val="18"/>
              </w:rPr>
              <w:t>prosinac</w:t>
            </w:r>
          </w:p>
        </w:tc>
        <w:tc>
          <w:tcPr>
            <w:tcW w:w="1177" w:type="dxa"/>
            <w:shd w:val="clear" w:color="auto" w:fill="auto"/>
            <w:noWrap/>
          </w:tcPr>
          <w:p w14:paraId="258EA08E" w14:textId="77777777" w:rsidR="00AC375F" w:rsidRPr="00AC375F" w:rsidRDefault="00AC375F" w:rsidP="00AC375F">
            <w:pPr>
              <w:jc w:val="center"/>
              <w:rPr>
                <w:sz w:val="18"/>
                <w:szCs w:val="18"/>
              </w:rPr>
            </w:pPr>
            <w:r w:rsidRPr="00AC375F">
              <w:rPr>
                <w:sz w:val="18"/>
                <w:szCs w:val="18"/>
              </w:rPr>
              <w:t>9</w:t>
            </w:r>
          </w:p>
        </w:tc>
      </w:tr>
    </w:tbl>
    <w:p w14:paraId="2F7F300A" w14:textId="77777777" w:rsidR="00AC375F" w:rsidRPr="00AC375F" w:rsidRDefault="00AC375F" w:rsidP="00991955">
      <w:pPr>
        <w:spacing w:line="276" w:lineRule="auto"/>
        <w:rPr>
          <w:rFonts w:eastAsia="Times New Roman" w:cstheme="minorHAnsi"/>
          <w:sz w:val="18"/>
          <w:szCs w:val="18"/>
        </w:rPr>
      </w:pPr>
    </w:p>
    <w:tbl>
      <w:tblPr>
        <w:tblpPr w:leftFromText="180" w:rightFromText="180" w:vertAnchor="text" w:tblpX="-39"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609"/>
        <w:gridCol w:w="940"/>
        <w:gridCol w:w="1305"/>
        <w:gridCol w:w="1249"/>
      </w:tblGrid>
      <w:tr w:rsidR="00AC375F" w:rsidRPr="00AC375F" w14:paraId="7713F940" w14:textId="77777777" w:rsidTr="00991955">
        <w:trPr>
          <w:trHeight w:val="330"/>
        </w:trPr>
        <w:tc>
          <w:tcPr>
            <w:tcW w:w="4390" w:type="dxa"/>
            <w:shd w:val="clear" w:color="auto" w:fill="A3E7FF"/>
            <w:noWrap/>
            <w:hideMark/>
          </w:tcPr>
          <w:p w14:paraId="3D62C07B" w14:textId="77777777" w:rsidR="00AC375F" w:rsidRPr="00AC375F" w:rsidRDefault="00AC375F" w:rsidP="00AC375F">
            <w:pPr>
              <w:rPr>
                <w:b/>
                <w:bCs/>
                <w:i/>
                <w:iCs/>
                <w:sz w:val="18"/>
                <w:szCs w:val="18"/>
              </w:rPr>
            </w:pPr>
            <w:r w:rsidRPr="00AC375F">
              <w:rPr>
                <w:b/>
                <w:bCs/>
                <w:i/>
                <w:iCs/>
                <w:sz w:val="18"/>
                <w:szCs w:val="18"/>
              </w:rPr>
              <w:t>EC - European Commission</w:t>
            </w:r>
          </w:p>
        </w:tc>
        <w:tc>
          <w:tcPr>
            <w:tcW w:w="1609" w:type="dxa"/>
            <w:shd w:val="clear" w:color="auto" w:fill="A3E7FF"/>
            <w:noWrap/>
            <w:hideMark/>
          </w:tcPr>
          <w:p w14:paraId="107F0827" w14:textId="77777777" w:rsidR="00AC375F" w:rsidRPr="00AC375F" w:rsidRDefault="00AC375F" w:rsidP="00AC375F">
            <w:pPr>
              <w:jc w:val="center"/>
              <w:rPr>
                <w:i/>
                <w:iCs/>
                <w:sz w:val="18"/>
                <w:szCs w:val="18"/>
              </w:rPr>
            </w:pPr>
          </w:p>
        </w:tc>
        <w:tc>
          <w:tcPr>
            <w:tcW w:w="940" w:type="dxa"/>
            <w:shd w:val="clear" w:color="auto" w:fill="A3E7FF"/>
            <w:noWrap/>
            <w:hideMark/>
          </w:tcPr>
          <w:p w14:paraId="74686EFF" w14:textId="77777777" w:rsidR="00AC375F" w:rsidRPr="00AC375F" w:rsidRDefault="00AC375F" w:rsidP="00AC375F">
            <w:pPr>
              <w:jc w:val="center"/>
              <w:rPr>
                <w:i/>
                <w:iCs/>
                <w:sz w:val="18"/>
                <w:szCs w:val="18"/>
              </w:rPr>
            </w:pPr>
          </w:p>
        </w:tc>
        <w:tc>
          <w:tcPr>
            <w:tcW w:w="1305" w:type="dxa"/>
            <w:shd w:val="clear" w:color="auto" w:fill="A3E7FF"/>
            <w:noWrap/>
            <w:hideMark/>
          </w:tcPr>
          <w:p w14:paraId="65771AA1" w14:textId="77777777" w:rsidR="00AC375F" w:rsidRPr="00AC375F" w:rsidRDefault="00AC375F" w:rsidP="00AC375F">
            <w:pPr>
              <w:jc w:val="center"/>
              <w:rPr>
                <w:i/>
                <w:iCs/>
                <w:sz w:val="18"/>
                <w:szCs w:val="18"/>
              </w:rPr>
            </w:pPr>
          </w:p>
        </w:tc>
        <w:tc>
          <w:tcPr>
            <w:tcW w:w="1249" w:type="dxa"/>
            <w:shd w:val="clear" w:color="auto" w:fill="A3E7FF"/>
            <w:noWrap/>
            <w:hideMark/>
          </w:tcPr>
          <w:p w14:paraId="25458535" w14:textId="77777777" w:rsidR="00AC375F" w:rsidRPr="00AC375F" w:rsidRDefault="00AC375F" w:rsidP="00AC375F">
            <w:pPr>
              <w:jc w:val="center"/>
              <w:rPr>
                <w:i/>
                <w:iCs/>
                <w:sz w:val="18"/>
                <w:szCs w:val="18"/>
              </w:rPr>
            </w:pPr>
          </w:p>
        </w:tc>
      </w:tr>
      <w:tr w:rsidR="00AC375F" w:rsidRPr="00AC375F" w14:paraId="301407AF" w14:textId="77777777" w:rsidTr="00991955">
        <w:trPr>
          <w:trHeight w:val="495"/>
        </w:trPr>
        <w:tc>
          <w:tcPr>
            <w:tcW w:w="4390" w:type="dxa"/>
            <w:shd w:val="clear" w:color="auto" w:fill="auto"/>
            <w:noWrap/>
            <w:hideMark/>
          </w:tcPr>
          <w:p w14:paraId="544DF287" w14:textId="77777777" w:rsidR="00AC375F" w:rsidRPr="00AC375F" w:rsidRDefault="00AC375F" w:rsidP="00AC375F">
            <w:pPr>
              <w:rPr>
                <w:i/>
                <w:iCs/>
                <w:sz w:val="18"/>
                <w:szCs w:val="18"/>
              </w:rPr>
            </w:pPr>
            <w:r w:rsidRPr="00AC375F">
              <w:rPr>
                <w:i/>
                <w:iCs/>
                <w:sz w:val="18"/>
                <w:szCs w:val="18"/>
              </w:rPr>
              <w:t>naziv skupine</w:t>
            </w:r>
          </w:p>
        </w:tc>
        <w:tc>
          <w:tcPr>
            <w:tcW w:w="1609" w:type="dxa"/>
            <w:shd w:val="clear" w:color="auto" w:fill="auto"/>
            <w:noWrap/>
            <w:hideMark/>
          </w:tcPr>
          <w:p w14:paraId="4D5DFCA2" w14:textId="77777777" w:rsidR="00AC375F" w:rsidRPr="00AC375F" w:rsidRDefault="00AC375F" w:rsidP="00AC375F">
            <w:pPr>
              <w:jc w:val="center"/>
              <w:rPr>
                <w:i/>
                <w:iCs/>
                <w:sz w:val="18"/>
                <w:szCs w:val="18"/>
              </w:rPr>
            </w:pPr>
            <w:r w:rsidRPr="00AC375F">
              <w:rPr>
                <w:i/>
                <w:iCs/>
                <w:sz w:val="18"/>
                <w:szCs w:val="18"/>
              </w:rPr>
              <w:t>mjesto</w:t>
            </w:r>
          </w:p>
        </w:tc>
        <w:tc>
          <w:tcPr>
            <w:tcW w:w="940" w:type="dxa"/>
            <w:shd w:val="clear" w:color="auto" w:fill="auto"/>
            <w:hideMark/>
          </w:tcPr>
          <w:p w14:paraId="29B1B9A8" w14:textId="77777777" w:rsidR="00AC375F" w:rsidRPr="00AC375F" w:rsidRDefault="00AC375F" w:rsidP="00AC375F">
            <w:pPr>
              <w:jc w:val="center"/>
              <w:rPr>
                <w:i/>
                <w:iCs/>
                <w:sz w:val="18"/>
                <w:szCs w:val="18"/>
              </w:rPr>
            </w:pPr>
            <w:r w:rsidRPr="00AC375F">
              <w:rPr>
                <w:i/>
                <w:iCs/>
                <w:sz w:val="18"/>
                <w:szCs w:val="18"/>
              </w:rPr>
              <w:t>broj</w:t>
            </w:r>
          </w:p>
          <w:p w14:paraId="222C1D9A" w14:textId="77777777" w:rsidR="00AC375F" w:rsidRPr="00AC375F" w:rsidRDefault="00AC375F" w:rsidP="00AC375F">
            <w:pPr>
              <w:jc w:val="center"/>
              <w:rPr>
                <w:i/>
                <w:iCs/>
                <w:sz w:val="18"/>
                <w:szCs w:val="18"/>
              </w:rPr>
            </w:pPr>
            <w:r w:rsidRPr="00AC375F">
              <w:rPr>
                <w:i/>
                <w:iCs/>
                <w:sz w:val="18"/>
                <w:szCs w:val="18"/>
              </w:rPr>
              <w:t>djelatnika</w:t>
            </w:r>
          </w:p>
        </w:tc>
        <w:tc>
          <w:tcPr>
            <w:tcW w:w="1305" w:type="dxa"/>
            <w:shd w:val="clear" w:color="auto" w:fill="auto"/>
            <w:noWrap/>
            <w:hideMark/>
          </w:tcPr>
          <w:p w14:paraId="11785FEF" w14:textId="77777777" w:rsidR="00AC375F" w:rsidRPr="00AC375F" w:rsidRDefault="00AC375F" w:rsidP="00AC375F">
            <w:pPr>
              <w:jc w:val="center"/>
              <w:rPr>
                <w:i/>
                <w:iCs/>
                <w:sz w:val="18"/>
                <w:szCs w:val="18"/>
              </w:rPr>
            </w:pPr>
            <w:r w:rsidRPr="00AC375F">
              <w:rPr>
                <w:i/>
                <w:iCs/>
                <w:sz w:val="18"/>
                <w:szCs w:val="18"/>
              </w:rPr>
              <w:t>mjesec</w:t>
            </w:r>
          </w:p>
        </w:tc>
        <w:tc>
          <w:tcPr>
            <w:tcW w:w="1249" w:type="dxa"/>
            <w:shd w:val="clear" w:color="auto" w:fill="auto"/>
            <w:hideMark/>
          </w:tcPr>
          <w:p w14:paraId="52051623" w14:textId="77777777" w:rsidR="00AC375F" w:rsidRPr="00AC375F" w:rsidRDefault="00AC375F" w:rsidP="00AC375F">
            <w:pPr>
              <w:jc w:val="center"/>
              <w:rPr>
                <w:i/>
                <w:iCs/>
                <w:sz w:val="18"/>
                <w:szCs w:val="18"/>
              </w:rPr>
            </w:pPr>
            <w:r w:rsidRPr="00AC375F">
              <w:rPr>
                <w:i/>
                <w:iCs/>
                <w:sz w:val="18"/>
                <w:szCs w:val="18"/>
              </w:rPr>
              <w:t>broj dana/</w:t>
            </w:r>
          </w:p>
          <w:p w14:paraId="282F0D0A" w14:textId="77777777" w:rsidR="00AC375F" w:rsidRPr="00AC375F" w:rsidRDefault="00AC375F" w:rsidP="00AC375F">
            <w:pPr>
              <w:jc w:val="center"/>
              <w:rPr>
                <w:i/>
                <w:iCs/>
                <w:sz w:val="18"/>
                <w:szCs w:val="18"/>
              </w:rPr>
            </w:pPr>
            <w:r w:rsidRPr="00AC375F">
              <w:rPr>
                <w:i/>
                <w:iCs/>
                <w:sz w:val="18"/>
                <w:szCs w:val="18"/>
              </w:rPr>
              <w:t>sastanku</w:t>
            </w:r>
          </w:p>
        </w:tc>
      </w:tr>
      <w:tr w:rsidR="00AC375F" w:rsidRPr="00AC375F" w14:paraId="75FEEFB0" w14:textId="77777777" w:rsidTr="00991955">
        <w:trPr>
          <w:trHeight w:val="315"/>
        </w:trPr>
        <w:tc>
          <w:tcPr>
            <w:tcW w:w="4390" w:type="dxa"/>
            <w:shd w:val="clear" w:color="auto" w:fill="auto"/>
            <w:noWrap/>
          </w:tcPr>
          <w:p w14:paraId="0B779041" w14:textId="77777777" w:rsidR="00AC375F" w:rsidRPr="00AC375F" w:rsidRDefault="00AC375F" w:rsidP="00AC375F">
            <w:pPr>
              <w:rPr>
                <w:b/>
                <w:bCs/>
                <w:sz w:val="18"/>
                <w:szCs w:val="18"/>
              </w:rPr>
            </w:pPr>
            <w:r w:rsidRPr="00AC375F">
              <w:rPr>
                <w:b/>
                <w:bCs/>
                <w:sz w:val="18"/>
                <w:szCs w:val="18"/>
              </w:rPr>
              <w:t>Medical Device Coordinating Group (MDCG)</w:t>
            </w:r>
          </w:p>
        </w:tc>
        <w:tc>
          <w:tcPr>
            <w:tcW w:w="1609" w:type="dxa"/>
            <w:shd w:val="clear" w:color="auto" w:fill="auto"/>
            <w:noWrap/>
          </w:tcPr>
          <w:p w14:paraId="04E5D2A0" w14:textId="77777777" w:rsidR="00AC375F" w:rsidRPr="00AC375F" w:rsidRDefault="00AC375F" w:rsidP="00AC375F">
            <w:pPr>
              <w:jc w:val="center"/>
              <w:rPr>
                <w:sz w:val="18"/>
                <w:szCs w:val="18"/>
              </w:rPr>
            </w:pPr>
            <w:r w:rsidRPr="00AC375F">
              <w:rPr>
                <w:sz w:val="18"/>
                <w:szCs w:val="18"/>
              </w:rPr>
              <w:t xml:space="preserve">Bruxelles </w:t>
            </w:r>
          </w:p>
        </w:tc>
        <w:tc>
          <w:tcPr>
            <w:tcW w:w="940" w:type="dxa"/>
            <w:shd w:val="clear" w:color="auto" w:fill="auto"/>
            <w:noWrap/>
          </w:tcPr>
          <w:p w14:paraId="7FCE02C3" w14:textId="77777777" w:rsidR="00AC375F" w:rsidRPr="00AC375F" w:rsidRDefault="00AC375F" w:rsidP="00AC375F">
            <w:pPr>
              <w:jc w:val="center"/>
              <w:rPr>
                <w:sz w:val="18"/>
                <w:szCs w:val="18"/>
              </w:rPr>
            </w:pPr>
            <w:r w:rsidRPr="00AC375F">
              <w:rPr>
                <w:sz w:val="18"/>
                <w:szCs w:val="18"/>
              </w:rPr>
              <w:t>1/1</w:t>
            </w:r>
          </w:p>
        </w:tc>
        <w:tc>
          <w:tcPr>
            <w:tcW w:w="1305" w:type="dxa"/>
            <w:shd w:val="clear" w:color="auto" w:fill="auto"/>
            <w:noWrap/>
          </w:tcPr>
          <w:p w14:paraId="1D4CED5A" w14:textId="77777777" w:rsidR="00AC375F" w:rsidRPr="00AC375F" w:rsidRDefault="00AC375F" w:rsidP="00AC375F">
            <w:pPr>
              <w:jc w:val="center"/>
              <w:rPr>
                <w:sz w:val="18"/>
                <w:szCs w:val="18"/>
              </w:rPr>
            </w:pPr>
            <w:r w:rsidRPr="00AC375F">
              <w:rPr>
                <w:sz w:val="18"/>
                <w:szCs w:val="18"/>
              </w:rPr>
              <w:t>veljača</w:t>
            </w:r>
          </w:p>
        </w:tc>
        <w:tc>
          <w:tcPr>
            <w:tcW w:w="1249" w:type="dxa"/>
            <w:shd w:val="clear" w:color="auto" w:fill="auto"/>
            <w:noWrap/>
          </w:tcPr>
          <w:p w14:paraId="2B3A4893" w14:textId="77777777" w:rsidR="00AC375F" w:rsidRPr="00AC375F" w:rsidRDefault="00AC375F" w:rsidP="00AC375F">
            <w:pPr>
              <w:jc w:val="center"/>
              <w:rPr>
                <w:sz w:val="18"/>
                <w:szCs w:val="18"/>
              </w:rPr>
            </w:pPr>
            <w:r w:rsidRPr="00AC375F">
              <w:rPr>
                <w:sz w:val="18"/>
                <w:szCs w:val="18"/>
              </w:rPr>
              <w:t>2</w:t>
            </w:r>
          </w:p>
        </w:tc>
      </w:tr>
      <w:tr w:rsidR="00AC375F" w:rsidRPr="00AC375F" w14:paraId="32703200" w14:textId="77777777" w:rsidTr="00991955">
        <w:trPr>
          <w:trHeight w:val="315"/>
        </w:trPr>
        <w:tc>
          <w:tcPr>
            <w:tcW w:w="4390" w:type="dxa"/>
            <w:shd w:val="clear" w:color="auto" w:fill="auto"/>
            <w:noWrap/>
          </w:tcPr>
          <w:p w14:paraId="503E2D4B" w14:textId="77777777" w:rsidR="00AC375F" w:rsidRPr="00AC375F" w:rsidRDefault="00AC375F" w:rsidP="00AC375F">
            <w:pPr>
              <w:rPr>
                <w:b/>
                <w:bCs/>
                <w:sz w:val="18"/>
                <w:szCs w:val="18"/>
              </w:rPr>
            </w:pPr>
          </w:p>
        </w:tc>
        <w:tc>
          <w:tcPr>
            <w:tcW w:w="1609" w:type="dxa"/>
            <w:shd w:val="clear" w:color="auto" w:fill="auto"/>
            <w:noWrap/>
          </w:tcPr>
          <w:p w14:paraId="7C5C87E9" w14:textId="77777777" w:rsidR="00AC375F" w:rsidRPr="00AC375F" w:rsidRDefault="00AC375F" w:rsidP="00AC375F">
            <w:pPr>
              <w:jc w:val="center"/>
              <w:rPr>
                <w:sz w:val="18"/>
                <w:szCs w:val="18"/>
              </w:rPr>
            </w:pPr>
            <w:r w:rsidRPr="00AC375F">
              <w:rPr>
                <w:sz w:val="18"/>
                <w:szCs w:val="18"/>
              </w:rPr>
              <w:t xml:space="preserve">Bruxelles / </w:t>
            </w:r>
          </w:p>
        </w:tc>
        <w:tc>
          <w:tcPr>
            <w:tcW w:w="940" w:type="dxa"/>
            <w:shd w:val="clear" w:color="auto" w:fill="auto"/>
            <w:noWrap/>
          </w:tcPr>
          <w:p w14:paraId="04D6E48B" w14:textId="77777777" w:rsidR="00AC375F" w:rsidRPr="00AC375F" w:rsidRDefault="00AC375F" w:rsidP="00AC375F">
            <w:pPr>
              <w:jc w:val="center"/>
              <w:rPr>
                <w:sz w:val="18"/>
                <w:szCs w:val="18"/>
              </w:rPr>
            </w:pPr>
            <w:r w:rsidRPr="00AC375F">
              <w:rPr>
                <w:sz w:val="18"/>
                <w:szCs w:val="18"/>
              </w:rPr>
              <w:t>1/1</w:t>
            </w:r>
          </w:p>
        </w:tc>
        <w:tc>
          <w:tcPr>
            <w:tcW w:w="1305" w:type="dxa"/>
            <w:shd w:val="clear" w:color="auto" w:fill="auto"/>
            <w:noWrap/>
          </w:tcPr>
          <w:p w14:paraId="430A5561" w14:textId="77777777" w:rsidR="00AC375F" w:rsidRPr="00AC375F" w:rsidRDefault="00AC375F" w:rsidP="00AC375F">
            <w:pPr>
              <w:jc w:val="center"/>
              <w:rPr>
                <w:sz w:val="18"/>
                <w:szCs w:val="18"/>
              </w:rPr>
            </w:pPr>
            <w:r w:rsidRPr="00AC375F">
              <w:rPr>
                <w:sz w:val="18"/>
                <w:szCs w:val="18"/>
              </w:rPr>
              <w:t>travanj</w:t>
            </w:r>
          </w:p>
        </w:tc>
        <w:tc>
          <w:tcPr>
            <w:tcW w:w="1249" w:type="dxa"/>
            <w:shd w:val="clear" w:color="auto" w:fill="auto"/>
            <w:noWrap/>
          </w:tcPr>
          <w:p w14:paraId="7E7A3C82" w14:textId="77777777" w:rsidR="00AC375F" w:rsidRPr="00AC375F" w:rsidRDefault="00AC375F" w:rsidP="00AC375F">
            <w:pPr>
              <w:jc w:val="center"/>
              <w:rPr>
                <w:sz w:val="18"/>
                <w:szCs w:val="18"/>
              </w:rPr>
            </w:pPr>
            <w:r w:rsidRPr="00AC375F">
              <w:rPr>
                <w:sz w:val="18"/>
                <w:szCs w:val="18"/>
              </w:rPr>
              <w:t>2</w:t>
            </w:r>
          </w:p>
        </w:tc>
      </w:tr>
      <w:tr w:rsidR="00AC375F" w:rsidRPr="00AC375F" w14:paraId="5E30F8B8" w14:textId="77777777" w:rsidTr="00991955">
        <w:trPr>
          <w:trHeight w:val="315"/>
        </w:trPr>
        <w:tc>
          <w:tcPr>
            <w:tcW w:w="4390" w:type="dxa"/>
            <w:shd w:val="clear" w:color="auto" w:fill="auto"/>
            <w:noWrap/>
          </w:tcPr>
          <w:p w14:paraId="153AFDB3" w14:textId="77777777" w:rsidR="00AC375F" w:rsidRPr="00AC375F" w:rsidRDefault="00AC375F" w:rsidP="00AC375F">
            <w:pPr>
              <w:rPr>
                <w:b/>
                <w:bCs/>
                <w:sz w:val="18"/>
                <w:szCs w:val="18"/>
              </w:rPr>
            </w:pPr>
          </w:p>
        </w:tc>
        <w:tc>
          <w:tcPr>
            <w:tcW w:w="1609" w:type="dxa"/>
            <w:shd w:val="clear" w:color="auto" w:fill="auto"/>
            <w:noWrap/>
          </w:tcPr>
          <w:p w14:paraId="13236B63" w14:textId="77777777" w:rsidR="00AC375F" w:rsidRPr="00AC375F" w:rsidRDefault="00AC375F" w:rsidP="00AC375F">
            <w:pPr>
              <w:jc w:val="center"/>
              <w:rPr>
                <w:sz w:val="18"/>
                <w:szCs w:val="18"/>
              </w:rPr>
            </w:pPr>
            <w:r w:rsidRPr="00AC375F">
              <w:rPr>
                <w:sz w:val="18"/>
                <w:szCs w:val="18"/>
              </w:rPr>
              <w:t xml:space="preserve">Bruxelles / </w:t>
            </w:r>
          </w:p>
        </w:tc>
        <w:tc>
          <w:tcPr>
            <w:tcW w:w="940" w:type="dxa"/>
            <w:shd w:val="clear" w:color="auto" w:fill="auto"/>
            <w:noWrap/>
          </w:tcPr>
          <w:p w14:paraId="50DB60A6" w14:textId="77777777" w:rsidR="00AC375F" w:rsidRPr="00AC375F" w:rsidRDefault="00AC375F" w:rsidP="00AC375F">
            <w:pPr>
              <w:jc w:val="center"/>
              <w:rPr>
                <w:sz w:val="18"/>
                <w:szCs w:val="18"/>
              </w:rPr>
            </w:pPr>
            <w:r w:rsidRPr="00AC375F">
              <w:rPr>
                <w:sz w:val="18"/>
                <w:szCs w:val="18"/>
              </w:rPr>
              <w:t>1/1</w:t>
            </w:r>
          </w:p>
        </w:tc>
        <w:tc>
          <w:tcPr>
            <w:tcW w:w="1305" w:type="dxa"/>
            <w:shd w:val="clear" w:color="auto" w:fill="auto"/>
            <w:noWrap/>
          </w:tcPr>
          <w:p w14:paraId="0B17962D" w14:textId="77777777" w:rsidR="00AC375F" w:rsidRPr="00AC375F" w:rsidRDefault="00AC375F" w:rsidP="00AC375F">
            <w:pPr>
              <w:jc w:val="center"/>
              <w:rPr>
                <w:sz w:val="18"/>
                <w:szCs w:val="18"/>
              </w:rPr>
            </w:pPr>
            <w:r w:rsidRPr="00AC375F">
              <w:rPr>
                <w:sz w:val="18"/>
                <w:szCs w:val="18"/>
              </w:rPr>
              <w:t>lipanj</w:t>
            </w:r>
          </w:p>
        </w:tc>
        <w:tc>
          <w:tcPr>
            <w:tcW w:w="1249" w:type="dxa"/>
            <w:shd w:val="clear" w:color="auto" w:fill="auto"/>
            <w:noWrap/>
          </w:tcPr>
          <w:p w14:paraId="22E8F5F8" w14:textId="77777777" w:rsidR="00AC375F" w:rsidRPr="00AC375F" w:rsidRDefault="00AC375F" w:rsidP="00AC375F">
            <w:pPr>
              <w:jc w:val="center"/>
              <w:rPr>
                <w:sz w:val="18"/>
                <w:szCs w:val="18"/>
              </w:rPr>
            </w:pPr>
            <w:r w:rsidRPr="00AC375F">
              <w:rPr>
                <w:sz w:val="18"/>
                <w:szCs w:val="18"/>
              </w:rPr>
              <w:t>2</w:t>
            </w:r>
          </w:p>
        </w:tc>
      </w:tr>
      <w:tr w:rsidR="00AC375F" w:rsidRPr="00AC375F" w14:paraId="58935A68" w14:textId="77777777" w:rsidTr="00991955">
        <w:trPr>
          <w:trHeight w:val="315"/>
        </w:trPr>
        <w:tc>
          <w:tcPr>
            <w:tcW w:w="4390" w:type="dxa"/>
            <w:shd w:val="clear" w:color="auto" w:fill="auto"/>
            <w:noWrap/>
          </w:tcPr>
          <w:p w14:paraId="17C28B94" w14:textId="77777777" w:rsidR="00AC375F" w:rsidRPr="00AC375F" w:rsidRDefault="00AC375F" w:rsidP="00AC375F">
            <w:pPr>
              <w:rPr>
                <w:b/>
                <w:bCs/>
                <w:sz w:val="18"/>
                <w:szCs w:val="18"/>
              </w:rPr>
            </w:pPr>
          </w:p>
        </w:tc>
        <w:tc>
          <w:tcPr>
            <w:tcW w:w="1609" w:type="dxa"/>
            <w:shd w:val="clear" w:color="auto" w:fill="auto"/>
            <w:noWrap/>
          </w:tcPr>
          <w:p w14:paraId="1D71735A" w14:textId="77777777" w:rsidR="00AC375F" w:rsidRPr="00AC375F" w:rsidRDefault="00AC375F" w:rsidP="00AC375F">
            <w:pPr>
              <w:jc w:val="center"/>
              <w:rPr>
                <w:sz w:val="18"/>
                <w:szCs w:val="18"/>
              </w:rPr>
            </w:pPr>
            <w:r w:rsidRPr="00AC375F">
              <w:rPr>
                <w:sz w:val="18"/>
                <w:szCs w:val="18"/>
              </w:rPr>
              <w:t>Bruxelless</w:t>
            </w:r>
          </w:p>
        </w:tc>
        <w:tc>
          <w:tcPr>
            <w:tcW w:w="940" w:type="dxa"/>
            <w:shd w:val="clear" w:color="auto" w:fill="auto"/>
            <w:noWrap/>
          </w:tcPr>
          <w:p w14:paraId="2462FB38" w14:textId="77777777" w:rsidR="00AC375F" w:rsidRPr="00AC375F" w:rsidRDefault="00AC375F" w:rsidP="00AC375F">
            <w:pPr>
              <w:jc w:val="center"/>
              <w:rPr>
                <w:sz w:val="18"/>
                <w:szCs w:val="18"/>
              </w:rPr>
            </w:pPr>
            <w:r w:rsidRPr="00AC375F">
              <w:rPr>
                <w:sz w:val="18"/>
                <w:szCs w:val="18"/>
              </w:rPr>
              <w:t>1</w:t>
            </w:r>
          </w:p>
        </w:tc>
        <w:tc>
          <w:tcPr>
            <w:tcW w:w="1305" w:type="dxa"/>
            <w:shd w:val="clear" w:color="auto" w:fill="auto"/>
            <w:noWrap/>
          </w:tcPr>
          <w:p w14:paraId="044C5DAD" w14:textId="77777777" w:rsidR="00AC375F" w:rsidRPr="00AC375F" w:rsidRDefault="00AC375F" w:rsidP="00AC375F">
            <w:pPr>
              <w:jc w:val="center"/>
              <w:rPr>
                <w:sz w:val="18"/>
                <w:szCs w:val="18"/>
              </w:rPr>
            </w:pPr>
            <w:r w:rsidRPr="00AC375F">
              <w:rPr>
                <w:sz w:val="18"/>
                <w:szCs w:val="18"/>
              </w:rPr>
              <w:t>prosinac</w:t>
            </w:r>
          </w:p>
        </w:tc>
        <w:tc>
          <w:tcPr>
            <w:tcW w:w="1249" w:type="dxa"/>
            <w:shd w:val="clear" w:color="auto" w:fill="auto"/>
            <w:noWrap/>
          </w:tcPr>
          <w:p w14:paraId="00B27085" w14:textId="77777777" w:rsidR="00AC375F" w:rsidRPr="00AC375F" w:rsidRDefault="00AC375F" w:rsidP="00AC375F">
            <w:pPr>
              <w:jc w:val="center"/>
              <w:rPr>
                <w:sz w:val="18"/>
                <w:szCs w:val="18"/>
              </w:rPr>
            </w:pPr>
            <w:r w:rsidRPr="00AC375F">
              <w:rPr>
                <w:sz w:val="18"/>
                <w:szCs w:val="18"/>
              </w:rPr>
              <w:t>2</w:t>
            </w:r>
          </w:p>
        </w:tc>
      </w:tr>
      <w:tr w:rsidR="00AC375F" w:rsidRPr="00AC375F" w14:paraId="0794FE4B" w14:textId="77777777" w:rsidTr="00991955">
        <w:trPr>
          <w:trHeight w:val="315"/>
        </w:trPr>
        <w:tc>
          <w:tcPr>
            <w:tcW w:w="4390" w:type="dxa"/>
            <w:shd w:val="clear" w:color="auto" w:fill="auto"/>
            <w:noWrap/>
          </w:tcPr>
          <w:p w14:paraId="28003B8C" w14:textId="77777777" w:rsidR="00AC375F" w:rsidRPr="00AC375F" w:rsidRDefault="00AC375F" w:rsidP="00AC375F">
            <w:pPr>
              <w:rPr>
                <w:b/>
                <w:bCs/>
                <w:sz w:val="18"/>
                <w:szCs w:val="18"/>
              </w:rPr>
            </w:pPr>
            <w:r w:rsidRPr="00AC375F">
              <w:rPr>
                <w:b/>
                <w:bCs/>
                <w:sz w:val="18"/>
                <w:szCs w:val="18"/>
              </w:rPr>
              <w:t>MDCG - Unique Device Identification (UDI)</w:t>
            </w:r>
          </w:p>
        </w:tc>
        <w:tc>
          <w:tcPr>
            <w:tcW w:w="1609" w:type="dxa"/>
            <w:shd w:val="clear" w:color="auto" w:fill="auto"/>
            <w:noWrap/>
          </w:tcPr>
          <w:p w14:paraId="2BF94127" w14:textId="77777777" w:rsidR="00AC375F" w:rsidRPr="00AC375F" w:rsidRDefault="00AC375F" w:rsidP="00AC375F">
            <w:pPr>
              <w:jc w:val="center"/>
              <w:rPr>
                <w:sz w:val="18"/>
                <w:szCs w:val="18"/>
              </w:rPr>
            </w:pPr>
            <w:r w:rsidRPr="00AC375F">
              <w:rPr>
                <w:sz w:val="18"/>
                <w:szCs w:val="18"/>
              </w:rPr>
              <w:t>virtualno</w:t>
            </w:r>
          </w:p>
        </w:tc>
        <w:tc>
          <w:tcPr>
            <w:tcW w:w="940" w:type="dxa"/>
            <w:shd w:val="clear" w:color="auto" w:fill="auto"/>
            <w:noWrap/>
          </w:tcPr>
          <w:p w14:paraId="14454019" w14:textId="77777777" w:rsidR="00AC375F" w:rsidRPr="00AC375F" w:rsidRDefault="00AC375F" w:rsidP="00AC375F">
            <w:pPr>
              <w:jc w:val="center"/>
              <w:rPr>
                <w:sz w:val="18"/>
                <w:szCs w:val="18"/>
              </w:rPr>
            </w:pPr>
            <w:r w:rsidRPr="00AC375F">
              <w:rPr>
                <w:sz w:val="18"/>
                <w:szCs w:val="18"/>
              </w:rPr>
              <w:t>1</w:t>
            </w:r>
          </w:p>
        </w:tc>
        <w:tc>
          <w:tcPr>
            <w:tcW w:w="1305" w:type="dxa"/>
            <w:shd w:val="clear" w:color="auto" w:fill="auto"/>
            <w:noWrap/>
          </w:tcPr>
          <w:p w14:paraId="3FB8CB22" w14:textId="77777777" w:rsidR="00AC375F" w:rsidRPr="00AC375F" w:rsidRDefault="00AC375F" w:rsidP="00AC375F">
            <w:pPr>
              <w:jc w:val="center"/>
              <w:rPr>
                <w:sz w:val="18"/>
                <w:szCs w:val="18"/>
              </w:rPr>
            </w:pPr>
            <w:r w:rsidRPr="00AC375F">
              <w:rPr>
                <w:sz w:val="18"/>
                <w:szCs w:val="18"/>
              </w:rPr>
              <w:t>ožujak</w:t>
            </w:r>
          </w:p>
        </w:tc>
        <w:tc>
          <w:tcPr>
            <w:tcW w:w="1249" w:type="dxa"/>
            <w:shd w:val="clear" w:color="auto" w:fill="auto"/>
            <w:noWrap/>
          </w:tcPr>
          <w:p w14:paraId="2F55BF34" w14:textId="77777777" w:rsidR="00AC375F" w:rsidRPr="00AC375F" w:rsidRDefault="00AC375F" w:rsidP="00AC375F">
            <w:pPr>
              <w:jc w:val="center"/>
              <w:rPr>
                <w:sz w:val="18"/>
                <w:szCs w:val="18"/>
              </w:rPr>
            </w:pPr>
            <w:r w:rsidRPr="00AC375F">
              <w:rPr>
                <w:sz w:val="18"/>
                <w:szCs w:val="18"/>
              </w:rPr>
              <w:t>1</w:t>
            </w:r>
          </w:p>
        </w:tc>
      </w:tr>
      <w:tr w:rsidR="00AC375F" w:rsidRPr="00AC375F" w14:paraId="652EC002" w14:textId="77777777" w:rsidTr="00991955">
        <w:trPr>
          <w:trHeight w:val="315"/>
        </w:trPr>
        <w:tc>
          <w:tcPr>
            <w:tcW w:w="4390" w:type="dxa"/>
            <w:shd w:val="clear" w:color="auto" w:fill="auto"/>
            <w:noWrap/>
          </w:tcPr>
          <w:p w14:paraId="79EC32E6" w14:textId="77777777" w:rsidR="00AC375F" w:rsidRPr="00AC375F" w:rsidRDefault="00AC375F" w:rsidP="00AC375F">
            <w:pPr>
              <w:rPr>
                <w:b/>
                <w:bCs/>
                <w:sz w:val="18"/>
                <w:szCs w:val="18"/>
              </w:rPr>
            </w:pPr>
          </w:p>
        </w:tc>
        <w:tc>
          <w:tcPr>
            <w:tcW w:w="1609" w:type="dxa"/>
            <w:shd w:val="clear" w:color="auto" w:fill="auto"/>
            <w:noWrap/>
          </w:tcPr>
          <w:p w14:paraId="75698F79" w14:textId="77777777" w:rsidR="00AC375F" w:rsidRPr="00AC375F" w:rsidRDefault="00AC375F" w:rsidP="00AC375F">
            <w:pPr>
              <w:jc w:val="center"/>
              <w:rPr>
                <w:sz w:val="18"/>
                <w:szCs w:val="18"/>
              </w:rPr>
            </w:pPr>
            <w:r w:rsidRPr="00AC375F">
              <w:rPr>
                <w:sz w:val="18"/>
                <w:szCs w:val="18"/>
              </w:rPr>
              <w:t>virtualno</w:t>
            </w:r>
          </w:p>
        </w:tc>
        <w:tc>
          <w:tcPr>
            <w:tcW w:w="940" w:type="dxa"/>
            <w:shd w:val="clear" w:color="auto" w:fill="auto"/>
            <w:noWrap/>
          </w:tcPr>
          <w:p w14:paraId="6DB200C7" w14:textId="77777777" w:rsidR="00AC375F" w:rsidRPr="00AC375F" w:rsidRDefault="00AC375F" w:rsidP="00AC375F">
            <w:pPr>
              <w:jc w:val="center"/>
              <w:rPr>
                <w:sz w:val="18"/>
                <w:szCs w:val="18"/>
              </w:rPr>
            </w:pPr>
            <w:r w:rsidRPr="00AC375F">
              <w:rPr>
                <w:sz w:val="18"/>
                <w:szCs w:val="18"/>
              </w:rPr>
              <w:t>1</w:t>
            </w:r>
          </w:p>
        </w:tc>
        <w:tc>
          <w:tcPr>
            <w:tcW w:w="1305" w:type="dxa"/>
            <w:shd w:val="clear" w:color="auto" w:fill="auto"/>
            <w:noWrap/>
          </w:tcPr>
          <w:p w14:paraId="60D4BAD1" w14:textId="77777777" w:rsidR="00AC375F" w:rsidRPr="00AC375F" w:rsidRDefault="00AC375F" w:rsidP="00AC375F">
            <w:pPr>
              <w:jc w:val="center"/>
              <w:rPr>
                <w:sz w:val="18"/>
                <w:szCs w:val="18"/>
              </w:rPr>
            </w:pPr>
            <w:r w:rsidRPr="00AC375F">
              <w:rPr>
                <w:sz w:val="18"/>
                <w:szCs w:val="18"/>
              </w:rPr>
              <w:t>studeni</w:t>
            </w:r>
          </w:p>
        </w:tc>
        <w:tc>
          <w:tcPr>
            <w:tcW w:w="1249" w:type="dxa"/>
            <w:shd w:val="clear" w:color="auto" w:fill="auto"/>
            <w:noWrap/>
          </w:tcPr>
          <w:p w14:paraId="5C0FCCC0" w14:textId="77777777" w:rsidR="00AC375F" w:rsidRPr="00AC375F" w:rsidRDefault="00AC375F" w:rsidP="00AC375F">
            <w:pPr>
              <w:jc w:val="center"/>
              <w:rPr>
                <w:sz w:val="18"/>
                <w:szCs w:val="18"/>
              </w:rPr>
            </w:pPr>
            <w:r w:rsidRPr="00AC375F">
              <w:rPr>
                <w:sz w:val="18"/>
                <w:szCs w:val="18"/>
              </w:rPr>
              <w:t>1</w:t>
            </w:r>
          </w:p>
        </w:tc>
      </w:tr>
      <w:tr w:rsidR="00AC375F" w:rsidRPr="00AC375F" w14:paraId="2D09532E" w14:textId="77777777" w:rsidTr="00991955">
        <w:trPr>
          <w:trHeight w:val="315"/>
        </w:trPr>
        <w:tc>
          <w:tcPr>
            <w:tcW w:w="4390" w:type="dxa"/>
            <w:shd w:val="clear" w:color="auto" w:fill="auto"/>
            <w:noWrap/>
          </w:tcPr>
          <w:p w14:paraId="4D88F9E6" w14:textId="77777777" w:rsidR="00AC375F" w:rsidRPr="00AC375F" w:rsidRDefault="00AC375F" w:rsidP="00AC375F">
            <w:pPr>
              <w:rPr>
                <w:b/>
                <w:bCs/>
                <w:sz w:val="18"/>
                <w:szCs w:val="18"/>
              </w:rPr>
            </w:pPr>
            <w:r w:rsidRPr="00AC375F">
              <w:rPr>
                <w:b/>
                <w:bCs/>
                <w:sz w:val="18"/>
                <w:szCs w:val="18"/>
              </w:rPr>
              <w:t xml:space="preserve">MDCG - International Matters WG </w:t>
            </w:r>
          </w:p>
        </w:tc>
        <w:tc>
          <w:tcPr>
            <w:tcW w:w="1609" w:type="dxa"/>
            <w:shd w:val="clear" w:color="auto" w:fill="auto"/>
            <w:noWrap/>
          </w:tcPr>
          <w:p w14:paraId="1AE7B8FC" w14:textId="77777777" w:rsidR="00AC375F" w:rsidRPr="00AC375F" w:rsidRDefault="00AC375F" w:rsidP="00AC375F">
            <w:pPr>
              <w:jc w:val="center"/>
              <w:rPr>
                <w:sz w:val="18"/>
                <w:szCs w:val="18"/>
              </w:rPr>
            </w:pPr>
            <w:r w:rsidRPr="00AC375F">
              <w:rPr>
                <w:sz w:val="18"/>
                <w:szCs w:val="18"/>
              </w:rPr>
              <w:t>virtualno</w:t>
            </w:r>
          </w:p>
        </w:tc>
        <w:tc>
          <w:tcPr>
            <w:tcW w:w="940" w:type="dxa"/>
            <w:shd w:val="clear" w:color="auto" w:fill="auto"/>
            <w:noWrap/>
          </w:tcPr>
          <w:p w14:paraId="46B05983" w14:textId="77777777" w:rsidR="00AC375F" w:rsidRPr="00AC375F" w:rsidRDefault="00AC375F" w:rsidP="00AC375F">
            <w:pPr>
              <w:jc w:val="center"/>
              <w:rPr>
                <w:sz w:val="18"/>
                <w:szCs w:val="18"/>
              </w:rPr>
            </w:pPr>
            <w:r w:rsidRPr="00AC375F">
              <w:rPr>
                <w:sz w:val="18"/>
                <w:szCs w:val="18"/>
              </w:rPr>
              <w:t>1</w:t>
            </w:r>
          </w:p>
        </w:tc>
        <w:tc>
          <w:tcPr>
            <w:tcW w:w="1305" w:type="dxa"/>
            <w:shd w:val="clear" w:color="auto" w:fill="auto"/>
            <w:noWrap/>
          </w:tcPr>
          <w:p w14:paraId="7666D8BE" w14:textId="77777777" w:rsidR="00AC375F" w:rsidRPr="00AC375F" w:rsidRDefault="00AC375F" w:rsidP="00AC375F">
            <w:pPr>
              <w:jc w:val="center"/>
              <w:rPr>
                <w:sz w:val="18"/>
                <w:szCs w:val="18"/>
              </w:rPr>
            </w:pPr>
            <w:r w:rsidRPr="00AC375F">
              <w:rPr>
                <w:sz w:val="18"/>
                <w:szCs w:val="18"/>
              </w:rPr>
              <w:t>ožujak</w:t>
            </w:r>
          </w:p>
        </w:tc>
        <w:tc>
          <w:tcPr>
            <w:tcW w:w="1249" w:type="dxa"/>
            <w:shd w:val="clear" w:color="auto" w:fill="auto"/>
            <w:noWrap/>
          </w:tcPr>
          <w:p w14:paraId="6295EF47" w14:textId="77777777" w:rsidR="00AC375F" w:rsidRPr="00AC375F" w:rsidRDefault="00AC375F" w:rsidP="00AC375F">
            <w:pPr>
              <w:jc w:val="center"/>
              <w:rPr>
                <w:sz w:val="18"/>
                <w:szCs w:val="18"/>
              </w:rPr>
            </w:pPr>
            <w:r w:rsidRPr="00AC375F">
              <w:rPr>
                <w:sz w:val="18"/>
                <w:szCs w:val="18"/>
              </w:rPr>
              <w:t>1</w:t>
            </w:r>
          </w:p>
        </w:tc>
      </w:tr>
      <w:tr w:rsidR="00AC375F" w:rsidRPr="00AC375F" w14:paraId="782DED2F" w14:textId="77777777" w:rsidTr="00991955">
        <w:trPr>
          <w:trHeight w:val="315"/>
        </w:trPr>
        <w:tc>
          <w:tcPr>
            <w:tcW w:w="4390" w:type="dxa"/>
            <w:shd w:val="clear" w:color="auto" w:fill="auto"/>
            <w:noWrap/>
          </w:tcPr>
          <w:p w14:paraId="59C8E420" w14:textId="77777777" w:rsidR="00AC375F" w:rsidRPr="00AC375F" w:rsidRDefault="00AC375F" w:rsidP="00AC375F">
            <w:pPr>
              <w:rPr>
                <w:b/>
                <w:bCs/>
                <w:sz w:val="18"/>
                <w:szCs w:val="18"/>
              </w:rPr>
            </w:pPr>
            <w:r w:rsidRPr="00AC375F">
              <w:rPr>
                <w:b/>
                <w:bCs/>
                <w:sz w:val="18"/>
                <w:szCs w:val="18"/>
              </w:rPr>
              <w:t>MDCG - Post Market Surveillance and Vigilance</w:t>
            </w:r>
          </w:p>
        </w:tc>
        <w:tc>
          <w:tcPr>
            <w:tcW w:w="1609" w:type="dxa"/>
            <w:shd w:val="clear" w:color="auto" w:fill="auto"/>
            <w:noWrap/>
          </w:tcPr>
          <w:p w14:paraId="0AE4865B" w14:textId="77777777" w:rsidR="00AC375F" w:rsidRPr="00AC375F" w:rsidRDefault="00AC375F" w:rsidP="00AC375F">
            <w:pPr>
              <w:jc w:val="center"/>
              <w:rPr>
                <w:sz w:val="18"/>
                <w:szCs w:val="18"/>
              </w:rPr>
            </w:pPr>
            <w:r w:rsidRPr="00AC375F">
              <w:rPr>
                <w:sz w:val="18"/>
                <w:szCs w:val="18"/>
              </w:rPr>
              <w:t>virtualno</w:t>
            </w:r>
          </w:p>
        </w:tc>
        <w:tc>
          <w:tcPr>
            <w:tcW w:w="940" w:type="dxa"/>
            <w:shd w:val="clear" w:color="auto" w:fill="auto"/>
            <w:noWrap/>
          </w:tcPr>
          <w:p w14:paraId="7C0305A8" w14:textId="77777777" w:rsidR="00AC375F" w:rsidRPr="00AC375F" w:rsidRDefault="00AC375F" w:rsidP="00AC375F">
            <w:pPr>
              <w:jc w:val="center"/>
              <w:rPr>
                <w:sz w:val="18"/>
                <w:szCs w:val="18"/>
              </w:rPr>
            </w:pPr>
            <w:r w:rsidRPr="00AC375F">
              <w:rPr>
                <w:sz w:val="18"/>
                <w:szCs w:val="18"/>
              </w:rPr>
              <w:t>2</w:t>
            </w:r>
          </w:p>
        </w:tc>
        <w:tc>
          <w:tcPr>
            <w:tcW w:w="1305" w:type="dxa"/>
            <w:shd w:val="clear" w:color="auto" w:fill="auto"/>
            <w:noWrap/>
          </w:tcPr>
          <w:p w14:paraId="1AFCEB81" w14:textId="77777777" w:rsidR="00AC375F" w:rsidRPr="00AC375F" w:rsidRDefault="00AC375F" w:rsidP="00AC375F">
            <w:pPr>
              <w:jc w:val="center"/>
              <w:rPr>
                <w:sz w:val="18"/>
                <w:szCs w:val="18"/>
              </w:rPr>
            </w:pPr>
            <w:r w:rsidRPr="00AC375F">
              <w:rPr>
                <w:sz w:val="18"/>
                <w:szCs w:val="18"/>
              </w:rPr>
              <w:t>ožujak</w:t>
            </w:r>
          </w:p>
        </w:tc>
        <w:tc>
          <w:tcPr>
            <w:tcW w:w="1249" w:type="dxa"/>
            <w:shd w:val="clear" w:color="auto" w:fill="auto"/>
            <w:noWrap/>
          </w:tcPr>
          <w:p w14:paraId="73E375DF" w14:textId="77777777" w:rsidR="00AC375F" w:rsidRPr="00AC375F" w:rsidRDefault="00AC375F" w:rsidP="00AC375F">
            <w:pPr>
              <w:jc w:val="center"/>
              <w:rPr>
                <w:sz w:val="18"/>
                <w:szCs w:val="18"/>
              </w:rPr>
            </w:pPr>
            <w:r w:rsidRPr="00AC375F">
              <w:rPr>
                <w:sz w:val="18"/>
                <w:szCs w:val="18"/>
              </w:rPr>
              <w:t>2</w:t>
            </w:r>
          </w:p>
        </w:tc>
      </w:tr>
      <w:tr w:rsidR="00AC375F" w:rsidRPr="00AC375F" w14:paraId="0EEFDB4B" w14:textId="77777777" w:rsidTr="00991955">
        <w:trPr>
          <w:trHeight w:val="315"/>
        </w:trPr>
        <w:tc>
          <w:tcPr>
            <w:tcW w:w="4390" w:type="dxa"/>
            <w:shd w:val="clear" w:color="auto" w:fill="auto"/>
            <w:noWrap/>
          </w:tcPr>
          <w:p w14:paraId="14F129F9" w14:textId="77777777" w:rsidR="00AC375F" w:rsidRPr="00AC375F" w:rsidRDefault="00AC375F" w:rsidP="00AC375F">
            <w:pPr>
              <w:rPr>
                <w:b/>
                <w:bCs/>
                <w:sz w:val="18"/>
                <w:szCs w:val="18"/>
              </w:rPr>
            </w:pPr>
          </w:p>
        </w:tc>
        <w:tc>
          <w:tcPr>
            <w:tcW w:w="1609" w:type="dxa"/>
            <w:shd w:val="clear" w:color="auto" w:fill="auto"/>
            <w:noWrap/>
          </w:tcPr>
          <w:p w14:paraId="02E3FFB7" w14:textId="77777777" w:rsidR="00AC375F" w:rsidRPr="00AC375F" w:rsidRDefault="00AC375F" w:rsidP="00AC375F">
            <w:pPr>
              <w:jc w:val="center"/>
              <w:rPr>
                <w:sz w:val="18"/>
                <w:szCs w:val="18"/>
              </w:rPr>
            </w:pPr>
            <w:r w:rsidRPr="00AC375F">
              <w:rPr>
                <w:sz w:val="18"/>
                <w:szCs w:val="18"/>
              </w:rPr>
              <w:t>virtualno</w:t>
            </w:r>
          </w:p>
        </w:tc>
        <w:tc>
          <w:tcPr>
            <w:tcW w:w="940" w:type="dxa"/>
            <w:shd w:val="clear" w:color="auto" w:fill="auto"/>
            <w:noWrap/>
          </w:tcPr>
          <w:p w14:paraId="7FD5C32D" w14:textId="77777777" w:rsidR="00AC375F" w:rsidRPr="00AC375F" w:rsidRDefault="00AC375F" w:rsidP="00AC375F">
            <w:pPr>
              <w:jc w:val="center"/>
              <w:rPr>
                <w:sz w:val="18"/>
                <w:szCs w:val="18"/>
              </w:rPr>
            </w:pPr>
            <w:r w:rsidRPr="00AC375F">
              <w:rPr>
                <w:sz w:val="18"/>
                <w:szCs w:val="18"/>
              </w:rPr>
              <w:t>2</w:t>
            </w:r>
          </w:p>
        </w:tc>
        <w:tc>
          <w:tcPr>
            <w:tcW w:w="1305" w:type="dxa"/>
            <w:shd w:val="clear" w:color="auto" w:fill="auto"/>
            <w:noWrap/>
          </w:tcPr>
          <w:p w14:paraId="46ADA24A" w14:textId="77777777" w:rsidR="00AC375F" w:rsidRPr="00AC375F" w:rsidRDefault="00AC375F" w:rsidP="00AC375F">
            <w:pPr>
              <w:jc w:val="center"/>
              <w:rPr>
                <w:sz w:val="18"/>
                <w:szCs w:val="18"/>
              </w:rPr>
            </w:pPr>
            <w:r w:rsidRPr="00AC375F">
              <w:rPr>
                <w:sz w:val="18"/>
                <w:szCs w:val="18"/>
              </w:rPr>
              <w:t>lipanj</w:t>
            </w:r>
          </w:p>
        </w:tc>
        <w:tc>
          <w:tcPr>
            <w:tcW w:w="1249" w:type="dxa"/>
            <w:shd w:val="clear" w:color="auto" w:fill="auto"/>
            <w:noWrap/>
          </w:tcPr>
          <w:p w14:paraId="0E37D4EA" w14:textId="77777777" w:rsidR="00AC375F" w:rsidRPr="00AC375F" w:rsidRDefault="00AC375F" w:rsidP="00AC375F">
            <w:pPr>
              <w:jc w:val="center"/>
              <w:rPr>
                <w:sz w:val="18"/>
                <w:szCs w:val="18"/>
              </w:rPr>
            </w:pPr>
            <w:r w:rsidRPr="00AC375F">
              <w:rPr>
                <w:sz w:val="18"/>
                <w:szCs w:val="18"/>
              </w:rPr>
              <w:t>2</w:t>
            </w:r>
          </w:p>
        </w:tc>
      </w:tr>
      <w:tr w:rsidR="00AC375F" w:rsidRPr="00AC375F" w14:paraId="19E6C320" w14:textId="77777777" w:rsidTr="00991955">
        <w:trPr>
          <w:trHeight w:val="315"/>
        </w:trPr>
        <w:tc>
          <w:tcPr>
            <w:tcW w:w="4390" w:type="dxa"/>
            <w:shd w:val="clear" w:color="auto" w:fill="auto"/>
            <w:noWrap/>
          </w:tcPr>
          <w:p w14:paraId="22BC8E43" w14:textId="77777777" w:rsidR="00AC375F" w:rsidRPr="00AC375F" w:rsidRDefault="00AC375F" w:rsidP="00AC375F">
            <w:pPr>
              <w:rPr>
                <w:b/>
                <w:bCs/>
                <w:sz w:val="18"/>
                <w:szCs w:val="18"/>
              </w:rPr>
            </w:pPr>
          </w:p>
        </w:tc>
        <w:tc>
          <w:tcPr>
            <w:tcW w:w="1609" w:type="dxa"/>
            <w:shd w:val="clear" w:color="auto" w:fill="auto"/>
            <w:noWrap/>
          </w:tcPr>
          <w:p w14:paraId="36AA54CA" w14:textId="77777777" w:rsidR="00AC375F" w:rsidRPr="00AC375F" w:rsidRDefault="00AC375F" w:rsidP="00AC375F">
            <w:pPr>
              <w:jc w:val="center"/>
              <w:rPr>
                <w:bCs/>
                <w:sz w:val="18"/>
                <w:szCs w:val="18"/>
              </w:rPr>
            </w:pPr>
            <w:r w:rsidRPr="00AC375F">
              <w:rPr>
                <w:sz w:val="18"/>
                <w:szCs w:val="18"/>
              </w:rPr>
              <w:t>virtualno</w:t>
            </w:r>
          </w:p>
        </w:tc>
        <w:tc>
          <w:tcPr>
            <w:tcW w:w="940" w:type="dxa"/>
            <w:shd w:val="clear" w:color="auto" w:fill="auto"/>
            <w:noWrap/>
          </w:tcPr>
          <w:p w14:paraId="3F83A8EB" w14:textId="77777777" w:rsidR="00AC375F" w:rsidRPr="00AC375F" w:rsidRDefault="00AC375F" w:rsidP="00AC375F">
            <w:pPr>
              <w:jc w:val="center"/>
              <w:rPr>
                <w:bCs/>
                <w:sz w:val="18"/>
                <w:szCs w:val="18"/>
              </w:rPr>
            </w:pPr>
            <w:r w:rsidRPr="00AC375F">
              <w:rPr>
                <w:bCs/>
                <w:sz w:val="18"/>
                <w:szCs w:val="18"/>
              </w:rPr>
              <w:t>1</w:t>
            </w:r>
          </w:p>
        </w:tc>
        <w:tc>
          <w:tcPr>
            <w:tcW w:w="1305" w:type="dxa"/>
            <w:shd w:val="clear" w:color="auto" w:fill="auto"/>
            <w:noWrap/>
          </w:tcPr>
          <w:p w14:paraId="38F4098D" w14:textId="77777777" w:rsidR="00AC375F" w:rsidRPr="00AC375F" w:rsidRDefault="00AC375F" w:rsidP="00AC375F">
            <w:pPr>
              <w:jc w:val="center"/>
              <w:rPr>
                <w:bCs/>
                <w:sz w:val="18"/>
                <w:szCs w:val="18"/>
              </w:rPr>
            </w:pPr>
            <w:r w:rsidRPr="00AC375F">
              <w:rPr>
                <w:bCs/>
                <w:sz w:val="18"/>
                <w:szCs w:val="18"/>
              </w:rPr>
              <w:t>studeni</w:t>
            </w:r>
          </w:p>
        </w:tc>
        <w:tc>
          <w:tcPr>
            <w:tcW w:w="1249" w:type="dxa"/>
            <w:shd w:val="clear" w:color="auto" w:fill="auto"/>
            <w:noWrap/>
          </w:tcPr>
          <w:p w14:paraId="051F3952" w14:textId="77777777" w:rsidR="00AC375F" w:rsidRPr="00AC375F" w:rsidRDefault="00AC375F" w:rsidP="00AC375F">
            <w:pPr>
              <w:jc w:val="center"/>
              <w:rPr>
                <w:bCs/>
                <w:sz w:val="18"/>
                <w:szCs w:val="18"/>
              </w:rPr>
            </w:pPr>
            <w:r w:rsidRPr="00AC375F">
              <w:rPr>
                <w:bCs/>
                <w:sz w:val="18"/>
                <w:szCs w:val="18"/>
              </w:rPr>
              <w:t>2</w:t>
            </w:r>
          </w:p>
        </w:tc>
      </w:tr>
      <w:tr w:rsidR="00AC375F" w:rsidRPr="00AC375F" w14:paraId="1EC293A4" w14:textId="77777777" w:rsidTr="00991955">
        <w:trPr>
          <w:trHeight w:val="315"/>
        </w:trPr>
        <w:tc>
          <w:tcPr>
            <w:tcW w:w="4390" w:type="dxa"/>
            <w:shd w:val="clear" w:color="auto" w:fill="auto"/>
            <w:noWrap/>
          </w:tcPr>
          <w:p w14:paraId="44D86F47" w14:textId="77777777" w:rsidR="00AC375F" w:rsidRPr="00AC375F" w:rsidRDefault="00AC375F" w:rsidP="00AC375F">
            <w:pPr>
              <w:rPr>
                <w:b/>
                <w:bCs/>
                <w:sz w:val="18"/>
                <w:szCs w:val="18"/>
              </w:rPr>
            </w:pPr>
            <w:r w:rsidRPr="00AC375F">
              <w:rPr>
                <w:b/>
                <w:bCs/>
                <w:sz w:val="18"/>
                <w:szCs w:val="18"/>
              </w:rPr>
              <w:t>MDCG - EUDAMED</w:t>
            </w:r>
          </w:p>
        </w:tc>
        <w:tc>
          <w:tcPr>
            <w:tcW w:w="1609" w:type="dxa"/>
            <w:shd w:val="clear" w:color="auto" w:fill="auto"/>
            <w:noWrap/>
          </w:tcPr>
          <w:p w14:paraId="3E31C9AA" w14:textId="77777777" w:rsidR="00AC375F" w:rsidRPr="00AC375F" w:rsidRDefault="00AC375F" w:rsidP="00AC375F">
            <w:pPr>
              <w:jc w:val="center"/>
              <w:rPr>
                <w:bCs/>
                <w:sz w:val="18"/>
                <w:szCs w:val="18"/>
              </w:rPr>
            </w:pPr>
            <w:r w:rsidRPr="00AC375F">
              <w:rPr>
                <w:bCs/>
                <w:sz w:val="18"/>
                <w:szCs w:val="18"/>
              </w:rPr>
              <w:t>virtualno</w:t>
            </w:r>
          </w:p>
        </w:tc>
        <w:tc>
          <w:tcPr>
            <w:tcW w:w="940" w:type="dxa"/>
            <w:shd w:val="clear" w:color="auto" w:fill="auto"/>
            <w:noWrap/>
          </w:tcPr>
          <w:p w14:paraId="1712548E" w14:textId="77777777" w:rsidR="00AC375F" w:rsidRPr="00AC375F" w:rsidRDefault="00AC375F" w:rsidP="00AC375F">
            <w:pPr>
              <w:jc w:val="center"/>
              <w:rPr>
                <w:bCs/>
                <w:sz w:val="18"/>
                <w:szCs w:val="18"/>
              </w:rPr>
            </w:pPr>
            <w:r w:rsidRPr="00AC375F">
              <w:rPr>
                <w:bCs/>
                <w:sz w:val="18"/>
                <w:szCs w:val="18"/>
              </w:rPr>
              <w:t>1</w:t>
            </w:r>
          </w:p>
        </w:tc>
        <w:tc>
          <w:tcPr>
            <w:tcW w:w="1305" w:type="dxa"/>
            <w:shd w:val="clear" w:color="auto" w:fill="auto"/>
            <w:noWrap/>
          </w:tcPr>
          <w:p w14:paraId="35427E3D" w14:textId="77777777" w:rsidR="00AC375F" w:rsidRPr="00AC375F" w:rsidRDefault="00AC375F" w:rsidP="00AC375F">
            <w:pPr>
              <w:jc w:val="center"/>
              <w:rPr>
                <w:bCs/>
                <w:sz w:val="18"/>
                <w:szCs w:val="18"/>
              </w:rPr>
            </w:pPr>
            <w:r w:rsidRPr="00AC375F">
              <w:rPr>
                <w:bCs/>
                <w:sz w:val="18"/>
                <w:szCs w:val="18"/>
              </w:rPr>
              <w:t>veljača</w:t>
            </w:r>
          </w:p>
        </w:tc>
        <w:tc>
          <w:tcPr>
            <w:tcW w:w="1249" w:type="dxa"/>
            <w:shd w:val="clear" w:color="auto" w:fill="auto"/>
            <w:noWrap/>
          </w:tcPr>
          <w:p w14:paraId="52F1BBE8" w14:textId="77777777" w:rsidR="00AC375F" w:rsidRPr="00AC375F" w:rsidRDefault="00AC375F" w:rsidP="00AC375F">
            <w:pPr>
              <w:jc w:val="center"/>
              <w:rPr>
                <w:bCs/>
                <w:sz w:val="18"/>
                <w:szCs w:val="18"/>
              </w:rPr>
            </w:pPr>
            <w:r w:rsidRPr="00AC375F">
              <w:rPr>
                <w:bCs/>
                <w:sz w:val="18"/>
                <w:szCs w:val="18"/>
              </w:rPr>
              <w:t>1</w:t>
            </w:r>
          </w:p>
        </w:tc>
      </w:tr>
      <w:tr w:rsidR="00AC375F" w:rsidRPr="00AC375F" w14:paraId="06EAB79B" w14:textId="77777777" w:rsidTr="00991955">
        <w:trPr>
          <w:trHeight w:val="315"/>
        </w:trPr>
        <w:tc>
          <w:tcPr>
            <w:tcW w:w="4390" w:type="dxa"/>
            <w:shd w:val="clear" w:color="auto" w:fill="auto"/>
            <w:noWrap/>
          </w:tcPr>
          <w:p w14:paraId="29A6C4AF" w14:textId="77777777" w:rsidR="00AC375F" w:rsidRPr="00AC375F" w:rsidRDefault="00AC375F" w:rsidP="00AC375F">
            <w:pPr>
              <w:rPr>
                <w:b/>
                <w:bCs/>
                <w:sz w:val="18"/>
                <w:szCs w:val="18"/>
              </w:rPr>
            </w:pPr>
          </w:p>
        </w:tc>
        <w:tc>
          <w:tcPr>
            <w:tcW w:w="1609" w:type="dxa"/>
            <w:shd w:val="clear" w:color="auto" w:fill="auto"/>
            <w:noWrap/>
          </w:tcPr>
          <w:p w14:paraId="7DD439B3" w14:textId="77777777" w:rsidR="00AC375F" w:rsidRPr="00AC375F" w:rsidRDefault="00AC375F" w:rsidP="00AC375F">
            <w:pPr>
              <w:jc w:val="center"/>
              <w:rPr>
                <w:sz w:val="18"/>
                <w:szCs w:val="18"/>
              </w:rPr>
            </w:pPr>
            <w:r w:rsidRPr="00AC375F">
              <w:rPr>
                <w:sz w:val="18"/>
                <w:szCs w:val="18"/>
              </w:rPr>
              <w:t>virtualno</w:t>
            </w:r>
          </w:p>
        </w:tc>
        <w:tc>
          <w:tcPr>
            <w:tcW w:w="940" w:type="dxa"/>
            <w:shd w:val="clear" w:color="auto" w:fill="auto"/>
            <w:noWrap/>
          </w:tcPr>
          <w:p w14:paraId="51B676D8" w14:textId="77777777" w:rsidR="00AC375F" w:rsidRPr="00AC375F" w:rsidRDefault="00AC375F" w:rsidP="00AC375F">
            <w:pPr>
              <w:jc w:val="center"/>
              <w:rPr>
                <w:sz w:val="18"/>
                <w:szCs w:val="18"/>
              </w:rPr>
            </w:pPr>
            <w:r w:rsidRPr="00AC375F">
              <w:rPr>
                <w:sz w:val="18"/>
                <w:szCs w:val="18"/>
              </w:rPr>
              <w:t>1</w:t>
            </w:r>
          </w:p>
        </w:tc>
        <w:tc>
          <w:tcPr>
            <w:tcW w:w="1305" w:type="dxa"/>
            <w:shd w:val="clear" w:color="auto" w:fill="auto"/>
            <w:noWrap/>
          </w:tcPr>
          <w:p w14:paraId="5FFA2F2F" w14:textId="77777777" w:rsidR="00AC375F" w:rsidRPr="00AC375F" w:rsidRDefault="00AC375F" w:rsidP="00AC375F">
            <w:pPr>
              <w:jc w:val="center"/>
              <w:rPr>
                <w:sz w:val="18"/>
                <w:szCs w:val="18"/>
              </w:rPr>
            </w:pPr>
            <w:r w:rsidRPr="00AC375F">
              <w:rPr>
                <w:sz w:val="18"/>
                <w:szCs w:val="18"/>
              </w:rPr>
              <w:t>travanj</w:t>
            </w:r>
          </w:p>
        </w:tc>
        <w:tc>
          <w:tcPr>
            <w:tcW w:w="1249" w:type="dxa"/>
            <w:shd w:val="clear" w:color="auto" w:fill="auto"/>
            <w:noWrap/>
          </w:tcPr>
          <w:p w14:paraId="1BF0FB70" w14:textId="77777777" w:rsidR="00AC375F" w:rsidRPr="00AC375F" w:rsidRDefault="00AC375F" w:rsidP="00AC375F">
            <w:pPr>
              <w:jc w:val="center"/>
              <w:rPr>
                <w:sz w:val="18"/>
                <w:szCs w:val="18"/>
              </w:rPr>
            </w:pPr>
            <w:r w:rsidRPr="00AC375F">
              <w:rPr>
                <w:sz w:val="18"/>
                <w:szCs w:val="18"/>
              </w:rPr>
              <w:t>1</w:t>
            </w:r>
          </w:p>
        </w:tc>
      </w:tr>
      <w:tr w:rsidR="00AC375F" w:rsidRPr="00AC375F" w14:paraId="3B6888EF" w14:textId="77777777" w:rsidTr="00991955">
        <w:trPr>
          <w:trHeight w:val="315"/>
        </w:trPr>
        <w:tc>
          <w:tcPr>
            <w:tcW w:w="4390" w:type="dxa"/>
            <w:shd w:val="clear" w:color="auto" w:fill="auto"/>
            <w:noWrap/>
          </w:tcPr>
          <w:p w14:paraId="75926675" w14:textId="77777777" w:rsidR="00AC375F" w:rsidRPr="00AC375F" w:rsidRDefault="00AC375F" w:rsidP="00AC375F">
            <w:pPr>
              <w:rPr>
                <w:b/>
                <w:bCs/>
                <w:sz w:val="18"/>
                <w:szCs w:val="18"/>
              </w:rPr>
            </w:pPr>
          </w:p>
        </w:tc>
        <w:tc>
          <w:tcPr>
            <w:tcW w:w="1609" w:type="dxa"/>
            <w:shd w:val="clear" w:color="auto" w:fill="auto"/>
            <w:noWrap/>
          </w:tcPr>
          <w:p w14:paraId="0C719CB4" w14:textId="77777777" w:rsidR="00AC375F" w:rsidRPr="00AC375F" w:rsidRDefault="00AC375F" w:rsidP="00AC375F">
            <w:pPr>
              <w:jc w:val="center"/>
              <w:rPr>
                <w:sz w:val="18"/>
                <w:szCs w:val="18"/>
              </w:rPr>
            </w:pPr>
            <w:r w:rsidRPr="00AC375F">
              <w:rPr>
                <w:sz w:val="18"/>
                <w:szCs w:val="18"/>
              </w:rPr>
              <w:t>virtualno</w:t>
            </w:r>
          </w:p>
        </w:tc>
        <w:tc>
          <w:tcPr>
            <w:tcW w:w="940" w:type="dxa"/>
            <w:shd w:val="clear" w:color="auto" w:fill="auto"/>
            <w:noWrap/>
          </w:tcPr>
          <w:p w14:paraId="7D956527" w14:textId="77777777" w:rsidR="00AC375F" w:rsidRPr="00AC375F" w:rsidRDefault="00AC375F" w:rsidP="00AC375F">
            <w:pPr>
              <w:jc w:val="center"/>
              <w:rPr>
                <w:sz w:val="18"/>
                <w:szCs w:val="18"/>
              </w:rPr>
            </w:pPr>
            <w:r w:rsidRPr="00AC375F">
              <w:rPr>
                <w:sz w:val="18"/>
                <w:szCs w:val="18"/>
              </w:rPr>
              <w:t>1</w:t>
            </w:r>
          </w:p>
        </w:tc>
        <w:tc>
          <w:tcPr>
            <w:tcW w:w="1305" w:type="dxa"/>
            <w:shd w:val="clear" w:color="auto" w:fill="auto"/>
            <w:noWrap/>
          </w:tcPr>
          <w:p w14:paraId="6756791C" w14:textId="77777777" w:rsidR="00AC375F" w:rsidRPr="00AC375F" w:rsidRDefault="00AC375F" w:rsidP="00AC375F">
            <w:pPr>
              <w:jc w:val="center"/>
              <w:rPr>
                <w:sz w:val="18"/>
                <w:szCs w:val="18"/>
              </w:rPr>
            </w:pPr>
            <w:r w:rsidRPr="00AC375F">
              <w:rPr>
                <w:sz w:val="18"/>
                <w:szCs w:val="18"/>
              </w:rPr>
              <w:t>lipanj</w:t>
            </w:r>
          </w:p>
        </w:tc>
        <w:tc>
          <w:tcPr>
            <w:tcW w:w="1249" w:type="dxa"/>
            <w:shd w:val="clear" w:color="auto" w:fill="auto"/>
            <w:noWrap/>
          </w:tcPr>
          <w:p w14:paraId="7B710F65" w14:textId="77777777" w:rsidR="00AC375F" w:rsidRPr="00AC375F" w:rsidRDefault="00AC375F" w:rsidP="00AC375F">
            <w:pPr>
              <w:jc w:val="center"/>
              <w:rPr>
                <w:sz w:val="18"/>
                <w:szCs w:val="18"/>
              </w:rPr>
            </w:pPr>
            <w:r w:rsidRPr="00AC375F">
              <w:rPr>
                <w:sz w:val="18"/>
                <w:szCs w:val="18"/>
              </w:rPr>
              <w:t>1</w:t>
            </w:r>
          </w:p>
        </w:tc>
      </w:tr>
      <w:tr w:rsidR="00AC375F" w:rsidRPr="00AC375F" w14:paraId="20D9D098" w14:textId="77777777" w:rsidTr="00991955">
        <w:trPr>
          <w:trHeight w:val="315"/>
        </w:trPr>
        <w:tc>
          <w:tcPr>
            <w:tcW w:w="4390" w:type="dxa"/>
            <w:shd w:val="clear" w:color="auto" w:fill="auto"/>
            <w:noWrap/>
          </w:tcPr>
          <w:p w14:paraId="3459FA63" w14:textId="77777777" w:rsidR="00AC375F" w:rsidRPr="00AC375F" w:rsidRDefault="00AC375F" w:rsidP="00AC375F">
            <w:pPr>
              <w:rPr>
                <w:b/>
                <w:bCs/>
                <w:sz w:val="18"/>
                <w:szCs w:val="18"/>
              </w:rPr>
            </w:pPr>
            <w:r w:rsidRPr="00AC375F">
              <w:rPr>
                <w:b/>
                <w:bCs/>
                <w:sz w:val="18"/>
                <w:szCs w:val="18"/>
              </w:rPr>
              <w:t>MDCG - In Vitro Diagnostic</w:t>
            </w:r>
          </w:p>
        </w:tc>
        <w:tc>
          <w:tcPr>
            <w:tcW w:w="1609" w:type="dxa"/>
            <w:shd w:val="clear" w:color="auto" w:fill="auto"/>
            <w:noWrap/>
          </w:tcPr>
          <w:p w14:paraId="7AE77F54" w14:textId="77777777" w:rsidR="00AC375F" w:rsidRPr="00AC375F" w:rsidRDefault="00AC375F" w:rsidP="00AC375F">
            <w:pPr>
              <w:jc w:val="center"/>
              <w:rPr>
                <w:sz w:val="18"/>
                <w:szCs w:val="18"/>
              </w:rPr>
            </w:pPr>
            <w:r w:rsidRPr="00AC375F">
              <w:rPr>
                <w:sz w:val="18"/>
                <w:szCs w:val="18"/>
              </w:rPr>
              <w:t>virtualno</w:t>
            </w:r>
          </w:p>
        </w:tc>
        <w:tc>
          <w:tcPr>
            <w:tcW w:w="940" w:type="dxa"/>
            <w:shd w:val="clear" w:color="auto" w:fill="auto"/>
            <w:noWrap/>
          </w:tcPr>
          <w:p w14:paraId="1E0CB1C7" w14:textId="77777777" w:rsidR="00AC375F" w:rsidRPr="00AC375F" w:rsidRDefault="00AC375F" w:rsidP="00AC375F">
            <w:pPr>
              <w:jc w:val="center"/>
              <w:rPr>
                <w:sz w:val="18"/>
                <w:szCs w:val="18"/>
              </w:rPr>
            </w:pPr>
            <w:r w:rsidRPr="00AC375F">
              <w:rPr>
                <w:sz w:val="18"/>
                <w:szCs w:val="18"/>
              </w:rPr>
              <w:t>1</w:t>
            </w:r>
          </w:p>
        </w:tc>
        <w:tc>
          <w:tcPr>
            <w:tcW w:w="1305" w:type="dxa"/>
            <w:shd w:val="clear" w:color="auto" w:fill="auto"/>
            <w:noWrap/>
          </w:tcPr>
          <w:p w14:paraId="680CE74C" w14:textId="77777777" w:rsidR="00AC375F" w:rsidRPr="00AC375F" w:rsidRDefault="00AC375F" w:rsidP="00AC375F">
            <w:pPr>
              <w:jc w:val="center"/>
              <w:rPr>
                <w:sz w:val="18"/>
                <w:szCs w:val="18"/>
              </w:rPr>
            </w:pPr>
            <w:r w:rsidRPr="00AC375F">
              <w:rPr>
                <w:sz w:val="18"/>
                <w:szCs w:val="18"/>
              </w:rPr>
              <w:t>ožujak</w:t>
            </w:r>
          </w:p>
        </w:tc>
        <w:tc>
          <w:tcPr>
            <w:tcW w:w="1249" w:type="dxa"/>
            <w:shd w:val="clear" w:color="auto" w:fill="auto"/>
            <w:noWrap/>
          </w:tcPr>
          <w:p w14:paraId="52123DCD" w14:textId="77777777" w:rsidR="00AC375F" w:rsidRPr="00AC375F" w:rsidRDefault="00AC375F" w:rsidP="00AC375F">
            <w:pPr>
              <w:jc w:val="center"/>
              <w:rPr>
                <w:sz w:val="18"/>
                <w:szCs w:val="18"/>
              </w:rPr>
            </w:pPr>
            <w:r w:rsidRPr="00AC375F">
              <w:rPr>
                <w:sz w:val="18"/>
                <w:szCs w:val="18"/>
              </w:rPr>
              <w:t>1</w:t>
            </w:r>
          </w:p>
        </w:tc>
      </w:tr>
      <w:tr w:rsidR="00AC375F" w:rsidRPr="00AC375F" w14:paraId="64DC7F12" w14:textId="77777777" w:rsidTr="00991955">
        <w:trPr>
          <w:trHeight w:val="315"/>
        </w:trPr>
        <w:tc>
          <w:tcPr>
            <w:tcW w:w="4390" w:type="dxa"/>
            <w:shd w:val="clear" w:color="auto" w:fill="auto"/>
            <w:noWrap/>
          </w:tcPr>
          <w:p w14:paraId="5F241901" w14:textId="77777777" w:rsidR="00AC375F" w:rsidRPr="00AC375F" w:rsidRDefault="00AC375F" w:rsidP="00AC375F">
            <w:pPr>
              <w:rPr>
                <w:b/>
                <w:bCs/>
                <w:sz w:val="18"/>
                <w:szCs w:val="18"/>
              </w:rPr>
            </w:pPr>
          </w:p>
        </w:tc>
        <w:tc>
          <w:tcPr>
            <w:tcW w:w="1609" w:type="dxa"/>
            <w:shd w:val="clear" w:color="auto" w:fill="auto"/>
            <w:noWrap/>
          </w:tcPr>
          <w:p w14:paraId="06E027A3" w14:textId="77777777" w:rsidR="00AC375F" w:rsidRPr="00AC375F" w:rsidRDefault="00AC375F" w:rsidP="00AC375F">
            <w:pPr>
              <w:jc w:val="center"/>
              <w:rPr>
                <w:sz w:val="18"/>
                <w:szCs w:val="18"/>
              </w:rPr>
            </w:pPr>
            <w:r w:rsidRPr="00AC375F">
              <w:rPr>
                <w:sz w:val="18"/>
                <w:szCs w:val="18"/>
              </w:rPr>
              <w:t>virtualno</w:t>
            </w:r>
          </w:p>
        </w:tc>
        <w:tc>
          <w:tcPr>
            <w:tcW w:w="940" w:type="dxa"/>
            <w:shd w:val="clear" w:color="auto" w:fill="auto"/>
            <w:noWrap/>
          </w:tcPr>
          <w:p w14:paraId="605D5DBF" w14:textId="77777777" w:rsidR="00AC375F" w:rsidRPr="00AC375F" w:rsidRDefault="00AC375F" w:rsidP="00AC375F">
            <w:pPr>
              <w:jc w:val="center"/>
              <w:rPr>
                <w:sz w:val="18"/>
                <w:szCs w:val="18"/>
              </w:rPr>
            </w:pPr>
            <w:r w:rsidRPr="00AC375F">
              <w:rPr>
                <w:sz w:val="18"/>
                <w:szCs w:val="18"/>
              </w:rPr>
              <w:t>1</w:t>
            </w:r>
          </w:p>
        </w:tc>
        <w:tc>
          <w:tcPr>
            <w:tcW w:w="1305" w:type="dxa"/>
            <w:shd w:val="clear" w:color="auto" w:fill="auto"/>
            <w:noWrap/>
          </w:tcPr>
          <w:p w14:paraId="78E257CD" w14:textId="77777777" w:rsidR="00AC375F" w:rsidRPr="00AC375F" w:rsidRDefault="00AC375F" w:rsidP="00AC375F">
            <w:pPr>
              <w:jc w:val="center"/>
              <w:rPr>
                <w:sz w:val="18"/>
                <w:szCs w:val="18"/>
              </w:rPr>
            </w:pPr>
            <w:r w:rsidRPr="00AC375F">
              <w:rPr>
                <w:sz w:val="18"/>
                <w:szCs w:val="18"/>
              </w:rPr>
              <w:t>listopad</w:t>
            </w:r>
          </w:p>
        </w:tc>
        <w:tc>
          <w:tcPr>
            <w:tcW w:w="1249" w:type="dxa"/>
            <w:shd w:val="clear" w:color="auto" w:fill="auto"/>
            <w:noWrap/>
          </w:tcPr>
          <w:p w14:paraId="1E4F5780" w14:textId="77777777" w:rsidR="00AC375F" w:rsidRPr="00AC375F" w:rsidRDefault="00AC375F" w:rsidP="00AC375F">
            <w:pPr>
              <w:jc w:val="center"/>
              <w:rPr>
                <w:sz w:val="18"/>
                <w:szCs w:val="18"/>
              </w:rPr>
            </w:pPr>
            <w:r w:rsidRPr="00AC375F">
              <w:rPr>
                <w:sz w:val="18"/>
                <w:szCs w:val="18"/>
              </w:rPr>
              <w:t>1</w:t>
            </w:r>
          </w:p>
        </w:tc>
      </w:tr>
      <w:tr w:rsidR="00AC375F" w:rsidRPr="00AC375F" w14:paraId="38A01B14" w14:textId="77777777" w:rsidTr="00991955">
        <w:trPr>
          <w:trHeight w:val="315"/>
        </w:trPr>
        <w:tc>
          <w:tcPr>
            <w:tcW w:w="4390" w:type="dxa"/>
            <w:shd w:val="clear" w:color="auto" w:fill="auto"/>
            <w:noWrap/>
          </w:tcPr>
          <w:p w14:paraId="7A03D0DE" w14:textId="77777777" w:rsidR="00AC375F" w:rsidRPr="00AC375F" w:rsidRDefault="00AC375F" w:rsidP="00AC375F">
            <w:pPr>
              <w:rPr>
                <w:b/>
                <w:bCs/>
                <w:sz w:val="18"/>
                <w:szCs w:val="18"/>
              </w:rPr>
            </w:pPr>
          </w:p>
        </w:tc>
        <w:tc>
          <w:tcPr>
            <w:tcW w:w="1609" w:type="dxa"/>
            <w:shd w:val="clear" w:color="auto" w:fill="auto"/>
            <w:noWrap/>
          </w:tcPr>
          <w:p w14:paraId="7F70D419" w14:textId="77777777" w:rsidR="00AC375F" w:rsidRPr="00AC375F" w:rsidRDefault="00AC375F" w:rsidP="00AC375F">
            <w:pPr>
              <w:jc w:val="center"/>
              <w:rPr>
                <w:sz w:val="18"/>
                <w:szCs w:val="18"/>
              </w:rPr>
            </w:pPr>
          </w:p>
        </w:tc>
        <w:tc>
          <w:tcPr>
            <w:tcW w:w="940" w:type="dxa"/>
            <w:shd w:val="clear" w:color="auto" w:fill="auto"/>
            <w:noWrap/>
          </w:tcPr>
          <w:p w14:paraId="2685C23D" w14:textId="77777777" w:rsidR="00AC375F" w:rsidRPr="00AC375F" w:rsidRDefault="00AC375F" w:rsidP="00AC375F">
            <w:pPr>
              <w:jc w:val="center"/>
              <w:rPr>
                <w:sz w:val="18"/>
                <w:szCs w:val="18"/>
              </w:rPr>
            </w:pPr>
          </w:p>
        </w:tc>
        <w:tc>
          <w:tcPr>
            <w:tcW w:w="1305" w:type="dxa"/>
            <w:shd w:val="clear" w:color="auto" w:fill="auto"/>
            <w:noWrap/>
          </w:tcPr>
          <w:p w14:paraId="74795B13" w14:textId="77777777" w:rsidR="00AC375F" w:rsidRPr="00AC375F" w:rsidRDefault="00AC375F" w:rsidP="00AC375F">
            <w:pPr>
              <w:jc w:val="center"/>
              <w:rPr>
                <w:sz w:val="18"/>
                <w:szCs w:val="18"/>
              </w:rPr>
            </w:pPr>
          </w:p>
        </w:tc>
        <w:tc>
          <w:tcPr>
            <w:tcW w:w="1249" w:type="dxa"/>
            <w:shd w:val="clear" w:color="auto" w:fill="auto"/>
            <w:noWrap/>
          </w:tcPr>
          <w:p w14:paraId="6EA7DB97" w14:textId="77777777" w:rsidR="00AC375F" w:rsidRPr="00AC375F" w:rsidRDefault="00AC375F" w:rsidP="00AC375F">
            <w:pPr>
              <w:jc w:val="center"/>
              <w:rPr>
                <w:sz w:val="18"/>
                <w:szCs w:val="18"/>
              </w:rPr>
            </w:pPr>
          </w:p>
        </w:tc>
      </w:tr>
      <w:tr w:rsidR="00AC375F" w:rsidRPr="00AC375F" w14:paraId="769BA1C6" w14:textId="77777777" w:rsidTr="00991955">
        <w:trPr>
          <w:trHeight w:val="315"/>
        </w:trPr>
        <w:tc>
          <w:tcPr>
            <w:tcW w:w="4390" w:type="dxa"/>
            <w:shd w:val="clear" w:color="auto" w:fill="auto"/>
            <w:noWrap/>
          </w:tcPr>
          <w:p w14:paraId="713BA568" w14:textId="77777777" w:rsidR="00AC375F" w:rsidRPr="00AC375F" w:rsidRDefault="00AC375F" w:rsidP="00AC375F">
            <w:pPr>
              <w:rPr>
                <w:b/>
                <w:bCs/>
                <w:sz w:val="18"/>
                <w:szCs w:val="18"/>
              </w:rPr>
            </w:pPr>
            <w:r w:rsidRPr="00AC375F">
              <w:rPr>
                <w:b/>
                <w:bCs/>
                <w:sz w:val="18"/>
                <w:szCs w:val="18"/>
              </w:rPr>
              <w:t>MDCG - Nomenclature</w:t>
            </w:r>
          </w:p>
        </w:tc>
        <w:tc>
          <w:tcPr>
            <w:tcW w:w="1609" w:type="dxa"/>
            <w:shd w:val="clear" w:color="auto" w:fill="auto"/>
            <w:noWrap/>
          </w:tcPr>
          <w:p w14:paraId="18456A24" w14:textId="77777777" w:rsidR="00AC375F" w:rsidRPr="00AC375F" w:rsidRDefault="00AC375F" w:rsidP="00AC375F">
            <w:pPr>
              <w:jc w:val="center"/>
              <w:rPr>
                <w:sz w:val="18"/>
                <w:szCs w:val="18"/>
              </w:rPr>
            </w:pPr>
          </w:p>
        </w:tc>
        <w:tc>
          <w:tcPr>
            <w:tcW w:w="940" w:type="dxa"/>
            <w:shd w:val="clear" w:color="auto" w:fill="auto"/>
            <w:noWrap/>
          </w:tcPr>
          <w:p w14:paraId="3A059529" w14:textId="77777777" w:rsidR="00AC375F" w:rsidRPr="00AC375F" w:rsidRDefault="00AC375F" w:rsidP="00AC375F">
            <w:pPr>
              <w:jc w:val="center"/>
              <w:rPr>
                <w:sz w:val="18"/>
                <w:szCs w:val="18"/>
              </w:rPr>
            </w:pPr>
          </w:p>
        </w:tc>
        <w:tc>
          <w:tcPr>
            <w:tcW w:w="1305" w:type="dxa"/>
            <w:shd w:val="clear" w:color="auto" w:fill="auto"/>
            <w:noWrap/>
          </w:tcPr>
          <w:p w14:paraId="03381493" w14:textId="77777777" w:rsidR="00AC375F" w:rsidRPr="00AC375F" w:rsidRDefault="00AC375F" w:rsidP="00AC375F">
            <w:pPr>
              <w:jc w:val="center"/>
              <w:rPr>
                <w:sz w:val="18"/>
                <w:szCs w:val="18"/>
              </w:rPr>
            </w:pPr>
          </w:p>
        </w:tc>
        <w:tc>
          <w:tcPr>
            <w:tcW w:w="1249" w:type="dxa"/>
            <w:shd w:val="clear" w:color="auto" w:fill="auto"/>
            <w:noWrap/>
          </w:tcPr>
          <w:p w14:paraId="1979F43E" w14:textId="77777777" w:rsidR="00AC375F" w:rsidRPr="00AC375F" w:rsidRDefault="00AC375F" w:rsidP="00AC375F">
            <w:pPr>
              <w:jc w:val="center"/>
              <w:rPr>
                <w:sz w:val="18"/>
                <w:szCs w:val="18"/>
              </w:rPr>
            </w:pPr>
            <w:r w:rsidRPr="00AC375F">
              <w:rPr>
                <w:sz w:val="18"/>
                <w:szCs w:val="18"/>
              </w:rPr>
              <w:t>/</w:t>
            </w:r>
          </w:p>
        </w:tc>
      </w:tr>
      <w:tr w:rsidR="00AC375F" w:rsidRPr="00AC375F" w14:paraId="29DB3873" w14:textId="77777777" w:rsidTr="00991955">
        <w:trPr>
          <w:trHeight w:val="315"/>
        </w:trPr>
        <w:tc>
          <w:tcPr>
            <w:tcW w:w="4390" w:type="dxa"/>
            <w:shd w:val="clear" w:color="auto" w:fill="auto"/>
            <w:noWrap/>
          </w:tcPr>
          <w:p w14:paraId="4B9A2310" w14:textId="77777777" w:rsidR="00AC375F" w:rsidRPr="00AC375F" w:rsidRDefault="00AC375F" w:rsidP="00AC375F">
            <w:pPr>
              <w:rPr>
                <w:b/>
                <w:bCs/>
                <w:sz w:val="18"/>
                <w:szCs w:val="18"/>
              </w:rPr>
            </w:pPr>
            <w:r w:rsidRPr="00AC375F">
              <w:rPr>
                <w:b/>
                <w:bCs/>
                <w:sz w:val="18"/>
                <w:szCs w:val="18"/>
              </w:rPr>
              <w:t>MDCG - Standards</w:t>
            </w:r>
          </w:p>
        </w:tc>
        <w:tc>
          <w:tcPr>
            <w:tcW w:w="1609" w:type="dxa"/>
            <w:shd w:val="clear" w:color="auto" w:fill="auto"/>
            <w:noWrap/>
          </w:tcPr>
          <w:p w14:paraId="733FF9A5" w14:textId="77777777" w:rsidR="00AC375F" w:rsidRPr="00AC375F" w:rsidRDefault="00AC375F" w:rsidP="00AC375F">
            <w:pPr>
              <w:jc w:val="center"/>
              <w:rPr>
                <w:sz w:val="18"/>
                <w:szCs w:val="18"/>
              </w:rPr>
            </w:pPr>
            <w:r w:rsidRPr="00AC375F">
              <w:rPr>
                <w:sz w:val="18"/>
                <w:szCs w:val="18"/>
              </w:rPr>
              <w:t>virtualno</w:t>
            </w:r>
          </w:p>
        </w:tc>
        <w:tc>
          <w:tcPr>
            <w:tcW w:w="940" w:type="dxa"/>
            <w:shd w:val="clear" w:color="auto" w:fill="auto"/>
            <w:noWrap/>
          </w:tcPr>
          <w:p w14:paraId="7859312A" w14:textId="77777777" w:rsidR="00AC375F" w:rsidRPr="00AC375F" w:rsidRDefault="00AC375F" w:rsidP="00AC375F">
            <w:pPr>
              <w:jc w:val="center"/>
              <w:rPr>
                <w:sz w:val="18"/>
                <w:szCs w:val="18"/>
              </w:rPr>
            </w:pPr>
            <w:r w:rsidRPr="00AC375F">
              <w:rPr>
                <w:sz w:val="18"/>
                <w:szCs w:val="18"/>
              </w:rPr>
              <w:t>1</w:t>
            </w:r>
          </w:p>
        </w:tc>
        <w:tc>
          <w:tcPr>
            <w:tcW w:w="1305" w:type="dxa"/>
            <w:shd w:val="clear" w:color="auto" w:fill="auto"/>
            <w:noWrap/>
          </w:tcPr>
          <w:p w14:paraId="10C00CC6" w14:textId="77777777" w:rsidR="00AC375F" w:rsidRPr="00AC375F" w:rsidRDefault="00AC375F" w:rsidP="00AC375F">
            <w:pPr>
              <w:jc w:val="center"/>
              <w:rPr>
                <w:sz w:val="18"/>
                <w:szCs w:val="18"/>
              </w:rPr>
            </w:pPr>
            <w:r w:rsidRPr="00AC375F">
              <w:rPr>
                <w:sz w:val="18"/>
                <w:szCs w:val="18"/>
              </w:rPr>
              <w:t>veljača</w:t>
            </w:r>
          </w:p>
        </w:tc>
        <w:tc>
          <w:tcPr>
            <w:tcW w:w="1249" w:type="dxa"/>
            <w:shd w:val="clear" w:color="auto" w:fill="auto"/>
            <w:noWrap/>
          </w:tcPr>
          <w:p w14:paraId="32B6CCCA" w14:textId="77777777" w:rsidR="00AC375F" w:rsidRPr="00AC375F" w:rsidRDefault="00AC375F" w:rsidP="00AC375F">
            <w:pPr>
              <w:jc w:val="center"/>
              <w:rPr>
                <w:sz w:val="18"/>
                <w:szCs w:val="18"/>
              </w:rPr>
            </w:pPr>
            <w:r w:rsidRPr="00AC375F">
              <w:rPr>
                <w:sz w:val="18"/>
                <w:szCs w:val="18"/>
              </w:rPr>
              <w:t>1</w:t>
            </w:r>
          </w:p>
        </w:tc>
      </w:tr>
      <w:tr w:rsidR="00AC375F" w:rsidRPr="00AC375F" w14:paraId="48FD1AD7" w14:textId="77777777" w:rsidTr="00991955">
        <w:trPr>
          <w:trHeight w:val="315"/>
        </w:trPr>
        <w:tc>
          <w:tcPr>
            <w:tcW w:w="4390" w:type="dxa"/>
            <w:shd w:val="clear" w:color="auto" w:fill="auto"/>
            <w:noWrap/>
          </w:tcPr>
          <w:p w14:paraId="5A11702A" w14:textId="77777777" w:rsidR="00AC375F" w:rsidRPr="00AC375F" w:rsidRDefault="00AC375F" w:rsidP="00AC375F">
            <w:pPr>
              <w:rPr>
                <w:b/>
                <w:bCs/>
                <w:sz w:val="18"/>
                <w:szCs w:val="18"/>
              </w:rPr>
            </w:pPr>
          </w:p>
        </w:tc>
        <w:tc>
          <w:tcPr>
            <w:tcW w:w="1609" w:type="dxa"/>
            <w:shd w:val="clear" w:color="auto" w:fill="auto"/>
            <w:noWrap/>
          </w:tcPr>
          <w:p w14:paraId="6A08D3AC" w14:textId="77777777" w:rsidR="00AC375F" w:rsidRPr="00AC375F" w:rsidRDefault="00AC375F" w:rsidP="00AC375F">
            <w:pPr>
              <w:jc w:val="center"/>
              <w:rPr>
                <w:sz w:val="18"/>
                <w:szCs w:val="18"/>
              </w:rPr>
            </w:pPr>
            <w:r w:rsidRPr="00AC375F">
              <w:rPr>
                <w:sz w:val="18"/>
                <w:szCs w:val="18"/>
              </w:rPr>
              <w:t>virtualno</w:t>
            </w:r>
          </w:p>
        </w:tc>
        <w:tc>
          <w:tcPr>
            <w:tcW w:w="940" w:type="dxa"/>
            <w:shd w:val="clear" w:color="auto" w:fill="auto"/>
            <w:noWrap/>
          </w:tcPr>
          <w:p w14:paraId="6FAD5435" w14:textId="77777777" w:rsidR="00AC375F" w:rsidRPr="00AC375F" w:rsidRDefault="00AC375F" w:rsidP="00AC375F">
            <w:pPr>
              <w:jc w:val="center"/>
              <w:rPr>
                <w:sz w:val="18"/>
                <w:szCs w:val="18"/>
              </w:rPr>
            </w:pPr>
            <w:r w:rsidRPr="00AC375F">
              <w:rPr>
                <w:sz w:val="18"/>
                <w:szCs w:val="18"/>
              </w:rPr>
              <w:t>1</w:t>
            </w:r>
          </w:p>
        </w:tc>
        <w:tc>
          <w:tcPr>
            <w:tcW w:w="1305" w:type="dxa"/>
            <w:shd w:val="clear" w:color="auto" w:fill="auto"/>
            <w:noWrap/>
          </w:tcPr>
          <w:p w14:paraId="67847694" w14:textId="77777777" w:rsidR="00AC375F" w:rsidRPr="00AC375F" w:rsidRDefault="00AC375F" w:rsidP="00AC375F">
            <w:pPr>
              <w:jc w:val="center"/>
              <w:rPr>
                <w:sz w:val="18"/>
                <w:szCs w:val="18"/>
              </w:rPr>
            </w:pPr>
            <w:r w:rsidRPr="00AC375F">
              <w:rPr>
                <w:sz w:val="18"/>
                <w:szCs w:val="18"/>
              </w:rPr>
              <w:t>lipanj</w:t>
            </w:r>
          </w:p>
        </w:tc>
        <w:tc>
          <w:tcPr>
            <w:tcW w:w="1249" w:type="dxa"/>
            <w:shd w:val="clear" w:color="auto" w:fill="auto"/>
            <w:noWrap/>
          </w:tcPr>
          <w:p w14:paraId="5FC5F962" w14:textId="77777777" w:rsidR="00AC375F" w:rsidRPr="00AC375F" w:rsidRDefault="00AC375F" w:rsidP="00AC375F">
            <w:pPr>
              <w:jc w:val="center"/>
              <w:rPr>
                <w:sz w:val="18"/>
                <w:szCs w:val="18"/>
              </w:rPr>
            </w:pPr>
            <w:r w:rsidRPr="00AC375F">
              <w:rPr>
                <w:sz w:val="18"/>
                <w:szCs w:val="18"/>
              </w:rPr>
              <w:t>1</w:t>
            </w:r>
          </w:p>
        </w:tc>
      </w:tr>
      <w:tr w:rsidR="00AC375F" w:rsidRPr="00AC375F" w14:paraId="4FB12BE5" w14:textId="77777777" w:rsidTr="00991955">
        <w:trPr>
          <w:trHeight w:val="315"/>
        </w:trPr>
        <w:tc>
          <w:tcPr>
            <w:tcW w:w="4390" w:type="dxa"/>
            <w:shd w:val="clear" w:color="auto" w:fill="auto"/>
            <w:noWrap/>
          </w:tcPr>
          <w:p w14:paraId="30FB75B6" w14:textId="77777777" w:rsidR="00AC375F" w:rsidRPr="00AC375F" w:rsidRDefault="00AC375F" w:rsidP="00AC375F">
            <w:pPr>
              <w:rPr>
                <w:b/>
                <w:bCs/>
                <w:sz w:val="18"/>
                <w:szCs w:val="18"/>
              </w:rPr>
            </w:pPr>
            <w:r w:rsidRPr="00AC375F">
              <w:rPr>
                <w:b/>
                <w:bCs/>
                <w:sz w:val="18"/>
                <w:szCs w:val="18"/>
              </w:rPr>
              <w:t>MDCG – Borderline and Classification (B&amp;C)</w:t>
            </w:r>
          </w:p>
        </w:tc>
        <w:tc>
          <w:tcPr>
            <w:tcW w:w="1609" w:type="dxa"/>
            <w:shd w:val="clear" w:color="auto" w:fill="auto"/>
            <w:noWrap/>
          </w:tcPr>
          <w:p w14:paraId="39DF8529" w14:textId="77777777" w:rsidR="00AC375F" w:rsidRPr="00AC375F" w:rsidRDefault="00AC375F" w:rsidP="00AC375F">
            <w:pPr>
              <w:jc w:val="center"/>
              <w:rPr>
                <w:sz w:val="18"/>
                <w:szCs w:val="18"/>
              </w:rPr>
            </w:pPr>
            <w:r w:rsidRPr="00AC375F">
              <w:rPr>
                <w:sz w:val="18"/>
                <w:szCs w:val="18"/>
              </w:rPr>
              <w:t>virtualno</w:t>
            </w:r>
          </w:p>
        </w:tc>
        <w:tc>
          <w:tcPr>
            <w:tcW w:w="940" w:type="dxa"/>
            <w:shd w:val="clear" w:color="auto" w:fill="auto"/>
            <w:noWrap/>
          </w:tcPr>
          <w:p w14:paraId="4F0438A8" w14:textId="77777777" w:rsidR="00AC375F" w:rsidRPr="00AC375F" w:rsidRDefault="00AC375F" w:rsidP="00AC375F">
            <w:pPr>
              <w:jc w:val="center"/>
              <w:rPr>
                <w:sz w:val="18"/>
                <w:szCs w:val="18"/>
              </w:rPr>
            </w:pPr>
            <w:r w:rsidRPr="00AC375F">
              <w:rPr>
                <w:sz w:val="18"/>
                <w:szCs w:val="18"/>
              </w:rPr>
              <w:t>1</w:t>
            </w:r>
          </w:p>
        </w:tc>
        <w:tc>
          <w:tcPr>
            <w:tcW w:w="1305" w:type="dxa"/>
            <w:shd w:val="clear" w:color="auto" w:fill="auto"/>
            <w:noWrap/>
          </w:tcPr>
          <w:p w14:paraId="6FFE58CC" w14:textId="77777777" w:rsidR="00AC375F" w:rsidRPr="00AC375F" w:rsidRDefault="00AC375F" w:rsidP="00AC375F">
            <w:pPr>
              <w:jc w:val="center"/>
              <w:rPr>
                <w:sz w:val="18"/>
                <w:szCs w:val="18"/>
              </w:rPr>
            </w:pPr>
            <w:r w:rsidRPr="00AC375F">
              <w:rPr>
                <w:sz w:val="18"/>
                <w:szCs w:val="18"/>
              </w:rPr>
              <w:t>studeni</w:t>
            </w:r>
          </w:p>
        </w:tc>
        <w:tc>
          <w:tcPr>
            <w:tcW w:w="1249" w:type="dxa"/>
            <w:shd w:val="clear" w:color="auto" w:fill="auto"/>
            <w:noWrap/>
          </w:tcPr>
          <w:p w14:paraId="0BA18D2A" w14:textId="77777777" w:rsidR="00AC375F" w:rsidRPr="00AC375F" w:rsidRDefault="00AC375F" w:rsidP="00AC375F">
            <w:pPr>
              <w:jc w:val="center"/>
              <w:rPr>
                <w:sz w:val="18"/>
                <w:szCs w:val="18"/>
              </w:rPr>
            </w:pPr>
            <w:r w:rsidRPr="00AC375F">
              <w:rPr>
                <w:sz w:val="18"/>
                <w:szCs w:val="18"/>
              </w:rPr>
              <w:t>1</w:t>
            </w:r>
          </w:p>
        </w:tc>
      </w:tr>
      <w:tr w:rsidR="00AC375F" w:rsidRPr="00AC375F" w14:paraId="1BD474FC" w14:textId="77777777" w:rsidTr="00991955">
        <w:trPr>
          <w:trHeight w:val="315"/>
        </w:trPr>
        <w:tc>
          <w:tcPr>
            <w:tcW w:w="4390" w:type="dxa"/>
            <w:shd w:val="clear" w:color="auto" w:fill="auto"/>
            <w:noWrap/>
          </w:tcPr>
          <w:p w14:paraId="5AEDCD67" w14:textId="77777777" w:rsidR="00AC375F" w:rsidRPr="00AC375F" w:rsidRDefault="00AC375F" w:rsidP="00AC375F">
            <w:pPr>
              <w:rPr>
                <w:b/>
                <w:bCs/>
                <w:sz w:val="18"/>
                <w:szCs w:val="18"/>
              </w:rPr>
            </w:pPr>
            <w:r w:rsidRPr="00AC375F">
              <w:rPr>
                <w:b/>
                <w:bCs/>
                <w:sz w:val="18"/>
                <w:szCs w:val="18"/>
              </w:rPr>
              <w:t>MDCG – Annex XVI</w:t>
            </w:r>
          </w:p>
        </w:tc>
        <w:tc>
          <w:tcPr>
            <w:tcW w:w="1609" w:type="dxa"/>
            <w:shd w:val="clear" w:color="auto" w:fill="auto"/>
            <w:noWrap/>
          </w:tcPr>
          <w:p w14:paraId="6FEDC0C1" w14:textId="77777777" w:rsidR="00AC375F" w:rsidRPr="00AC375F" w:rsidRDefault="00AC375F" w:rsidP="00AC375F">
            <w:pPr>
              <w:jc w:val="center"/>
              <w:rPr>
                <w:sz w:val="18"/>
                <w:szCs w:val="18"/>
              </w:rPr>
            </w:pPr>
            <w:r w:rsidRPr="00AC375F">
              <w:rPr>
                <w:sz w:val="18"/>
                <w:szCs w:val="18"/>
              </w:rPr>
              <w:t>virtualno</w:t>
            </w:r>
          </w:p>
        </w:tc>
        <w:tc>
          <w:tcPr>
            <w:tcW w:w="940" w:type="dxa"/>
            <w:shd w:val="clear" w:color="auto" w:fill="auto"/>
            <w:noWrap/>
          </w:tcPr>
          <w:p w14:paraId="0F08B23D" w14:textId="77777777" w:rsidR="00AC375F" w:rsidRPr="00AC375F" w:rsidRDefault="00AC375F" w:rsidP="00AC375F">
            <w:pPr>
              <w:jc w:val="center"/>
              <w:rPr>
                <w:sz w:val="18"/>
                <w:szCs w:val="18"/>
              </w:rPr>
            </w:pPr>
            <w:r w:rsidRPr="00AC375F">
              <w:rPr>
                <w:sz w:val="18"/>
                <w:szCs w:val="18"/>
              </w:rPr>
              <w:t>1</w:t>
            </w:r>
          </w:p>
        </w:tc>
        <w:tc>
          <w:tcPr>
            <w:tcW w:w="1305" w:type="dxa"/>
            <w:shd w:val="clear" w:color="auto" w:fill="auto"/>
            <w:noWrap/>
          </w:tcPr>
          <w:p w14:paraId="5BAA8708" w14:textId="77777777" w:rsidR="00AC375F" w:rsidRPr="00AC375F" w:rsidRDefault="00AC375F" w:rsidP="00AC375F">
            <w:pPr>
              <w:jc w:val="center"/>
              <w:rPr>
                <w:sz w:val="18"/>
                <w:szCs w:val="18"/>
              </w:rPr>
            </w:pPr>
            <w:r w:rsidRPr="00AC375F">
              <w:rPr>
                <w:sz w:val="18"/>
                <w:szCs w:val="18"/>
              </w:rPr>
              <w:t>svibanj</w:t>
            </w:r>
          </w:p>
        </w:tc>
        <w:tc>
          <w:tcPr>
            <w:tcW w:w="1249" w:type="dxa"/>
            <w:shd w:val="clear" w:color="auto" w:fill="auto"/>
            <w:noWrap/>
          </w:tcPr>
          <w:p w14:paraId="380B1293" w14:textId="77777777" w:rsidR="00AC375F" w:rsidRPr="00AC375F" w:rsidRDefault="00AC375F" w:rsidP="00AC375F">
            <w:pPr>
              <w:jc w:val="center"/>
              <w:rPr>
                <w:sz w:val="18"/>
                <w:szCs w:val="18"/>
              </w:rPr>
            </w:pPr>
            <w:r w:rsidRPr="00AC375F">
              <w:rPr>
                <w:sz w:val="18"/>
                <w:szCs w:val="18"/>
              </w:rPr>
              <w:t>1</w:t>
            </w:r>
          </w:p>
        </w:tc>
      </w:tr>
      <w:tr w:rsidR="00AC375F" w:rsidRPr="00AC375F" w14:paraId="1A737562" w14:textId="77777777" w:rsidTr="00991955">
        <w:trPr>
          <w:trHeight w:val="315"/>
        </w:trPr>
        <w:tc>
          <w:tcPr>
            <w:tcW w:w="4390" w:type="dxa"/>
            <w:shd w:val="clear" w:color="auto" w:fill="auto"/>
            <w:noWrap/>
          </w:tcPr>
          <w:p w14:paraId="4098AA62" w14:textId="77777777" w:rsidR="00AC375F" w:rsidRPr="00AC375F" w:rsidRDefault="00AC375F" w:rsidP="00AC375F">
            <w:pPr>
              <w:rPr>
                <w:b/>
                <w:bCs/>
                <w:sz w:val="18"/>
                <w:szCs w:val="18"/>
              </w:rPr>
            </w:pPr>
            <w:r w:rsidRPr="00AC375F">
              <w:rPr>
                <w:b/>
                <w:bCs/>
                <w:sz w:val="18"/>
                <w:szCs w:val="18"/>
              </w:rPr>
              <w:t>MDCG – New Technologies</w:t>
            </w:r>
          </w:p>
        </w:tc>
        <w:tc>
          <w:tcPr>
            <w:tcW w:w="1609" w:type="dxa"/>
            <w:shd w:val="clear" w:color="auto" w:fill="auto"/>
            <w:noWrap/>
          </w:tcPr>
          <w:p w14:paraId="3BCD4C57" w14:textId="77777777" w:rsidR="00AC375F" w:rsidRPr="00AC375F" w:rsidRDefault="00AC375F" w:rsidP="00AC375F">
            <w:pPr>
              <w:jc w:val="center"/>
              <w:rPr>
                <w:sz w:val="18"/>
                <w:szCs w:val="18"/>
              </w:rPr>
            </w:pPr>
            <w:r w:rsidRPr="00AC375F">
              <w:rPr>
                <w:sz w:val="18"/>
                <w:szCs w:val="18"/>
              </w:rPr>
              <w:t>virtualno</w:t>
            </w:r>
          </w:p>
        </w:tc>
        <w:tc>
          <w:tcPr>
            <w:tcW w:w="940" w:type="dxa"/>
            <w:shd w:val="clear" w:color="auto" w:fill="auto"/>
            <w:noWrap/>
          </w:tcPr>
          <w:p w14:paraId="4DF67E2C" w14:textId="77777777" w:rsidR="00AC375F" w:rsidRPr="00AC375F" w:rsidRDefault="00AC375F" w:rsidP="00AC375F">
            <w:pPr>
              <w:jc w:val="center"/>
              <w:rPr>
                <w:sz w:val="18"/>
                <w:szCs w:val="18"/>
              </w:rPr>
            </w:pPr>
            <w:r w:rsidRPr="00AC375F">
              <w:rPr>
                <w:sz w:val="18"/>
                <w:szCs w:val="18"/>
              </w:rPr>
              <w:t>1</w:t>
            </w:r>
          </w:p>
        </w:tc>
        <w:tc>
          <w:tcPr>
            <w:tcW w:w="1305" w:type="dxa"/>
            <w:shd w:val="clear" w:color="auto" w:fill="auto"/>
            <w:noWrap/>
          </w:tcPr>
          <w:p w14:paraId="04532C4A" w14:textId="77777777" w:rsidR="00AC375F" w:rsidRPr="00AC375F" w:rsidRDefault="00AC375F" w:rsidP="00AC375F">
            <w:pPr>
              <w:jc w:val="center"/>
              <w:rPr>
                <w:sz w:val="18"/>
                <w:szCs w:val="18"/>
              </w:rPr>
            </w:pPr>
            <w:r w:rsidRPr="00AC375F">
              <w:rPr>
                <w:sz w:val="18"/>
                <w:szCs w:val="18"/>
              </w:rPr>
              <w:t>lipanj</w:t>
            </w:r>
          </w:p>
        </w:tc>
        <w:tc>
          <w:tcPr>
            <w:tcW w:w="1249" w:type="dxa"/>
            <w:shd w:val="clear" w:color="auto" w:fill="auto"/>
            <w:noWrap/>
          </w:tcPr>
          <w:p w14:paraId="05D6BF3F" w14:textId="77777777" w:rsidR="00AC375F" w:rsidRPr="00AC375F" w:rsidRDefault="00AC375F" w:rsidP="00AC375F">
            <w:pPr>
              <w:jc w:val="center"/>
              <w:rPr>
                <w:sz w:val="18"/>
                <w:szCs w:val="18"/>
              </w:rPr>
            </w:pPr>
            <w:r w:rsidRPr="00AC375F">
              <w:rPr>
                <w:sz w:val="18"/>
                <w:szCs w:val="18"/>
              </w:rPr>
              <w:t>1</w:t>
            </w:r>
          </w:p>
        </w:tc>
      </w:tr>
      <w:tr w:rsidR="00AC375F" w:rsidRPr="00AC375F" w14:paraId="2AF68B21" w14:textId="77777777" w:rsidTr="00991955">
        <w:trPr>
          <w:trHeight w:val="315"/>
        </w:trPr>
        <w:tc>
          <w:tcPr>
            <w:tcW w:w="4390" w:type="dxa"/>
            <w:shd w:val="clear" w:color="auto" w:fill="auto"/>
            <w:noWrap/>
          </w:tcPr>
          <w:p w14:paraId="5A6AEB7E" w14:textId="77777777" w:rsidR="00AC375F" w:rsidRPr="00AC375F" w:rsidRDefault="00AC375F" w:rsidP="00AC375F">
            <w:pPr>
              <w:rPr>
                <w:b/>
                <w:bCs/>
                <w:sz w:val="18"/>
                <w:szCs w:val="18"/>
              </w:rPr>
            </w:pPr>
          </w:p>
        </w:tc>
        <w:tc>
          <w:tcPr>
            <w:tcW w:w="1609" w:type="dxa"/>
            <w:shd w:val="clear" w:color="auto" w:fill="auto"/>
            <w:noWrap/>
          </w:tcPr>
          <w:p w14:paraId="52D93822" w14:textId="77777777" w:rsidR="00AC375F" w:rsidRPr="00AC375F" w:rsidRDefault="00AC375F" w:rsidP="00AC375F">
            <w:pPr>
              <w:jc w:val="center"/>
              <w:rPr>
                <w:sz w:val="18"/>
                <w:szCs w:val="18"/>
              </w:rPr>
            </w:pPr>
            <w:r w:rsidRPr="00AC375F">
              <w:rPr>
                <w:sz w:val="18"/>
                <w:szCs w:val="18"/>
              </w:rPr>
              <w:t>virtualno</w:t>
            </w:r>
          </w:p>
        </w:tc>
        <w:tc>
          <w:tcPr>
            <w:tcW w:w="940" w:type="dxa"/>
            <w:shd w:val="clear" w:color="auto" w:fill="auto"/>
            <w:noWrap/>
          </w:tcPr>
          <w:p w14:paraId="724B57C0" w14:textId="77777777" w:rsidR="00AC375F" w:rsidRPr="00AC375F" w:rsidRDefault="00AC375F" w:rsidP="00AC375F">
            <w:pPr>
              <w:jc w:val="center"/>
              <w:rPr>
                <w:sz w:val="18"/>
                <w:szCs w:val="18"/>
              </w:rPr>
            </w:pPr>
            <w:r w:rsidRPr="00AC375F">
              <w:rPr>
                <w:sz w:val="18"/>
                <w:szCs w:val="18"/>
              </w:rPr>
              <w:t>1</w:t>
            </w:r>
          </w:p>
        </w:tc>
        <w:tc>
          <w:tcPr>
            <w:tcW w:w="1305" w:type="dxa"/>
            <w:shd w:val="clear" w:color="auto" w:fill="auto"/>
            <w:noWrap/>
          </w:tcPr>
          <w:p w14:paraId="4F725410" w14:textId="77777777" w:rsidR="00AC375F" w:rsidRPr="00AC375F" w:rsidRDefault="00AC375F" w:rsidP="00AC375F">
            <w:pPr>
              <w:jc w:val="center"/>
              <w:rPr>
                <w:sz w:val="18"/>
                <w:szCs w:val="18"/>
              </w:rPr>
            </w:pPr>
            <w:r w:rsidRPr="00AC375F">
              <w:rPr>
                <w:sz w:val="18"/>
                <w:szCs w:val="18"/>
              </w:rPr>
              <w:t>prosinac</w:t>
            </w:r>
          </w:p>
        </w:tc>
        <w:tc>
          <w:tcPr>
            <w:tcW w:w="1249" w:type="dxa"/>
            <w:shd w:val="clear" w:color="auto" w:fill="auto"/>
            <w:noWrap/>
          </w:tcPr>
          <w:p w14:paraId="700FD8A1" w14:textId="77777777" w:rsidR="00AC375F" w:rsidRPr="00AC375F" w:rsidRDefault="00AC375F" w:rsidP="00AC375F">
            <w:pPr>
              <w:jc w:val="center"/>
              <w:rPr>
                <w:sz w:val="18"/>
                <w:szCs w:val="18"/>
              </w:rPr>
            </w:pPr>
            <w:r w:rsidRPr="00AC375F">
              <w:rPr>
                <w:sz w:val="18"/>
                <w:szCs w:val="18"/>
              </w:rPr>
              <w:t>1</w:t>
            </w:r>
          </w:p>
        </w:tc>
      </w:tr>
      <w:tr w:rsidR="00AC375F" w:rsidRPr="00AC375F" w14:paraId="250D8264" w14:textId="77777777" w:rsidTr="00991955">
        <w:trPr>
          <w:trHeight w:val="240"/>
        </w:trPr>
        <w:tc>
          <w:tcPr>
            <w:tcW w:w="4390" w:type="dxa"/>
            <w:shd w:val="clear" w:color="auto" w:fill="auto"/>
            <w:noWrap/>
            <w:vAlign w:val="center"/>
          </w:tcPr>
          <w:p w14:paraId="4F444788" w14:textId="77777777" w:rsidR="00AC375F" w:rsidRPr="00AC375F" w:rsidRDefault="00AC375F" w:rsidP="00AC375F">
            <w:pPr>
              <w:rPr>
                <w:b/>
                <w:bCs/>
                <w:sz w:val="18"/>
                <w:szCs w:val="18"/>
              </w:rPr>
            </w:pPr>
            <w:r w:rsidRPr="00AC375F">
              <w:rPr>
                <w:b/>
                <w:bCs/>
                <w:sz w:val="18"/>
                <w:szCs w:val="18"/>
              </w:rPr>
              <w:t>Odbor Europske komisije za lijekove za humanu primjenu</w:t>
            </w:r>
            <w:r w:rsidRPr="00AC375F">
              <w:rPr>
                <w:rFonts w:eastAsia="Times New Roman" w:cstheme="minorHAnsi"/>
                <w:b/>
                <w:sz w:val="18"/>
                <w:szCs w:val="18"/>
              </w:rPr>
              <w:t xml:space="preserve"> (</w:t>
            </w:r>
            <w:r w:rsidRPr="00AC375F">
              <w:rPr>
                <w:rFonts w:eastAsia="Times New Roman" w:cstheme="minorHAnsi"/>
                <w:b/>
                <w:i/>
                <w:sz w:val="18"/>
                <w:szCs w:val="18"/>
              </w:rPr>
              <w:t>Pharmaceutical Committee</w:t>
            </w:r>
            <w:r w:rsidRPr="00AC375F">
              <w:rPr>
                <w:rFonts w:eastAsia="Times New Roman" w:cstheme="minorHAnsi"/>
                <w:b/>
                <w:sz w:val="18"/>
                <w:szCs w:val="18"/>
              </w:rPr>
              <w:t>)</w:t>
            </w:r>
          </w:p>
        </w:tc>
        <w:tc>
          <w:tcPr>
            <w:tcW w:w="1609" w:type="dxa"/>
            <w:shd w:val="clear" w:color="auto" w:fill="auto"/>
            <w:noWrap/>
          </w:tcPr>
          <w:p w14:paraId="0978FE62" w14:textId="77777777" w:rsidR="00AC375F" w:rsidRPr="00AC375F" w:rsidRDefault="00AC375F" w:rsidP="00AC375F">
            <w:pPr>
              <w:jc w:val="center"/>
              <w:rPr>
                <w:sz w:val="18"/>
                <w:szCs w:val="18"/>
              </w:rPr>
            </w:pPr>
          </w:p>
        </w:tc>
        <w:tc>
          <w:tcPr>
            <w:tcW w:w="940" w:type="dxa"/>
            <w:shd w:val="clear" w:color="auto" w:fill="auto"/>
            <w:noWrap/>
          </w:tcPr>
          <w:p w14:paraId="01C39E24" w14:textId="77777777" w:rsidR="00AC375F" w:rsidRPr="00AC375F" w:rsidRDefault="00AC375F" w:rsidP="00AC375F">
            <w:pPr>
              <w:jc w:val="center"/>
              <w:rPr>
                <w:sz w:val="18"/>
                <w:szCs w:val="18"/>
              </w:rPr>
            </w:pPr>
          </w:p>
        </w:tc>
        <w:tc>
          <w:tcPr>
            <w:tcW w:w="1305" w:type="dxa"/>
            <w:shd w:val="clear" w:color="auto" w:fill="auto"/>
            <w:noWrap/>
          </w:tcPr>
          <w:p w14:paraId="489688D2" w14:textId="77777777" w:rsidR="00AC375F" w:rsidRPr="00AC375F" w:rsidRDefault="00AC375F" w:rsidP="00AC375F">
            <w:pPr>
              <w:jc w:val="center"/>
              <w:rPr>
                <w:sz w:val="18"/>
                <w:szCs w:val="18"/>
              </w:rPr>
            </w:pPr>
          </w:p>
        </w:tc>
        <w:tc>
          <w:tcPr>
            <w:tcW w:w="1249" w:type="dxa"/>
            <w:shd w:val="clear" w:color="auto" w:fill="auto"/>
            <w:noWrap/>
          </w:tcPr>
          <w:p w14:paraId="520BAD8B" w14:textId="77777777" w:rsidR="00AC375F" w:rsidRPr="00AC375F" w:rsidRDefault="00AC375F" w:rsidP="00AC375F">
            <w:pPr>
              <w:jc w:val="center"/>
              <w:rPr>
                <w:sz w:val="18"/>
                <w:szCs w:val="18"/>
              </w:rPr>
            </w:pPr>
          </w:p>
        </w:tc>
      </w:tr>
      <w:tr w:rsidR="00AC375F" w:rsidRPr="00AC375F" w14:paraId="646F9573" w14:textId="77777777" w:rsidTr="00991955">
        <w:trPr>
          <w:trHeight w:val="240"/>
        </w:trPr>
        <w:tc>
          <w:tcPr>
            <w:tcW w:w="4390" w:type="dxa"/>
            <w:shd w:val="clear" w:color="auto" w:fill="auto"/>
            <w:noWrap/>
            <w:vAlign w:val="center"/>
          </w:tcPr>
          <w:p w14:paraId="12500874" w14:textId="77777777" w:rsidR="00AC375F" w:rsidRPr="00AC375F" w:rsidRDefault="00AC375F" w:rsidP="00AC375F">
            <w:pPr>
              <w:rPr>
                <w:b/>
                <w:bCs/>
                <w:sz w:val="18"/>
                <w:szCs w:val="18"/>
              </w:rPr>
            </w:pPr>
          </w:p>
        </w:tc>
        <w:tc>
          <w:tcPr>
            <w:tcW w:w="1609" w:type="dxa"/>
            <w:shd w:val="clear" w:color="auto" w:fill="auto"/>
            <w:noWrap/>
          </w:tcPr>
          <w:p w14:paraId="2361009E" w14:textId="77777777" w:rsidR="00AC375F" w:rsidRPr="00AC375F" w:rsidRDefault="00AC375F" w:rsidP="00AC375F">
            <w:pPr>
              <w:jc w:val="center"/>
              <w:rPr>
                <w:sz w:val="18"/>
                <w:szCs w:val="18"/>
              </w:rPr>
            </w:pPr>
            <w:r w:rsidRPr="00AC375F">
              <w:rPr>
                <w:sz w:val="18"/>
                <w:szCs w:val="18"/>
              </w:rPr>
              <w:t>Bruxelles</w:t>
            </w:r>
          </w:p>
        </w:tc>
        <w:tc>
          <w:tcPr>
            <w:tcW w:w="940" w:type="dxa"/>
            <w:shd w:val="clear" w:color="auto" w:fill="auto"/>
            <w:noWrap/>
          </w:tcPr>
          <w:p w14:paraId="5B6162E5" w14:textId="77777777" w:rsidR="00AC375F" w:rsidRPr="00AC375F" w:rsidRDefault="00AC375F" w:rsidP="00AC375F">
            <w:pPr>
              <w:jc w:val="center"/>
              <w:rPr>
                <w:sz w:val="18"/>
                <w:szCs w:val="18"/>
              </w:rPr>
            </w:pPr>
            <w:r w:rsidRPr="00AC375F">
              <w:rPr>
                <w:sz w:val="18"/>
                <w:szCs w:val="18"/>
              </w:rPr>
              <w:t>1</w:t>
            </w:r>
          </w:p>
        </w:tc>
        <w:tc>
          <w:tcPr>
            <w:tcW w:w="1305" w:type="dxa"/>
            <w:shd w:val="clear" w:color="auto" w:fill="auto"/>
            <w:noWrap/>
          </w:tcPr>
          <w:p w14:paraId="421BDF8E" w14:textId="77777777" w:rsidR="00AC375F" w:rsidRPr="00AC375F" w:rsidRDefault="00AC375F" w:rsidP="00AC375F">
            <w:pPr>
              <w:jc w:val="center"/>
              <w:rPr>
                <w:sz w:val="18"/>
                <w:szCs w:val="18"/>
              </w:rPr>
            </w:pPr>
            <w:r w:rsidRPr="00AC375F">
              <w:rPr>
                <w:sz w:val="18"/>
                <w:szCs w:val="18"/>
              </w:rPr>
              <w:t>rujan</w:t>
            </w:r>
          </w:p>
        </w:tc>
        <w:tc>
          <w:tcPr>
            <w:tcW w:w="1249" w:type="dxa"/>
            <w:shd w:val="clear" w:color="auto" w:fill="auto"/>
            <w:noWrap/>
          </w:tcPr>
          <w:p w14:paraId="425C27CC" w14:textId="77777777" w:rsidR="00AC375F" w:rsidRPr="00AC375F" w:rsidRDefault="00AC375F" w:rsidP="00AC375F">
            <w:pPr>
              <w:jc w:val="center"/>
              <w:rPr>
                <w:sz w:val="18"/>
                <w:szCs w:val="18"/>
              </w:rPr>
            </w:pPr>
            <w:r w:rsidRPr="00AC375F">
              <w:rPr>
                <w:sz w:val="18"/>
                <w:szCs w:val="18"/>
              </w:rPr>
              <w:t>1</w:t>
            </w:r>
          </w:p>
        </w:tc>
      </w:tr>
      <w:tr w:rsidR="00AC375F" w:rsidRPr="00AC375F" w14:paraId="17FE32E4" w14:textId="77777777" w:rsidTr="00991955">
        <w:trPr>
          <w:trHeight w:val="240"/>
        </w:trPr>
        <w:tc>
          <w:tcPr>
            <w:tcW w:w="4390" w:type="dxa"/>
            <w:shd w:val="clear" w:color="auto" w:fill="auto"/>
            <w:noWrap/>
            <w:vAlign w:val="center"/>
          </w:tcPr>
          <w:p w14:paraId="27C53C8A" w14:textId="77777777" w:rsidR="00AC375F" w:rsidRPr="00AC375F" w:rsidRDefault="00AC375F" w:rsidP="00AC375F">
            <w:pPr>
              <w:rPr>
                <w:b/>
                <w:bCs/>
                <w:sz w:val="18"/>
                <w:szCs w:val="18"/>
              </w:rPr>
            </w:pPr>
          </w:p>
        </w:tc>
        <w:tc>
          <w:tcPr>
            <w:tcW w:w="1609" w:type="dxa"/>
            <w:shd w:val="clear" w:color="auto" w:fill="auto"/>
            <w:noWrap/>
          </w:tcPr>
          <w:p w14:paraId="54B032DA" w14:textId="77777777" w:rsidR="00AC375F" w:rsidRPr="00AC375F" w:rsidRDefault="00AC375F" w:rsidP="00AC375F">
            <w:pPr>
              <w:jc w:val="center"/>
              <w:rPr>
                <w:sz w:val="18"/>
                <w:szCs w:val="18"/>
              </w:rPr>
            </w:pPr>
            <w:r w:rsidRPr="00AC375F">
              <w:rPr>
                <w:sz w:val="18"/>
                <w:szCs w:val="18"/>
              </w:rPr>
              <w:t>Bruxelles</w:t>
            </w:r>
          </w:p>
        </w:tc>
        <w:tc>
          <w:tcPr>
            <w:tcW w:w="940" w:type="dxa"/>
            <w:shd w:val="clear" w:color="auto" w:fill="auto"/>
            <w:noWrap/>
          </w:tcPr>
          <w:p w14:paraId="069BC24B" w14:textId="77777777" w:rsidR="00AC375F" w:rsidRPr="00AC375F" w:rsidRDefault="00AC375F" w:rsidP="00AC375F">
            <w:pPr>
              <w:jc w:val="center"/>
              <w:rPr>
                <w:sz w:val="18"/>
                <w:szCs w:val="18"/>
              </w:rPr>
            </w:pPr>
            <w:r w:rsidRPr="00AC375F">
              <w:rPr>
                <w:sz w:val="18"/>
                <w:szCs w:val="18"/>
              </w:rPr>
              <w:t>1</w:t>
            </w:r>
          </w:p>
        </w:tc>
        <w:tc>
          <w:tcPr>
            <w:tcW w:w="1305" w:type="dxa"/>
            <w:shd w:val="clear" w:color="auto" w:fill="auto"/>
            <w:noWrap/>
          </w:tcPr>
          <w:p w14:paraId="20797CB5" w14:textId="77777777" w:rsidR="00AC375F" w:rsidRPr="00AC375F" w:rsidRDefault="00AC375F" w:rsidP="00AC375F">
            <w:pPr>
              <w:jc w:val="center"/>
              <w:rPr>
                <w:sz w:val="18"/>
                <w:szCs w:val="18"/>
              </w:rPr>
            </w:pPr>
            <w:r w:rsidRPr="00AC375F">
              <w:rPr>
                <w:sz w:val="18"/>
                <w:szCs w:val="18"/>
              </w:rPr>
              <w:t>listopad</w:t>
            </w:r>
          </w:p>
        </w:tc>
        <w:tc>
          <w:tcPr>
            <w:tcW w:w="1249" w:type="dxa"/>
            <w:shd w:val="clear" w:color="auto" w:fill="auto"/>
            <w:noWrap/>
          </w:tcPr>
          <w:p w14:paraId="6FB1EDD7" w14:textId="77777777" w:rsidR="00AC375F" w:rsidRPr="00AC375F" w:rsidRDefault="00AC375F" w:rsidP="00AC375F">
            <w:pPr>
              <w:jc w:val="center"/>
              <w:rPr>
                <w:sz w:val="18"/>
                <w:szCs w:val="18"/>
              </w:rPr>
            </w:pPr>
            <w:r w:rsidRPr="00AC375F">
              <w:rPr>
                <w:sz w:val="18"/>
                <w:szCs w:val="18"/>
              </w:rPr>
              <w:t>2</w:t>
            </w:r>
          </w:p>
        </w:tc>
      </w:tr>
      <w:tr w:rsidR="00AC375F" w:rsidRPr="00AC375F" w14:paraId="6D41AD28" w14:textId="77777777" w:rsidTr="00991955">
        <w:trPr>
          <w:trHeight w:val="240"/>
        </w:trPr>
        <w:tc>
          <w:tcPr>
            <w:tcW w:w="4390" w:type="dxa"/>
            <w:shd w:val="clear" w:color="auto" w:fill="auto"/>
            <w:noWrap/>
            <w:vAlign w:val="center"/>
          </w:tcPr>
          <w:p w14:paraId="0DF309F5" w14:textId="77777777" w:rsidR="00AC375F" w:rsidRPr="00AC375F" w:rsidRDefault="00AC375F" w:rsidP="00AC375F">
            <w:pPr>
              <w:rPr>
                <w:b/>
                <w:bCs/>
                <w:sz w:val="18"/>
                <w:szCs w:val="18"/>
              </w:rPr>
            </w:pPr>
          </w:p>
        </w:tc>
        <w:tc>
          <w:tcPr>
            <w:tcW w:w="1609" w:type="dxa"/>
            <w:shd w:val="clear" w:color="auto" w:fill="auto"/>
            <w:noWrap/>
          </w:tcPr>
          <w:p w14:paraId="3FD1A72A" w14:textId="77777777" w:rsidR="00AC375F" w:rsidRPr="00AC375F" w:rsidRDefault="00AC375F" w:rsidP="00AC375F">
            <w:pPr>
              <w:jc w:val="center"/>
              <w:rPr>
                <w:sz w:val="18"/>
                <w:szCs w:val="18"/>
              </w:rPr>
            </w:pPr>
            <w:r w:rsidRPr="00AC375F">
              <w:rPr>
                <w:sz w:val="18"/>
                <w:szCs w:val="18"/>
              </w:rPr>
              <w:t>Bruxelles</w:t>
            </w:r>
          </w:p>
        </w:tc>
        <w:tc>
          <w:tcPr>
            <w:tcW w:w="940" w:type="dxa"/>
            <w:shd w:val="clear" w:color="auto" w:fill="auto"/>
            <w:noWrap/>
          </w:tcPr>
          <w:p w14:paraId="6906C1B5" w14:textId="77777777" w:rsidR="00AC375F" w:rsidRPr="00AC375F" w:rsidRDefault="00AC375F" w:rsidP="00AC375F">
            <w:pPr>
              <w:jc w:val="center"/>
              <w:rPr>
                <w:sz w:val="18"/>
                <w:szCs w:val="18"/>
              </w:rPr>
            </w:pPr>
            <w:r w:rsidRPr="00AC375F">
              <w:rPr>
                <w:sz w:val="18"/>
                <w:szCs w:val="18"/>
              </w:rPr>
              <w:t>1</w:t>
            </w:r>
          </w:p>
        </w:tc>
        <w:tc>
          <w:tcPr>
            <w:tcW w:w="1305" w:type="dxa"/>
            <w:shd w:val="clear" w:color="auto" w:fill="auto"/>
            <w:noWrap/>
          </w:tcPr>
          <w:p w14:paraId="43423996" w14:textId="77777777" w:rsidR="00AC375F" w:rsidRPr="00AC375F" w:rsidRDefault="00AC375F" w:rsidP="00AC375F">
            <w:pPr>
              <w:jc w:val="center"/>
              <w:rPr>
                <w:sz w:val="18"/>
                <w:szCs w:val="18"/>
              </w:rPr>
            </w:pPr>
            <w:r w:rsidRPr="00AC375F">
              <w:rPr>
                <w:sz w:val="18"/>
                <w:szCs w:val="18"/>
              </w:rPr>
              <w:t>studeni</w:t>
            </w:r>
          </w:p>
        </w:tc>
        <w:tc>
          <w:tcPr>
            <w:tcW w:w="1249" w:type="dxa"/>
            <w:shd w:val="clear" w:color="auto" w:fill="auto"/>
            <w:noWrap/>
          </w:tcPr>
          <w:p w14:paraId="5EA7FA7E" w14:textId="77777777" w:rsidR="00AC375F" w:rsidRPr="00AC375F" w:rsidRDefault="00AC375F" w:rsidP="00AC375F">
            <w:pPr>
              <w:jc w:val="center"/>
              <w:rPr>
                <w:sz w:val="18"/>
                <w:szCs w:val="18"/>
              </w:rPr>
            </w:pPr>
            <w:r w:rsidRPr="00AC375F">
              <w:rPr>
                <w:sz w:val="18"/>
                <w:szCs w:val="18"/>
              </w:rPr>
              <w:t>2</w:t>
            </w:r>
          </w:p>
        </w:tc>
      </w:tr>
      <w:tr w:rsidR="00AC375F" w:rsidRPr="00AC375F" w14:paraId="389B44F9" w14:textId="77777777" w:rsidTr="00991955">
        <w:trPr>
          <w:trHeight w:val="240"/>
        </w:trPr>
        <w:tc>
          <w:tcPr>
            <w:tcW w:w="4390" w:type="dxa"/>
            <w:shd w:val="clear" w:color="auto" w:fill="auto"/>
            <w:noWrap/>
            <w:vAlign w:val="center"/>
          </w:tcPr>
          <w:p w14:paraId="0B9CBB44" w14:textId="77777777" w:rsidR="00AC375F" w:rsidRPr="00AC375F" w:rsidRDefault="00AC375F" w:rsidP="00AC375F">
            <w:pPr>
              <w:rPr>
                <w:b/>
                <w:bCs/>
                <w:sz w:val="18"/>
                <w:szCs w:val="18"/>
              </w:rPr>
            </w:pPr>
          </w:p>
        </w:tc>
        <w:tc>
          <w:tcPr>
            <w:tcW w:w="1609" w:type="dxa"/>
            <w:shd w:val="clear" w:color="auto" w:fill="auto"/>
            <w:noWrap/>
          </w:tcPr>
          <w:p w14:paraId="16C8CA31" w14:textId="77777777" w:rsidR="00AC375F" w:rsidRPr="00AC375F" w:rsidRDefault="00AC375F" w:rsidP="00AC375F">
            <w:pPr>
              <w:jc w:val="center"/>
              <w:rPr>
                <w:sz w:val="18"/>
                <w:szCs w:val="18"/>
              </w:rPr>
            </w:pPr>
          </w:p>
        </w:tc>
        <w:tc>
          <w:tcPr>
            <w:tcW w:w="940" w:type="dxa"/>
            <w:shd w:val="clear" w:color="auto" w:fill="auto"/>
            <w:noWrap/>
          </w:tcPr>
          <w:p w14:paraId="30016CE7" w14:textId="77777777" w:rsidR="00AC375F" w:rsidRPr="00AC375F" w:rsidRDefault="00AC375F" w:rsidP="00AC375F">
            <w:pPr>
              <w:jc w:val="center"/>
              <w:rPr>
                <w:sz w:val="18"/>
                <w:szCs w:val="18"/>
              </w:rPr>
            </w:pPr>
          </w:p>
        </w:tc>
        <w:tc>
          <w:tcPr>
            <w:tcW w:w="1305" w:type="dxa"/>
            <w:shd w:val="clear" w:color="auto" w:fill="auto"/>
            <w:noWrap/>
          </w:tcPr>
          <w:p w14:paraId="41BBAF1D" w14:textId="77777777" w:rsidR="00AC375F" w:rsidRPr="00AC375F" w:rsidRDefault="00AC375F" w:rsidP="00AC375F">
            <w:pPr>
              <w:jc w:val="center"/>
              <w:rPr>
                <w:sz w:val="18"/>
                <w:szCs w:val="18"/>
              </w:rPr>
            </w:pPr>
          </w:p>
        </w:tc>
        <w:tc>
          <w:tcPr>
            <w:tcW w:w="1249" w:type="dxa"/>
            <w:shd w:val="clear" w:color="auto" w:fill="auto"/>
            <w:noWrap/>
          </w:tcPr>
          <w:p w14:paraId="5839B32A" w14:textId="77777777" w:rsidR="00AC375F" w:rsidRPr="00AC375F" w:rsidRDefault="00AC375F" w:rsidP="00AC375F">
            <w:pPr>
              <w:jc w:val="center"/>
              <w:rPr>
                <w:sz w:val="18"/>
                <w:szCs w:val="18"/>
              </w:rPr>
            </w:pPr>
          </w:p>
        </w:tc>
      </w:tr>
      <w:tr w:rsidR="00AC375F" w:rsidRPr="00AC375F" w14:paraId="3AB7B9D7" w14:textId="77777777" w:rsidTr="00991955">
        <w:trPr>
          <w:trHeight w:val="240"/>
        </w:trPr>
        <w:tc>
          <w:tcPr>
            <w:tcW w:w="4390" w:type="dxa"/>
            <w:shd w:val="clear" w:color="auto" w:fill="auto"/>
            <w:noWrap/>
            <w:vAlign w:val="center"/>
          </w:tcPr>
          <w:p w14:paraId="37B1E1D2" w14:textId="77777777" w:rsidR="00AC375F" w:rsidRPr="00AC375F" w:rsidRDefault="00AC375F" w:rsidP="00AC375F">
            <w:pPr>
              <w:rPr>
                <w:b/>
                <w:bCs/>
                <w:sz w:val="18"/>
                <w:szCs w:val="18"/>
              </w:rPr>
            </w:pPr>
            <w:r w:rsidRPr="00AC375F">
              <w:rPr>
                <w:b/>
                <w:bCs/>
                <w:sz w:val="18"/>
                <w:szCs w:val="18"/>
              </w:rPr>
              <w:t>Stalni odbor za lijekove za humanu primjenu Europske komisije (</w:t>
            </w:r>
            <w:r w:rsidRPr="00AC375F">
              <w:rPr>
                <w:b/>
                <w:bCs/>
                <w:i/>
                <w:sz w:val="18"/>
                <w:szCs w:val="18"/>
              </w:rPr>
              <w:t>Standing Committee</w:t>
            </w:r>
            <w:r w:rsidRPr="00AC375F">
              <w:rPr>
                <w:b/>
                <w:bCs/>
                <w:sz w:val="18"/>
                <w:szCs w:val="18"/>
              </w:rPr>
              <w:t>)</w:t>
            </w:r>
          </w:p>
        </w:tc>
        <w:tc>
          <w:tcPr>
            <w:tcW w:w="1609" w:type="dxa"/>
            <w:shd w:val="clear" w:color="auto" w:fill="auto"/>
            <w:noWrap/>
          </w:tcPr>
          <w:p w14:paraId="3E30F534" w14:textId="77777777" w:rsidR="00AC375F" w:rsidRPr="00AC375F" w:rsidRDefault="00AC375F" w:rsidP="00AC375F">
            <w:pPr>
              <w:jc w:val="center"/>
              <w:rPr>
                <w:sz w:val="18"/>
                <w:szCs w:val="18"/>
              </w:rPr>
            </w:pPr>
            <w:r w:rsidRPr="00AC375F">
              <w:rPr>
                <w:sz w:val="18"/>
                <w:szCs w:val="18"/>
              </w:rPr>
              <w:t>Bruxelles</w:t>
            </w:r>
          </w:p>
        </w:tc>
        <w:tc>
          <w:tcPr>
            <w:tcW w:w="940" w:type="dxa"/>
            <w:shd w:val="clear" w:color="auto" w:fill="auto"/>
            <w:noWrap/>
          </w:tcPr>
          <w:p w14:paraId="773BA367" w14:textId="77777777" w:rsidR="00AC375F" w:rsidRPr="00AC375F" w:rsidRDefault="00AC375F" w:rsidP="00AC375F">
            <w:pPr>
              <w:jc w:val="center"/>
              <w:rPr>
                <w:sz w:val="18"/>
                <w:szCs w:val="18"/>
              </w:rPr>
            </w:pPr>
            <w:r w:rsidRPr="00AC375F">
              <w:rPr>
                <w:sz w:val="18"/>
                <w:szCs w:val="18"/>
              </w:rPr>
              <w:t>1</w:t>
            </w:r>
          </w:p>
        </w:tc>
        <w:tc>
          <w:tcPr>
            <w:tcW w:w="1305" w:type="dxa"/>
            <w:shd w:val="clear" w:color="auto" w:fill="auto"/>
            <w:noWrap/>
          </w:tcPr>
          <w:p w14:paraId="45F8AC9D" w14:textId="77777777" w:rsidR="00AC375F" w:rsidRPr="00AC375F" w:rsidRDefault="00AC375F" w:rsidP="00AC375F">
            <w:pPr>
              <w:jc w:val="center"/>
              <w:rPr>
                <w:sz w:val="18"/>
                <w:szCs w:val="18"/>
              </w:rPr>
            </w:pPr>
            <w:r w:rsidRPr="00AC375F">
              <w:rPr>
                <w:sz w:val="18"/>
                <w:szCs w:val="18"/>
              </w:rPr>
              <w:t>siječanj</w:t>
            </w:r>
          </w:p>
        </w:tc>
        <w:tc>
          <w:tcPr>
            <w:tcW w:w="1249" w:type="dxa"/>
            <w:shd w:val="clear" w:color="auto" w:fill="auto"/>
            <w:noWrap/>
          </w:tcPr>
          <w:p w14:paraId="7002E929" w14:textId="77777777" w:rsidR="00AC375F" w:rsidRPr="00AC375F" w:rsidRDefault="00AC375F" w:rsidP="00AC375F">
            <w:pPr>
              <w:jc w:val="center"/>
              <w:rPr>
                <w:sz w:val="18"/>
                <w:szCs w:val="18"/>
              </w:rPr>
            </w:pPr>
            <w:r w:rsidRPr="00AC375F">
              <w:rPr>
                <w:sz w:val="18"/>
                <w:szCs w:val="18"/>
              </w:rPr>
              <w:t>1</w:t>
            </w:r>
          </w:p>
        </w:tc>
      </w:tr>
      <w:tr w:rsidR="00AC375F" w:rsidRPr="00AC375F" w14:paraId="517322DF" w14:textId="77777777" w:rsidTr="00991955">
        <w:trPr>
          <w:trHeight w:val="240"/>
        </w:trPr>
        <w:tc>
          <w:tcPr>
            <w:tcW w:w="4390" w:type="dxa"/>
            <w:shd w:val="clear" w:color="auto" w:fill="auto"/>
            <w:noWrap/>
            <w:vAlign w:val="center"/>
          </w:tcPr>
          <w:p w14:paraId="35612EF8" w14:textId="77777777" w:rsidR="00AC375F" w:rsidRPr="00AC375F" w:rsidRDefault="00AC375F" w:rsidP="00AC375F">
            <w:pPr>
              <w:rPr>
                <w:b/>
                <w:bCs/>
                <w:sz w:val="18"/>
                <w:szCs w:val="18"/>
              </w:rPr>
            </w:pPr>
          </w:p>
        </w:tc>
        <w:tc>
          <w:tcPr>
            <w:tcW w:w="1609" w:type="dxa"/>
            <w:shd w:val="clear" w:color="auto" w:fill="auto"/>
            <w:noWrap/>
          </w:tcPr>
          <w:p w14:paraId="6C53ACF8" w14:textId="77777777" w:rsidR="00AC375F" w:rsidRPr="00AC375F" w:rsidRDefault="00AC375F" w:rsidP="00AC375F">
            <w:pPr>
              <w:jc w:val="center"/>
              <w:rPr>
                <w:sz w:val="18"/>
                <w:szCs w:val="18"/>
              </w:rPr>
            </w:pPr>
            <w:r w:rsidRPr="00AC375F">
              <w:rPr>
                <w:sz w:val="18"/>
                <w:szCs w:val="18"/>
              </w:rPr>
              <w:t>Bruxelles</w:t>
            </w:r>
          </w:p>
        </w:tc>
        <w:tc>
          <w:tcPr>
            <w:tcW w:w="940" w:type="dxa"/>
            <w:shd w:val="clear" w:color="auto" w:fill="auto"/>
            <w:noWrap/>
          </w:tcPr>
          <w:p w14:paraId="611F8DDE" w14:textId="77777777" w:rsidR="00AC375F" w:rsidRPr="00AC375F" w:rsidRDefault="00AC375F" w:rsidP="00AC375F">
            <w:pPr>
              <w:jc w:val="center"/>
              <w:rPr>
                <w:sz w:val="18"/>
                <w:szCs w:val="18"/>
              </w:rPr>
            </w:pPr>
            <w:r w:rsidRPr="00AC375F">
              <w:rPr>
                <w:sz w:val="18"/>
                <w:szCs w:val="18"/>
              </w:rPr>
              <w:t>1</w:t>
            </w:r>
          </w:p>
        </w:tc>
        <w:tc>
          <w:tcPr>
            <w:tcW w:w="1305" w:type="dxa"/>
            <w:shd w:val="clear" w:color="auto" w:fill="auto"/>
            <w:noWrap/>
          </w:tcPr>
          <w:p w14:paraId="12926D85" w14:textId="77777777" w:rsidR="00AC375F" w:rsidRPr="00AC375F" w:rsidRDefault="00AC375F" w:rsidP="00AC375F">
            <w:pPr>
              <w:jc w:val="center"/>
              <w:rPr>
                <w:sz w:val="18"/>
                <w:szCs w:val="18"/>
              </w:rPr>
            </w:pPr>
            <w:r w:rsidRPr="00AC375F">
              <w:rPr>
                <w:sz w:val="18"/>
                <w:szCs w:val="18"/>
              </w:rPr>
              <w:t>ožujak</w:t>
            </w:r>
          </w:p>
        </w:tc>
        <w:tc>
          <w:tcPr>
            <w:tcW w:w="1249" w:type="dxa"/>
            <w:shd w:val="clear" w:color="auto" w:fill="auto"/>
            <w:noWrap/>
          </w:tcPr>
          <w:p w14:paraId="16804210" w14:textId="77777777" w:rsidR="00AC375F" w:rsidRPr="00AC375F" w:rsidRDefault="00AC375F" w:rsidP="00AC375F">
            <w:pPr>
              <w:jc w:val="center"/>
              <w:rPr>
                <w:sz w:val="18"/>
                <w:szCs w:val="18"/>
              </w:rPr>
            </w:pPr>
            <w:r w:rsidRPr="00AC375F">
              <w:rPr>
                <w:sz w:val="18"/>
                <w:szCs w:val="18"/>
              </w:rPr>
              <w:t>1</w:t>
            </w:r>
          </w:p>
        </w:tc>
      </w:tr>
      <w:tr w:rsidR="00AC375F" w:rsidRPr="00AC375F" w14:paraId="1E0A2A9A" w14:textId="77777777" w:rsidTr="00991955">
        <w:trPr>
          <w:trHeight w:val="240"/>
        </w:trPr>
        <w:tc>
          <w:tcPr>
            <w:tcW w:w="4390" w:type="dxa"/>
            <w:shd w:val="clear" w:color="auto" w:fill="auto"/>
            <w:noWrap/>
            <w:vAlign w:val="center"/>
          </w:tcPr>
          <w:p w14:paraId="490DB4A8" w14:textId="77777777" w:rsidR="00AC375F" w:rsidRPr="00AC375F" w:rsidRDefault="00AC375F" w:rsidP="00AC375F">
            <w:pPr>
              <w:rPr>
                <w:b/>
                <w:bCs/>
                <w:sz w:val="18"/>
                <w:szCs w:val="18"/>
              </w:rPr>
            </w:pPr>
          </w:p>
        </w:tc>
        <w:tc>
          <w:tcPr>
            <w:tcW w:w="1609" w:type="dxa"/>
            <w:shd w:val="clear" w:color="auto" w:fill="auto"/>
            <w:noWrap/>
          </w:tcPr>
          <w:p w14:paraId="2DD85D3C" w14:textId="77777777" w:rsidR="00AC375F" w:rsidRPr="00AC375F" w:rsidRDefault="00AC375F" w:rsidP="00AC375F">
            <w:pPr>
              <w:jc w:val="center"/>
              <w:rPr>
                <w:sz w:val="18"/>
                <w:szCs w:val="18"/>
              </w:rPr>
            </w:pPr>
            <w:r w:rsidRPr="00AC375F">
              <w:rPr>
                <w:sz w:val="18"/>
                <w:szCs w:val="18"/>
              </w:rPr>
              <w:t>Bruxelles</w:t>
            </w:r>
          </w:p>
        </w:tc>
        <w:tc>
          <w:tcPr>
            <w:tcW w:w="940" w:type="dxa"/>
            <w:shd w:val="clear" w:color="auto" w:fill="auto"/>
            <w:noWrap/>
          </w:tcPr>
          <w:p w14:paraId="607D9638" w14:textId="77777777" w:rsidR="00AC375F" w:rsidRPr="00AC375F" w:rsidRDefault="00AC375F" w:rsidP="00AC375F">
            <w:pPr>
              <w:jc w:val="center"/>
              <w:rPr>
                <w:sz w:val="18"/>
                <w:szCs w:val="18"/>
              </w:rPr>
            </w:pPr>
            <w:r w:rsidRPr="00AC375F">
              <w:rPr>
                <w:sz w:val="18"/>
                <w:szCs w:val="18"/>
              </w:rPr>
              <w:t>1</w:t>
            </w:r>
          </w:p>
        </w:tc>
        <w:tc>
          <w:tcPr>
            <w:tcW w:w="1305" w:type="dxa"/>
            <w:shd w:val="clear" w:color="auto" w:fill="auto"/>
            <w:noWrap/>
          </w:tcPr>
          <w:p w14:paraId="4CF8D0DD" w14:textId="77777777" w:rsidR="00AC375F" w:rsidRPr="00AC375F" w:rsidRDefault="00AC375F" w:rsidP="00AC375F">
            <w:pPr>
              <w:jc w:val="center"/>
              <w:rPr>
                <w:sz w:val="18"/>
                <w:szCs w:val="18"/>
              </w:rPr>
            </w:pPr>
            <w:r w:rsidRPr="00AC375F">
              <w:rPr>
                <w:sz w:val="18"/>
                <w:szCs w:val="18"/>
              </w:rPr>
              <w:t>svibanj</w:t>
            </w:r>
          </w:p>
        </w:tc>
        <w:tc>
          <w:tcPr>
            <w:tcW w:w="1249" w:type="dxa"/>
            <w:shd w:val="clear" w:color="auto" w:fill="auto"/>
            <w:noWrap/>
          </w:tcPr>
          <w:p w14:paraId="0071850E" w14:textId="77777777" w:rsidR="00AC375F" w:rsidRPr="00AC375F" w:rsidRDefault="00AC375F" w:rsidP="00AC375F">
            <w:pPr>
              <w:jc w:val="center"/>
              <w:rPr>
                <w:sz w:val="18"/>
                <w:szCs w:val="18"/>
              </w:rPr>
            </w:pPr>
            <w:r w:rsidRPr="00AC375F">
              <w:rPr>
                <w:sz w:val="18"/>
                <w:szCs w:val="18"/>
              </w:rPr>
              <w:t>1</w:t>
            </w:r>
          </w:p>
        </w:tc>
      </w:tr>
      <w:tr w:rsidR="00AC375F" w:rsidRPr="00AC375F" w14:paraId="590D7461" w14:textId="77777777" w:rsidTr="00991955">
        <w:trPr>
          <w:trHeight w:val="240"/>
        </w:trPr>
        <w:tc>
          <w:tcPr>
            <w:tcW w:w="4390" w:type="dxa"/>
            <w:shd w:val="clear" w:color="auto" w:fill="auto"/>
            <w:noWrap/>
            <w:vAlign w:val="center"/>
          </w:tcPr>
          <w:p w14:paraId="0711187D" w14:textId="77777777" w:rsidR="00AC375F" w:rsidRPr="00AC375F" w:rsidRDefault="00AC375F" w:rsidP="00AC375F">
            <w:pPr>
              <w:rPr>
                <w:b/>
                <w:bCs/>
                <w:sz w:val="18"/>
                <w:szCs w:val="18"/>
              </w:rPr>
            </w:pPr>
          </w:p>
        </w:tc>
        <w:tc>
          <w:tcPr>
            <w:tcW w:w="1609" w:type="dxa"/>
            <w:shd w:val="clear" w:color="auto" w:fill="auto"/>
            <w:noWrap/>
          </w:tcPr>
          <w:p w14:paraId="35E5176A" w14:textId="77777777" w:rsidR="00AC375F" w:rsidRPr="00AC375F" w:rsidRDefault="00AC375F" w:rsidP="00AC375F">
            <w:pPr>
              <w:jc w:val="center"/>
              <w:rPr>
                <w:sz w:val="18"/>
                <w:szCs w:val="18"/>
              </w:rPr>
            </w:pPr>
            <w:r w:rsidRPr="00AC375F">
              <w:rPr>
                <w:sz w:val="18"/>
                <w:szCs w:val="18"/>
              </w:rPr>
              <w:t>Bruxelles</w:t>
            </w:r>
          </w:p>
        </w:tc>
        <w:tc>
          <w:tcPr>
            <w:tcW w:w="940" w:type="dxa"/>
            <w:shd w:val="clear" w:color="auto" w:fill="auto"/>
            <w:noWrap/>
          </w:tcPr>
          <w:p w14:paraId="30C00ED8" w14:textId="77777777" w:rsidR="00AC375F" w:rsidRPr="00AC375F" w:rsidRDefault="00AC375F" w:rsidP="00AC375F">
            <w:pPr>
              <w:jc w:val="center"/>
              <w:rPr>
                <w:sz w:val="18"/>
                <w:szCs w:val="18"/>
              </w:rPr>
            </w:pPr>
            <w:r w:rsidRPr="00AC375F">
              <w:rPr>
                <w:sz w:val="18"/>
                <w:szCs w:val="18"/>
              </w:rPr>
              <w:t>1</w:t>
            </w:r>
          </w:p>
        </w:tc>
        <w:tc>
          <w:tcPr>
            <w:tcW w:w="1305" w:type="dxa"/>
            <w:shd w:val="clear" w:color="auto" w:fill="auto"/>
            <w:noWrap/>
          </w:tcPr>
          <w:p w14:paraId="530641A5" w14:textId="77777777" w:rsidR="00AC375F" w:rsidRPr="00AC375F" w:rsidRDefault="00AC375F" w:rsidP="00AC375F">
            <w:pPr>
              <w:jc w:val="center"/>
              <w:rPr>
                <w:sz w:val="18"/>
                <w:szCs w:val="18"/>
              </w:rPr>
            </w:pPr>
            <w:r w:rsidRPr="00AC375F">
              <w:rPr>
                <w:sz w:val="18"/>
                <w:szCs w:val="18"/>
              </w:rPr>
              <w:t>lipanj</w:t>
            </w:r>
          </w:p>
        </w:tc>
        <w:tc>
          <w:tcPr>
            <w:tcW w:w="1249" w:type="dxa"/>
            <w:shd w:val="clear" w:color="auto" w:fill="auto"/>
            <w:noWrap/>
          </w:tcPr>
          <w:p w14:paraId="3211343A" w14:textId="77777777" w:rsidR="00AC375F" w:rsidRPr="00AC375F" w:rsidRDefault="00AC375F" w:rsidP="00AC375F">
            <w:pPr>
              <w:jc w:val="center"/>
              <w:rPr>
                <w:sz w:val="18"/>
                <w:szCs w:val="18"/>
              </w:rPr>
            </w:pPr>
            <w:r w:rsidRPr="00AC375F">
              <w:rPr>
                <w:sz w:val="18"/>
                <w:szCs w:val="18"/>
              </w:rPr>
              <w:t>1</w:t>
            </w:r>
          </w:p>
        </w:tc>
      </w:tr>
      <w:tr w:rsidR="00AC375F" w:rsidRPr="00AC375F" w14:paraId="21170293" w14:textId="77777777" w:rsidTr="00991955">
        <w:trPr>
          <w:trHeight w:val="240"/>
        </w:trPr>
        <w:tc>
          <w:tcPr>
            <w:tcW w:w="4390" w:type="dxa"/>
            <w:shd w:val="clear" w:color="auto" w:fill="auto"/>
            <w:noWrap/>
            <w:vAlign w:val="center"/>
          </w:tcPr>
          <w:p w14:paraId="743688DF" w14:textId="77777777" w:rsidR="00AC375F" w:rsidRPr="00AC375F" w:rsidRDefault="00AC375F" w:rsidP="00AC375F">
            <w:pPr>
              <w:rPr>
                <w:b/>
                <w:bCs/>
                <w:sz w:val="18"/>
                <w:szCs w:val="18"/>
              </w:rPr>
            </w:pPr>
          </w:p>
        </w:tc>
        <w:tc>
          <w:tcPr>
            <w:tcW w:w="1609" w:type="dxa"/>
            <w:shd w:val="clear" w:color="auto" w:fill="auto"/>
            <w:noWrap/>
          </w:tcPr>
          <w:p w14:paraId="6B2DD8D5" w14:textId="77777777" w:rsidR="00AC375F" w:rsidRPr="00AC375F" w:rsidRDefault="00AC375F" w:rsidP="00AC375F">
            <w:pPr>
              <w:jc w:val="center"/>
              <w:rPr>
                <w:sz w:val="18"/>
                <w:szCs w:val="18"/>
              </w:rPr>
            </w:pPr>
            <w:r w:rsidRPr="00AC375F">
              <w:rPr>
                <w:sz w:val="18"/>
                <w:szCs w:val="18"/>
              </w:rPr>
              <w:t>Bruxelles</w:t>
            </w:r>
          </w:p>
        </w:tc>
        <w:tc>
          <w:tcPr>
            <w:tcW w:w="940" w:type="dxa"/>
            <w:shd w:val="clear" w:color="auto" w:fill="auto"/>
            <w:noWrap/>
          </w:tcPr>
          <w:p w14:paraId="58E44D1A" w14:textId="77777777" w:rsidR="00AC375F" w:rsidRPr="00AC375F" w:rsidRDefault="00AC375F" w:rsidP="00AC375F">
            <w:pPr>
              <w:jc w:val="center"/>
              <w:rPr>
                <w:sz w:val="18"/>
                <w:szCs w:val="18"/>
              </w:rPr>
            </w:pPr>
            <w:r w:rsidRPr="00AC375F">
              <w:rPr>
                <w:sz w:val="18"/>
                <w:szCs w:val="18"/>
              </w:rPr>
              <w:t>1</w:t>
            </w:r>
          </w:p>
        </w:tc>
        <w:tc>
          <w:tcPr>
            <w:tcW w:w="1305" w:type="dxa"/>
            <w:shd w:val="clear" w:color="auto" w:fill="auto"/>
            <w:noWrap/>
          </w:tcPr>
          <w:p w14:paraId="496EC3AC" w14:textId="77777777" w:rsidR="00AC375F" w:rsidRPr="00AC375F" w:rsidRDefault="00AC375F" w:rsidP="00AC375F">
            <w:pPr>
              <w:jc w:val="center"/>
              <w:rPr>
                <w:sz w:val="18"/>
                <w:szCs w:val="18"/>
              </w:rPr>
            </w:pPr>
            <w:r w:rsidRPr="00AC375F">
              <w:rPr>
                <w:sz w:val="18"/>
                <w:szCs w:val="18"/>
              </w:rPr>
              <w:t>rujan</w:t>
            </w:r>
          </w:p>
        </w:tc>
        <w:tc>
          <w:tcPr>
            <w:tcW w:w="1249" w:type="dxa"/>
            <w:shd w:val="clear" w:color="auto" w:fill="auto"/>
            <w:noWrap/>
          </w:tcPr>
          <w:p w14:paraId="39558689" w14:textId="77777777" w:rsidR="00AC375F" w:rsidRPr="00AC375F" w:rsidRDefault="00AC375F" w:rsidP="00AC375F">
            <w:pPr>
              <w:jc w:val="center"/>
              <w:rPr>
                <w:sz w:val="18"/>
                <w:szCs w:val="18"/>
              </w:rPr>
            </w:pPr>
            <w:r w:rsidRPr="00AC375F">
              <w:rPr>
                <w:sz w:val="18"/>
                <w:szCs w:val="18"/>
              </w:rPr>
              <w:t>1</w:t>
            </w:r>
          </w:p>
        </w:tc>
      </w:tr>
      <w:tr w:rsidR="00AC375F" w:rsidRPr="00AC375F" w14:paraId="67B69379" w14:textId="77777777" w:rsidTr="00991955">
        <w:trPr>
          <w:trHeight w:val="240"/>
        </w:trPr>
        <w:tc>
          <w:tcPr>
            <w:tcW w:w="4390" w:type="dxa"/>
            <w:shd w:val="clear" w:color="auto" w:fill="auto"/>
            <w:noWrap/>
            <w:vAlign w:val="center"/>
          </w:tcPr>
          <w:p w14:paraId="0ACA7BDA" w14:textId="77777777" w:rsidR="00AC375F" w:rsidRPr="00AC375F" w:rsidRDefault="00AC375F" w:rsidP="00AC375F">
            <w:pPr>
              <w:rPr>
                <w:b/>
                <w:bCs/>
                <w:sz w:val="18"/>
                <w:szCs w:val="18"/>
              </w:rPr>
            </w:pPr>
          </w:p>
        </w:tc>
        <w:tc>
          <w:tcPr>
            <w:tcW w:w="1609" w:type="dxa"/>
            <w:shd w:val="clear" w:color="auto" w:fill="auto"/>
            <w:noWrap/>
          </w:tcPr>
          <w:p w14:paraId="14FE0163" w14:textId="77777777" w:rsidR="00AC375F" w:rsidRPr="00AC375F" w:rsidRDefault="00AC375F" w:rsidP="00AC375F">
            <w:pPr>
              <w:jc w:val="center"/>
              <w:rPr>
                <w:sz w:val="18"/>
                <w:szCs w:val="18"/>
              </w:rPr>
            </w:pPr>
            <w:r w:rsidRPr="00AC375F">
              <w:rPr>
                <w:sz w:val="18"/>
                <w:szCs w:val="18"/>
              </w:rPr>
              <w:t>Bruxelles</w:t>
            </w:r>
          </w:p>
        </w:tc>
        <w:tc>
          <w:tcPr>
            <w:tcW w:w="940" w:type="dxa"/>
            <w:shd w:val="clear" w:color="auto" w:fill="auto"/>
            <w:noWrap/>
          </w:tcPr>
          <w:p w14:paraId="6F87E65D" w14:textId="77777777" w:rsidR="00AC375F" w:rsidRPr="00AC375F" w:rsidRDefault="00AC375F" w:rsidP="00AC375F">
            <w:pPr>
              <w:jc w:val="center"/>
              <w:rPr>
                <w:sz w:val="18"/>
                <w:szCs w:val="18"/>
              </w:rPr>
            </w:pPr>
            <w:r w:rsidRPr="00AC375F">
              <w:rPr>
                <w:sz w:val="18"/>
                <w:szCs w:val="18"/>
              </w:rPr>
              <w:t>1</w:t>
            </w:r>
          </w:p>
        </w:tc>
        <w:tc>
          <w:tcPr>
            <w:tcW w:w="1305" w:type="dxa"/>
            <w:shd w:val="clear" w:color="auto" w:fill="auto"/>
            <w:noWrap/>
          </w:tcPr>
          <w:p w14:paraId="4B9D6EDA" w14:textId="77777777" w:rsidR="00AC375F" w:rsidRPr="00AC375F" w:rsidRDefault="00AC375F" w:rsidP="00AC375F">
            <w:pPr>
              <w:jc w:val="center"/>
              <w:rPr>
                <w:sz w:val="18"/>
                <w:szCs w:val="18"/>
              </w:rPr>
            </w:pPr>
            <w:r w:rsidRPr="00AC375F">
              <w:rPr>
                <w:sz w:val="18"/>
                <w:szCs w:val="18"/>
              </w:rPr>
              <w:t>listopad</w:t>
            </w:r>
          </w:p>
        </w:tc>
        <w:tc>
          <w:tcPr>
            <w:tcW w:w="1249" w:type="dxa"/>
            <w:shd w:val="clear" w:color="auto" w:fill="auto"/>
            <w:noWrap/>
          </w:tcPr>
          <w:p w14:paraId="71B27EC7" w14:textId="77777777" w:rsidR="00AC375F" w:rsidRPr="00AC375F" w:rsidRDefault="00AC375F" w:rsidP="00AC375F">
            <w:pPr>
              <w:jc w:val="center"/>
              <w:rPr>
                <w:sz w:val="18"/>
                <w:szCs w:val="18"/>
              </w:rPr>
            </w:pPr>
            <w:r w:rsidRPr="00AC375F">
              <w:rPr>
                <w:sz w:val="18"/>
                <w:szCs w:val="18"/>
              </w:rPr>
              <w:t>1</w:t>
            </w:r>
          </w:p>
        </w:tc>
      </w:tr>
      <w:tr w:rsidR="00AC375F" w:rsidRPr="00AC375F" w14:paraId="4E623C30" w14:textId="77777777" w:rsidTr="00991955">
        <w:trPr>
          <w:trHeight w:val="240"/>
        </w:trPr>
        <w:tc>
          <w:tcPr>
            <w:tcW w:w="4390" w:type="dxa"/>
            <w:shd w:val="clear" w:color="auto" w:fill="auto"/>
            <w:noWrap/>
            <w:vAlign w:val="center"/>
          </w:tcPr>
          <w:p w14:paraId="62447A79" w14:textId="77777777" w:rsidR="00AC375F" w:rsidRPr="00AC375F" w:rsidRDefault="00AC375F" w:rsidP="00AC375F">
            <w:pPr>
              <w:rPr>
                <w:b/>
                <w:bCs/>
                <w:sz w:val="18"/>
                <w:szCs w:val="18"/>
              </w:rPr>
            </w:pPr>
          </w:p>
        </w:tc>
        <w:tc>
          <w:tcPr>
            <w:tcW w:w="1609" w:type="dxa"/>
            <w:shd w:val="clear" w:color="auto" w:fill="auto"/>
            <w:noWrap/>
          </w:tcPr>
          <w:p w14:paraId="781B54E9" w14:textId="77777777" w:rsidR="00AC375F" w:rsidRPr="00AC375F" w:rsidRDefault="00AC375F" w:rsidP="00AC375F">
            <w:pPr>
              <w:jc w:val="center"/>
              <w:rPr>
                <w:sz w:val="18"/>
                <w:szCs w:val="18"/>
              </w:rPr>
            </w:pPr>
            <w:r w:rsidRPr="00AC375F">
              <w:rPr>
                <w:sz w:val="18"/>
                <w:szCs w:val="18"/>
              </w:rPr>
              <w:t>Bruxelles</w:t>
            </w:r>
          </w:p>
        </w:tc>
        <w:tc>
          <w:tcPr>
            <w:tcW w:w="940" w:type="dxa"/>
            <w:shd w:val="clear" w:color="auto" w:fill="auto"/>
            <w:noWrap/>
          </w:tcPr>
          <w:p w14:paraId="4B95707F" w14:textId="77777777" w:rsidR="00AC375F" w:rsidRPr="00AC375F" w:rsidRDefault="00AC375F" w:rsidP="00AC375F">
            <w:pPr>
              <w:jc w:val="center"/>
              <w:rPr>
                <w:sz w:val="18"/>
                <w:szCs w:val="18"/>
              </w:rPr>
            </w:pPr>
            <w:r w:rsidRPr="00AC375F">
              <w:rPr>
                <w:sz w:val="18"/>
                <w:szCs w:val="18"/>
              </w:rPr>
              <w:t>1</w:t>
            </w:r>
          </w:p>
        </w:tc>
        <w:tc>
          <w:tcPr>
            <w:tcW w:w="1305" w:type="dxa"/>
            <w:shd w:val="clear" w:color="auto" w:fill="auto"/>
            <w:noWrap/>
          </w:tcPr>
          <w:p w14:paraId="3F0989BC" w14:textId="77777777" w:rsidR="00AC375F" w:rsidRPr="00AC375F" w:rsidRDefault="00AC375F" w:rsidP="00AC375F">
            <w:pPr>
              <w:jc w:val="center"/>
              <w:rPr>
                <w:sz w:val="18"/>
                <w:szCs w:val="18"/>
              </w:rPr>
            </w:pPr>
            <w:r w:rsidRPr="00AC375F">
              <w:rPr>
                <w:sz w:val="18"/>
                <w:szCs w:val="18"/>
              </w:rPr>
              <w:t>studeni</w:t>
            </w:r>
          </w:p>
        </w:tc>
        <w:tc>
          <w:tcPr>
            <w:tcW w:w="1249" w:type="dxa"/>
            <w:shd w:val="clear" w:color="auto" w:fill="auto"/>
            <w:noWrap/>
          </w:tcPr>
          <w:p w14:paraId="6BF5C3B7" w14:textId="77777777" w:rsidR="00AC375F" w:rsidRPr="00AC375F" w:rsidRDefault="00AC375F" w:rsidP="00AC375F">
            <w:pPr>
              <w:jc w:val="center"/>
              <w:rPr>
                <w:sz w:val="18"/>
                <w:szCs w:val="18"/>
              </w:rPr>
            </w:pPr>
            <w:r w:rsidRPr="00AC375F">
              <w:rPr>
                <w:sz w:val="18"/>
                <w:szCs w:val="18"/>
              </w:rPr>
              <w:t>1</w:t>
            </w:r>
          </w:p>
        </w:tc>
      </w:tr>
      <w:tr w:rsidR="00AC375F" w:rsidRPr="00AC375F" w14:paraId="7CA007CB" w14:textId="77777777" w:rsidTr="00991955">
        <w:trPr>
          <w:trHeight w:val="240"/>
        </w:trPr>
        <w:tc>
          <w:tcPr>
            <w:tcW w:w="4390" w:type="dxa"/>
            <w:shd w:val="clear" w:color="auto" w:fill="auto"/>
            <w:noWrap/>
            <w:vAlign w:val="center"/>
          </w:tcPr>
          <w:p w14:paraId="29ABEF41" w14:textId="77777777" w:rsidR="00AC375F" w:rsidRPr="00AC375F" w:rsidRDefault="00AC375F" w:rsidP="00AC375F">
            <w:pPr>
              <w:rPr>
                <w:b/>
                <w:bCs/>
                <w:sz w:val="18"/>
                <w:szCs w:val="18"/>
              </w:rPr>
            </w:pPr>
          </w:p>
        </w:tc>
        <w:tc>
          <w:tcPr>
            <w:tcW w:w="1609" w:type="dxa"/>
            <w:shd w:val="clear" w:color="auto" w:fill="auto"/>
            <w:noWrap/>
          </w:tcPr>
          <w:p w14:paraId="44066715" w14:textId="77777777" w:rsidR="00AC375F" w:rsidRPr="00AC375F" w:rsidRDefault="00AC375F" w:rsidP="00AC375F">
            <w:pPr>
              <w:jc w:val="center"/>
              <w:rPr>
                <w:sz w:val="18"/>
                <w:szCs w:val="18"/>
              </w:rPr>
            </w:pPr>
          </w:p>
        </w:tc>
        <w:tc>
          <w:tcPr>
            <w:tcW w:w="940" w:type="dxa"/>
            <w:shd w:val="clear" w:color="auto" w:fill="auto"/>
            <w:noWrap/>
          </w:tcPr>
          <w:p w14:paraId="44AD5BA2" w14:textId="77777777" w:rsidR="00AC375F" w:rsidRPr="00AC375F" w:rsidRDefault="00AC375F" w:rsidP="00AC375F">
            <w:pPr>
              <w:jc w:val="center"/>
              <w:rPr>
                <w:sz w:val="18"/>
                <w:szCs w:val="18"/>
              </w:rPr>
            </w:pPr>
          </w:p>
        </w:tc>
        <w:tc>
          <w:tcPr>
            <w:tcW w:w="1305" w:type="dxa"/>
            <w:shd w:val="clear" w:color="auto" w:fill="auto"/>
            <w:noWrap/>
          </w:tcPr>
          <w:p w14:paraId="49A128DF" w14:textId="77777777" w:rsidR="00AC375F" w:rsidRPr="00AC375F" w:rsidRDefault="00AC375F" w:rsidP="00AC375F">
            <w:pPr>
              <w:jc w:val="center"/>
              <w:rPr>
                <w:sz w:val="18"/>
                <w:szCs w:val="18"/>
              </w:rPr>
            </w:pPr>
          </w:p>
        </w:tc>
        <w:tc>
          <w:tcPr>
            <w:tcW w:w="1249" w:type="dxa"/>
            <w:shd w:val="clear" w:color="auto" w:fill="auto"/>
            <w:noWrap/>
          </w:tcPr>
          <w:p w14:paraId="46A9D6BE" w14:textId="77777777" w:rsidR="00AC375F" w:rsidRPr="00AC375F" w:rsidRDefault="00AC375F" w:rsidP="00AC375F">
            <w:pPr>
              <w:jc w:val="center"/>
              <w:rPr>
                <w:sz w:val="18"/>
                <w:szCs w:val="18"/>
              </w:rPr>
            </w:pPr>
          </w:p>
        </w:tc>
      </w:tr>
      <w:tr w:rsidR="00AC375F" w:rsidRPr="00AC375F" w14:paraId="1DCB4282" w14:textId="77777777" w:rsidTr="00991955">
        <w:trPr>
          <w:trHeight w:val="240"/>
        </w:trPr>
        <w:tc>
          <w:tcPr>
            <w:tcW w:w="4390" w:type="dxa"/>
            <w:shd w:val="clear" w:color="auto" w:fill="auto"/>
            <w:noWrap/>
            <w:vAlign w:val="center"/>
          </w:tcPr>
          <w:p w14:paraId="2257EF9C" w14:textId="77777777" w:rsidR="00AC375F" w:rsidRPr="00AC375F" w:rsidRDefault="00AC375F" w:rsidP="00AC375F">
            <w:pPr>
              <w:rPr>
                <w:b/>
                <w:bCs/>
                <w:sz w:val="18"/>
                <w:szCs w:val="18"/>
              </w:rPr>
            </w:pPr>
            <w:r w:rsidRPr="00AC375F">
              <w:rPr>
                <w:b/>
                <w:bCs/>
                <w:sz w:val="18"/>
                <w:szCs w:val="18"/>
              </w:rPr>
              <w:t>National authorities on pricing, reimbursement and public healthcare payers (NCAPR)</w:t>
            </w:r>
          </w:p>
        </w:tc>
        <w:tc>
          <w:tcPr>
            <w:tcW w:w="1609" w:type="dxa"/>
            <w:shd w:val="clear" w:color="auto" w:fill="auto"/>
            <w:noWrap/>
          </w:tcPr>
          <w:p w14:paraId="228FE6B3" w14:textId="77777777" w:rsidR="00AC375F" w:rsidRPr="00AC375F" w:rsidRDefault="00AC375F" w:rsidP="00AC375F">
            <w:pPr>
              <w:jc w:val="center"/>
              <w:rPr>
                <w:sz w:val="18"/>
                <w:szCs w:val="18"/>
              </w:rPr>
            </w:pPr>
            <w:r w:rsidRPr="00AC375F">
              <w:rPr>
                <w:sz w:val="18"/>
                <w:szCs w:val="18"/>
              </w:rPr>
              <w:t>virtualno</w:t>
            </w:r>
          </w:p>
        </w:tc>
        <w:tc>
          <w:tcPr>
            <w:tcW w:w="940" w:type="dxa"/>
            <w:shd w:val="clear" w:color="auto" w:fill="auto"/>
            <w:noWrap/>
          </w:tcPr>
          <w:p w14:paraId="05922F42" w14:textId="77777777" w:rsidR="00AC375F" w:rsidRPr="00AC375F" w:rsidRDefault="00AC375F" w:rsidP="00AC375F">
            <w:pPr>
              <w:jc w:val="center"/>
              <w:rPr>
                <w:sz w:val="18"/>
                <w:szCs w:val="18"/>
              </w:rPr>
            </w:pPr>
            <w:r w:rsidRPr="00AC375F">
              <w:rPr>
                <w:sz w:val="18"/>
                <w:szCs w:val="18"/>
              </w:rPr>
              <w:t>1</w:t>
            </w:r>
          </w:p>
        </w:tc>
        <w:tc>
          <w:tcPr>
            <w:tcW w:w="1305" w:type="dxa"/>
            <w:shd w:val="clear" w:color="auto" w:fill="auto"/>
            <w:noWrap/>
          </w:tcPr>
          <w:p w14:paraId="542B9C5D" w14:textId="77777777" w:rsidR="00AC375F" w:rsidRPr="00AC375F" w:rsidRDefault="00AC375F" w:rsidP="00AC375F">
            <w:pPr>
              <w:jc w:val="center"/>
              <w:rPr>
                <w:sz w:val="18"/>
                <w:szCs w:val="18"/>
              </w:rPr>
            </w:pPr>
            <w:r w:rsidRPr="00AC375F">
              <w:rPr>
                <w:sz w:val="18"/>
                <w:szCs w:val="18"/>
              </w:rPr>
              <w:t>5 tijekom godine</w:t>
            </w:r>
          </w:p>
        </w:tc>
        <w:tc>
          <w:tcPr>
            <w:tcW w:w="1249" w:type="dxa"/>
            <w:shd w:val="clear" w:color="auto" w:fill="auto"/>
            <w:noWrap/>
          </w:tcPr>
          <w:p w14:paraId="281A8E21" w14:textId="77777777" w:rsidR="00AC375F" w:rsidRPr="00AC375F" w:rsidRDefault="00AC375F" w:rsidP="00AC375F">
            <w:pPr>
              <w:jc w:val="center"/>
              <w:rPr>
                <w:sz w:val="18"/>
                <w:szCs w:val="18"/>
              </w:rPr>
            </w:pPr>
            <w:r w:rsidRPr="00AC375F">
              <w:rPr>
                <w:sz w:val="18"/>
                <w:szCs w:val="18"/>
              </w:rPr>
              <w:t>4</w:t>
            </w:r>
          </w:p>
        </w:tc>
      </w:tr>
      <w:tr w:rsidR="00AC375F" w:rsidRPr="00AC375F" w14:paraId="7BFDC91C" w14:textId="77777777" w:rsidTr="00991955">
        <w:trPr>
          <w:trHeight w:val="240"/>
        </w:trPr>
        <w:tc>
          <w:tcPr>
            <w:tcW w:w="4390" w:type="dxa"/>
            <w:shd w:val="clear" w:color="auto" w:fill="auto"/>
            <w:noWrap/>
            <w:vAlign w:val="center"/>
          </w:tcPr>
          <w:p w14:paraId="19C349C0" w14:textId="77777777" w:rsidR="00AC375F" w:rsidRPr="00AC375F" w:rsidRDefault="00AC375F" w:rsidP="00AC375F">
            <w:pPr>
              <w:rPr>
                <w:b/>
                <w:bCs/>
                <w:sz w:val="18"/>
                <w:szCs w:val="18"/>
              </w:rPr>
            </w:pPr>
          </w:p>
        </w:tc>
        <w:tc>
          <w:tcPr>
            <w:tcW w:w="1609" w:type="dxa"/>
            <w:shd w:val="clear" w:color="auto" w:fill="auto"/>
            <w:noWrap/>
          </w:tcPr>
          <w:p w14:paraId="73F0FA07" w14:textId="77777777" w:rsidR="00AC375F" w:rsidRPr="00AC375F" w:rsidRDefault="00AC375F" w:rsidP="00AC375F">
            <w:pPr>
              <w:jc w:val="center"/>
              <w:rPr>
                <w:sz w:val="18"/>
                <w:szCs w:val="18"/>
              </w:rPr>
            </w:pPr>
          </w:p>
        </w:tc>
        <w:tc>
          <w:tcPr>
            <w:tcW w:w="940" w:type="dxa"/>
            <w:shd w:val="clear" w:color="auto" w:fill="auto"/>
            <w:noWrap/>
          </w:tcPr>
          <w:p w14:paraId="7EB4CFFB" w14:textId="77777777" w:rsidR="00AC375F" w:rsidRPr="00AC375F" w:rsidRDefault="00AC375F" w:rsidP="00AC375F">
            <w:pPr>
              <w:jc w:val="center"/>
              <w:rPr>
                <w:sz w:val="18"/>
                <w:szCs w:val="18"/>
              </w:rPr>
            </w:pPr>
          </w:p>
        </w:tc>
        <w:tc>
          <w:tcPr>
            <w:tcW w:w="1305" w:type="dxa"/>
            <w:shd w:val="clear" w:color="auto" w:fill="auto"/>
            <w:noWrap/>
          </w:tcPr>
          <w:p w14:paraId="799BD0AF" w14:textId="77777777" w:rsidR="00AC375F" w:rsidRPr="00AC375F" w:rsidRDefault="00AC375F" w:rsidP="00AC375F">
            <w:pPr>
              <w:jc w:val="center"/>
              <w:rPr>
                <w:sz w:val="18"/>
                <w:szCs w:val="18"/>
              </w:rPr>
            </w:pPr>
          </w:p>
        </w:tc>
        <w:tc>
          <w:tcPr>
            <w:tcW w:w="1249" w:type="dxa"/>
            <w:shd w:val="clear" w:color="auto" w:fill="auto"/>
            <w:noWrap/>
          </w:tcPr>
          <w:p w14:paraId="69A1B731" w14:textId="77777777" w:rsidR="00AC375F" w:rsidRPr="00AC375F" w:rsidRDefault="00AC375F" w:rsidP="00AC375F">
            <w:pPr>
              <w:jc w:val="center"/>
              <w:rPr>
                <w:sz w:val="18"/>
                <w:szCs w:val="18"/>
              </w:rPr>
            </w:pPr>
          </w:p>
        </w:tc>
      </w:tr>
      <w:tr w:rsidR="00AC375F" w:rsidRPr="00AC375F" w14:paraId="05210DB2" w14:textId="77777777" w:rsidTr="00991955">
        <w:trPr>
          <w:trHeight w:val="240"/>
        </w:trPr>
        <w:tc>
          <w:tcPr>
            <w:tcW w:w="4390" w:type="dxa"/>
            <w:shd w:val="clear" w:color="auto" w:fill="auto"/>
            <w:noWrap/>
            <w:vAlign w:val="center"/>
          </w:tcPr>
          <w:p w14:paraId="5219301B" w14:textId="77777777" w:rsidR="00AC375F" w:rsidRPr="00AC375F" w:rsidRDefault="00AC375F" w:rsidP="00AC375F">
            <w:pPr>
              <w:rPr>
                <w:b/>
                <w:bCs/>
                <w:sz w:val="18"/>
                <w:szCs w:val="18"/>
              </w:rPr>
            </w:pPr>
            <w:r w:rsidRPr="00AC375F">
              <w:rPr>
                <w:b/>
                <w:bCs/>
                <w:sz w:val="18"/>
                <w:szCs w:val="18"/>
              </w:rPr>
              <w:lastRenderedPageBreak/>
              <w:t>Ekspertna grupa za donošenje delegiranog akta o serijalizaciji lijekova za humanu uporabu</w:t>
            </w:r>
          </w:p>
        </w:tc>
        <w:tc>
          <w:tcPr>
            <w:tcW w:w="1609" w:type="dxa"/>
            <w:shd w:val="clear" w:color="auto" w:fill="auto"/>
            <w:noWrap/>
          </w:tcPr>
          <w:p w14:paraId="2B575C3E" w14:textId="77777777" w:rsidR="00AC375F" w:rsidRPr="00AC375F" w:rsidRDefault="00AC375F" w:rsidP="00AC375F">
            <w:pPr>
              <w:jc w:val="center"/>
              <w:rPr>
                <w:sz w:val="18"/>
                <w:szCs w:val="18"/>
              </w:rPr>
            </w:pPr>
            <w:r w:rsidRPr="00AC375F">
              <w:rPr>
                <w:sz w:val="18"/>
                <w:szCs w:val="18"/>
              </w:rPr>
              <w:t>virtualno</w:t>
            </w:r>
          </w:p>
        </w:tc>
        <w:tc>
          <w:tcPr>
            <w:tcW w:w="940" w:type="dxa"/>
            <w:shd w:val="clear" w:color="auto" w:fill="auto"/>
            <w:noWrap/>
          </w:tcPr>
          <w:p w14:paraId="517A8798" w14:textId="77777777" w:rsidR="00AC375F" w:rsidRPr="00AC375F" w:rsidRDefault="00AC375F" w:rsidP="00AC375F">
            <w:pPr>
              <w:jc w:val="center"/>
              <w:rPr>
                <w:sz w:val="18"/>
                <w:szCs w:val="18"/>
              </w:rPr>
            </w:pPr>
            <w:r w:rsidRPr="00AC375F">
              <w:rPr>
                <w:sz w:val="18"/>
                <w:szCs w:val="18"/>
              </w:rPr>
              <w:t>1</w:t>
            </w:r>
          </w:p>
        </w:tc>
        <w:tc>
          <w:tcPr>
            <w:tcW w:w="1305" w:type="dxa"/>
            <w:shd w:val="clear" w:color="auto" w:fill="auto"/>
            <w:noWrap/>
          </w:tcPr>
          <w:p w14:paraId="64B0C096" w14:textId="77777777" w:rsidR="00AC375F" w:rsidRPr="00AC375F" w:rsidRDefault="00AC375F" w:rsidP="00AC375F">
            <w:pPr>
              <w:jc w:val="center"/>
              <w:rPr>
                <w:sz w:val="18"/>
                <w:szCs w:val="18"/>
              </w:rPr>
            </w:pPr>
            <w:r w:rsidRPr="00AC375F">
              <w:rPr>
                <w:sz w:val="18"/>
                <w:szCs w:val="18"/>
              </w:rPr>
              <w:t>ožujak</w:t>
            </w:r>
          </w:p>
        </w:tc>
        <w:tc>
          <w:tcPr>
            <w:tcW w:w="1249" w:type="dxa"/>
            <w:shd w:val="clear" w:color="auto" w:fill="auto"/>
            <w:noWrap/>
          </w:tcPr>
          <w:p w14:paraId="6BD929AF" w14:textId="77777777" w:rsidR="00AC375F" w:rsidRPr="00AC375F" w:rsidRDefault="00AC375F" w:rsidP="00AC375F">
            <w:pPr>
              <w:jc w:val="center"/>
              <w:rPr>
                <w:sz w:val="18"/>
                <w:szCs w:val="18"/>
              </w:rPr>
            </w:pPr>
            <w:r w:rsidRPr="00AC375F">
              <w:rPr>
                <w:sz w:val="18"/>
                <w:szCs w:val="18"/>
              </w:rPr>
              <w:t>1</w:t>
            </w:r>
          </w:p>
        </w:tc>
      </w:tr>
      <w:tr w:rsidR="00AC375F" w:rsidRPr="00AC375F" w14:paraId="3EA551A6" w14:textId="77777777" w:rsidTr="00991955">
        <w:trPr>
          <w:trHeight w:val="240"/>
        </w:trPr>
        <w:tc>
          <w:tcPr>
            <w:tcW w:w="4390" w:type="dxa"/>
            <w:shd w:val="clear" w:color="auto" w:fill="auto"/>
            <w:noWrap/>
            <w:vAlign w:val="center"/>
          </w:tcPr>
          <w:p w14:paraId="60172786" w14:textId="77777777" w:rsidR="00AC375F" w:rsidRPr="00AC375F" w:rsidRDefault="00AC375F" w:rsidP="00AC375F">
            <w:pPr>
              <w:rPr>
                <w:b/>
                <w:bCs/>
                <w:sz w:val="18"/>
                <w:szCs w:val="18"/>
              </w:rPr>
            </w:pPr>
          </w:p>
        </w:tc>
        <w:tc>
          <w:tcPr>
            <w:tcW w:w="1609" w:type="dxa"/>
            <w:shd w:val="clear" w:color="auto" w:fill="auto"/>
            <w:noWrap/>
          </w:tcPr>
          <w:p w14:paraId="735432EB" w14:textId="77777777" w:rsidR="00AC375F" w:rsidRPr="00AC375F" w:rsidRDefault="00AC375F" w:rsidP="00AC375F">
            <w:pPr>
              <w:jc w:val="center"/>
              <w:rPr>
                <w:sz w:val="18"/>
                <w:szCs w:val="18"/>
              </w:rPr>
            </w:pPr>
            <w:r w:rsidRPr="00AC375F">
              <w:rPr>
                <w:sz w:val="18"/>
                <w:szCs w:val="18"/>
              </w:rPr>
              <w:t>virtualno</w:t>
            </w:r>
          </w:p>
        </w:tc>
        <w:tc>
          <w:tcPr>
            <w:tcW w:w="940" w:type="dxa"/>
            <w:shd w:val="clear" w:color="auto" w:fill="auto"/>
            <w:noWrap/>
          </w:tcPr>
          <w:p w14:paraId="00324927" w14:textId="77777777" w:rsidR="00AC375F" w:rsidRPr="00AC375F" w:rsidRDefault="00AC375F" w:rsidP="00AC375F">
            <w:pPr>
              <w:jc w:val="center"/>
              <w:rPr>
                <w:sz w:val="18"/>
                <w:szCs w:val="18"/>
              </w:rPr>
            </w:pPr>
            <w:r w:rsidRPr="00AC375F">
              <w:rPr>
                <w:sz w:val="18"/>
                <w:szCs w:val="18"/>
              </w:rPr>
              <w:t>1</w:t>
            </w:r>
          </w:p>
        </w:tc>
        <w:tc>
          <w:tcPr>
            <w:tcW w:w="1305" w:type="dxa"/>
            <w:shd w:val="clear" w:color="auto" w:fill="auto"/>
            <w:noWrap/>
          </w:tcPr>
          <w:p w14:paraId="242D0050" w14:textId="77777777" w:rsidR="00AC375F" w:rsidRPr="00AC375F" w:rsidRDefault="00AC375F" w:rsidP="00AC375F">
            <w:pPr>
              <w:jc w:val="center"/>
              <w:rPr>
                <w:sz w:val="18"/>
                <w:szCs w:val="18"/>
              </w:rPr>
            </w:pPr>
            <w:r w:rsidRPr="00AC375F">
              <w:rPr>
                <w:sz w:val="18"/>
                <w:szCs w:val="18"/>
              </w:rPr>
              <w:t>svibanj</w:t>
            </w:r>
          </w:p>
        </w:tc>
        <w:tc>
          <w:tcPr>
            <w:tcW w:w="1249" w:type="dxa"/>
            <w:shd w:val="clear" w:color="auto" w:fill="auto"/>
            <w:noWrap/>
          </w:tcPr>
          <w:p w14:paraId="6D71B7CE" w14:textId="77777777" w:rsidR="00AC375F" w:rsidRPr="00AC375F" w:rsidRDefault="00AC375F" w:rsidP="00AC375F">
            <w:pPr>
              <w:jc w:val="center"/>
              <w:rPr>
                <w:sz w:val="18"/>
                <w:szCs w:val="18"/>
              </w:rPr>
            </w:pPr>
            <w:r w:rsidRPr="00AC375F">
              <w:rPr>
                <w:sz w:val="18"/>
                <w:szCs w:val="18"/>
              </w:rPr>
              <w:t>1</w:t>
            </w:r>
          </w:p>
        </w:tc>
      </w:tr>
      <w:tr w:rsidR="00AC375F" w:rsidRPr="00AC375F" w14:paraId="51A524D4" w14:textId="77777777" w:rsidTr="00991955">
        <w:trPr>
          <w:trHeight w:val="240"/>
        </w:trPr>
        <w:tc>
          <w:tcPr>
            <w:tcW w:w="4390" w:type="dxa"/>
            <w:shd w:val="clear" w:color="auto" w:fill="auto"/>
            <w:noWrap/>
          </w:tcPr>
          <w:p w14:paraId="673A11DD" w14:textId="77777777" w:rsidR="00AC375F" w:rsidRPr="00AC375F" w:rsidRDefault="00AC375F" w:rsidP="00AC375F">
            <w:pPr>
              <w:rPr>
                <w:b/>
                <w:bCs/>
                <w:sz w:val="18"/>
                <w:szCs w:val="18"/>
              </w:rPr>
            </w:pPr>
            <w:r w:rsidRPr="00AC375F">
              <w:rPr>
                <w:b/>
                <w:bCs/>
                <w:sz w:val="18"/>
                <w:szCs w:val="18"/>
              </w:rPr>
              <w:t>Coordination Group on Health Technology Assessment (HTA) under the Regulation (EU) 2021/2282 (HTACG)</w:t>
            </w:r>
          </w:p>
        </w:tc>
        <w:tc>
          <w:tcPr>
            <w:tcW w:w="1609" w:type="dxa"/>
            <w:shd w:val="clear" w:color="auto" w:fill="auto"/>
            <w:noWrap/>
          </w:tcPr>
          <w:p w14:paraId="39CC2CD8" w14:textId="77777777" w:rsidR="00AC375F" w:rsidRPr="00AC375F" w:rsidRDefault="00AC375F" w:rsidP="00AC375F">
            <w:pPr>
              <w:jc w:val="center"/>
              <w:rPr>
                <w:sz w:val="18"/>
                <w:szCs w:val="18"/>
              </w:rPr>
            </w:pPr>
            <w:r w:rsidRPr="00AC375F">
              <w:rPr>
                <w:sz w:val="18"/>
                <w:szCs w:val="18"/>
              </w:rPr>
              <w:t>Bruxelles</w:t>
            </w:r>
          </w:p>
        </w:tc>
        <w:tc>
          <w:tcPr>
            <w:tcW w:w="940" w:type="dxa"/>
            <w:shd w:val="clear" w:color="auto" w:fill="auto"/>
            <w:noWrap/>
          </w:tcPr>
          <w:p w14:paraId="68E120F9" w14:textId="77777777" w:rsidR="00AC375F" w:rsidRPr="00AC375F" w:rsidRDefault="00AC375F" w:rsidP="00AC375F">
            <w:pPr>
              <w:jc w:val="center"/>
              <w:rPr>
                <w:sz w:val="18"/>
                <w:szCs w:val="18"/>
              </w:rPr>
            </w:pPr>
            <w:r w:rsidRPr="00AC375F">
              <w:rPr>
                <w:sz w:val="18"/>
                <w:szCs w:val="18"/>
              </w:rPr>
              <w:t>1</w:t>
            </w:r>
          </w:p>
        </w:tc>
        <w:tc>
          <w:tcPr>
            <w:tcW w:w="1305" w:type="dxa"/>
            <w:shd w:val="clear" w:color="auto" w:fill="auto"/>
            <w:noWrap/>
          </w:tcPr>
          <w:p w14:paraId="1FBAEDBD" w14:textId="77777777" w:rsidR="00AC375F" w:rsidRPr="00AC375F" w:rsidRDefault="00AC375F" w:rsidP="00AC375F">
            <w:pPr>
              <w:jc w:val="center"/>
              <w:rPr>
                <w:sz w:val="18"/>
                <w:szCs w:val="18"/>
              </w:rPr>
            </w:pPr>
            <w:r w:rsidRPr="00AC375F">
              <w:rPr>
                <w:sz w:val="18"/>
                <w:szCs w:val="18"/>
              </w:rPr>
              <w:t>siječanj</w:t>
            </w:r>
          </w:p>
        </w:tc>
        <w:tc>
          <w:tcPr>
            <w:tcW w:w="1249" w:type="dxa"/>
            <w:shd w:val="clear" w:color="auto" w:fill="auto"/>
            <w:noWrap/>
          </w:tcPr>
          <w:p w14:paraId="613F3A1C" w14:textId="77777777" w:rsidR="00AC375F" w:rsidRPr="00AC375F" w:rsidRDefault="00AC375F" w:rsidP="00AC375F">
            <w:pPr>
              <w:jc w:val="center"/>
              <w:rPr>
                <w:sz w:val="18"/>
                <w:szCs w:val="18"/>
              </w:rPr>
            </w:pPr>
            <w:r w:rsidRPr="00AC375F">
              <w:rPr>
                <w:sz w:val="18"/>
                <w:szCs w:val="18"/>
              </w:rPr>
              <w:t>1</w:t>
            </w:r>
          </w:p>
        </w:tc>
      </w:tr>
      <w:tr w:rsidR="00AC375F" w:rsidRPr="00AC375F" w14:paraId="778DFE5A" w14:textId="77777777" w:rsidTr="00991955">
        <w:trPr>
          <w:trHeight w:val="240"/>
        </w:trPr>
        <w:tc>
          <w:tcPr>
            <w:tcW w:w="4390" w:type="dxa"/>
            <w:shd w:val="clear" w:color="auto" w:fill="auto"/>
            <w:noWrap/>
          </w:tcPr>
          <w:p w14:paraId="4782BEFE" w14:textId="77777777" w:rsidR="00AC375F" w:rsidRPr="00AC375F" w:rsidRDefault="00AC375F" w:rsidP="00AC375F"/>
        </w:tc>
        <w:tc>
          <w:tcPr>
            <w:tcW w:w="1609" w:type="dxa"/>
            <w:shd w:val="clear" w:color="auto" w:fill="auto"/>
            <w:noWrap/>
          </w:tcPr>
          <w:p w14:paraId="7DE5F847" w14:textId="77777777" w:rsidR="00AC375F" w:rsidRPr="00AC375F" w:rsidRDefault="00AC375F" w:rsidP="00AC375F">
            <w:pPr>
              <w:jc w:val="center"/>
              <w:rPr>
                <w:sz w:val="18"/>
                <w:szCs w:val="18"/>
              </w:rPr>
            </w:pPr>
            <w:r w:rsidRPr="00AC375F">
              <w:rPr>
                <w:sz w:val="18"/>
                <w:szCs w:val="18"/>
              </w:rPr>
              <w:t>Bruxelles</w:t>
            </w:r>
          </w:p>
        </w:tc>
        <w:tc>
          <w:tcPr>
            <w:tcW w:w="940" w:type="dxa"/>
            <w:shd w:val="clear" w:color="auto" w:fill="auto"/>
            <w:noWrap/>
          </w:tcPr>
          <w:p w14:paraId="7A72AC1B" w14:textId="77777777" w:rsidR="00AC375F" w:rsidRPr="00AC375F" w:rsidRDefault="00AC375F" w:rsidP="00AC375F">
            <w:pPr>
              <w:jc w:val="center"/>
              <w:rPr>
                <w:sz w:val="18"/>
                <w:szCs w:val="18"/>
              </w:rPr>
            </w:pPr>
            <w:r w:rsidRPr="00AC375F">
              <w:rPr>
                <w:sz w:val="18"/>
                <w:szCs w:val="18"/>
              </w:rPr>
              <w:t>1</w:t>
            </w:r>
          </w:p>
        </w:tc>
        <w:tc>
          <w:tcPr>
            <w:tcW w:w="1305" w:type="dxa"/>
            <w:shd w:val="clear" w:color="auto" w:fill="auto"/>
            <w:noWrap/>
          </w:tcPr>
          <w:p w14:paraId="1C4192CE" w14:textId="77777777" w:rsidR="00AC375F" w:rsidRPr="00AC375F" w:rsidRDefault="00AC375F" w:rsidP="00AC375F">
            <w:pPr>
              <w:jc w:val="center"/>
              <w:rPr>
                <w:sz w:val="18"/>
                <w:szCs w:val="18"/>
              </w:rPr>
            </w:pPr>
            <w:r w:rsidRPr="00AC375F">
              <w:rPr>
                <w:sz w:val="18"/>
                <w:szCs w:val="18"/>
              </w:rPr>
              <w:t>ožujak</w:t>
            </w:r>
          </w:p>
        </w:tc>
        <w:tc>
          <w:tcPr>
            <w:tcW w:w="1249" w:type="dxa"/>
            <w:shd w:val="clear" w:color="auto" w:fill="auto"/>
            <w:noWrap/>
          </w:tcPr>
          <w:p w14:paraId="1AA99A37" w14:textId="77777777" w:rsidR="00AC375F" w:rsidRPr="00AC375F" w:rsidRDefault="00AC375F" w:rsidP="00AC375F">
            <w:pPr>
              <w:jc w:val="center"/>
              <w:rPr>
                <w:sz w:val="18"/>
                <w:szCs w:val="18"/>
              </w:rPr>
            </w:pPr>
            <w:r w:rsidRPr="00AC375F">
              <w:rPr>
                <w:sz w:val="18"/>
                <w:szCs w:val="18"/>
              </w:rPr>
              <w:t>2</w:t>
            </w:r>
          </w:p>
        </w:tc>
      </w:tr>
      <w:tr w:rsidR="00AC375F" w:rsidRPr="00AC375F" w14:paraId="2A009D7E" w14:textId="77777777" w:rsidTr="00991955">
        <w:trPr>
          <w:trHeight w:val="240"/>
        </w:trPr>
        <w:tc>
          <w:tcPr>
            <w:tcW w:w="4390" w:type="dxa"/>
            <w:shd w:val="clear" w:color="auto" w:fill="auto"/>
            <w:noWrap/>
          </w:tcPr>
          <w:p w14:paraId="1D63C2C0" w14:textId="77777777" w:rsidR="00AC375F" w:rsidRPr="00AC375F" w:rsidRDefault="00AC375F" w:rsidP="00AC375F"/>
        </w:tc>
        <w:tc>
          <w:tcPr>
            <w:tcW w:w="1609" w:type="dxa"/>
            <w:shd w:val="clear" w:color="auto" w:fill="auto"/>
            <w:noWrap/>
          </w:tcPr>
          <w:p w14:paraId="17330390" w14:textId="77777777" w:rsidR="00AC375F" w:rsidRPr="00AC375F" w:rsidRDefault="00AC375F" w:rsidP="00AC375F">
            <w:pPr>
              <w:jc w:val="center"/>
              <w:rPr>
                <w:sz w:val="18"/>
                <w:szCs w:val="18"/>
              </w:rPr>
            </w:pPr>
            <w:r w:rsidRPr="00AC375F">
              <w:rPr>
                <w:sz w:val="18"/>
                <w:szCs w:val="18"/>
              </w:rPr>
              <w:t>virtualno</w:t>
            </w:r>
          </w:p>
        </w:tc>
        <w:tc>
          <w:tcPr>
            <w:tcW w:w="940" w:type="dxa"/>
            <w:shd w:val="clear" w:color="auto" w:fill="auto"/>
            <w:noWrap/>
          </w:tcPr>
          <w:p w14:paraId="1B1C6D8D" w14:textId="77777777" w:rsidR="00AC375F" w:rsidRPr="00AC375F" w:rsidRDefault="00AC375F" w:rsidP="00AC375F">
            <w:pPr>
              <w:jc w:val="center"/>
              <w:rPr>
                <w:sz w:val="18"/>
                <w:szCs w:val="18"/>
              </w:rPr>
            </w:pPr>
            <w:r w:rsidRPr="00AC375F">
              <w:rPr>
                <w:sz w:val="18"/>
                <w:szCs w:val="18"/>
              </w:rPr>
              <w:t>1</w:t>
            </w:r>
          </w:p>
        </w:tc>
        <w:tc>
          <w:tcPr>
            <w:tcW w:w="1305" w:type="dxa"/>
            <w:shd w:val="clear" w:color="auto" w:fill="auto"/>
            <w:noWrap/>
          </w:tcPr>
          <w:p w14:paraId="2CA38394" w14:textId="77777777" w:rsidR="00AC375F" w:rsidRPr="00AC375F" w:rsidRDefault="00AC375F" w:rsidP="00AC375F">
            <w:pPr>
              <w:jc w:val="center"/>
              <w:rPr>
                <w:sz w:val="18"/>
                <w:szCs w:val="18"/>
              </w:rPr>
            </w:pPr>
            <w:r w:rsidRPr="00AC375F">
              <w:rPr>
                <w:sz w:val="18"/>
                <w:szCs w:val="18"/>
              </w:rPr>
              <w:t>srpanj</w:t>
            </w:r>
          </w:p>
        </w:tc>
        <w:tc>
          <w:tcPr>
            <w:tcW w:w="1249" w:type="dxa"/>
            <w:shd w:val="clear" w:color="auto" w:fill="auto"/>
            <w:noWrap/>
          </w:tcPr>
          <w:p w14:paraId="17FB97F0" w14:textId="77777777" w:rsidR="00AC375F" w:rsidRPr="00AC375F" w:rsidRDefault="00AC375F" w:rsidP="00AC375F">
            <w:pPr>
              <w:jc w:val="center"/>
              <w:rPr>
                <w:sz w:val="18"/>
                <w:szCs w:val="18"/>
              </w:rPr>
            </w:pPr>
            <w:r w:rsidRPr="00AC375F">
              <w:rPr>
                <w:sz w:val="18"/>
                <w:szCs w:val="18"/>
              </w:rPr>
              <w:t>1</w:t>
            </w:r>
          </w:p>
        </w:tc>
      </w:tr>
      <w:tr w:rsidR="00AC375F" w:rsidRPr="00AC375F" w14:paraId="02DF372C" w14:textId="77777777" w:rsidTr="00991955">
        <w:trPr>
          <w:trHeight w:val="240"/>
        </w:trPr>
        <w:tc>
          <w:tcPr>
            <w:tcW w:w="4390" w:type="dxa"/>
            <w:shd w:val="clear" w:color="auto" w:fill="auto"/>
            <w:noWrap/>
          </w:tcPr>
          <w:p w14:paraId="74A6B34D" w14:textId="77777777" w:rsidR="00AC375F" w:rsidRPr="00AC375F" w:rsidRDefault="00AC375F" w:rsidP="00AC375F"/>
        </w:tc>
        <w:tc>
          <w:tcPr>
            <w:tcW w:w="1609" w:type="dxa"/>
            <w:shd w:val="clear" w:color="auto" w:fill="auto"/>
            <w:noWrap/>
          </w:tcPr>
          <w:p w14:paraId="3A398A95" w14:textId="77777777" w:rsidR="00AC375F" w:rsidRPr="00AC375F" w:rsidRDefault="00AC375F" w:rsidP="00AC375F">
            <w:pPr>
              <w:jc w:val="center"/>
              <w:rPr>
                <w:sz w:val="18"/>
                <w:szCs w:val="18"/>
              </w:rPr>
            </w:pPr>
            <w:r w:rsidRPr="00AC375F">
              <w:rPr>
                <w:sz w:val="18"/>
                <w:szCs w:val="18"/>
              </w:rPr>
              <w:t>Bruxelles</w:t>
            </w:r>
          </w:p>
        </w:tc>
        <w:tc>
          <w:tcPr>
            <w:tcW w:w="940" w:type="dxa"/>
            <w:shd w:val="clear" w:color="auto" w:fill="auto"/>
            <w:noWrap/>
          </w:tcPr>
          <w:p w14:paraId="4C86487A" w14:textId="77777777" w:rsidR="00AC375F" w:rsidRPr="00AC375F" w:rsidRDefault="00AC375F" w:rsidP="00AC375F">
            <w:pPr>
              <w:jc w:val="center"/>
              <w:rPr>
                <w:sz w:val="18"/>
                <w:szCs w:val="18"/>
              </w:rPr>
            </w:pPr>
            <w:r w:rsidRPr="00AC375F">
              <w:rPr>
                <w:sz w:val="18"/>
                <w:szCs w:val="18"/>
              </w:rPr>
              <w:t>1</w:t>
            </w:r>
          </w:p>
        </w:tc>
        <w:tc>
          <w:tcPr>
            <w:tcW w:w="1305" w:type="dxa"/>
            <w:shd w:val="clear" w:color="auto" w:fill="auto"/>
            <w:noWrap/>
          </w:tcPr>
          <w:p w14:paraId="56973BB2" w14:textId="77777777" w:rsidR="00AC375F" w:rsidRPr="00AC375F" w:rsidRDefault="00AC375F" w:rsidP="00AC375F">
            <w:pPr>
              <w:jc w:val="center"/>
              <w:rPr>
                <w:sz w:val="18"/>
                <w:szCs w:val="18"/>
              </w:rPr>
            </w:pPr>
            <w:r w:rsidRPr="00AC375F">
              <w:rPr>
                <w:sz w:val="18"/>
                <w:szCs w:val="18"/>
              </w:rPr>
              <w:t>srpanj</w:t>
            </w:r>
          </w:p>
        </w:tc>
        <w:tc>
          <w:tcPr>
            <w:tcW w:w="1249" w:type="dxa"/>
            <w:shd w:val="clear" w:color="auto" w:fill="auto"/>
            <w:noWrap/>
          </w:tcPr>
          <w:p w14:paraId="02DA1188" w14:textId="77777777" w:rsidR="00AC375F" w:rsidRPr="00AC375F" w:rsidRDefault="00AC375F" w:rsidP="00AC375F">
            <w:pPr>
              <w:jc w:val="center"/>
              <w:rPr>
                <w:sz w:val="18"/>
                <w:szCs w:val="18"/>
              </w:rPr>
            </w:pPr>
            <w:r w:rsidRPr="00AC375F">
              <w:rPr>
                <w:sz w:val="18"/>
                <w:szCs w:val="18"/>
              </w:rPr>
              <w:t>2</w:t>
            </w:r>
          </w:p>
        </w:tc>
      </w:tr>
      <w:tr w:rsidR="00AC375F" w:rsidRPr="00AC375F" w14:paraId="74D4AB02" w14:textId="77777777" w:rsidTr="00991955">
        <w:trPr>
          <w:trHeight w:val="240"/>
        </w:trPr>
        <w:tc>
          <w:tcPr>
            <w:tcW w:w="4390" w:type="dxa"/>
            <w:shd w:val="clear" w:color="auto" w:fill="auto"/>
            <w:noWrap/>
          </w:tcPr>
          <w:p w14:paraId="48543F45" w14:textId="77777777" w:rsidR="00AC375F" w:rsidRPr="00AC375F" w:rsidRDefault="00AC375F" w:rsidP="00AC375F"/>
        </w:tc>
        <w:tc>
          <w:tcPr>
            <w:tcW w:w="1609" w:type="dxa"/>
            <w:shd w:val="clear" w:color="auto" w:fill="auto"/>
            <w:noWrap/>
          </w:tcPr>
          <w:p w14:paraId="630C11F3" w14:textId="77777777" w:rsidR="00AC375F" w:rsidRPr="00AC375F" w:rsidRDefault="00AC375F" w:rsidP="00AC375F">
            <w:pPr>
              <w:jc w:val="center"/>
              <w:rPr>
                <w:sz w:val="18"/>
                <w:szCs w:val="18"/>
              </w:rPr>
            </w:pPr>
            <w:r w:rsidRPr="00AC375F">
              <w:rPr>
                <w:sz w:val="18"/>
                <w:szCs w:val="18"/>
              </w:rPr>
              <w:t>Bruxelles</w:t>
            </w:r>
          </w:p>
        </w:tc>
        <w:tc>
          <w:tcPr>
            <w:tcW w:w="940" w:type="dxa"/>
            <w:shd w:val="clear" w:color="auto" w:fill="auto"/>
            <w:noWrap/>
          </w:tcPr>
          <w:p w14:paraId="6119924F" w14:textId="77777777" w:rsidR="00AC375F" w:rsidRPr="00AC375F" w:rsidRDefault="00AC375F" w:rsidP="00AC375F">
            <w:pPr>
              <w:jc w:val="center"/>
              <w:rPr>
                <w:sz w:val="18"/>
                <w:szCs w:val="18"/>
              </w:rPr>
            </w:pPr>
            <w:r w:rsidRPr="00AC375F">
              <w:rPr>
                <w:sz w:val="18"/>
                <w:szCs w:val="18"/>
              </w:rPr>
              <w:t>1</w:t>
            </w:r>
          </w:p>
        </w:tc>
        <w:tc>
          <w:tcPr>
            <w:tcW w:w="1305" w:type="dxa"/>
            <w:shd w:val="clear" w:color="auto" w:fill="auto"/>
            <w:noWrap/>
          </w:tcPr>
          <w:p w14:paraId="2D0EC448" w14:textId="77777777" w:rsidR="00AC375F" w:rsidRPr="00AC375F" w:rsidRDefault="00AC375F" w:rsidP="00AC375F">
            <w:pPr>
              <w:jc w:val="center"/>
              <w:rPr>
                <w:sz w:val="18"/>
                <w:szCs w:val="18"/>
              </w:rPr>
            </w:pPr>
            <w:r w:rsidRPr="00AC375F">
              <w:rPr>
                <w:sz w:val="18"/>
                <w:szCs w:val="18"/>
              </w:rPr>
              <w:t>rujan</w:t>
            </w:r>
          </w:p>
        </w:tc>
        <w:tc>
          <w:tcPr>
            <w:tcW w:w="1249" w:type="dxa"/>
            <w:shd w:val="clear" w:color="auto" w:fill="auto"/>
            <w:noWrap/>
          </w:tcPr>
          <w:p w14:paraId="2A8CC0FE" w14:textId="77777777" w:rsidR="00AC375F" w:rsidRPr="00AC375F" w:rsidRDefault="00AC375F" w:rsidP="00AC375F">
            <w:pPr>
              <w:jc w:val="center"/>
              <w:rPr>
                <w:sz w:val="18"/>
                <w:szCs w:val="18"/>
              </w:rPr>
            </w:pPr>
            <w:r w:rsidRPr="00AC375F">
              <w:rPr>
                <w:sz w:val="18"/>
                <w:szCs w:val="18"/>
              </w:rPr>
              <w:t>2</w:t>
            </w:r>
          </w:p>
        </w:tc>
      </w:tr>
      <w:tr w:rsidR="00AC375F" w:rsidRPr="00AC375F" w14:paraId="2E1DC58B" w14:textId="77777777" w:rsidTr="00991955">
        <w:trPr>
          <w:trHeight w:val="240"/>
        </w:trPr>
        <w:tc>
          <w:tcPr>
            <w:tcW w:w="4390" w:type="dxa"/>
            <w:shd w:val="clear" w:color="auto" w:fill="auto"/>
            <w:noWrap/>
          </w:tcPr>
          <w:p w14:paraId="1DB16AA8" w14:textId="77777777" w:rsidR="00AC375F" w:rsidRPr="00AC375F" w:rsidRDefault="00AC375F" w:rsidP="00AC375F"/>
        </w:tc>
        <w:tc>
          <w:tcPr>
            <w:tcW w:w="1609" w:type="dxa"/>
            <w:shd w:val="clear" w:color="auto" w:fill="auto"/>
            <w:noWrap/>
          </w:tcPr>
          <w:p w14:paraId="3A557D7B" w14:textId="77777777" w:rsidR="00AC375F" w:rsidRPr="00AC375F" w:rsidRDefault="00AC375F" w:rsidP="00AC375F">
            <w:pPr>
              <w:jc w:val="center"/>
              <w:rPr>
                <w:sz w:val="18"/>
                <w:szCs w:val="18"/>
              </w:rPr>
            </w:pPr>
            <w:r w:rsidRPr="00AC375F">
              <w:rPr>
                <w:sz w:val="18"/>
                <w:szCs w:val="18"/>
              </w:rPr>
              <w:t>virtualno</w:t>
            </w:r>
          </w:p>
        </w:tc>
        <w:tc>
          <w:tcPr>
            <w:tcW w:w="940" w:type="dxa"/>
            <w:shd w:val="clear" w:color="auto" w:fill="auto"/>
            <w:noWrap/>
          </w:tcPr>
          <w:p w14:paraId="7CBBB856" w14:textId="77777777" w:rsidR="00AC375F" w:rsidRPr="00AC375F" w:rsidRDefault="00AC375F" w:rsidP="00AC375F">
            <w:pPr>
              <w:jc w:val="center"/>
              <w:rPr>
                <w:sz w:val="18"/>
                <w:szCs w:val="18"/>
              </w:rPr>
            </w:pPr>
            <w:r w:rsidRPr="00AC375F">
              <w:rPr>
                <w:sz w:val="18"/>
                <w:szCs w:val="18"/>
              </w:rPr>
              <w:t>1</w:t>
            </w:r>
          </w:p>
        </w:tc>
        <w:tc>
          <w:tcPr>
            <w:tcW w:w="1305" w:type="dxa"/>
            <w:shd w:val="clear" w:color="auto" w:fill="auto"/>
            <w:noWrap/>
          </w:tcPr>
          <w:p w14:paraId="489BC795" w14:textId="77777777" w:rsidR="00AC375F" w:rsidRPr="00AC375F" w:rsidRDefault="00AC375F" w:rsidP="00AC375F">
            <w:pPr>
              <w:jc w:val="center"/>
              <w:rPr>
                <w:sz w:val="18"/>
                <w:szCs w:val="18"/>
              </w:rPr>
            </w:pPr>
            <w:r w:rsidRPr="00AC375F">
              <w:rPr>
                <w:sz w:val="18"/>
                <w:szCs w:val="18"/>
              </w:rPr>
              <w:t>rujan</w:t>
            </w:r>
          </w:p>
        </w:tc>
        <w:tc>
          <w:tcPr>
            <w:tcW w:w="1249" w:type="dxa"/>
            <w:shd w:val="clear" w:color="auto" w:fill="auto"/>
            <w:noWrap/>
          </w:tcPr>
          <w:p w14:paraId="1B448136" w14:textId="77777777" w:rsidR="00AC375F" w:rsidRPr="00AC375F" w:rsidRDefault="00AC375F" w:rsidP="00AC375F">
            <w:pPr>
              <w:jc w:val="center"/>
              <w:rPr>
                <w:sz w:val="18"/>
                <w:szCs w:val="18"/>
              </w:rPr>
            </w:pPr>
            <w:r w:rsidRPr="00AC375F">
              <w:rPr>
                <w:sz w:val="18"/>
                <w:szCs w:val="18"/>
              </w:rPr>
              <w:t>2</w:t>
            </w:r>
          </w:p>
        </w:tc>
      </w:tr>
      <w:tr w:rsidR="00AC375F" w:rsidRPr="00AC375F" w14:paraId="2C9EEF4B" w14:textId="77777777" w:rsidTr="00991955">
        <w:trPr>
          <w:trHeight w:val="240"/>
        </w:trPr>
        <w:tc>
          <w:tcPr>
            <w:tcW w:w="4390" w:type="dxa"/>
            <w:shd w:val="clear" w:color="auto" w:fill="auto"/>
            <w:noWrap/>
          </w:tcPr>
          <w:p w14:paraId="47301F91" w14:textId="77777777" w:rsidR="00AC375F" w:rsidRPr="00AC375F" w:rsidRDefault="00AC375F" w:rsidP="00AC375F"/>
        </w:tc>
        <w:tc>
          <w:tcPr>
            <w:tcW w:w="1609" w:type="dxa"/>
            <w:shd w:val="clear" w:color="auto" w:fill="auto"/>
            <w:noWrap/>
          </w:tcPr>
          <w:p w14:paraId="1C37CEC0" w14:textId="77777777" w:rsidR="00AC375F" w:rsidRPr="00AC375F" w:rsidRDefault="00AC375F" w:rsidP="00AC375F">
            <w:pPr>
              <w:jc w:val="center"/>
              <w:rPr>
                <w:sz w:val="18"/>
                <w:szCs w:val="18"/>
              </w:rPr>
            </w:pPr>
            <w:r w:rsidRPr="00AC375F">
              <w:rPr>
                <w:sz w:val="18"/>
                <w:szCs w:val="18"/>
              </w:rPr>
              <w:t>Bruxelles</w:t>
            </w:r>
          </w:p>
        </w:tc>
        <w:tc>
          <w:tcPr>
            <w:tcW w:w="940" w:type="dxa"/>
            <w:shd w:val="clear" w:color="auto" w:fill="auto"/>
            <w:noWrap/>
          </w:tcPr>
          <w:p w14:paraId="240363C2" w14:textId="77777777" w:rsidR="00AC375F" w:rsidRPr="00AC375F" w:rsidRDefault="00AC375F" w:rsidP="00AC375F">
            <w:pPr>
              <w:jc w:val="center"/>
              <w:rPr>
                <w:sz w:val="18"/>
                <w:szCs w:val="18"/>
              </w:rPr>
            </w:pPr>
            <w:r w:rsidRPr="00AC375F">
              <w:rPr>
                <w:sz w:val="18"/>
                <w:szCs w:val="18"/>
              </w:rPr>
              <w:t>1</w:t>
            </w:r>
          </w:p>
        </w:tc>
        <w:tc>
          <w:tcPr>
            <w:tcW w:w="1305" w:type="dxa"/>
            <w:shd w:val="clear" w:color="auto" w:fill="auto"/>
            <w:noWrap/>
          </w:tcPr>
          <w:p w14:paraId="3116D24F" w14:textId="77777777" w:rsidR="00AC375F" w:rsidRPr="00AC375F" w:rsidRDefault="00AC375F" w:rsidP="00AC375F">
            <w:pPr>
              <w:jc w:val="center"/>
              <w:rPr>
                <w:sz w:val="18"/>
                <w:szCs w:val="18"/>
              </w:rPr>
            </w:pPr>
            <w:r w:rsidRPr="00AC375F">
              <w:rPr>
                <w:sz w:val="18"/>
                <w:szCs w:val="18"/>
              </w:rPr>
              <w:t>listopad</w:t>
            </w:r>
          </w:p>
        </w:tc>
        <w:tc>
          <w:tcPr>
            <w:tcW w:w="1249" w:type="dxa"/>
            <w:shd w:val="clear" w:color="auto" w:fill="auto"/>
            <w:noWrap/>
          </w:tcPr>
          <w:p w14:paraId="538EE974" w14:textId="77777777" w:rsidR="00AC375F" w:rsidRPr="00AC375F" w:rsidRDefault="00AC375F" w:rsidP="00AC375F">
            <w:pPr>
              <w:jc w:val="center"/>
              <w:rPr>
                <w:sz w:val="18"/>
                <w:szCs w:val="18"/>
              </w:rPr>
            </w:pPr>
            <w:r w:rsidRPr="00AC375F">
              <w:rPr>
                <w:sz w:val="18"/>
                <w:szCs w:val="18"/>
              </w:rPr>
              <w:t>1</w:t>
            </w:r>
          </w:p>
        </w:tc>
      </w:tr>
      <w:tr w:rsidR="00AC375F" w:rsidRPr="00AC375F" w14:paraId="590B0E00" w14:textId="77777777" w:rsidTr="00991955">
        <w:trPr>
          <w:trHeight w:val="240"/>
        </w:trPr>
        <w:tc>
          <w:tcPr>
            <w:tcW w:w="4390" w:type="dxa"/>
            <w:shd w:val="clear" w:color="auto" w:fill="auto"/>
            <w:noWrap/>
          </w:tcPr>
          <w:p w14:paraId="684ED627" w14:textId="77777777" w:rsidR="00AC375F" w:rsidRPr="00AC375F" w:rsidRDefault="00AC375F" w:rsidP="00AC375F"/>
        </w:tc>
        <w:tc>
          <w:tcPr>
            <w:tcW w:w="1609" w:type="dxa"/>
            <w:shd w:val="clear" w:color="auto" w:fill="auto"/>
            <w:noWrap/>
          </w:tcPr>
          <w:p w14:paraId="337A8211" w14:textId="77777777" w:rsidR="00AC375F" w:rsidRPr="00AC375F" w:rsidRDefault="00AC375F" w:rsidP="00AC375F">
            <w:pPr>
              <w:jc w:val="center"/>
              <w:rPr>
                <w:sz w:val="18"/>
                <w:szCs w:val="18"/>
              </w:rPr>
            </w:pPr>
            <w:r w:rsidRPr="00AC375F">
              <w:rPr>
                <w:sz w:val="18"/>
                <w:szCs w:val="18"/>
              </w:rPr>
              <w:t>virtualno</w:t>
            </w:r>
          </w:p>
        </w:tc>
        <w:tc>
          <w:tcPr>
            <w:tcW w:w="940" w:type="dxa"/>
            <w:shd w:val="clear" w:color="auto" w:fill="auto"/>
            <w:noWrap/>
          </w:tcPr>
          <w:p w14:paraId="7DDC8F3A" w14:textId="77777777" w:rsidR="00AC375F" w:rsidRPr="00AC375F" w:rsidRDefault="00AC375F" w:rsidP="00AC375F">
            <w:pPr>
              <w:jc w:val="center"/>
              <w:rPr>
                <w:sz w:val="18"/>
                <w:szCs w:val="18"/>
              </w:rPr>
            </w:pPr>
            <w:r w:rsidRPr="00AC375F">
              <w:rPr>
                <w:sz w:val="18"/>
                <w:szCs w:val="18"/>
              </w:rPr>
              <w:t>1</w:t>
            </w:r>
          </w:p>
        </w:tc>
        <w:tc>
          <w:tcPr>
            <w:tcW w:w="1305" w:type="dxa"/>
            <w:shd w:val="clear" w:color="auto" w:fill="auto"/>
            <w:noWrap/>
          </w:tcPr>
          <w:p w14:paraId="116FA819" w14:textId="77777777" w:rsidR="00AC375F" w:rsidRPr="00AC375F" w:rsidRDefault="00AC375F" w:rsidP="00AC375F">
            <w:pPr>
              <w:jc w:val="center"/>
              <w:rPr>
                <w:sz w:val="18"/>
                <w:szCs w:val="18"/>
              </w:rPr>
            </w:pPr>
            <w:r w:rsidRPr="00AC375F">
              <w:rPr>
                <w:sz w:val="18"/>
                <w:szCs w:val="18"/>
              </w:rPr>
              <w:t>prosinac</w:t>
            </w:r>
          </w:p>
        </w:tc>
        <w:tc>
          <w:tcPr>
            <w:tcW w:w="1249" w:type="dxa"/>
            <w:shd w:val="clear" w:color="auto" w:fill="auto"/>
            <w:noWrap/>
          </w:tcPr>
          <w:p w14:paraId="03907CA9" w14:textId="77777777" w:rsidR="00AC375F" w:rsidRPr="00AC375F" w:rsidRDefault="00AC375F" w:rsidP="00AC375F">
            <w:pPr>
              <w:jc w:val="center"/>
              <w:rPr>
                <w:sz w:val="18"/>
                <w:szCs w:val="18"/>
              </w:rPr>
            </w:pPr>
            <w:r w:rsidRPr="00AC375F">
              <w:rPr>
                <w:sz w:val="18"/>
                <w:szCs w:val="18"/>
              </w:rPr>
              <w:t>1</w:t>
            </w:r>
          </w:p>
        </w:tc>
      </w:tr>
      <w:tr w:rsidR="00AC375F" w:rsidRPr="00AC375F" w14:paraId="1ED345FC" w14:textId="77777777" w:rsidTr="00991955">
        <w:trPr>
          <w:trHeight w:val="240"/>
        </w:trPr>
        <w:tc>
          <w:tcPr>
            <w:tcW w:w="4390" w:type="dxa"/>
            <w:shd w:val="clear" w:color="auto" w:fill="auto"/>
            <w:noWrap/>
          </w:tcPr>
          <w:p w14:paraId="1824EF18" w14:textId="77777777" w:rsidR="00AC375F" w:rsidRPr="00AC375F" w:rsidRDefault="00AC375F" w:rsidP="00AC375F">
            <w:pPr>
              <w:rPr>
                <w:b/>
                <w:bCs/>
                <w:sz w:val="18"/>
                <w:szCs w:val="18"/>
              </w:rPr>
            </w:pPr>
            <w:r w:rsidRPr="00AC375F">
              <w:rPr>
                <w:b/>
                <w:bCs/>
                <w:sz w:val="18"/>
                <w:szCs w:val="18"/>
              </w:rPr>
              <w:t>Podgrupe HTACG:</w:t>
            </w:r>
          </w:p>
        </w:tc>
        <w:tc>
          <w:tcPr>
            <w:tcW w:w="1609" w:type="dxa"/>
            <w:shd w:val="clear" w:color="auto" w:fill="auto"/>
            <w:noWrap/>
          </w:tcPr>
          <w:p w14:paraId="5BF51E12" w14:textId="77777777" w:rsidR="00AC375F" w:rsidRPr="00AC375F" w:rsidRDefault="00AC375F" w:rsidP="00AC375F">
            <w:pPr>
              <w:jc w:val="center"/>
              <w:rPr>
                <w:sz w:val="18"/>
                <w:szCs w:val="18"/>
              </w:rPr>
            </w:pPr>
          </w:p>
        </w:tc>
        <w:tc>
          <w:tcPr>
            <w:tcW w:w="940" w:type="dxa"/>
            <w:shd w:val="clear" w:color="auto" w:fill="auto"/>
            <w:noWrap/>
          </w:tcPr>
          <w:p w14:paraId="658F74C6" w14:textId="77777777" w:rsidR="00AC375F" w:rsidRPr="00AC375F" w:rsidRDefault="00AC375F" w:rsidP="00AC375F">
            <w:pPr>
              <w:jc w:val="center"/>
              <w:rPr>
                <w:sz w:val="18"/>
                <w:szCs w:val="18"/>
              </w:rPr>
            </w:pPr>
          </w:p>
        </w:tc>
        <w:tc>
          <w:tcPr>
            <w:tcW w:w="1305" w:type="dxa"/>
            <w:shd w:val="clear" w:color="auto" w:fill="auto"/>
            <w:noWrap/>
          </w:tcPr>
          <w:p w14:paraId="4B7FC0C5" w14:textId="77777777" w:rsidR="00AC375F" w:rsidRPr="00AC375F" w:rsidRDefault="00AC375F" w:rsidP="00AC375F">
            <w:pPr>
              <w:jc w:val="center"/>
              <w:rPr>
                <w:sz w:val="18"/>
                <w:szCs w:val="18"/>
              </w:rPr>
            </w:pPr>
          </w:p>
        </w:tc>
        <w:tc>
          <w:tcPr>
            <w:tcW w:w="1249" w:type="dxa"/>
            <w:shd w:val="clear" w:color="auto" w:fill="auto"/>
            <w:noWrap/>
          </w:tcPr>
          <w:p w14:paraId="7F133488" w14:textId="77777777" w:rsidR="00AC375F" w:rsidRPr="00AC375F" w:rsidRDefault="00AC375F" w:rsidP="00AC375F">
            <w:pPr>
              <w:jc w:val="center"/>
              <w:rPr>
                <w:sz w:val="18"/>
                <w:szCs w:val="18"/>
              </w:rPr>
            </w:pPr>
          </w:p>
        </w:tc>
      </w:tr>
      <w:tr w:rsidR="00AC375F" w:rsidRPr="00AC375F" w14:paraId="38775541" w14:textId="77777777" w:rsidTr="00991955">
        <w:trPr>
          <w:trHeight w:val="240"/>
        </w:trPr>
        <w:tc>
          <w:tcPr>
            <w:tcW w:w="4390" w:type="dxa"/>
            <w:shd w:val="clear" w:color="auto" w:fill="auto"/>
            <w:noWrap/>
          </w:tcPr>
          <w:p w14:paraId="2A30A2B3" w14:textId="77777777" w:rsidR="00AC375F" w:rsidRPr="00AC375F" w:rsidRDefault="00AC375F" w:rsidP="00AC375F">
            <w:pPr>
              <w:rPr>
                <w:b/>
                <w:bCs/>
                <w:sz w:val="18"/>
                <w:szCs w:val="18"/>
              </w:rPr>
            </w:pPr>
            <w:r w:rsidRPr="00AC375F">
              <w:rPr>
                <w:b/>
                <w:bCs/>
                <w:sz w:val="18"/>
                <w:szCs w:val="18"/>
              </w:rPr>
              <w:t>Podgrupa za metodologiju i proceduralne smjernice (Methodological and Procedural Guidelines Subgroup)</w:t>
            </w:r>
          </w:p>
        </w:tc>
        <w:tc>
          <w:tcPr>
            <w:tcW w:w="1609" w:type="dxa"/>
            <w:shd w:val="clear" w:color="auto" w:fill="auto"/>
            <w:noWrap/>
          </w:tcPr>
          <w:p w14:paraId="26DE71D0" w14:textId="77777777" w:rsidR="00AC375F" w:rsidRPr="00AC375F" w:rsidRDefault="00AC375F" w:rsidP="00AC375F">
            <w:pPr>
              <w:jc w:val="center"/>
              <w:rPr>
                <w:sz w:val="18"/>
                <w:szCs w:val="18"/>
              </w:rPr>
            </w:pPr>
            <w:r w:rsidRPr="00AC375F">
              <w:rPr>
                <w:sz w:val="18"/>
                <w:szCs w:val="18"/>
              </w:rPr>
              <w:t>Bruxelles</w:t>
            </w:r>
          </w:p>
        </w:tc>
        <w:tc>
          <w:tcPr>
            <w:tcW w:w="940" w:type="dxa"/>
            <w:shd w:val="clear" w:color="auto" w:fill="auto"/>
            <w:noWrap/>
          </w:tcPr>
          <w:p w14:paraId="3EC108A9" w14:textId="77777777" w:rsidR="00AC375F" w:rsidRPr="00AC375F" w:rsidRDefault="00AC375F" w:rsidP="00AC375F">
            <w:pPr>
              <w:jc w:val="center"/>
              <w:rPr>
                <w:sz w:val="18"/>
                <w:szCs w:val="18"/>
              </w:rPr>
            </w:pPr>
            <w:r w:rsidRPr="00AC375F">
              <w:rPr>
                <w:sz w:val="18"/>
                <w:szCs w:val="18"/>
              </w:rPr>
              <w:t>1</w:t>
            </w:r>
          </w:p>
        </w:tc>
        <w:tc>
          <w:tcPr>
            <w:tcW w:w="1305" w:type="dxa"/>
            <w:shd w:val="clear" w:color="auto" w:fill="auto"/>
            <w:noWrap/>
          </w:tcPr>
          <w:p w14:paraId="0E761BE8" w14:textId="77777777" w:rsidR="00AC375F" w:rsidRPr="00AC375F" w:rsidRDefault="00AC375F" w:rsidP="00AC375F">
            <w:pPr>
              <w:jc w:val="center"/>
              <w:rPr>
                <w:sz w:val="18"/>
                <w:szCs w:val="18"/>
              </w:rPr>
            </w:pPr>
            <w:r w:rsidRPr="00AC375F">
              <w:rPr>
                <w:sz w:val="18"/>
                <w:szCs w:val="18"/>
              </w:rPr>
              <w:t>travanj</w:t>
            </w:r>
          </w:p>
        </w:tc>
        <w:tc>
          <w:tcPr>
            <w:tcW w:w="1249" w:type="dxa"/>
            <w:shd w:val="clear" w:color="auto" w:fill="auto"/>
            <w:noWrap/>
          </w:tcPr>
          <w:p w14:paraId="641944F5" w14:textId="77777777" w:rsidR="00AC375F" w:rsidRPr="00AC375F" w:rsidRDefault="00AC375F" w:rsidP="00AC375F">
            <w:pPr>
              <w:jc w:val="center"/>
              <w:rPr>
                <w:sz w:val="18"/>
                <w:szCs w:val="18"/>
              </w:rPr>
            </w:pPr>
            <w:r w:rsidRPr="00AC375F">
              <w:rPr>
                <w:sz w:val="18"/>
                <w:szCs w:val="18"/>
              </w:rPr>
              <w:t>1</w:t>
            </w:r>
          </w:p>
        </w:tc>
      </w:tr>
      <w:tr w:rsidR="00AC375F" w:rsidRPr="00AC375F" w14:paraId="4660A32A" w14:textId="77777777" w:rsidTr="00991955">
        <w:trPr>
          <w:trHeight w:val="240"/>
        </w:trPr>
        <w:tc>
          <w:tcPr>
            <w:tcW w:w="4390" w:type="dxa"/>
            <w:shd w:val="clear" w:color="auto" w:fill="auto"/>
            <w:noWrap/>
          </w:tcPr>
          <w:p w14:paraId="550E67D1" w14:textId="77777777" w:rsidR="00AC375F" w:rsidRPr="00AC375F" w:rsidRDefault="00AC375F" w:rsidP="00AC375F">
            <w:pPr>
              <w:rPr>
                <w:b/>
                <w:bCs/>
                <w:sz w:val="18"/>
                <w:szCs w:val="18"/>
              </w:rPr>
            </w:pPr>
          </w:p>
        </w:tc>
        <w:tc>
          <w:tcPr>
            <w:tcW w:w="1609" w:type="dxa"/>
            <w:shd w:val="clear" w:color="auto" w:fill="auto"/>
            <w:noWrap/>
          </w:tcPr>
          <w:p w14:paraId="24B1A886" w14:textId="77777777" w:rsidR="00AC375F" w:rsidRPr="00AC375F" w:rsidRDefault="00AC375F" w:rsidP="00AC375F">
            <w:pPr>
              <w:jc w:val="center"/>
              <w:rPr>
                <w:sz w:val="18"/>
                <w:szCs w:val="18"/>
              </w:rPr>
            </w:pPr>
            <w:r w:rsidRPr="00AC375F">
              <w:rPr>
                <w:sz w:val="18"/>
                <w:szCs w:val="18"/>
              </w:rPr>
              <w:t>virtualno</w:t>
            </w:r>
          </w:p>
        </w:tc>
        <w:tc>
          <w:tcPr>
            <w:tcW w:w="940" w:type="dxa"/>
            <w:shd w:val="clear" w:color="auto" w:fill="auto"/>
            <w:noWrap/>
          </w:tcPr>
          <w:p w14:paraId="4E9AF039" w14:textId="77777777" w:rsidR="00AC375F" w:rsidRPr="00AC375F" w:rsidRDefault="00AC375F" w:rsidP="00AC375F">
            <w:pPr>
              <w:jc w:val="center"/>
              <w:rPr>
                <w:sz w:val="18"/>
                <w:szCs w:val="18"/>
              </w:rPr>
            </w:pPr>
            <w:r w:rsidRPr="00AC375F">
              <w:rPr>
                <w:sz w:val="18"/>
                <w:szCs w:val="18"/>
              </w:rPr>
              <w:t>1</w:t>
            </w:r>
          </w:p>
        </w:tc>
        <w:tc>
          <w:tcPr>
            <w:tcW w:w="1305" w:type="dxa"/>
            <w:shd w:val="clear" w:color="auto" w:fill="auto"/>
            <w:noWrap/>
          </w:tcPr>
          <w:p w14:paraId="28FEA8DA" w14:textId="77777777" w:rsidR="00AC375F" w:rsidRPr="00AC375F" w:rsidRDefault="00AC375F" w:rsidP="00AC375F">
            <w:pPr>
              <w:jc w:val="center"/>
              <w:rPr>
                <w:sz w:val="18"/>
                <w:szCs w:val="18"/>
              </w:rPr>
            </w:pPr>
            <w:r w:rsidRPr="00AC375F">
              <w:rPr>
                <w:sz w:val="18"/>
                <w:szCs w:val="18"/>
              </w:rPr>
              <w:t>svibanj</w:t>
            </w:r>
          </w:p>
        </w:tc>
        <w:tc>
          <w:tcPr>
            <w:tcW w:w="1249" w:type="dxa"/>
            <w:shd w:val="clear" w:color="auto" w:fill="auto"/>
            <w:noWrap/>
          </w:tcPr>
          <w:p w14:paraId="4CA08D7C" w14:textId="77777777" w:rsidR="00AC375F" w:rsidRPr="00AC375F" w:rsidRDefault="00AC375F" w:rsidP="00AC375F">
            <w:pPr>
              <w:jc w:val="center"/>
              <w:rPr>
                <w:sz w:val="18"/>
                <w:szCs w:val="18"/>
              </w:rPr>
            </w:pPr>
            <w:r w:rsidRPr="00AC375F">
              <w:rPr>
                <w:sz w:val="18"/>
                <w:szCs w:val="18"/>
              </w:rPr>
              <w:t>1</w:t>
            </w:r>
          </w:p>
        </w:tc>
      </w:tr>
      <w:tr w:rsidR="00AC375F" w:rsidRPr="00AC375F" w14:paraId="69F4EBD9" w14:textId="77777777" w:rsidTr="00991955">
        <w:trPr>
          <w:trHeight w:val="240"/>
        </w:trPr>
        <w:tc>
          <w:tcPr>
            <w:tcW w:w="4390" w:type="dxa"/>
            <w:shd w:val="clear" w:color="auto" w:fill="auto"/>
            <w:noWrap/>
          </w:tcPr>
          <w:p w14:paraId="0460694A" w14:textId="77777777" w:rsidR="00AC375F" w:rsidRPr="00AC375F" w:rsidRDefault="00AC375F" w:rsidP="00AC375F">
            <w:pPr>
              <w:rPr>
                <w:b/>
                <w:bCs/>
                <w:sz w:val="18"/>
                <w:szCs w:val="18"/>
              </w:rPr>
            </w:pPr>
          </w:p>
        </w:tc>
        <w:tc>
          <w:tcPr>
            <w:tcW w:w="1609" w:type="dxa"/>
            <w:shd w:val="clear" w:color="auto" w:fill="auto"/>
            <w:noWrap/>
          </w:tcPr>
          <w:p w14:paraId="01B3E5FF" w14:textId="77777777" w:rsidR="00AC375F" w:rsidRPr="00AC375F" w:rsidRDefault="00AC375F" w:rsidP="00AC375F">
            <w:pPr>
              <w:jc w:val="center"/>
              <w:rPr>
                <w:sz w:val="18"/>
                <w:szCs w:val="18"/>
              </w:rPr>
            </w:pPr>
            <w:r w:rsidRPr="00AC375F">
              <w:rPr>
                <w:sz w:val="18"/>
                <w:szCs w:val="18"/>
              </w:rPr>
              <w:t>virtualno</w:t>
            </w:r>
          </w:p>
        </w:tc>
        <w:tc>
          <w:tcPr>
            <w:tcW w:w="940" w:type="dxa"/>
            <w:shd w:val="clear" w:color="auto" w:fill="auto"/>
            <w:noWrap/>
          </w:tcPr>
          <w:p w14:paraId="6D8B1E42" w14:textId="77777777" w:rsidR="00AC375F" w:rsidRPr="00AC375F" w:rsidRDefault="00AC375F" w:rsidP="00AC375F">
            <w:pPr>
              <w:jc w:val="center"/>
              <w:rPr>
                <w:sz w:val="18"/>
                <w:szCs w:val="18"/>
              </w:rPr>
            </w:pPr>
            <w:r w:rsidRPr="00AC375F">
              <w:rPr>
                <w:sz w:val="18"/>
                <w:szCs w:val="18"/>
              </w:rPr>
              <w:t>1</w:t>
            </w:r>
          </w:p>
        </w:tc>
        <w:tc>
          <w:tcPr>
            <w:tcW w:w="1305" w:type="dxa"/>
            <w:shd w:val="clear" w:color="auto" w:fill="auto"/>
            <w:noWrap/>
          </w:tcPr>
          <w:p w14:paraId="0D14B3C8" w14:textId="77777777" w:rsidR="00AC375F" w:rsidRPr="00AC375F" w:rsidRDefault="00AC375F" w:rsidP="00AC375F">
            <w:pPr>
              <w:jc w:val="center"/>
              <w:rPr>
                <w:sz w:val="18"/>
                <w:szCs w:val="18"/>
              </w:rPr>
            </w:pPr>
            <w:r w:rsidRPr="00AC375F">
              <w:rPr>
                <w:sz w:val="18"/>
                <w:szCs w:val="18"/>
              </w:rPr>
              <w:t>srpanj</w:t>
            </w:r>
          </w:p>
        </w:tc>
        <w:tc>
          <w:tcPr>
            <w:tcW w:w="1249" w:type="dxa"/>
            <w:shd w:val="clear" w:color="auto" w:fill="auto"/>
            <w:noWrap/>
          </w:tcPr>
          <w:p w14:paraId="6E41B620" w14:textId="77777777" w:rsidR="00AC375F" w:rsidRPr="00AC375F" w:rsidRDefault="00AC375F" w:rsidP="00AC375F">
            <w:pPr>
              <w:jc w:val="center"/>
              <w:rPr>
                <w:sz w:val="18"/>
                <w:szCs w:val="18"/>
              </w:rPr>
            </w:pPr>
            <w:r w:rsidRPr="00AC375F">
              <w:rPr>
                <w:sz w:val="18"/>
                <w:szCs w:val="18"/>
              </w:rPr>
              <w:t>1</w:t>
            </w:r>
          </w:p>
        </w:tc>
      </w:tr>
      <w:tr w:rsidR="00AC375F" w:rsidRPr="00AC375F" w14:paraId="00738857" w14:textId="77777777" w:rsidTr="00991955">
        <w:trPr>
          <w:trHeight w:val="240"/>
        </w:trPr>
        <w:tc>
          <w:tcPr>
            <w:tcW w:w="4390" w:type="dxa"/>
            <w:shd w:val="clear" w:color="auto" w:fill="auto"/>
            <w:noWrap/>
          </w:tcPr>
          <w:p w14:paraId="7408D858" w14:textId="77777777" w:rsidR="00AC375F" w:rsidRPr="00AC375F" w:rsidRDefault="00AC375F" w:rsidP="00AC375F">
            <w:pPr>
              <w:rPr>
                <w:b/>
                <w:bCs/>
                <w:sz w:val="18"/>
                <w:szCs w:val="18"/>
              </w:rPr>
            </w:pPr>
          </w:p>
        </w:tc>
        <w:tc>
          <w:tcPr>
            <w:tcW w:w="1609" w:type="dxa"/>
            <w:shd w:val="clear" w:color="auto" w:fill="auto"/>
            <w:noWrap/>
          </w:tcPr>
          <w:p w14:paraId="1260931F" w14:textId="77777777" w:rsidR="00AC375F" w:rsidRPr="00AC375F" w:rsidRDefault="00AC375F" w:rsidP="00AC375F">
            <w:pPr>
              <w:jc w:val="center"/>
              <w:rPr>
                <w:sz w:val="18"/>
                <w:szCs w:val="18"/>
              </w:rPr>
            </w:pPr>
            <w:r w:rsidRPr="00AC375F">
              <w:rPr>
                <w:sz w:val="18"/>
                <w:szCs w:val="18"/>
              </w:rPr>
              <w:t>Bruxelles</w:t>
            </w:r>
          </w:p>
        </w:tc>
        <w:tc>
          <w:tcPr>
            <w:tcW w:w="940" w:type="dxa"/>
            <w:shd w:val="clear" w:color="auto" w:fill="auto"/>
            <w:noWrap/>
          </w:tcPr>
          <w:p w14:paraId="1DF8B626" w14:textId="77777777" w:rsidR="00AC375F" w:rsidRPr="00AC375F" w:rsidRDefault="00AC375F" w:rsidP="00AC375F">
            <w:pPr>
              <w:jc w:val="center"/>
              <w:rPr>
                <w:sz w:val="18"/>
                <w:szCs w:val="18"/>
              </w:rPr>
            </w:pPr>
            <w:r w:rsidRPr="00AC375F">
              <w:rPr>
                <w:sz w:val="18"/>
                <w:szCs w:val="18"/>
              </w:rPr>
              <w:t>1</w:t>
            </w:r>
          </w:p>
        </w:tc>
        <w:tc>
          <w:tcPr>
            <w:tcW w:w="1305" w:type="dxa"/>
            <w:shd w:val="clear" w:color="auto" w:fill="auto"/>
            <w:noWrap/>
          </w:tcPr>
          <w:p w14:paraId="697097E2" w14:textId="77777777" w:rsidR="00AC375F" w:rsidRPr="00AC375F" w:rsidRDefault="00AC375F" w:rsidP="00AC375F">
            <w:pPr>
              <w:jc w:val="center"/>
              <w:rPr>
                <w:sz w:val="18"/>
                <w:szCs w:val="18"/>
              </w:rPr>
            </w:pPr>
            <w:r w:rsidRPr="00AC375F">
              <w:rPr>
                <w:sz w:val="18"/>
                <w:szCs w:val="18"/>
              </w:rPr>
              <w:t>rujan</w:t>
            </w:r>
          </w:p>
        </w:tc>
        <w:tc>
          <w:tcPr>
            <w:tcW w:w="1249" w:type="dxa"/>
            <w:shd w:val="clear" w:color="auto" w:fill="auto"/>
            <w:noWrap/>
          </w:tcPr>
          <w:p w14:paraId="1F7FAF44" w14:textId="77777777" w:rsidR="00AC375F" w:rsidRPr="00AC375F" w:rsidRDefault="00AC375F" w:rsidP="00AC375F">
            <w:pPr>
              <w:jc w:val="center"/>
              <w:rPr>
                <w:sz w:val="18"/>
                <w:szCs w:val="18"/>
              </w:rPr>
            </w:pPr>
            <w:r w:rsidRPr="00AC375F">
              <w:rPr>
                <w:sz w:val="18"/>
                <w:szCs w:val="18"/>
              </w:rPr>
              <w:t>1</w:t>
            </w:r>
          </w:p>
        </w:tc>
      </w:tr>
      <w:tr w:rsidR="00AC375F" w:rsidRPr="00AC375F" w14:paraId="304D2E56" w14:textId="77777777" w:rsidTr="00991955">
        <w:trPr>
          <w:trHeight w:val="240"/>
        </w:trPr>
        <w:tc>
          <w:tcPr>
            <w:tcW w:w="4390" w:type="dxa"/>
            <w:shd w:val="clear" w:color="auto" w:fill="auto"/>
            <w:noWrap/>
          </w:tcPr>
          <w:p w14:paraId="6B4233C4" w14:textId="77777777" w:rsidR="00AC375F" w:rsidRPr="00AC375F" w:rsidRDefault="00AC375F" w:rsidP="00AC375F">
            <w:pPr>
              <w:rPr>
                <w:b/>
                <w:bCs/>
                <w:sz w:val="18"/>
                <w:szCs w:val="18"/>
              </w:rPr>
            </w:pPr>
          </w:p>
        </w:tc>
        <w:tc>
          <w:tcPr>
            <w:tcW w:w="1609" w:type="dxa"/>
            <w:shd w:val="clear" w:color="auto" w:fill="auto"/>
            <w:noWrap/>
          </w:tcPr>
          <w:p w14:paraId="65C8CEF4" w14:textId="77777777" w:rsidR="00AC375F" w:rsidRPr="00AC375F" w:rsidRDefault="00AC375F" w:rsidP="00AC375F">
            <w:pPr>
              <w:jc w:val="center"/>
              <w:rPr>
                <w:sz w:val="18"/>
                <w:szCs w:val="18"/>
              </w:rPr>
            </w:pPr>
            <w:r w:rsidRPr="00AC375F">
              <w:rPr>
                <w:sz w:val="18"/>
                <w:szCs w:val="18"/>
              </w:rPr>
              <w:t>virtualno</w:t>
            </w:r>
          </w:p>
        </w:tc>
        <w:tc>
          <w:tcPr>
            <w:tcW w:w="940" w:type="dxa"/>
            <w:shd w:val="clear" w:color="auto" w:fill="auto"/>
            <w:noWrap/>
          </w:tcPr>
          <w:p w14:paraId="63B84978" w14:textId="77777777" w:rsidR="00AC375F" w:rsidRPr="00AC375F" w:rsidRDefault="00AC375F" w:rsidP="00AC375F">
            <w:pPr>
              <w:jc w:val="center"/>
              <w:rPr>
                <w:sz w:val="18"/>
                <w:szCs w:val="18"/>
              </w:rPr>
            </w:pPr>
            <w:r w:rsidRPr="00AC375F">
              <w:rPr>
                <w:sz w:val="18"/>
                <w:szCs w:val="18"/>
              </w:rPr>
              <w:t>1</w:t>
            </w:r>
          </w:p>
        </w:tc>
        <w:tc>
          <w:tcPr>
            <w:tcW w:w="1305" w:type="dxa"/>
            <w:shd w:val="clear" w:color="auto" w:fill="auto"/>
            <w:noWrap/>
          </w:tcPr>
          <w:p w14:paraId="2FE770D6" w14:textId="77777777" w:rsidR="00AC375F" w:rsidRPr="00AC375F" w:rsidRDefault="00AC375F" w:rsidP="00AC375F">
            <w:pPr>
              <w:jc w:val="center"/>
              <w:rPr>
                <w:sz w:val="18"/>
                <w:szCs w:val="18"/>
              </w:rPr>
            </w:pPr>
            <w:r w:rsidRPr="00AC375F">
              <w:rPr>
                <w:sz w:val="18"/>
                <w:szCs w:val="18"/>
              </w:rPr>
              <w:t>rujan</w:t>
            </w:r>
          </w:p>
        </w:tc>
        <w:tc>
          <w:tcPr>
            <w:tcW w:w="1249" w:type="dxa"/>
            <w:shd w:val="clear" w:color="auto" w:fill="auto"/>
            <w:noWrap/>
          </w:tcPr>
          <w:p w14:paraId="5CE09F54" w14:textId="77777777" w:rsidR="00AC375F" w:rsidRPr="00AC375F" w:rsidRDefault="00AC375F" w:rsidP="00AC375F">
            <w:pPr>
              <w:jc w:val="center"/>
              <w:rPr>
                <w:sz w:val="18"/>
                <w:szCs w:val="18"/>
              </w:rPr>
            </w:pPr>
            <w:r w:rsidRPr="00AC375F">
              <w:rPr>
                <w:sz w:val="18"/>
                <w:szCs w:val="18"/>
              </w:rPr>
              <w:t>1</w:t>
            </w:r>
          </w:p>
        </w:tc>
      </w:tr>
      <w:tr w:rsidR="00AC375F" w:rsidRPr="00AC375F" w14:paraId="07361BAE" w14:textId="77777777" w:rsidTr="00991955">
        <w:trPr>
          <w:trHeight w:val="240"/>
        </w:trPr>
        <w:tc>
          <w:tcPr>
            <w:tcW w:w="4390" w:type="dxa"/>
            <w:shd w:val="clear" w:color="auto" w:fill="auto"/>
            <w:noWrap/>
          </w:tcPr>
          <w:p w14:paraId="1BF76466" w14:textId="77777777" w:rsidR="00AC375F" w:rsidRPr="00AC375F" w:rsidRDefault="00AC375F" w:rsidP="00AC375F">
            <w:pPr>
              <w:rPr>
                <w:b/>
                <w:bCs/>
                <w:sz w:val="18"/>
                <w:szCs w:val="18"/>
              </w:rPr>
            </w:pPr>
          </w:p>
        </w:tc>
        <w:tc>
          <w:tcPr>
            <w:tcW w:w="1609" w:type="dxa"/>
            <w:shd w:val="clear" w:color="auto" w:fill="auto"/>
            <w:noWrap/>
          </w:tcPr>
          <w:p w14:paraId="7CD357A5" w14:textId="77777777" w:rsidR="00AC375F" w:rsidRPr="00AC375F" w:rsidRDefault="00AC375F" w:rsidP="00AC375F">
            <w:pPr>
              <w:jc w:val="center"/>
              <w:rPr>
                <w:sz w:val="18"/>
                <w:szCs w:val="18"/>
              </w:rPr>
            </w:pPr>
            <w:r w:rsidRPr="00AC375F">
              <w:rPr>
                <w:sz w:val="18"/>
                <w:szCs w:val="18"/>
              </w:rPr>
              <w:t>virtualno</w:t>
            </w:r>
          </w:p>
        </w:tc>
        <w:tc>
          <w:tcPr>
            <w:tcW w:w="940" w:type="dxa"/>
            <w:shd w:val="clear" w:color="auto" w:fill="auto"/>
            <w:noWrap/>
          </w:tcPr>
          <w:p w14:paraId="52D656CB" w14:textId="77777777" w:rsidR="00AC375F" w:rsidRPr="00AC375F" w:rsidRDefault="00AC375F" w:rsidP="00AC375F">
            <w:pPr>
              <w:jc w:val="center"/>
              <w:rPr>
                <w:sz w:val="18"/>
                <w:szCs w:val="18"/>
              </w:rPr>
            </w:pPr>
            <w:r w:rsidRPr="00AC375F">
              <w:rPr>
                <w:sz w:val="18"/>
                <w:szCs w:val="18"/>
              </w:rPr>
              <w:t>1</w:t>
            </w:r>
          </w:p>
        </w:tc>
        <w:tc>
          <w:tcPr>
            <w:tcW w:w="1305" w:type="dxa"/>
            <w:shd w:val="clear" w:color="auto" w:fill="auto"/>
            <w:noWrap/>
          </w:tcPr>
          <w:p w14:paraId="03CC7B59" w14:textId="77777777" w:rsidR="00AC375F" w:rsidRPr="00AC375F" w:rsidRDefault="00AC375F" w:rsidP="00AC375F">
            <w:pPr>
              <w:jc w:val="center"/>
              <w:rPr>
                <w:sz w:val="18"/>
                <w:szCs w:val="18"/>
              </w:rPr>
            </w:pPr>
            <w:r w:rsidRPr="00AC375F">
              <w:rPr>
                <w:sz w:val="18"/>
                <w:szCs w:val="18"/>
              </w:rPr>
              <w:t>listopad</w:t>
            </w:r>
          </w:p>
        </w:tc>
        <w:tc>
          <w:tcPr>
            <w:tcW w:w="1249" w:type="dxa"/>
            <w:shd w:val="clear" w:color="auto" w:fill="auto"/>
            <w:noWrap/>
          </w:tcPr>
          <w:p w14:paraId="56A4B164" w14:textId="77777777" w:rsidR="00AC375F" w:rsidRPr="00AC375F" w:rsidRDefault="00AC375F" w:rsidP="00AC375F">
            <w:pPr>
              <w:jc w:val="center"/>
              <w:rPr>
                <w:sz w:val="18"/>
                <w:szCs w:val="18"/>
              </w:rPr>
            </w:pPr>
            <w:r w:rsidRPr="00AC375F">
              <w:rPr>
                <w:sz w:val="18"/>
                <w:szCs w:val="18"/>
              </w:rPr>
              <w:t>1</w:t>
            </w:r>
          </w:p>
        </w:tc>
      </w:tr>
      <w:tr w:rsidR="00AC375F" w:rsidRPr="00AC375F" w14:paraId="51EE37DE" w14:textId="77777777" w:rsidTr="00991955">
        <w:trPr>
          <w:trHeight w:val="240"/>
        </w:trPr>
        <w:tc>
          <w:tcPr>
            <w:tcW w:w="4390" w:type="dxa"/>
            <w:shd w:val="clear" w:color="auto" w:fill="auto"/>
            <w:noWrap/>
          </w:tcPr>
          <w:p w14:paraId="41D0873A" w14:textId="77777777" w:rsidR="00AC375F" w:rsidRPr="00AC375F" w:rsidRDefault="00AC375F" w:rsidP="00AC375F">
            <w:pPr>
              <w:rPr>
                <w:b/>
                <w:bCs/>
                <w:sz w:val="18"/>
                <w:szCs w:val="18"/>
              </w:rPr>
            </w:pPr>
          </w:p>
        </w:tc>
        <w:tc>
          <w:tcPr>
            <w:tcW w:w="1609" w:type="dxa"/>
            <w:shd w:val="clear" w:color="auto" w:fill="auto"/>
            <w:noWrap/>
          </w:tcPr>
          <w:p w14:paraId="77E08B91" w14:textId="77777777" w:rsidR="00AC375F" w:rsidRPr="00AC375F" w:rsidRDefault="00AC375F" w:rsidP="00AC375F">
            <w:pPr>
              <w:jc w:val="center"/>
              <w:rPr>
                <w:sz w:val="18"/>
                <w:szCs w:val="18"/>
              </w:rPr>
            </w:pPr>
            <w:r w:rsidRPr="00AC375F">
              <w:rPr>
                <w:sz w:val="18"/>
                <w:szCs w:val="18"/>
              </w:rPr>
              <w:t>virtualno</w:t>
            </w:r>
          </w:p>
        </w:tc>
        <w:tc>
          <w:tcPr>
            <w:tcW w:w="940" w:type="dxa"/>
            <w:shd w:val="clear" w:color="auto" w:fill="auto"/>
            <w:noWrap/>
          </w:tcPr>
          <w:p w14:paraId="7C572F29" w14:textId="77777777" w:rsidR="00AC375F" w:rsidRPr="00AC375F" w:rsidRDefault="00AC375F" w:rsidP="00AC375F">
            <w:pPr>
              <w:jc w:val="center"/>
              <w:rPr>
                <w:sz w:val="18"/>
                <w:szCs w:val="18"/>
              </w:rPr>
            </w:pPr>
            <w:r w:rsidRPr="00AC375F">
              <w:rPr>
                <w:sz w:val="18"/>
                <w:szCs w:val="18"/>
              </w:rPr>
              <w:t>1</w:t>
            </w:r>
          </w:p>
        </w:tc>
        <w:tc>
          <w:tcPr>
            <w:tcW w:w="1305" w:type="dxa"/>
            <w:shd w:val="clear" w:color="auto" w:fill="auto"/>
            <w:noWrap/>
          </w:tcPr>
          <w:p w14:paraId="37B930E8" w14:textId="77777777" w:rsidR="00AC375F" w:rsidRPr="00AC375F" w:rsidRDefault="00AC375F" w:rsidP="00AC375F">
            <w:pPr>
              <w:jc w:val="center"/>
              <w:rPr>
                <w:sz w:val="18"/>
                <w:szCs w:val="18"/>
              </w:rPr>
            </w:pPr>
            <w:r w:rsidRPr="00AC375F">
              <w:rPr>
                <w:sz w:val="18"/>
                <w:szCs w:val="18"/>
              </w:rPr>
              <w:t>studeni</w:t>
            </w:r>
          </w:p>
        </w:tc>
        <w:tc>
          <w:tcPr>
            <w:tcW w:w="1249" w:type="dxa"/>
            <w:shd w:val="clear" w:color="auto" w:fill="auto"/>
            <w:noWrap/>
          </w:tcPr>
          <w:p w14:paraId="5695F53E" w14:textId="77777777" w:rsidR="00AC375F" w:rsidRPr="00AC375F" w:rsidRDefault="00AC375F" w:rsidP="00AC375F">
            <w:pPr>
              <w:jc w:val="center"/>
              <w:rPr>
                <w:sz w:val="18"/>
                <w:szCs w:val="18"/>
              </w:rPr>
            </w:pPr>
            <w:r w:rsidRPr="00AC375F">
              <w:rPr>
                <w:sz w:val="18"/>
                <w:szCs w:val="18"/>
              </w:rPr>
              <w:t>1</w:t>
            </w:r>
          </w:p>
        </w:tc>
      </w:tr>
      <w:tr w:rsidR="00AC375F" w:rsidRPr="00AC375F" w14:paraId="70C6A47A" w14:textId="77777777" w:rsidTr="00991955">
        <w:trPr>
          <w:trHeight w:val="240"/>
        </w:trPr>
        <w:tc>
          <w:tcPr>
            <w:tcW w:w="4390" w:type="dxa"/>
            <w:shd w:val="clear" w:color="auto" w:fill="auto"/>
            <w:noWrap/>
          </w:tcPr>
          <w:p w14:paraId="3AE23284" w14:textId="77777777" w:rsidR="00AC375F" w:rsidRPr="00AC375F" w:rsidRDefault="00AC375F" w:rsidP="00AC375F">
            <w:pPr>
              <w:rPr>
                <w:b/>
                <w:bCs/>
                <w:sz w:val="18"/>
                <w:szCs w:val="18"/>
              </w:rPr>
            </w:pPr>
          </w:p>
        </w:tc>
        <w:tc>
          <w:tcPr>
            <w:tcW w:w="1609" w:type="dxa"/>
            <w:shd w:val="clear" w:color="auto" w:fill="auto"/>
            <w:noWrap/>
          </w:tcPr>
          <w:p w14:paraId="12B8B6E4" w14:textId="77777777" w:rsidR="00AC375F" w:rsidRPr="00AC375F" w:rsidRDefault="00AC375F" w:rsidP="00AC375F">
            <w:pPr>
              <w:jc w:val="center"/>
              <w:rPr>
                <w:sz w:val="18"/>
                <w:szCs w:val="18"/>
              </w:rPr>
            </w:pPr>
            <w:r w:rsidRPr="00AC375F">
              <w:rPr>
                <w:sz w:val="18"/>
                <w:szCs w:val="18"/>
              </w:rPr>
              <w:t>Bruxelles</w:t>
            </w:r>
          </w:p>
        </w:tc>
        <w:tc>
          <w:tcPr>
            <w:tcW w:w="940" w:type="dxa"/>
            <w:shd w:val="clear" w:color="auto" w:fill="auto"/>
            <w:noWrap/>
          </w:tcPr>
          <w:p w14:paraId="534D0080" w14:textId="77777777" w:rsidR="00AC375F" w:rsidRPr="00AC375F" w:rsidRDefault="00AC375F" w:rsidP="00AC375F">
            <w:pPr>
              <w:jc w:val="center"/>
              <w:rPr>
                <w:sz w:val="18"/>
                <w:szCs w:val="18"/>
              </w:rPr>
            </w:pPr>
            <w:r w:rsidRPr="00AC375F">
              <w:rPr>
                <w:sz w:val="18"/>
                <w:szCs w:val="18"/>
              </w:rPr>
              <w:t>1</w:t>
            </w:r>
          </w:p>
        </w:tc>
        <w:tc>
          <w:tcPr>
            <w:tcW w:w="1305" w:type="dxa"/>
            <w:shd w:val="clear" w:color="auto" w:fill="auto"/>
            <w:noWrap/>
          </w:tcPr>
          <w:p w14:paraId="4C1906C4" w14:textId="77777777" w:rsidR="00AC375F" w:rsidRPr="00AC375F" w:rsidRDefault="00AC375F" w:rsidP="00AC375F">
            <w:pPr>
              <w:jc w:val="center"/>
              <w:rPr>
                <w:sz w:val="18"/>
                <w:szCs w:val="18"/>
              </w:rPr>
            </w:pPr>
            <w:r w:rsidRPr="00AC375F">
              <w:rPr>
                <w:sz w:val="18"/>
                <w:szCs w:val="18"/>
              </w:rPr>
              <w:t>studeni</w:t>
            </w:r>
          </w:p>
        </w:tc>
        <w:tc>
          <w:tcPr>
            <w:tcW w:w="1249" w:type="dxa"/>
            <w:shd w:val="clear" w:color="auto" w:fill="auto"/>
            <w:noWrap/>
          </w:tcPr>
          <w:p w14:paraId="772565FD" w14:textId="77777777" w:rsidR="00AC375F" w:rsidRPr="00AC375F" w:rsidRDefault="00AC375F" w:rsidP="00AC375F">
            <w:pPr>
              <w:jc w:val="center"/>
              <w:rPr>
                <w:sz w:val="18"/>
                <w:szCs w:val="18"/>
              </w:rPr>
            </w:pPr>
            <w:r w:rsidRPr="00AC375F">
              <w:rPr>
                <w:sz w:val="18"/>
                <w:szCs w:val="18"/>
              </w:rPr>
              <w:t>1</w:t>
            </w:r>
          </w:p>
        </w:tc>
      </w:tr>
      <w:tr w:rsidR="00AC375F" w:rsidRPr="00AC375F" w14:paraId="5F1368C1" w14:textId="77777777" w:rsidTr="00991955">
        <w:trPr>
          <w:trHeight w:val="240"/>
        </w:trPr>
        <w:tc>
          <w:tcPr>
            <w:tcW w:w="4390" w:type="dxa"/>
            <w:shd w:val="clear" w:color="auto" w:fill="auto"/>
            <w:noWrap/>
          </w:tcPr>
          <w:p w14:paraId="0FA0C90B" w14:textId="77777777" w:rsidR="00AC375F" w:rsidRPr="00AC375F" w:rsidRDefault="00AC375F" w:rsidP="00AC375F">
            <w:pPr>
              <w:rPr>
                <w:b/>
                <w:bCs/>
                <w:sz w:val="18"/>
                <w:szCs w:val="18"/>
              </w:rPr>
            </w:pPr>
          </w:p>
        </w:tc>
        <w:tc>
          <w:tcPr>
            <w:tcW w:w="1609" w:type="dxa"/>
            <w:shd w:val="clear" w:color="auto" w:fill="auto"/>
            <w:noWrap/>
          </w:tcPr>
          <w:p w14:paraId="264D740E" w14:textId="77777777" w:rsidR="00AC375F" w:rsidRPr="00AC375F" w:rsidRDefault="00AC375F" w:rsidP="00AC375F">
            <w:pPr>
              <w:jc w:val="center"/>
              <w:rPr>
                <w:sz w:val="18"/>
                <w:szCs w:val="18"/>
              </w:rPr>
            </w:pPr>
            <w:r w:rsidRPr="00AC375F">
              <w:rPr>
                <w:sz w:val="18"/>
                <w:szCs w:val="18"/>
              </w:rPr>
              <w:t>virtualno</w:t>
            </w:r>
          </w:p>
        </w:tc>
        <w:tc>
          <w:tcPr>
            <w:tcW w:w="940" w:type="dxa"/>
            <w:shd w:val="clear" w:color="auto" w:fill="auto"/>
            <w:noWrap/>
          </w:tcPr>
          <w:p w14:paraId="0469F463" w14:textId="77777777" w:rsidR="00AC375F" w:rsidRPr="00AC375F" w:rsidRDefault="00AC375F" w:rsidP="00AC375F">
            <w:pPr>
              <w:jc w:val="center"/>
              <w:rPr>
                <w:sz w:val="18"/>
                <w:szCs w:val="18"/>
              </w:rPr>
            </w:pPr>
            <w:r w:rsidRPr="00AC375F">
              <w:rPr>
                <w:sz w:val="18"/>
                <w:szCs w:val="18"/>
              </w:rPr>
              <w:t>1</w:t>
            </w:r>
          </w:p>
        </w:tc>
        <w:tc>
          <w:tcPr>
            <w:tcW w:w="1305" w:type="dxa"/>
            <w:shd w:val="clear" w:color="auto" w:fill="auto"/>
            <w:noWrap/>
          </w:tcPr>
          <w:p w14:paraId="6FD12F63" w14:textId="77777777" w:rsidR="00AC375F" w:rsidRPr="00AC375F" w:rsidRDefault="00AC375F" w:rsidP="00AC375F">
            <w:pPr>
              <w:jc w:val="center"/>
              <w:rPr>
                <w:sz w:val="18"/>
                <w:szCs w:val="18"/>
              </w:rPr>
            </w:pPr>
            <w:r w:rsidRPr="00AC375F">
              <w:rPr>
                <w:sz w:val="18"/>
                <w:szCs w:val="18"/>
              </w:rPr>
              <w:t>prosinac</w:t>
            </w:r>
          </w:p>
        </w:tc>
        <w:tc>
          <w:tcPr>
            <w:tcW w:w="1249" w:type="dxa"/>
            <w:shd w:val="clear" w:color="auto" w:fill="auto"/>
            <w:noWrap/>
          </w:tcPr>
          <w:p w14:paraId="4713D65C" w14:textId="77777777" w:rsidR="00AC375F" w:rsidRPr="00AC375F" w:rsidRDefault="00AC375F" w:rsidP="00AC375F">
            <w:pPr>
              <w:jc w:val="center"/>
              <w:rPr>
                <w:sz w:val="18"/>
                <w:szCs w:val="18"/>
              </w:rPr>
            </w:pPr>
            <w:r w:rsidRPr="00AC375F">
              <w:rPr>
                <w:sz w:val="18"/>
                <w:szCs w:val="18"/>
              </w:rPr>
              <w:t>1</w:t>
            </w:r>
          </w:p>
        </w:tc>
      </w:tr>
      <w:tr w:rsidR="00AC375F" w:rsidRPr="00AC375F" w14:paraId="33AAE71B" w14:textId="77777777" w:rsidTr="00991955">
        <w:trPr>
          <w:trHeight w:val="240"/>
        </w:trPr>
        <w:tc>
          <w:tcPr>
            <w:tcW w:w="4390" w:type="dxa"/>
            <w:shd w:val="clear" w:color="auto" w:fill="auto"/>
            <w:noWrap/>
          </w:tcPr>
          <w:p w14:paraId="06A68C15" w14:textId="77777777" w:rsidR="00AC375F" w:rsidRPr="00AC375F" w:rsidRDefault="00AC375F" w:rsidP="00AC375F">
            <w:pPr>
              <w:rPr>
                <w:b/>
                <w:bCs/>
                <w:sz w:val="18"/>
                <w:szCs w:val="18"/>
              </w:rPr>
            </w:pPr>
          </w:p>
        </w:tc>
        <w:tc>
          <w:tcPr>
            <w:tcW w:w="1609" w:type="dxa"/>
            <w:shd w:val="clear" w:color="auto" w:fill="auto"/>
            <w:noWrap/>
          </w:tcPr>
          <w:p w14:paraId="3E58BE8C" w14:textId="77777777" w:rsidR="00AC375F" w:rsidRPr="00AC375F" w:rsidRDefault="00AC375F" w:rsidP="00AC375F">
            <w:pPr>
              <w:jc w:val="center"/>
              <w:rPr>
                <w:sz w:val="18"/>
                <w:szCs w:val="18"/>
              </w:rPr>
            </w:pPr>
          </w:p>
        </w:tc>
        <w:tc>
          <w:tcPr>
            <w:tcW w:w="940" w:type="dxa"/>
            <w:shd w:val="clear" w:color="auto" w:fill="auto"/>
            <w:noWrap/>
          </w:tcPr>
          <w:p w14:paraId="6D92CE2F" w14:textId="77777777" w:rsidR="00AC375F" w:rsidRPr="00AC375F" w:rsidRDefault="00AC375F" w:rsidP="00AC375F">
            <w:pPr>
              <w:jc w:val="center"/>
              <w:rPr>
                <w:sz w:val="18"/>
                <w:szCs w:val="18"/>
              </w:rPr>
            </w:pPr>
          </w:p>
        </w:tc>
        <w:tc>
          <w:tcPr>
            <w:tcW w:w="1305" w:type="dxa"/>
            <w:shd w:val="clear" w:color="auto" w:fill="auto"/>
            <w:noWrap/>
          </w:tcPr>
          <w:p w14:paraId="33FCCC4C" w14:textId="77777777" w:rsidR="00AC375F" w:rsidRPr="00AC375F" w:rsidRDefault="00AC375F" w:rsidP="00AC375F">
            <w:pPr>
              <w:jc w:val="center"/>
              <w:rPr>
                <w:sz w:val="18"/>
                <w:szCs w:val="18"/>
              </w:rPr>
            </w:pPr>
          </w:p>
        </w:tc>
        <w:tc>
          <w:tcPr>
            <w:tcW w:w="1249" w:type="dxa"/>
            <w:shd w:val="clear" w:color="auto" w:fill="auto"/>
            <w:noWrap/>
          </w:tcPr>
          <w:p w14:paraId="043656C1" w14:textId="77777777" w:rsidR="00AC375F" w:rsidRPr="00AC375F" w:rsidRDefault="00AC375F" w:rsidP="00AC375F">
            <w:pPr>
              <w:jc w:val="center"/>
              <w:rPr>
                <w:sz w:val="18"/>
                <w:szCs w:val="18"/>
              </w:rPr>
            </w:pPr>
          </w:p>
        </w:tc>
      </w:tr>
      <w:tr w:rsidR="00AC375F" w:rsidRPr="00AC375F" w14:paraId="0E4BAFB0" w14:textId="77777777" w:rsidTr="00991955">
        <w:trPr>
          <w:trHeight w:val="240"/>
        </w:trPr>
        <w:tc>
          <w:tcPr>
            <w:tcW w:w="4390" w:type="dxa"/>
            <w:shd w:val="clear" w:color="auto" w:fill="auto"/>
            <w:noWrap/>
          </w:tcPr>
          <w:p w14:paraId="3E70CB1A" w14:textId="77777777" w:rsidR="00AC375F" w:rsidRPr="00AC375F" w:rsidRDefault="00AC375F" w:rsidP="00AC375F">
            <w:pPr>
              <w:rPr>
                <w:b/>
                <w:bCs/>
                <w:sz w:val="18"/>
                <w:szCs w:val="18"/>
              </w:rPr>
            </w:pPr>
          </w:p>
        </w:tc>
        <w:tc>
          <w:tcPr>
            <w:tcW w:w="1609" w:type="dxa"/>
            <w:shd w:val="clear" w:color="auto" w:fill="auto"/>
            <w:noWrap/>
          </w:tcPr>
          <w:p w14:paraId="082C8B8D" w14:textId="77777777" w:rsidR="00AC375F" w:rsidRPr="00AC375F" w:rsidRDefault="00AC375F" w:rsidP="00AC375F">
            <w:pPr>
              <w:jc w:val="center"/>
              <w:rPr>
                <w:sz w:val="18"/>
                <w:szCs w:val="18"/>
              </w:rPr>
            </w:pPr>
          </w:p>
        </w:tc>
        <w:tc>
          <w:tcPr>
            <w:tcW w:w="940" w:type="dxa"/>
            <w:shd w:val="clear" w:color="auto" w:fill="auto"/>
            <w:noWrap/>
          </w:tcPr>
          <w:p w14:paraId="2FF2514D" w14:textId="77777777" w:rsidR="00AC375F" w:rsidRPr="00AC375F" w:rsidRDefault="00AC375F" w:rsidP="00AC375F">
            <w:pPr>
              <w:jc w:val="center"/>
              <w:rPr>
                <w:sz w:val="18"/>
                <w:szCs w:val="18"/>
              </w:rPr>
            </w:pPr>
          </w:p>
        </w:tc>
        <w:tc>
          <w:tcPr>
            <w:tcW w:w="1305" w:type="dxa"/>
            <w:shd w:val="clear" w:color="auto" w:fill="auto"/>
            <w:noWrap/>
          </w:tcPr>
          <w:p w14:paraId="7E25CFD6" w14:textId="77777777" w:rsidR="00AC375F" w:rsidRPr="00AC375F" w:rsidRDefault="00AC375F" w:rsidP="00AC375F">
            <w:pPr>
              <w:jc w:val="center"/>
              <w:rPr>
                <w:sz w:val="18"/>
                <w:szCs w:val="18"/>
              </w:rPr>
            </w:pPr>
          </w:p>
        </w:tc>
        <w:tc>
          <w:tcPr>
            <w:tcW w:w="1249" w:type="dxa"/>
            <w:shd w:val="clear" w:color="auto" w:fill="auto"/>
            <w:noWrap/>
          </w:tcPr>
          <w:p w14:paraId="0BA32EEB" w14:textId="77777777" w:rsidR="00AC375F" w:rsidRPr="00AC375F" w:rsidRDefault="00AC375F" w:rsidP="00AC375F">
            <w:pPr>
              <w:jc w:val="center"/>
              <w:rPr>
                <w:sz w:val="18"/>
                <w:szCs w:val="18"/>
              </w:rPr>
            </w:pPr>
          </w:p>
        </w:tc>
      </w:tr>
      <w:tr w:rsidR="00AC375F" w:rsidRPr="00AC375F" w14:paraId="0F3F5FAD" w14:textId="77777777" w:rsidTr="00991955">
        <w:trPr>
          <w:trHeight w:val="240"/>
        </w:trPr>
        <w:tc>
          <w:tcPr>
            <w:tcW w:w="4390" w:type="dxa"/>
            <w:shd w:val="clear" w:color="auto" w:fill="auto"/>
            <w:noWrap/>
          </w:tcPr>
          <w:p w14:paraId="089F9CE7" w14:textId="77777777" w:rsidR="00AC375F" w:rsidRPr="00AC375F" w:rsidRDefault="00AC375F" w:rsidP="00AC375F">
            <w:pPr>
              <w:rPr>
                <w:b/>
                <w:bCs/>
                <w:sz w:val="18"/>
                <w:szCs w:val="18"/>
              </w:rPr>
            </w:pPr>
            <w:r w:rsidRPr="00AC375F">
              <w:rPr>
                <w:b/>
                <w:bCs/>
                <w:sz w:val="18"/>
                <w:szCs w:val="18"/>
              </w:rPr>
              <w:t xml:space="preserve">Podgrupa za zajedničke kliničke procjene (Joint Clinical Assessments Subgroup), </w:t>
            </w:r>
          </w:p>
        </w:tc>
        <w:tc>
          <w:tcPr>
            <w:tcW w:w="1609" w:type="dxa"/>
            <w:shd w:val="clear" w:color="auto" w:fill="auto"/>
            <w:noWrap/>
          </w:tcPr>
          <w:p w14:paraId="6E52F29A" w14:textId="77777777" w:rsidR="00AC375F" w:rsidRPr="00AC375F" w:rsidRDefault="00AC375F" w:rsidP="00AC375F">
            <w:pPr>
              <w:jc w:val="center"/>
              <w:rPr>
                <w:sz w:val="18"/>
                <w:szCs w:val="18"/>
              </w:rPr>
            </w:pPr>
            <w:r w:rsidRPr="00AC375F">
              <w:rPr>
                <w:sz w:val="18"/>
                <w:szCs w:val="18"/>
              </w:rPr>
              <w:t>Bruxelles</w:t>
            </w:r>
          </w:p>
        </w:tc>
        <w:tc>
          <w:tcPr>
            <w:tcW w:w="940" w:type="dxa"/>
            <w:shd w:val="clear" w:color="auto" w:fill="auto"/>
            <w:noWrap/>
          </w:tcPr>
          <w:p w14:paraId="7F31EFFC" w14:textId="77777777" w:rsidR="00AC375F" w:rsidRPr="00AC375F" w:rsidRDefault="00AC375F" w:rsidP="00AC375F">
            <w:pPr>
              <w:jc w:val="center"/>
              <w:rPr>
                <w:sz w:val="18"/>
                <w:szCs w:val="18"/>
              </w:rPr>
            </w:pPr>
            <w:r w:rsidRPr="00AC375F">
              <w:rPr>
                <w:sz w:val="18"/>
                <w:szCs w:val="18"/>
              </w:rPr>
              <w:t>1</w:t>
            </w:r>
          </w:p>
        </w:tc>
        <w:tc>
          <w:tcPr>
            <w:tcW w:w="1305" w:type="dxa"/>
            <w:shd w:val="clear" w:color="auto" w:fill="auto"/>
            <w:noWrap/>
          </w:tcPr>
          <w:p w14:paraId="39D08212" w14:textId="77777777" w:rsidR="00AC375F" w:rsidRPr="00AC375F" w:rsidRDefault="00AC375F" w:rsidP="00AC375F">
            <w:pPr>
              <w:jc w:val="center"/>
              <w:rPr>
                <w:sz w:val="18"/>
                <w:szCs w:val="18"/>
              </w:rPr>
            </w:pPr>
            <w:r w:rsidRPr="00AC375F">
              <w:rPr>
                <w:sz w:val="18"/>
                <w:szCs w:val="18"/>
              </w:rPr>
              <w:t>travanj</w:t>
            </w:r>
          </w:p>
        </w:tc>
        <w:tc>
          <w:tcPr>
            <w:tcW w:w="1249" w:type="dxa"/>
            <w:shd w:val="clear" w:color="auto" w:fill="auto"/>
            <w:noWrap/>
          </w:tcPr>
          <w:p w14:paraId="0F1AB932" w14:textId="77777777" w:rsidR="00AC375F" w:rsidRPr="00AC375F" w:rsidRDefault="00AC375F" w:rsidP="00AC375F">
            <w:pPr>
              <w:jc w:val="center"/>
              <w:rPr>
                <w:sz w:val="18"/>
                <w:szCs w:val="18"/>
              </w:rPr>
            </w:pPr>
            <w:r w:rsidRPr="00AC375F">
              <w:rPr>
                <w:sz w:val="18"/>
                <w:szCs w:val="18"/>
              </w:rPr>
              <w:t>1</w:t>
            </w:r>
          </w:p>
        </w:tc>
      </w:tr>
      <w:tr w:rsidR="00AC375F" w:rsidRPr="00AC375F" w14:paraId="79137FE5" w14:textId="77777777" w:rsidTr="00991955">
        <w:trPr>
          <w:trHeight w:val="240"/>
        </w:trPr>
        <w:tc>
          <w:tcPr>
            <w:tcW w:w="4390" w:type="dxa"/>
            <w:shd w:val="clear" w:color="auto" w:fill="auto"/>
            <w:noWrap/>
          </w:tcPr>
          <w:p w14:paraId="0D461F48" w14:textId="77777777" w:rsidR="00AC375F" w:rsidRPr="00AC375F" w:rsidRDefault="00AC375F" w:rsidP="00AC375F">
            <w:pPr>
              <w:rPr>
                <w:b/>
                <w:bCs/>
                <w:sz w:val="18"/>
                <w:szCs w:val="18"/>
              </w:rPr>
            </w:pPr>
          </w:p>
        </w:tc>
        <w:tc>
          <w:tcPr>
            <w:tcW w:w="1609" w:type="dxa"/>
            <w:shd w:val="clear" w:color="auto" w:fill="auto"/>
            <w:noWrap/>
          </w:tcPr>
          <w:p w14:paraId="562ABFCF" w14:textId="77777777" w:rsidR="00AC375F" w:rsidRPr="00AC375F" w:rsidRDefault="00AC375F" w:rsidP="00AC375F">
            <w:pPr>
              <w:jc w:val="center"/>
              <w:rPr>
                <w:sz w:val="18"/>
                <w:szCs w:val="18"/>
              </w:rPr>
            </w:pPr>
            <w:r w:rsidRPr="00AC375F">
              <w:rPr>
                <w:sz w:val="18"/>
                <w:szCs w:val="18"/>
              </w:rPr>
              <w:t>virtualno</w:t>
            </w:r>
          </w:p>
        </w:tc>
        <w:tc>
          <w:tcPr>
            <w:tcW w:w="940" w:type="dxa"/>
            <w:shd w:val="clear" w:color="auto" w:fill="auto"/>
            <w:noWrap/>
          </w:tcPr>
          <w:p w14:paraId="410D39F2" w14:textId="77777777" w:rsidR="00AC375F" w:rsidRPr="00AC375F" w:rsidRDefault="00AC375F" w:rsidP="00AC375F">
            <w:pPr>
              <w:jc w:val="center"/>
              <w:rPr>
                <w:sz w:val="18"/>
                <w:szCs w:val="18"/>
              </w:rPr>
            </w:pPr>
            <w:r w:rsidRPr="00AC375F">
              <w:rPr>
                <w:sz w:val="18"/>
                <w:szCs w:val="18"/>
              </w:rPr>
              <w:t>1</w:t>
            </w:r>
          </w:p>
        </w:tc>
        <w:tc>
          <w:tcPr>
            <w:tcW w:w="1305" w:type="dxa"/>
            <w:shd w:val="clear" w:color="auto" w:fill="auto"/>
            <w:noWrap/>
          </w:tcPr>
          <w:p w14:paraId="3374D946" w14:textId="77777777" w:rsidR="00AC375F" w:rsidRPr="00AC375F" w:rsidRDefault="00AC375F" w:rsidP="00AC375F">
            <w:pPr>
              <w:jc w:val="center"/>
              <w:rPr>
                <w:sz w:val="18"/>
                <w:szCs w:val="18"/>
              </w:rPr>
            </w:pPr>
            <w:r w:rsidRPr="00AC375F">
              <w:rPr>
                <w:sz w:val="18"/>
                <w:szCs w:val="18"/>
              </w:rPr>
              <w:t>svibanj</w:t>
            </w:r>
          </w:p>
        </w:tc>
        <w:tc>
          <w:tcPr>
            <w:tcW w:w="1249" w:type="dxa"/>
            <w:shd w:val="clear" w:color="auto" w:fill="auto"/>
            <w:noWrap/>
          </w:tcPr>
          <w:p w14:paraId="24C01C89" w14:textId="77777777" w:rsidR="00AC375F" w:rsidRPr="00AC375F" w:rsidRDefault="00AC375F" w:rsidP="00AC375F">
            <w:pPr>
              <w:jc w:val="center"/>
              <w:rPr>
                <w:sz w:val="18"/>
                <w:szCs w:val="18"/>
              </w:rPr>
            </w:pPr>
            <w:r w:rsidRPr="00AC375F">
              <w:rPr>
                <w:sz w:val="18"/>
                <w:szCs w:val="18"/>
              </w:rPr>
              <w:t>1</w:t>
            </w:r>
          </w:p>
        </w:tc>
      </w:tr>
      <w:tr w:rsidR="00AC375F" w:rsidRPr="00AC375F" w14:paraId="51EE67C9" w14:textId="77777777" w:rsidTr="00991955">
        <w:trPr>
          <w:trHeight w:val="240"/>
        </w:trPr>
        <w:tc>
          <w:tcPr>
            <w:tcW w:w="4390" w:type="dxa"/>
            <w:shd w:val="clear" w:color="auto" w:fill="auto"/>
            <w:noWrap/>
          </w:tcPr>
          <w:p w14:paraId="7C1E6302" w14:textId="77777777" w:rsidR="00AC375F" w:rsidRPr="00AC375F" w:rsidRDefault="00AC375F" w:rsidP="00AC375F">
            <w:pPr>
              <w:rPr>
                <w:b/>
                <w:bCs/>
                <w:sz w:val="18"/>
                <w:szCs w:val="18"/>
              </w:rPr>
            </w:pPr>
          </w:p>
        </w:tc>
        <w:tc>
          <w:tcPr>
            <w:tcW w:w="1609" w:type="dxa"/>
            <w:shd w:val="clear" w:color="auto" w:fill="auto"/>
            <w:noWrap/>
          </w:tcPr>
          <w:p w14:paraId="34C93671" w14:textId="77777777" w:rsidR="00AC375F" w:rsidRPr="00AC375F" w:rsidRDefault="00AC375F" w:rsidP="00AC375F">
            <w:pPr>
              <w:jc w:val="center"/>
              <w:rPr>
                <w:sz w:val="18"/>
                <w:szCs w:val="18"/>
              </w:rPr>
            </w:pPr>
            <w:r w:rsidRPr="00AC375F">
              <w:rPr>
                <w:sz w:val="18"/>
                <w:szCs w:val="18"/>
              </w:rPr>
              <w:t>virtualno</w:t>
            </w:r>
          </w:p>
        </w:tc>
        <w:tc>
          <w:tcPr>
            <w:tcW w:w="940" w:type="dxa"/>
            <w:shd w:val="clear" w:color="auto" w:fill="auto"/>
            <w:noWrap/>
          </w:tcPr>
          <w:p w14:paraId="263A6A7D" w14:textId="77777777" w:rsidR="00AC375F" w:rsidRPr="00AC375F" w:rsidRDefault="00AC375F" w:rsidP="00AC375F">
            <w:pPr>
              <w:jc w:val="center"/>
              <w:rPr>
                <w:sz w:val="18"/>
                <w:szCs w:val="18"/>
              </w:rPr>
            </w:pPr>
            <w:r w:rsidRPr="00AC375F">
              <w:rPr>
                <w:sz w:val="18"/>
                <w:szCs w:val="18"/>
              </w:rPr>
              <w:t>1</w:t>
            </w:r>
          </w:p>
        </w:tc>
        <w:tc>
          <w:tcPr>
            <w:tcW w:w="1305" w:type="dxa"/>
            <w:shd w:val="clear" w:color="auto" w:fill="auto"/>
            <w:noWrap/>
          </w:tcPr>
          <w:p w14:paraId="2A14044B" w14:textId="77777777" w:rsidR="00AC375F" w:rsidRPr="00AC375F" w:rsidRDefault="00AC375F" w:rsidP="00AC375F">
            <w:pPr>
              <w:jc w:val="center"/>
              <w:rPr>
                <w:sz w:val="18"/>
                <w:szCs w:val="18"/>
              </w:rPr>
            </w:pPr>
            <w:r w:rsidRPr="00AC375F">
              <w:rPr>
                <w:sz w:val="18"/>
                <w:szCs w:val="18"/>
              </w:rPr>
              <w:t>srpanj</w:t>
            </w:r>
          </w:p>
        </w:tc>
        <w:tc>
          <w:tcPr>
            <w:tcW w:w="1249" w:type="dxa"/>
            <w:shd w:val="clear" w:color="auto" w:fill="auto"/>
            <w:noWrap/>
          </w:tcPr>
          <w:p w14:paraId="5CF584A4" w14:textId="77777777" w:rsidR="00AC375F" w:rsidRPr="00AC375F" w:rsidRDefault="00AC375F" w:rsidP="00AC375F">
            <w:pPr>
              <w:jc w:val="center"/>
              <w:rPr>
                <w:sz w:val="18"/>
                <w:szCs w:val="18"/>
              </w:rPr>
            </w:pPr>
            <w:r w:rsidRPr="00AC375F">
              <w:rPr>
                <w:sz w:val="18"/>
                <w:szCs w:val="18"/>
              </w:rPr>
              <w:t>1</w:t>
            </w:r>
          </w:p>
        </w:tc>
      </w:tr>
      <w:tr w:rsidR="00AC375F" w:rsidRPr="00AC375F" w14:paraId="19BC48D4" w14:textId="77777777" w:rsidTr="00991955">
        <w:trPr>
          <w:trHeight w:val="240"/>
        </w:trPr>
        <w:tc>
          <w:tcPr>
            <w:tcW w:w="4390" w:type="dxa"/>
            <w:shd w:val="clear" w:color="auto" w:fill="auto"/>
            <w:noWrap/>
          </w:tcPr>
          <w:p w14:paraId="42106C8D" w14:textId="77777777" w:rsidR="00AC375F" w:rsidRPr="00AC375F" w:rsidRDefault="00AC375F" w:rsidP="00AC375F">
            <w:pPr>
              <w:rPr>
                <w:b/>
                <w:bCs/>
                <w:sz w:val="18"/>
                <w:szCs w:val="18"/>
              </w:rPr>
            </w:pPr>
          </w:p>
        </w:tc>
        <w:tc>
          <w:tcPr>
            <w:tcW w:w="1609" w:type="dxa"/>
            <w:shd w:val="clear" w:color="auto" w:fill="auto"/>
            <w:noWrap/>
          </w:tcPr>
          <w:p w14:paraId="0B213198" w14:textId="77777777" w:rsidR="00AC375F" w:rsidRPr="00AC375F" w:rsidRDefault="00AC375F" w:rsidP="00AC375F">
            <w:pPr>
              <w:jc w:val="center"/>
              <w:rPr>
                <w:sz w:val="18"/>
                <w:szCs w:val="18"/>
              </w:rPr>
            </w:pPr>
            <w:r w:rsidRPr="00AC375F">
              <w:rPr>
                <w:sz w:val="18"/>
                <w:szCs w:val="18"/>
              </w:rPr>
              <w:t>Bruxelles</w:t>
            </w:r>
          </w:p>
        </w:tc>
        <w:tc>
          <w:tcPr>
            <w:tcW w:w="940" w:type="dxa"/>
            <w:shd w:val="clear" w:color="auto" w:fill="auto"/>
            <w:noWrap/>
          </w:tcPr>
          <w:p w14:paraId="13785BEE" w14:textId="77777777" w:rsidR="00AC375F" w:rsidRPr="00AC375F" w:rsidRDefault="00AC375F" w:rsidP="00AC375F">
            <w:pPr>
              <w:jc w:val="center"/>
              <w:rPr>
                <w:sz w:val="18"/>
                <w:szCs w:val="18"/>
              </w:rPr>
            </w:pPr>
            <w:r w:rsidRPr="00AC375F">
              <w:rPr>
                <w:sz w:val="18"/>
                <w:szCs w:val="18"/>
              </w:rPr>
              <w:t>1</w:t>
            </w:r>
          </w:p>
        </w:tc>
        <w:tc>
          <w:tcPr>
            <w:tcW w:w="1305" w:type="dxa"/>
            <w:shd w:val="clear" w:color="auto" w:fill="auto"/>
            <w:noWrap/>
          </w:tcPr>
          <w:p w14:paraId="0B6B666C" w14:textId="77777777" w:rsidR="00AC375F" w:rsidRPr="00AC375F" w:rsidRDefault="00AC375F" w:rsidP="00AC375F">
            <w:pPr>
              <w:jc w:val="center"/>
              <w:rPr>
                <w:sz w:val="18"/>
                <w:szCs w:val="18"/>
              </w:rPr>
            </w:pPr>
            <w:r w:rsidRPr="00AC375F">
              <w:rPr>
                <w:sz w:val="18"/>
                <w:szCs w:val="18"/>
              </w:rPr>
              <w:t>rujan</w:t>
            </w:r>
          </w:p>
        </w:tc>
        <w:tc>
          <w:tcPr>
            <w:tcW w:w="1249" w:type="dxa"/>
            <w:shd w:val="clear" w:color="auto" w:fill="auto"/>
            <w:noWrap/>
          </w:tcPr>
          <w:p w14:paraId="3244F01D" w14:textId="77777777" w:rsidR="00AC375F" w:rsidRPr="00AC375F" w:rsidRDefault="00AC375F" w:rsidP="00AC375F">
            <w:pPr>
              <w:jc w:val="center"/>
              <w:rPr>
                <w:sz w:val="18"/>
                <w:szCs w:val="18"/>
              </w:rPr>
            </w:pPr>
            <w:r w:rsidRPr="00AC375F">
              <w:rPr>
                <w:sz w:val="18"/>
                <w:szCs w:val="18"/>
              </w:rPr>
              <w:t>1</w:t>
            </w:r>
          </w:p>
        </w:tc>
      </w:tr>
      <w:tr w:rsidR="00AC375F" w:rsidRPr="00AC375F" w14:paraId="6A1BEB19" w14:textId="77777777" w:rsidTr="00991955">
        <w:trPr>
          <w:trHeight w:val="240"/>
        </w:trPr>
        <w:tc>
          <w:tcPr>
            <w:tcW w:w="4390" w:type="dxa"/>
            <w:shd w:val="clear" w:color="auto" w:fill="auto"/>
            <w:noWrap/>
          </w:tcPr>
          <w:p w14:paraId="67429AA5" w14:textId="77777777" w:rsidR="00AC375F" w:rsidRPr="00AC375F" w:rsidRDefault="00AC375F" w:rsidP="00AC375F">
            <w:pPr>
              <w:rPr>
                <w:b/>
                <w:bCs/>
                <w:sz w:val="18"/>
                <w:szCs w:val="18"/>
              </w:rPr>
            </w:pPr>
          </w:p>
        </w:tc>
        <w:tc>
          <w:tcPr>
            <w:tcW w:w="1609" w:type="dxa"/>
            <w:shd w:val="clear" w:color="auto" w:fill="auto"/>
            <w:noWrap/>
          </w:tcPr>
          <w:p w14:paraId="01339D89" w14:textId="77777777" w:rsidR="00AC375F" w:rsidRPr="00AC375F" w:rsidRDefault="00AC375F" w:rsidP="00AC375F">
            <w:pPr>
              <w:jc w:val="center"/>
              <w:rPr>
                <w:sz w:val="18"/>
                <w:szCs w:val="18"/>
              </w:rPr>
            </w:pPr>
            <w:r w:rsidRPr="00AC375F">
              <w:rPr>
                <w:sz w:val="18"/>
                <w:szCs w:val="18"/>
              </w:rPr>
              <w:t>virtualno</w:t>
            </w:r>
          </w:p>
        </w:tc>
        <w:tc>
          <w:tcPr>
            <w:tcW w:w="940" w:type="dxa"/>
            <w:shd w:val="clear" w:color="auto" w:fill="auto"/>
            <w:noWrap/>
          </w:tcPr>
          <w:p w14:paraId="342F5255" w14:textId="77777777" w:rsidR="00AC375F" w:rsidRPr="00AC375F" w:rsidRDefault="00AC375F" w:rsidP="00AC375F">
            <w:pPr>
              <w:jc w:val="center"/>
              <w:rPr>
                <w:sz w:val="18"/>
                <w:szCs w:val="18"/>
              </w:rPr>
            </w:pPr>
            <w:r w:rsidRPr="00AC375F">
              <w:rPr>
                <w:sz w:val="18"/>
                <w:szCs w:val="18"/>
              </w:rPr>
              <w:t>1</w:t>
            </w:r>
          </w:p>
        </w:tc>
        <w:tc>
          <w:tcPr>
            <w:tcW w:w="1305" w:type="dxa"/>
            <w:shd w:val="clear" w:color="auto" w:fill="auto"/>
            <w:noWrap/>
          </w:tcPr>
          <w:p w14:paraId="16765E40" w14:textId="77777777" w:rsidR="00AC375F" w:rsidRPr="00AC375F" w:rsidRDefault="00AC375F" w:rsidP="00AC375F">
            <w:pPr>
              <w:jc w:val="center"/>
              <w:rPr>
                <w:sz w:val="18"/>
                <w:szCs w:val="18"/>
              </w:rPr>
            </w:pPr>
            <w:r w:rsidRPr="00AC375F">
              <w:rPr>
                <w:sz w:val="18"/>
                <w:szCs w:val="18"/>
              </w:rPr>
              <w:t>rujan</w:t>
            </w:r>
          </w:p>
        </w:tc>
        <w:tc>
          <w:tcPr>
            <w:tcW w:w="1249" w:type="dxa"/>
            <w:shd w:val="clear" w:color="auto" w:fill="auto"/>
            <w:noWrap/>
          </w:tcPr>
          <w:p w14:paraId="560A7449" w14:textId="77777777" w:rsidR="00AC375F" w:rsidRPr="00AC375F" w:rsidRDefault="00AC375F" w:rsidP="00AC375F">
            <w:pPr>
              <w:jc w:val="center"/>
              <w:rPr>
                <w:sz w:val="18"/>
                <w:szCs w:val="18"/>
              </w:rPr>
            </w:pPr>
            <w:r w:rsidRPr="00AC375F">
              <w:rPr>
                <w:sz w:val="18"/>
                <w:szCs w:val="18"/>
              </w:rPr>
              <w:t>1</w:t>
            </w:r>
          </w:p>
        </w:tc>
      </w:tr>
      <w:tr w:rsidR="00AC375F" w:rsidRPr="00AC375F" w14:paraId="51CD26EE" w14:textId="77777777" w:rsidTr="00991955">
        <w:trPr>
          <w:trHeight w:val="240"/>
        </w:trPr>
        <w:tc>
          <w:tcPr>
            <w:tcW w:w="4390" w:type="dxa"/>
            <w:shd w:val="clear" w:color="auto" w:fill="auto"/>
            <w:noWrap/>
          </w:tcPr>
          <w:p w14:paraId="4C1706AE" w14:textId="77777777" w:rsidR="00AC375F" w:rsidRPr="00AC375F" w:rsidRDefault="00AC375F" w:rsidP="00AC375F">
            <w:pPr>
              <w:rPr>
                <w:b/>
                <w:bCs/>
                <w:sz w:val="18"/>
                <w:szCs w:val="18"/>
              </w:rPr>
            </w:pPr>
          </w:p>
        </w:tc>
        <w:tc>
          <w:tcPr>
            <w:tcW w:w="1609" w:type="dxa"/>
            <w:shd w:val="clear" w:color="auto" w:fill="auto"/>
            <w:noWrap/>
          </w:tcPr>
          <w:p w14:paraId="2A6830EE" w14:textId="77777777" w:rsidR="00AC375F" w:rsidRPr="00AC375F" w:rsidRDefault="00AC375F" w:rsidP="00AC375F">
            <w:pPr>
              <w:jc w:val="center"/>
              <w:rPr>
                <w:sz w:val="18"/>
                <w:szCs w:val="18"/>
              </w:rPr>
            </w:pPr>
            <w:r w:rsidRPr="00AC375F">
              <w:rPr>
                <w:sz w:val="18"/>
                <w:szCs w:val="18"/>
              </w:rPr>
              <w:t>virtualno</w:t>
            </w:r>
          </w:p>
        </w:tc>
        <w:tc>
          <w:tcPr>
            <w:tcW w:w="940" w:type="dxa"/>
            <w:shd w:val="clear" w:color="auto" w:fill="auto"/>
            <w:noWrap/>
          </w:tcPr>
          <w:p w14:paraId="7A29EDA1" w14:textId="77777777" w:rsidR="00AC375F" w:rsidRPr="00AC375F" w:rsidRDefault="00AC375F" w:rsidP="00AC375F">
            <w:pPr>
              <w:jc w:val="center"/>
              <w:rPr>
                <w:sz w:val="18"/>
                <w:szCs w:val="18"/>
              </w:rPr>
            </w:pPr>
            <w:r w:rsidRPr="00AC375F">
              <w:rPr>
                <w:sz w:val="18"/>
                <w:szCs w:val="18"/>
              </w:rPr>
              <w:t>1</w:t>
            </w:r>
          </w:p>
        </w:tc>
        <w:tc>
          <w:tcPr>
            <w:tcW w:w="1305" w:type="dxa"/>
            <w:shd w:val="clear" w:color="auto" w:fill="auto"/>
            <w:noWrap/>
          </w:tcPr>
          <w:p w14:paraId="358E2B28" w14:textId="77777777" w:rsidR="00AC375F" w:rsidRPr="00AC375F" w:rsidRDefault="00AC375F" w:rsidP="00AC375F">
            <w:pPr>
              <w:jc w:val="center"/>
              <w:rPr>
                <w:sz w:val="18"/>
                <w:szCs w:val="18"/>
              </w:rPr>
            </w:pPr>
            <w:r w:rsidRPr="00AC375F">
              <w:rPr>
                <w:sz w:val="18"/>
                <w:szCs w:val="18"/>
              </w:rPr>
              <w:t>listopad</w:t>
            </w:r>
          </w:p>
        </w:tc>
        <w:tc>
          <w:tcPr>
            <w:tcW w:w="1249" w:type="dxa"/>
            <w:shd w:val="clear" w:color="auto" w:fill="auto"/>
            <w:noWrap/>
          </w:tcPr>
          <w:p w14:paraId="2A1A6623" w14:textId="77777777" w:rsidR="00AC375F" w:rsidRPr="00AC375F" w:rsidRDefault="00AC375F" w:rsidP="00AC375F">
            <w:pPr>
              <w:jc w:val="center"/>
              <w:rPr>
                <w:sz w:val="18"/>
                <w:szCs w:val="18"/>
              </w:rPr>
            </w:pPr>
            <w:r w:rsidRPr="00AC375F">
              <w:rPr>
                <w:sz w:val="18"/>
                <w:szCs w:val="18"/>
              </w:rPr>
              <w:t>1</w:t>
            </w:r>
          </w:p>
        </w:tc>
      </w:tr>
      <w:tr w:rsidR="00AC375F" w:rsidRPr="00AC375F" w14:paraId="6F5CECF5" w14:textId="77777777" w:rsidTr="00991955">
        <w:trPr>
          <w:trHeight w:val="240"/>
        </w:trPr>
        <w:tc>
          <w:tcPr>
            <w:tcW w:w="4390" w:type="dxa"/>
            <w:shd w:val="clear" w:color="auto" w:fill="auto"/>
            <w:noWrap/>
          </w:tcPr>
          <w:p w14:paraId="465B469C" w14:textId="77777777" w:rsidR="00AC375F" w:rsidRPr="00AC375F" w:rsidRDefault="00AC375F" w:rsidP="00AC375F">
            <w:pPr>
              <w:rPr>
                <w:b/>
                <w:bCs/>
                <w:sz w:val="18"/>
                <w:szCs w:val="18"/>
              </w:rPr>
            </w:pPr>
          </w:p>
        </w:tc>
        <w:tc>
          <w:tcPr>
            <w:tcW w:w="1609" w:type="dxa"/>
            <w:shd w:val="clear" w:color="auto" w:fill="auto"/>
            <w:noWrap/>
          </w:tcPr>
          <w:p w14:paraId="36B0B9D2" w14:textId="77777777" w:rsidR="00AC375F" w:rsidRPr="00AC375F" w:rsidRDefault="00AC375F" w:rsidP="00AC375F">
            <w:pPr>
              <w:jc w:val="center"/>
              <w:rPr>
                <w:sz w:val="18"/>
                <w:szCs w:val="18"/>
              </w:rPr>
            </w:pPr>
            <w:r w:rsidRPr="00AC375F">
              <w:rPr>
                <w:sz w:val="18"/>
                <w:szCs w:val="18"/>
              </w:rPr>
              <w:t>virtualno</w:t>
            </w:r>
          </w:p>
        </w:tc>
        <w:tc>
          <w:tcPr>
            <w:tcW w:w="940" w:type="dxa"/>
            <w:shd w:val="clear" w:color="auto" w:fill="auto"/>
            <w:noWrap/>
          </w:tcPr>
          <w:p w14:paraId="34D57D63" w14:textId="77777777" w:rsidR="00AC375F" w:rsidRPr="00AC375F" w:rsidRDefault="00AC375F" w:rsidP="00AC375F">
            <w:pPr>
              <w:jc w:val="center"/>
              <w:rPr>
                <w:sz w:val="18"/>
                <w:szCs w:val="18"/>
              </w:rPr>
            </w:pPr>
            <w:r w:rsidRPr="00AC375F">
              <w:rPr>
                <w:sz w:val="18"/>
                <w:szCs w:val="18"/>
              </w:rPr>
              <w:t>1</w:t>
            </w:r>
          </w:p>
        </w:tc>
        <w:tc>
          <w:tcPr>
            <w:tcW w:w="1305" w:type="dxa"/>
            <w:shd w:val="clear" w:color="auto" w:fill="auto"/>
            <w:noWrap/>
          </w:tcPr>
          <w:p w14:paraId="7D381F78" w14:textId="77777777" w:rsidR="00AC375F" w:rsidRPr="00AC375F" w:rsidRDefault="00AC375F" w:rsidP="00AC375F">
            <w:pPr>
              <w:jc w:val="center"/>
              <w:rPr>
                <w:sz w:val="18"/>
                <w:szCs w:val="18"/>
              </w:rPr>
            </w:pPr>
            <w:r w:rsidRPr="00AC375F">
              <w:rPr>
                <w:sz w:val="18"/>
                <w:szCs w:val="18"/>
              </w:rPr>
              <w:t>studeni</w:t>
            </w:r>
          </w:p>
        </w:tc>
        <w:tc>
          <w:tcPr>
            <w:tcW w:w="1249" w:type="dxa"/>
            <w:shd w:val="clear" w:color="auto" w:fill="auto"/>
            <w:noWrap/>
          </w:tcPr>
          <w:p w14:paraId="6D1C3CFF" w14:textId="77777777" w:rsidR="00AC375F" w:rsidRPr="00AC375F" w:rsidRDefault="00AC375F" w:rsidP="00AC375F">
            <w:pPr>
              <w:jc w:val="center"/>
              <w:rPr>
                <w:sz w:val="18"/>
                <w:szCs w:val="18"/>
              </w:rPr>
            </w:pPr>
            <w:r w:rsidRPr="00AC375F">
              <w:rPr>
                <w:sz w:val="18"/>
                <w:szCs w:val="18"/>
              </w:rPr>
              <w:t>1</w:t>
            </w:r>
          </w:p>
        </w:tc>
      </w:tr>
      <w:tr w:rsidR="00AC375F" w:rsidRPr="00AC375F" w14:paraId="33D2C033" w14:textId="77777777" w:rsidTr="00991955">
        <w:trPr>
          <w:trHeight w:val="240"/>
        </w:trPr>
        <w:tc>
          <w:tcPr>
            <w:tcW w:w="4390" w:type="dxa"/>
            <w:shd w:val="clear" w:color="auto" w:fill="auto"/>
            <w:noWrap/>
          </w:tcPr>
          <w:p w14:paraId="5AFB699D" w14:textId="77777777" w:rsidR="00AC375F" w:rsidRPr="00AC375F" w:rsidRDefault="00AC375F" w:rsidP="00AC375F">
            <w:pPr>
              <w:rPr>
                <w:b/>
                <w:bCs/>
                <w:sz w:val="18"/>
                <w:szCs w:val="18"/>
              </w:rPr>
            </w:pPr>
          </w:p>
        </w:tc>
        <w:tc>
          <w:tcPr>
            <w:tcW w:w="1609" w:type="dxa"/>
            <w:shd w:val="clear" w:color="auto" w:fill="auto"/>
            <w:noWrap/>
          </w:tcPr>
          <w:p w14:paraId="7A0F9A8D" w14:textId="77777777" w:rsidR="00AC375F" w:rsidRPr="00AC375F" w:rsidRDefault="00AC375F" w:rsidP="00AC375F">
            <w:pPr>
              <w:jc w:val="center"/>
              <w:rPr>
                <w:sz w:val="18"/>
                <w:szCs w:val="18"/>
              </w:rPr>
            </w:pPr>
            <w:r w:rsidRPr="00AC375F">
              <w:rPr>
                <w:sz w:val="18"/>
                <w:szCs w:val="18"/>
              </w:rPr>
              <w:t>Bruxelles</w:t>
            </w:r>
          </w:p>
        </w:tc>
        <w:tc>
          <w:tcPr>
            <w:tcW w:w="940" w:type="dxa"/>
            <w:shd w:val="clear" w:color="auto" w:fill="auto"/>
            <w:noWrap/>
          </w:tcPr>
          <w:p w14:paraId="43A9105A" w14:textId="77777777" w:rsidR="00AC375F" w:rsidRPr="00AC375F" w:rsidRDefault="00AC375F" w:rsidP="00AC375F">
            <w:pPr>
              <w:jc w:val="center"/>
              <w:rPr>
                <w:sz w:val="18"/>
                <w:szCs w:val="18"/>
              </w:rPr>
            </w:pPr>
            <w:r w:rsidRPr="00AC375F">
              <w:rPr>
                <w:sz w:val="18"/>
                <w:szCs w:val="18"/>
              </w:rPr>
              <w:t>1</w:t>
            </w:r>
          </w:p>
        </w:tc>
        <w:tc>
          <w:tcPr>
            <w:tcW w:w="1305" w:type="dxa"/>
            <w:shd w:val="clear" w:color="auto" w:fill="auto"/>
            <w:noWrap/>
          </w:tcPr>
          <w:p w14:paraId="47E533B9" w14:textId="77777777" w:rsidR="00AC375F" w:rsidRPr="00AC375F" w:rsidRDefault="00AC375F" w:rsidP="00AC375F">
            <w:pPr>
              <w:jc w:val="center"/>
              <w:rPr>
                <w:sz w:val="18"/>
                <w:szCs w:val="18"/>
              </w:rPr>
            </w:pPr>
            <w:r w:rsidRPr="00AC375F">
              <w:rPr>
                <w:sz w:val="18"/>
                <w:szCs w:val="18"/>
              </w:rPr>
              <w:t>studeni</w:t>
            </w:r>
          </w:p>
        </w:tc>
        <w:tc>
          <w:tcPr>
            <w:tcW w:w="1249" w:type="dxa"/>
            <w:shd w:val="clear" w:color="auto" w:fill="auto"/>
            <w:noWrap/>
          </w:tcPr>
          <w:p w14:paraId="3EFE10AE" w14:textId="77777777" w:rsidR="00AC375F" w:rsidRPr="00AC375F" w:rsidRDefault="00AC375F" w:rsidP="00AC375F">
            <w:pPr>
              <w:jc w:val="center"/>
              <w:rPr>
                <w:sz w:val="18"/>
                <w:szCs w:val="18"/>
              </w:rPr>
            </w:pPr>
            <w:r w:rsidRPr="00AC375F">
              <w:rPr>
                <w:sz w:val="18"/>
                <w:szCs w:val="18"/>
              </w:rPr>
              <w:t>1</w:t>
            </w:r>
          </w:p>
        </w:tc>
      </w:tr>
      <w:tr w:rsidR="00AC375F" w:rsidRPr="00AC375F" w14:paraId="3BE820F5" w14:textId="77777777" w:rsidTr="00991955">
        <w:trPr>
          <w:trHeight w:val="240"/>
        </w:trPr>
        <w:tc>
          <w:tcPr>
            <w:tcW w:w="4390" w:type="dxa"/>
            <w:shd w:val="clear" w:color="auto" w:fill="auto"/>
            <w:noWrap/>
          </w:tcPr>
          <w:p w14:paraId="372427F7" w14:textId="77777777" w:rsidR="00AC375F" w:rsidRPr="00AC375F" w:rsidRDefault="00AC375F" w:rsidP="00AC375F">
            <w:pPr>
              <w:rPr>
                <w:b/>
                <w:bCs/>
                <w:sz w:val="18"/>
                <w:szCs w:val="18"/>
              </w:rPr>
            </w:pPr>
          </w:p>
        </w:tc>
        <w:tc>
          <w:tcPr>
            <w:tcW w:w="1609" w:type="dxa"/>
            <w:shd w:val="clear" w:color="auto" w:fill="auto"/>
            <w:noWrap/>
          </w:tcPr>
          <w:p w14:paraId="011DF47E" w14:textId="77777777" w:rsidR="00AC375F" w:rsidRPr="00AC375F" w:rsidRDefault="00AC375F" w:rsidP="00AC375F">
            <w:pPr>
              <w:jc w:val="center"/>
              <w:rPr>
                <w:sz w:val="18"/>
                <w:szCs w:val="18"/>
              </w:rPr>
            </w:pPr>
            <w:r w:rsidRPr="00AC375F">
              <w:rPr>
                <w:sz w:val="18"/>
                <w:szCs w:val="18"/>
              </w:rPr>
              <w:t>virtualno</w:t>
            </w:r>
          </w:p>
        </w:tc>
        <w:tc>
          <w:tcPr>
            <w:tcW w:w="940" w:type="dxa"/>
            <w:shd w:val="clear" w:color="auto" w:fill="auto"/>
            <w:noWrap/>
          </w:tcPr>
          <w:p w14:paraId="75393D5E" w14:textId="77777777" w:rsidR="00AC375F" w:rsidRPr="00AC375F" w:rsidRDefault="00AC375F" w:rsidP="00AC375F">
            <w:pPr>
              <w:jc w:val="center"/>
              <w:rPr>
                <w:sz w:val="18"/>
                <w:szCs w:val="18"/>
              </w:rPr>
            </w:pPr>
            <w:r w:rsidRPr="00AC375F">
              <w:rPr>
                <w:sz w:val="18"/>
                <w:szCs w:val="18"/>
              </w:rPr>
              <w:t>1</w:t>
            </w:r>
          </w:p>
        </w:tc>
        <w:tc>
          <w:tcPr>
            <w:tcW w:w="1305" w:type="dxa"/>
            <w:shd w:val="clear" w:color="auto" w:fill="auto"/>
            <w:noWrap/>
          </w:tcPr>
          <w:p w14:paraId="2FF436D0" w14:textId="77777777" w:rsidR="00AC375F" w:rsidRPr="00AC375F" w:rsidRDefault="00AC375F" w:rsidP="00AC375F">
            <w:pPr>
              <w:jc w:val="center"/>
              <w:rPr>
                <w:sz w:val="18"/>
                <w:szCs w:val="18"/>
              </w:rPr>
            </w:pPr>
            <w:r w:rsidRPr="00AC375F">
              <w:rPr>
                <w:sz w:val="18"/>
                <w:szCs w:val="18"/>
              </w:rPr>
              <w:t>prosinac</w:t>
            </w:r>
          </w:p>
        </w:tc>
        <w:tc>
          <w:tcPr>
            <w:tcW w:w="1249" w:type="dxa"/>
            <w:shd w:val="clear" w:color="auto" w:fill="auto"/>
            <w:noWrap/>
          </w:tcPr>
          <w:p w14:paraId="46E78BB9" w14:textId="77777777" w:rsidR="00AC375F" w:rsidRPr="00AC375F" w:rsidRDefault="00AC375F" w:rsidP="00AC375F">
            <w:pPr>
              <w:jc w:val="center"/>
              <w:rPr>
                <w:sz w:val="18"/>
                <w:szCs w:val="18"/>
              </w:rPr>
            </w:pPr>
            <w:r w:rsidRPr="00AC375F">
              <w:rPr>
                <w:sz w:val="18"/>
                <w:szCs w:val="18"/>
              </w:rPr>
              <w:t>1</w:t>
            </w:r>
          </w:p>
        </w:tc>
      </w:tr>
      <w:tr w:rsidR="00AC375F" w:rsidRPr="00AC375F" w14:paraId="3183EA3B" w14:textId="77777777" w:rsidTr="00991955">
        <w:trPr>
          <w:trHeight w:val="240"/>
        </w:trPr>
        <w:tc>
          <w:tcPr>
            <w:tcW w:w="4390" w:type="dxa"/>
            <w:shd w:val="clear" w:color="auto" w:fill="auto"/>
            <w:noWrap/>
          </w:tcPr>
          <w:p w14:paraId="53452E4B" w14:textId="77777777" w:rsidR="00AC375F" w:rsidRPr="00AC375F" w:rsidRDefault="00AC375F" w:rsidP="00AC375F">
            <w:pPr>
              <w:rPr>
                <w:b/>
                <w:bCs/>
                <w:sz w:val="18"/>
                <w:szCs w:val="18"/>
              </w:rPr>
            </w:pPr>
          </w:p>
        </w:tc>
        <w:tc>
          <w:tcPr>
            <w:tcW w:w="1609" w:type="dxa"/>
            <w:shd w:val="clear" w:color="auto" w:fill="auto"/>
            <w:noWrap/>
          </w:tcPr>
          <w:p w14:paraId="200DE48A" w14:textId="77777777" w:rsidR="00AC375F" w:rsidRPr="00AC375F" w:rsidRDefault="00AC375F" w:rsidP="00AC375F">
            <w:pPr>
              <w:jc w:val="center"/>
              <w:rPr>
                <w:sz w:val="18"/>
                <w:szCs w:val="18"/>
              </w:rPr>
            </w:pPr>
          </w:p>
        </w:tc>
        <w:tc>
          <w:tcPr>
            <w:tcW w:w="940" w:type="dxa"/>
            <w:shd w:val="clear" w:color="auto" w:fill="auto"/>
            <w:noWrap/>
          </w:tcPr>
          <w:p w14:paraId="50054E2F" w14:textId="77777777" w:rsidR="00AC375F" w:rsidRPr="00AC375F" w:rsidRDefault="00AC375F" w:rsidP="00AC375F">
            <w:pPr>
              <w:jc w:val="center"/>
              <w:rPr>
                <w:sz w:val="18"/>
                <w:szCs w:val="18"/>
              </w:rPr>
            </w:pPr>
          </w:p>
        </w:tc>
        <w:tc>
          <w:tcPr>
            <w:tcW w:w="1305" w:type="dxa"/>
            <w:shd w:val="clear" w:color="auto" w:fill="auto"/>
            <w:noWrap/>
          </w:tcPr>
          <w:p w14:paraId="769548EC" w14:textId="77777777" w:rsidR="00AC375F" w:rsidRPr="00AC375F" w:rsidRDefault="00AC375F" w:rsidP="00AC375F">
            <w:pPr>
              <w:jc w:val="center"/>
              <w:rPr>
                <w:sz w:val="18"/>
                <w:szCs w:val="18"/>
              </w:rPr>
            </w:pPr>
          </w:p>
        </w:tc>
        <w:tc>
          <w:tcPr>
            <w:tcW w:w="1249" w:type="dxa"/>
            <w:shd w:val="clear" w:color="auto" w:fill="auto"/>
            <w:noWrap/>
          </w:tcPr>
          <w:p w14:paraId="581B7C7F" w14:textId="77777777" w:rsidR="00AC375F" w:rsidRPr="00AC375F" w:rsidRDefault="00AC375F" w:rsidP="00AC375F">
            <w:pPr>
              <w:jc w:val="center"/>
              <w:rPr>
                <w:sz w:val="18"/>
                <w:szCs w:val="18"/>
              </w:rPr>
            </w:pPr>
          </w:p>
        </w:tc>
      </w:tr>
      <w:tr w:rsidR="00AC375F" w:rsidRPr="00AC375F" w14:paraId="0757563D" w14:textId="77777777" w:rsidTr="00991955">
        <w:trPr>
          <w:trHeight w:val="240"/>
        </w:trPr>
        <w:tc>
          <w:tcPr>
            <w:tcW w:w="4390" w:type="dxa"/>
            <w:shd w:val="clear" w:color="auto" w:fill="auto"/>
            <w:noWrap/>
          </w:tcPr>
          <w:p w14:paraId="2CBDA7F6" w14:textId="77777777" w:rsidR="00AC375F" w:rsidRPr="00AC375F" w:rsidRDefault="00AC375F" w:rsidP="00AC375F">
            <w:pPr>
              <w:rPr>
                <w:b/>
                <w:bCs/>
                <w:sz w:val="18"/>
                <w:szCs w:val="18"/>
              </w:rPr>
            </w:pPr>
            <w:r w:rsidRPr="00AC375F">
              <w:rPr>
                <w:b/>
                <w:bCs/>
                <w:sz w:val="18"/>
                <w:szCs w:val="18"/>
              </w:rPr>
              <w:t>Podgrupa za prepoznavanje zdravstvenih tehnologija u nastajanju (Identification of the Emering Health Technologies Subgroup</w:t>
            </w:r>
          </w:p>
        </w:tc>
        <w:tc>
          <w:tcPr>
            <w:tcW w:w="1609" w:type="dxa"/>
            <w:shd w:val="clear" w:color="auto" w:fill="auto"/>
            <w:noWrap/>
          </w:tcPr>
          <w:p w14:paraId="02E149A2" w14:textId="77777777" w:rsidR="00AC375F" w:rsidRPr="00AC375F" w:rsidRDefault="00AC375F" w:rsidP="00AC375F">
            <w:pPr>
              <w:jc w:val="center"/>
              <w:rPr>
                <w:sz w:val="18"/>
                <w:szCs w:val="18"/>
              </w:rPr>
            </w:pPr>
            <w:r w:rsidRPr="00AC375F">
              <w:rPr>
                <w:sz w:val="18"/>
                <w:szCs w:val="18"/>
              </w:rPr>
              <w:t>Bruxelles</w:t>
            </w:r>
          </w:p>
        </w:tc>
        <w:tc>
          <w:tcPr>
            <w:tcW w:w="940" w:type="dxa"/>
            <w:shd w:val="clear" w:color="auto" w:fill="auto"/>
            <w:noWrap/>
          </w:tcPr>
          <w:p w14:paraId="17D28759" w14:textId="77777777" w:rsidR="00AC375F" w:rsidRPr="00AC375F" w:rsidRDefault="00AC375F" w:rsidP="00AC375F">
            <w:pPr>
              <w:jc w:val="center"/>
              <w:rPr>
                <w:sz w:val="18"/>
                <w:szCs w:val="18"/>
              </w:rPr>
            </w:pPr>
            <w:r w:rsidRPr="00AC375F">
              <w:rPr>
                <w:sz w:val="18"/>
                <w:szCs w:val="18"/>
              </w:rPr>
              <w:t>1</w:t>
            </w:r>
          </w:p>
        </w:tc>
        <w:tc>
          <w:tcPr>
            <w:tcW w:w="1305" w:type="dxa"/>
            <w:shd w:val="clear" w:color="auto" w:fill="auto"/>
            <w:noWrap/>
          </w:tcPr>
          <w:p w14:paraId="029F1D5B" w14:textId="77777777" w:rsidR="00AC375F" w:rsidRPr="00AC375F" w:rsidRDefault="00AC375F" w:rsidP="00AC375F">
            <w:pPr>
              <w:jc w:val="center"/>
              <w:rPr>
                <w:sz w:val="18"/>
                <w:szCs w:val="18"/>
              </w:rPr>
            </w:pPr>
            <w:r w:rsidRPr="00AC375F">
              <w:rPr>
                <w:sz w:val="18"/>
                <w:szCs w:val="18"/>
              </w:rPr>
              <w:t>travanj</w:t>
            </w:r>
          </w:p>
        </w:tc>
        <w:tc>
          <w:tcPr>
            <w:tcW w:w="1249" w:type="dxa"/>
            <w:shd w:val="clear" w:color="auto" w:fill="auto"/>
            <w:noWrap/>
          </w:tcPr>
          <w:p w14:paraId="2D35E322" w14:textId="77777777" w:rsidR="00AC375F" w:rsidRPr="00AC375F" w:rsidRDefault="00AC375F" w:rsidP="00AC375F">
            <w:pPr>
              <w:jc w:val="center"/>
              <w:rPr>
                <w:sz w:val="18"/>
                <w:szCs w:val="18"/>
              </w:rPr>
            </w:pPr>
            <w:r w:rsidRPr="00AC375F">
              <w:rPr>
                <w:sz w:val="18"/>
                <w:szCs w:val="18"/>
              </w:rPr>
              <w:t>1</w:t>
            </w:r>
          </w:p>
        </w:tc>
      </w:tr>
      <w:tr w:rsidR="00AC375F" w:rsidRPr="00AC375F" w14:paraId="4A69733B" w14:textId="77777777" w:rsidTr="00991955">
        <w:trPr>
          <w:trHeight w:val="240"/>
        </w:trPr>
        <w:tc>
          <w:tcPr>
            <w:tcW w:w="4390" w:type="dxa"/>
            <w:shd w:val="clear" w:color="auto" w:fill="auto"/>
            <w:noWrap/>
          </w:tcPr>
          <w:p w14:paraId="3C942632" w14:textId="77777777" w:rsidR="00AC375F" w:rsidRPr="00AC375F" w:rsidRDefault="00AC375F" w:rsidP="00AC375F">
            <w:pPr>
              <w:rPr>
                <w:b/>
                <w:bCs/>
                <w:sz w:val="18"/>
                <w:szCs w:val="18"/>
              </w:rPr>
            </w:pPr>
          </w:p>
        </w:tc>
        <w:tc>
          <w:tcPr>
            <w:tcW w:w="1609" w:type="dxa"/>
            <w:shd w:val="clear" w:color="auto" w:fill="auto"/>
            <w:noWrap/>
          </w:tcPr>
          <w:p w14:paraId="1A8A234F" w14:textId="77777777" w:rsidR="00AC375F" w:rsidRPr="00AC375F" w:rsidRDefault="00AC375F" w:rsidP="00AC375F">
            <w:pPr>
              <w:jc w:val="center"/>
              <w:rPr>
                <w:sz w:val="18"/>
                <w:szCs w:val="18"/>
              </w:rPr>
            </w:pPr>
            <w:r w:rsidRPr="00AC375F">
              <w:rPr>
                <w:sz w:val="18"/>
                <w:szCs w:val="18"/>
              </w:rPr>
              <w:t>virtualno</w:t>
            </w:r>
          </w:p>
        </w:tc>
        <w:tc>
          <w:tcPr>
            <w:tcW w:w="940" w:type="dxa"/>
            <w:shd w:val="clear" w:color="auto" w:fill="auto"/>
            <w:noWrap/>
          </w:tcPr>
          <w:p w14:paraId="40794AB1" w14:textId="77777777" w:rsidR="00AC375F" w:rsidRPr="00AC375F" w:rsidRDefault="00AC375F" w:rsidP="00AC375F">
            <w:pPr>
              <w:jc w:val="center"/>
              <w:rPr>
                <w:sz w:val="18"/>
                <w:szCs w:val="18"/>
              </w:rPr>
            </w:pPr>
            <w:r w:rsidRPr="00AC375F">
              <w:rPr>
                <w:sz w:val="18"/>
                <w:szCs w:val="18"/>
              </w:rPr>
              <w:t>1</w:t>
            </w:r>
          </w:p>
        </w:tc>
        <w:tc>
          <w:tcPr>
            <w:tcW w:w="1305" w:type="dxa"/>
            <w:shd w:val="clear" w:color="auto" w:fill="auto"/>
            <w:noWrap/>
          </w:tcPr>
          <w:p w14:paraId="08333C99" w14:textId="77777777" w:rsidR="00AC375F" w:rsidRPr="00AC375F" w:rsidRDefault="00AC375F" w:rsidP="00AC375F">
            <w:pPr>
              <w:jc w:val="center"/>
              <w:rPr>
                <w:sz w:val="18"/>
                <w:szCs w:val="18"/>
              </w:rPr>
            </w:pPr>
            <w:r w:rsidRPr="00AC375F">
              <w:rPr>
                <w:sz w:val="18"/>
                <w:szCs w:val="18"/>
              </w:rPr>
              <w:t>svibanj</w:t>
            </w:r>
          </w:p>
        </w:tc>
        <w:tc>
          <w:tcPr>
            <w:tcW w:w="1249" w:type="dxa"/>
            <w:shd w:val="clear" w:color="auto" w:fill="auto"/>
            <w:noWrap/>
          </w:tcPr>
          <w:p w14:paraId="30A87A52" w14:textId="77777777" w:rsidR="00AC375F" w:rsidRPr="00AC375F" w:rsidRDefault="00AC375F" w:rsidP="00AC375F">
            <w:pPr>
              <w:jc w:val="center"/>
              <w:rPr>
                <w:sz w:val="18"/>
                <w:szCs w:val="18"/>
              </w:rPr>
            </w:pPr>
            <w:r w:rsidRPr="00AC375F">
              <w:rPr>
                <w:sz w:val="18"/>
                <w:szCs w:val="18"/>
              </w:rPr>
              <w:t>1</w:t>
            </w:r>
          </w:p>
        </w:tc>
      </w:tr>
      <w:tr w:rsidR="00AC375F" w:rsidRPr="00AC375F" w14:paraId="25BF5007" w14:textId="77777777" w:rsidTr="00991955">
        <w:trPr>
          <w:trHeight w:val="240"/>
        </w:trPr>
        <w:tc>
          <w:tcPr>
            <w:tcW w:w="4390" w:type="dxa"/>
            <w:shd w:val="clear" w:color="auto" w:fill="auto"/>
            <w:noWrap/>
          </w:tcPr>
          <w:p w14:paraId="4A76774C" w14:textId="77777777" w:rsidR="00AC375F" w:rsidRPr="00AC375F" w:rsidRDefault="00AC375F" w:rsidP="00AC375F">
            <w:pPr>
              <w:rPr>
                <w:b/>
                <w:bCs/>
                <w:sz w:val="18"/>
                <w:szCs w:val="18"/>
              </w:rPr>
            </w:pPr>
          </w:p>
        </w:tc>
        <w:tc>
          <w:tcPr>
            <w:tcW w:w="1609" w:type="dxa"/>
            <w:shd w:val="clear" w:color="auto" w:fill="auto"/>
            <w:noWrap/>
          </w:tcPr>
          <w:p w14:paraId="3DCB88C9" w14:textId="77777777" w:rsidR="00AC375F" w:rsidRPr="00AC375F" w:rsidRDefault="00AC375F" w:rsidP="00AC375F">
            <w:pPr>
              <w:jc w:val="center"/>
              <w:rPr>
                <w:sz w:val="18"/>
                <w:szCs w:val="18"/>
              </w:rPr>
            </w:pPr>
            <w:r w:rsidRPr="00AC375F">
              <w:rPr>
                <w:sz w:val="18"/>
                <w:szCs w:val="18"/>
              </w:rPr>
              <w:t>virtualno</w:t>
            </w:r>
          </w:p>
        </w:tc>
        <w:tc>
          <w:tcPr>
            <w:tcW w:w="940" w:type="dxa"/>
            <w:shd w:val="clear" w:color="auto" w:fill="auto"/>
            <w:noWrap/>
          </w:tcPr>
          <w:p w14:paraId="444B4942" w14:textId="77777777" w:rsidR="00AC375F" w:rsidRPr="00AC375F" w:rsidRDefault="00AC375F" w:rsidP="00AC375F">
            <w:pPr>
              <w:jc w:val="center"/>
              <w:rPr>
                <w:sz w:val="18"/>
                <w:szCs w:val="18"/>
              </w:rPr>
            </w:pPr>
            <w:r w:rsidRPr="00AC375F">
              <w:rPr>
                <w:sz w:val="18"/>
                <w:szCs w:val="18"/>
              </w:rPr>
              <w:t>1</w:t>
            </w:r>
          </w:p>
        </w:tc>
        <w:tc>
          <w:tcPr>
            <w:tcW w:w="1305" w:type="dxa"/>
            <w:shd w:val="clear" w:color="auto" w:fill="auto"/>
            <w:noWrap/>
          </w:tcPr>
          <w:p w14:paraId="17463256" w14:textId="77777777" w:rsidR="00AC375F" w:rsidRPr="00AC375F" w:rsidRDefault="00AC375F" w:rsidP="00AC375F">
            <w:pPr>
              <w:jc w:val="center"/>
              <w:rPr>
                <w:sz w:val="18"/>
                <w:szCs w:val="18"/>
              </w:rPr>
            </w:pPr>
            <w:r w:rsidRPr="00AC375F">
              <w:rPr>
                <w:sz w:val="18"/>
                <w:szCs w:val="18"/>
              </w:rPr>
              <w:t>srpanj</w:t>
            </w:r>
          </w:p>
        </w:tc>
        <w:tc>
          <w:tcPr>
            <w:tcW w:w="1249" w:type="dxa"/>
            <w:shd w:val="clear" w:color="auto" w:fill="auto"/>
            <w:noWrap/>
          </w:tcPr>
          <w:p w14:paraId="7B05BA0C" w14:textId="77777777" w:rsidR="00AC375F" w:rsidRPr="00AC375F" w:rsidRDefault="00AC375F" w:rsidP="00AC375F">
            <w:pPr>
              <w:jc w:val="center"/>
              <w:rPr>
                <w:sz w:val="18"/>
                <w:szCs w:val="18"/>
              </w:rPr>
            </w:pPr>
            <w:r w:rsidRPr="00AC375F">
              <w:rPr>
                <w:sz w:val="18"/>
                <w:szCs w:val="18"/>
              </w:rPr>
              <w:t>1</w:t>
            </w:r>
          </w:p>
        </w:tc>
      </w:tr>
      <w:tr w:rsidR="00AC375F" w:rsidRPr="00AC375F" w14:paraId="3BD4E940" w14:textId="77777777" w:rsidTr="00991955">
        <w:trPr>
          <w:trHeight w:val="240"/>
        </w:trPr>
        <w:tc>
          <w:tcPr>
            <w:tcW w:w="4390" w:type="dxa"/>
            <w:shd w:val="clear" w:color="auto" w:fill="auto"/>
            <w:noWrap/>
          </w:tcPr>
          <w:p w14:paraId="376DE526" w14:textId="77777777" w:rsidR="00AC375F" w:rsidRPr="00AC375F" w:rsidRDefault="00AC375F" w:rsidP="00AC375F">
            <w:pPr>
              <w:rPr>
                <w:b/>
                <w:bCs/>
                <w:sz w:val="18"/>
                <w:szCs w:val="18"/>
              </w:rPr>
            </w:pPr>
          </w:p>
        </w:tc>
        <w:tc>
          <w:tcPr>
            <w:tcW w:w="1609" w:type="dxa"/>
            <w:shd w:val="clear" w:color="auto" w:fill="auto"/>
            <w:noWrap/>
          </w:tcPr>
          <w:p w14:paraId="0DFCBD06" w14:textId="77777777" w:rsidR="00AC375F" w:rsidRPr="00AC375F" w:rsidRDefault="00AC375F" w:rsidP="00AC375F">
            <w:pPr>
              <w:jc w:val="center"/>
              <w:rPr>
                <w:sz w:val="18"/>
                <w:szCs w:val="18"/>
              </w:rPr>
            </w:pPr>
            <w:r w:rsidRPr="00AC375F">
              <w:rPr>
                <w:sz w:val="18"/>
                <w:szCs w:val="18"/>
              </w:rPr>
              <w:t>Bruxelles</w:t>
            </w:r>
          </w:p>
        </w:tc>
        <w:tc>
          <w:tcPr>
            <w:tcW w:w="940" w:type="dxa"/>
            <w:shd w:val="clear" w:color="auto" w:fill="auto"/>
            <w:noWrap/>
          </w:tcPr>
          <w:p w14:paraId="33EC36F8" w14:textId="77777777" w:rsidR="00AC375F" w:rsidRPr="00AC375F" w:rsidRDefault="00AC375F" w:rsidP="00AC375F">
            <w:pPr>
              <w:jc w:val="center"/>
              <w:rPr>
                <w:sz w:val="18"/>
                <w:szCs w:val="18"/>
              </w:rPr>
            </w:pPr>
            <w:r w:rsidRPr="00AC375F">
              <w:rPr>
                <w:sz w:val="18"/>
                <w:szCs w:val="18"/>
              </w:rPr>
              <w:t>1</w:t>
            </w:r>
          </w:p>
        </w:tc>
        <w:tc>
          <w:tcPr>
            <w:tcW w:w="1305" w:type="dxa"/>
            <w:shd w:val="clear" w:color="auto" w:fill="auto"/>
            <w:noWrap/>
          </w:tcPr>
          <w:p w14:paraId="08058CE2" w14:textId="77777777" w:rsidR="00AC375F" w:rsidRPr="00AC375F" w:rsidRDefault="00AC375F" w:rsidP="00AC375F">
            <w:pPr>
              <w:jc w:val="center"/>
              <w:rPr>
                <w:sz w:val="18"/>
                <w:szCs w:val="18"/>
              </w:rPr>
            </w:pPr>
            <w:r w:rsidRPr="00AC375F">
              <w:rPr>
                <w:sz w:val="18"/>
                <w:szCs w:val="18"/>
              </w:rPr>
              <w:t>rujan</w:t>
            </w:r>
          </w:p>
        </w:tc>
        <w:tc>
          <w:tcPr>
            <w:tcW w:w="1249" w:type="dxa"/>
            <w:shd w:val="clear" w:color="auto" w:fill="auto"/>
            <w:noWrap/>
          </w:tcPr>
          <w:p w14:paraId="57FA63D6" w14:textId="77777777" w:rsidR="00AC375F" w:rsidRPr="00AC375F" w:rsidRDefault="00AC375F" w:rsidP="00AC375F">
            <w:pPr>
              <w:jc w:val="center"/>
              <w:rPr>
                <w:sz w:val="18"/>
                <w:szCs w:val="18"/>
              </w:rPr>
            </w:pPr>
            <w:r w:rsidRPr="00AC375F">
              <w:rPr>
                <w:sz w:val="18"/>
                <w:szCs w:val="18"/>
              </w:rPr>
              <w:t>1</w:t>
            </w:r>
          </w:p>
        </w:tc>
      </w:tr>
      <w:tr w:rsidR="00AC375F" w:rsidRPr="00AC375F" w14:paraId="3FEEA6F3" w14:textId="77777777" w:rsidTr="00991955">
        <w:trPr>
          <w:trHeight w:val="240"/>
        </w:trPr>
        <w:tc>
          <w:tcPr>
            <w:tcW w:w="4390" w:type="dxa"/>
            <w:shd w:val="clear" w:color="auto" w:fill="auto"/>
            <w:noWrap/>
          </w:tcPr>
          <w:p w14:paraId="7205144A" w14:textId="77777777" w:rsidR="00AC375F" w:rsidRPr="00AC375F" w:rsidRDefault="00AC375F" w:rsidP="00AC375F">
            <w:pPr>
              <w:rPr>
                <w:b/>
                <w:bCs/>
                <w:sz w:val="18"/>
                <w:szCs w:val="18"/>
              </w:rPr>
            </w:pPr>
          </w:p>
        </w:tc>
        <w:tc>
          <w:tcPr>
            <w:tcW w:w="1609" w:type="dxa"/>
            <w:shd w:val="clear" w:color="auto" w:fill="auto"/>
            <w:noWrap/>
          </w:tcPr>
          <w:p w14:paraId="47E84522" w14:textId="77777777" w:rsidR="00AC375F" w:rsidRPr="00AC375F" w:rsidRDefault="00AC375F" w:rsidP="00AC375F">
            <w:pPr>
              <w:jc w:val="center"/>
              <w:rPr>
                <w:sz w:val="18"/>
                <w:szCs w:val="18"/>
              </w:rPr>
            </w:pPr>
            <w:r w:rsidRPr="00AC375F">
              <w:rPr>
                <w:sz w:val="18"/>
                <w:szCs w:val="18"/>
              </w:rPr>
              <w:t>virtualno</w:t>
            </w:r>
          </w:p>
        </w:tc>
        <w:tc>
          <w:tcPr>
            <w:tcW w:w="940" w:type="dxa"/>
            <w:shd w:val="clear" w:color="auto" w:fill="auto"/>
            <w:noWrap/>
          </w:tcPr>
          <w:p w14:paraId="34B0F2B5" w14:textId="77777777" w:rsidR="00AC375F" w:rsidRPr="00AC375F" w:rsidRDefault="00AC375F" w:rsidP="00AC375F">
            <w:pPr>
              <w:jc w:val="center"/>
              <w:rPr>
                <w:sz w:val="18"/>
                <w:szCs w:val="18"/>
              </w:rPr>
            </w:pPr>
            <w:r w:rsidRPr="00AC375F">
              <w:rPr>
                <w:sz w:val="18"/>
                <w:szCs w:val="18"/>
              </w:rPr>
              <w:t>1</w:t>
            </w:r>
          </w:p>
        </w:tc>
        <w:tc>
          <w:tcPr>
            <w:tcW w:w="1305" w:type="dxa"/>
            <w:shd w:val="clear" w:color="auto" w:fill="auto"/>
            <w:noWrap/>
          </w:tcPr>
          <w:p w14:paraId="035BDCEE" w14:textId="77777777" w:rsidR="00AC375F" w:rsidRPr="00AC375F" w:rsidRDefault="00AC375F" w:rsidP="00AC375F">
            <w:pPr>
              <w:jc w:val="center"/>
              <w:rPr>
                <w:sz w:val="18"/>
                <w:szCs w:val="18"/>
              </w:rPr>
            </w:pPr>
            <w:r w:rsidRPr="00AC375F">
              <w:rPr>
                <w:sz w:val="18"/>
                <w:szCs w:val="18"/>
              </w:rPr>
              <w:t>rujan</w:t>
            </w:r>
          </w:p>
        </w:tc>
        <w:tc>
          <w:tcPr>
            <w:tcW w:w="1249" w:type="dxa"/>
            <w:shd w:val="clear" w:color="auto" w:fill="auto"/>
            <w:noWrap/>
          </w:tcPr>
          <w:p w14:paraId="76373B66" w14:textId="77777777" w:rsidR="00AC375F" w:rsidRPr="00AC375F" w:rsidRDefault="00AC375F" w:rsidP="00AC375F">
            <w:pPr>
              <w:jc w:val="center"/>
              <w:rPr>
                <w:sz w:val="18"/>
                <w:szCs w:val="18"/>
              </w:rPr>
            </w:pPr>
            <w:r w:rsidRPr="00AC375F">
              <w:rPr>
                <w:sz w:val="18"/>
                <w:szCs w:val="18"/>
              </w:rPr>
              <w:t>1</w:t>
            </w:r>
          </w:p>
        </w:tc>
      </w:tr>
      <w:tr w:rsidR="00AC375F" w:rsidRPr="00AC375F" w14:paraId="22694303" w14:textId="77777777" w:rsidTr="00991955">
        <w:trPr>
          <w:trHeight w:val="240"/>
        </w:trPr>
        <w:tc>
          <w:tcPr>
            <w:tcW w:w="4390" w:type="dxa"/>
            <w:shd w:val="clear" w:color="auto" w:fill="auto"/>
            <w:noWrap/>
          </w:tcPr>
          <w:p w14:paraId="41878B86" w14:textId="77777777" w:rsidR="00AC375F" w:rsidRPr="00AC375F" w:rsidRDefault="00AC375F" w:rsidP="00AC375F">
            <w:pPr>
              <w:rPr>
                <w:b/>
                <w:bCs/>
                <w:sz w:val="18"/>
                <w:szCs w:val="18"/>
              </w:rPr>
            </w:pPr>
          </w:p>
        </w:tc>
        <w:tc>
          <w:tcPr>
            <w:tcW w:w="1609" w:type="dxa"/>
            <w:shd w:val="clear" w:color="auto" w:fill="auto"/>
            <w:noWrap/>
          </w:tcPr>
          <w:p w14:paraId="080065F4" w14:textId="77777777" w:rsidR="00AC375F" w:rsidRPr="00AC375F" w:rsidRDefault="00AC375F" w:rsidP="00AC375F">
            <w:pPr>
              <w:jc w:val="center"/>
              <w:rPr>
                <w:sz w:val="18"/>
                <w:szCs w:val="18"/>
              </w:rPr>
            </w:pPr>
            <w:r w:rsidRPr="00AC375F">
              <w:rPr>
                <w:sz w:val="18"/>
                <w:szCs w:val="18"/>
              </w:rPr>
              <w:t>virtualno</w:t>
            </w:r>
          </w:p>
        </w:tc>
        <w:tc>
          <w:tcPr>
            <w:tcW w:w="940" w:type="dxa"/>
            <w:shd w:val="clear" w:color="auto" w:fill="auto"/>
            <w:noWrap/>
          </w:tcPr>
          <w:p w14:paraId="1254060E" w14:textId="77777777" w:rsidR="00AC375F" w:rsidRPr="00AC375F" w:rsidRDefault="00AC375F" w:rsidP="00AC375F">
            <w:pPr>
              <w:jc w:val="center"/>
              <w:rPr>
                <w:sz w:val="18"/>
                <w:szCs w:val="18"/>
              </w:rPr>
            </w:pPr>
            <w:r w:rsidRPr="00AC375F">
              <w:rPr>
                <w:sz w:val="18"/>
                <w:szCs w:val="18"/>
              </w:rPr>
              <w:t>1</w:t>
            </w:r>
          </w:p>
        </w:tc>
        <w:tc>
          <w:tcPr>
            <w:tcW w:w="1305" w:type="dxa"/>
            <w:shd w:val="clear" w:color="auto" w:fill="auto"/>
            <w:noWrap/>
          </w:tcPr>
          <w:p w14:paraId="3C78F458" w14:textId="77777777" w:rsidR="00AC375F" w:rsidRPr="00AC375F" w:rsidRDefault="00AC375F" w:rsidP="00AC375F">
            <w:pPr>
              <w:jc w:val="center"/>
              <w:rPr>
                <w:sz w:val="18"/>
                <w:szCs w:val="18"/>
              </w:rPr>
            </w:pPr>
            <w:r w:rsidRPr="00AC375F">
              <w:rPr>
                <w:sz w:val="18"/>
                <w:szCs w:val="18"/>
              </w:rPr>
              <w:t>listopad</w:t>
            </w:r>
          </w:p>
        </w:tc>
        <w:tc>
          <w:tcPr>
            <w:tcW w:w="1249" w:type="dxa"/>
            <w:shd w:val="clear" w:color="auto" w:fill="auto"/>
            <w:noWrap/>
          </w:tcPr>
          <w:p w14:paraId="0742A2B9" w14:textId="77777777" w:rsidR="00AC375F" w:rsidRPr="00AC375F" w:rsidRDefault="00AC375F" w:rsidP="00AC375F">
            <w:pPr>
              <w:jc w:val="center"/>
              <w:rPr>
                <w:sz w:val="18"/>
                <w:szCs w:val="18"/>
              </w:rPr>
            </w:pPr>
            <w:r w:rsidRPr="00AC375F">
              <w:rPr>
                <w:sz w:val="18"/>
                <w:szCs w:val="18"/>
              </w:rPr>
              <w:t>1</w:t>
            </w:r>
          </w:p>
        </w:tc>
      </w:tr>
      <w:tr w:rsidR="00AC375F" w:rsidRPr="00AC375F" w14:paraId="2F7B57C5" w14:textId="77777777" w:rsidTr="00991955">
        <w:trPr>
          <w:trHeight w:val="240"/>
        </w:trPr>
        <w:tc>
          <w:tcPr>
            <w:tcW w:w="4390" w:type="dxa"/>
            <w:shd w:val="clear" w:color="auto" w:fill="auto"/>
            <w:noWrap/>
          </w:tcPr>
          <w:p w14:paraId="3B3C9F95" w14:textId="77777777" w:rsidR="00AC375F" w:rsidRPr="00AC375F" w:rsidRDefault="00AC375F" w:rsidP="00AC375F">
            <w:pPr>
              <w:rPr>
                <w:b/>
                <w:bCs/>
                <w:sz w:val="18"/>
                <w:szCs w:val="18"/>
              </w:rPr>
            </w:pPr>
          </w:p>
        </w:tc>
        <w:tc>
          <w:tcPr>
            <w:tcW w:w="1609" w:type="dxa"/>
            <w:shd w:val="clear" w:color="auto" w:fill="auto"/>
            <w:noWrap/>
          </w:tcPr>
          <w:p w14:paraId="1FC2FAA3" w14:textId="77777777" w:rsidR="00AC375F" w:rsidRPr="00AC375F" w:rsidRDefault="00AC375F" w:rsidP="00AC375F">
            <w:pPr>
              <w:jc w:val="center"/>
              <w:rPr>
                <w:sz w:val="18"/>
                <w:szCs w:val="18"/>
              </w:rPr>
            </w:pPr>
            <w:r w:rsidRPr="00AC375F">
              <w:rPr>
                <w:sz w:val="18"/>
                <w:szCs w:val="18"/>
              </w:rPr>
              <w:t>virtualno</w:t>
            </w:r>
          </w:p>
        </w:tc>
        <w:tc>
          <w:tcPr>
            <w:tcW w:w="940" w:type="dxa"/>
            <w:shd w:val="clear" w:color="auto" w:fill="auto"/>
            <w:noWrap/>
          </w:tcPr>
          <w:p w14:paraId="1615FB16" w14:textId="77777777" w:rsidR="00AC375F" w:rsidRPr="00AC375F" w:rsidRDefault="00AC375F" w:rsidP="00AC375F">
            <w:pPr>
              <w:jc w:val="center"/>
              <w:rPr>
                <w:sz w:val="18"/>
                <w:szCs w:val="18"/>
              </w:rPr>
            </w:pPr>
            <w:r w:rsidRPr="00AC375F">
              <w:rPr>
                <w:sz w:val="18"/>
                <w:szCs w:val="18"/>
              </w:rPr>
              <w:t>1</w:t>
            </w:r>
          </w:p>
        </w:tc>
        <w:tc>
          <w:tcPr>
            <w:tcW w:w="1305" w:type="dxa"/>
            <w:shd w:val="clear" w:color="auto" w:fill="auto"/>
            <w:noWrap/>
          </w:tcPr>
          <w:p w14:paraId="644E337C" w14:textId="77777777" w:rsidR="00AC375F" w:rsidRPr="00AC375F" w:rsidRDefault="00AC375F" w:rsidP="00AC375F">
            <w:pPr>
              <w:jc w:val="center"/>
              <w:rPr>
                <w:sz w:val="18"/>
                <w:szCs w:val="18"/>
              </w:rPr>
            </w:pPr>
            <w:r w:rsidRPr="00AC375F">
              <w:rPr>
                <w:sz w:val="18"/>
                <w:szCs w:val="18"/>
              </w:rPr>
              <w:t>studeni</w:t>
            </w:r>
          </w:p>
        </w:tc>
        <w:tc>
          <w:tcPr>
            <w:tcW w:w="1249" w:type="dxa"/>
            <w:shd w:val="clear" w:color="auto" w:fill="auto"/>
            <w:noWrap/>
          </w:tcPr>
          <w:p w14:paraId="271A1A9A" w14:textId="77777777" w:rsidR="00AC375F" w:rsidRPr="00AC375F" w:rsidRDefault="00AC375F" w:rsidP="00AC375F">
            <w:pPr>
              <w:jc w:val="center"/>
              <w:rPr>
                <w:sz w:val="18"/>
                <w:szCs w:val="18"/>
              </w:rPr>
            </w:pPr>
            <w:r w:rsidRPr="00AC375F">
              <w:rPr>
                <w:sz w:val="18"/>
                <w:szCs w:val="18"/>
              </w:rPr>
              <w:t>1</w:t>
            </w:r>
          </w:p>
        </w:tc>
      </w:tr>
      <w:tr w:rsidR="00AC375F" w:rsidRPr="00AC375F" w14:paraId="78B9CC3C" w14:textId="77777777" w:rsidTr="00991955">
        <w:trPr>
          <w:trHeight w:val="240"/>
        </w:trPr>
        <w:tc>
          <w:tcPr>
            <w:tcW w:w="4390" w:type="dxa"/>
            <w:shd w:val="clear" w:color="auto" w:fill="auto"/>
            <w:noWrap/>
          </w:tcPr>
          <w:p w14:paraId="29E2E188" w14:textId="77777777" w:rsidR="00AC375F" w:rsidRPr="00AC375F" w:rsidRDefault="00AC375F" w:rsidP="00AC375F">
            <w:pPr>
              <w:rPr>
                <w:b/>
                <w:bCs/>
                <w:sz w:val="18"/>
                <w:szCs w:val="18"/>
              </w:rPr>
            </w:pPr>
          </w:p>
        </w:tc>
        <w:tc>
          <w:tcPr>
            <w:tcW w:w="1609" w:type="dxa"/>
            <w:shd w:val="clear" w:color="auto" w:fill="auto"/>
            <w:noWrap/>
          </w:tcPr>
          <w:p w14:paraId="7FF2E463" w14:textId="77777777" w:rsidR="00AC375F" w:rsidRPr="00AC375F" w:rsidRDefault="00AC375F" w:rsidP="00AC375F">
            <w:pPr>
              <w:jc w:val="center"/>
              <w:rPr>
                <w:sz w:val="18"/>
                <w:szCs w:val="18"/>
              </w:rPr>
            </w:pPr>
            <w:r w:rsidRPr="00AC375F">
              <w:rPr>
                <w:sz w:val="18"/>
                <w:szCs w:val="18"/>
              </w:rPr>
              <w:t>Bruxelles</w:t>
            </w:r>
          </w:p>
        </w:tc>
        <w:tc>
          <w:tcPr>
            <w:tcW w:w="940" w:type="dxa"/>
            <w:shd w:val="clear" w:color="auto" w:fill="auto"/>
            <w:noWrap/>
          </w:tcPr>
          <w:p w14:paraId="24309CD5" w14:textId="77777777" w:rsidR="00AC375F" w:rsidRPr="00AC375F" w:rsidRDefault="00AC375F" w:rsidP="00AC375F">
            <w:pPr>
              <w:jc w:val="center"/>
              <w:rPr>
                <w:sz w:val="18"/>
                <w:szCs w:val="18"/>
              </w:rPr>
            </w:pPr>
            <w:r w:rsidRPr="00AC375F">
              <w:rPr>
                <w:sz w:val="18"/>
                <w:szCs w:val="18"/>
              </w:rPr>
              <w:t>1</w:t>
            </w:r>
          </w:p>
        </w:tc>
        <w:tc>
          <w:tcPr>
            <w:tcW w:w="1305" w:type="dxa"/>
            <w:shd w:val="clear" w:color="auto" w:fill="auto"/>
            <w:noWrap/>
          </w:tcPr>
          <w:p w14:paraId="77FD5C63" w14:textId="77777777" w:rsidR="00AC375F" w:rsidRPr="00AC375F" w:rsidRDefault="00AC375F" w:rsidP="00AC375F">
            <w:pPr>
              <w:jc w:val="center"/>
              <w:rPr>
                <w:sz w:val="18"/>
                <w:szCs w:val="18"/>
              </w:rPr>
            </w:pPr>
            <w:r w:rsidRPr="00AC375F">
              <w:rPr>
                <w:sz w:val="18"/>
                <w:szCs w:val="18"/>
              </w:rPr>
              <w:t>studeni</w:t>
            </w:r>
          </w:p>
        </w:tc>
        <w:tc>
          <w:tcPr>
            <w:tcW w:w="1249" w:type="dxa"/>
            <w:shd w:val="clear" w:color="auto" w:fill="auto"/>
            <w:noWrap/>
          </w:tcPr>
          <w:p w14:paraId="4DCE26F8" w14:textId="77777777" w:rsidR="00AC375F" w:rsidRPr="00AC375F" w:rsidRDefault="00AC375F" w:rsidP="00AC375F">
            <w:pPr>
              <w:jc w:val="center"/>
              <w:rPr>
                <w:sz w:val="18"/>
                <w:szCs w:val="18"/>
              </w:rPr>
            </w:pPr>
            <w:r w:rsidRPr="00AC375F">
              <w:rPr>
                <w:sz w:val="18"/>
                <w:szCs w:val="18"/>
              </w:rPr>
              <w:t>1</w:t>
            </w:r>
          </w:p>
        </w:tc>
      </w:tr>
      <w:tr w:rsidR="00AC375F" w:rsidRPr="00AC375F" w14:paraId="78CE5B95" w14:textId="77777777" w:rsidTr="00991955">
        <w:trPr>
          <w:trHeight w:val="240"/>
        </w:trPr>
        <w:tc>
          <w:tcPr>
            <w:tcW w:w="4390" w:type="dxa"/>
            <w:shd w:val="clear" w:color="auto" w:fill="auto"/>
            <w:noWrap/>
          </w:tcPr>
          <w:p w14:paraId="0ADD1954" w14:textId="77777777" w:rsidR="00AC375F" w:rsidRPr="00AC375F" w:rsidRDefault="00AC375F" w:rsidP="00AC375F">
            <w:pPr>
              <w:rPr>
                <w:b/>
                <w:bCs/>
                <w:sz w:val="18"/>
                <w:szCs w:val="18"/>
              </w:rPr>
            </w:pPr>
          </w:p>
        </w:tc>
        <w:tc>
          <w:tcPr>
            <w:tcW w:w="1609" w:type="dxa"/>
            <w:shd w:val="clear" w:color="auto" w:fill="auto"/>
            <w:noWrap/>
          </w:tcPr>
          <w:p w14:paraId="5F2164FC" w14:textId="77777777" w:rsidR="00AC375F" w:rsidRPr="00AC375F" w:rsidRDefault="00AC375F" w:rsidP="00AC375F">
            <w:pPr>
              <w:jc w:val="center"/>
              <w:rPr>
                <w:sz w:val="18"/>
                <w:szCs w:val="18"/>
              </w:rPr>
            </w:pPr>
            <w:r w:rsidRPr="00AC375F">
              <w:rPr>
                <w:sz w:val="18"/>
                <w:szCs w:val="18"/>
              </w:rPr>
              <w:t>virtualno</w:t>
            </w:r>
          </w:p>
        </w:tc>
        <w:tc>
          <w:tcPr>
            <w:tcW w:w="940" w:type="dxa"/>
            <w:shd w:val="clear" w:color="auto" w:fill="auto"/>
            <w:noWrap/>
          </w:tcPr>
          <w:p w14:paraId="1F2BFD9A" w14:textId="77777777" w:rsidR="00AC375F" w:rsidRPr="00AC375F" w:rsidRDefault="00AC375F" w:rsidP="00AC375F">
            <w:pPr>
              <w:jc w:val="center"/>
              <w:rPr>
                <w:sz w:val="18"/>
                <w:szCs w:val="18"/>
              </w:rPr>
            </w:pPr>
            <w:r w:rsidRPr="00AC375F">
              <w:rPr>
                <w:sz w:val="18"/>
                <w:szCs w:val="18"/>
              </w:rPr>
              <w:t>1</w:t>
            </w:r>
          </w:p>
        </w:tc>
        <w:tc>
          <w:tcPr>
            <w:tcW w:w="1305" w:type="dxa"/>
            <w:shd w:val="clear" w:color="auto" w:fill="auto"/>
            <w:noWrap/>
          </w:tcPr>
          <w:p w14:paraId="75ACBF8E" w14:textId="77777777" w:rsidR="00AC375F" w:rsidRPr="00AC375F" w:rsidRDefault="00AC375F" w:rsidP="00AC375F">
            <w:pPr>
              <w:jc w:val="center"/>
              <w:rPr>
                <w:sz w:val="18"/>
                <w:szCs w:val="18"/>
              </w:rPr>
            </w:pPr>
            <w:r w:rsidRPr="00AC375F">
              <w:rPr>
                <w:sz w:val="18"/>
                <w:szCs w:val="18"/>
              </w:rPr>
              <w:t>prosinac</w:t>
            </w:r>
          </w:p>
        </w:tc>
        <w:tc>
          <w:tcPr>
            <w:tcW w:w="1249" w:type="dxa"/>
            <w:shd w:val="clear" w:color="auto" w:fill="auto"/>
            <w:noWrap/>
          </w:tcPr>
          <w:p w14:paraId="7F3D96C7" w14:textId="77777777" w:rsidR="00AC375F" w:rsidRPr="00AC375F" w:rsidRDefault="00AC375F" w:rsidP="00AC375F">
            <w:pPr>
              <w:jc w:val="center"/>
              <w:rPr>
                <w:sz w:val="18"/>
                <w:szCs w:val="18"/>
              </w:rPr>
            </w:pPr>
            <w:r w:rsidRPr="00AC375F">
              <w:rPr>
                <w:sz w:val="18"/>
                <w:szCs w:val="18"/>
              </w:rPr>
              <w:t>1</w:t>
            </w:r>
          </w:p>
        </w:tc>
      </w:tr>
      <w:tr w:rsidR="00AC375F" w:rsidRPr="00AC375F" w14:paraId="166145C9" w14:textId="77777777" w:rsidTr="00991955">
        <w:trPr>
          <w:trHeight w:val="240"/>
        </w:trPr>
        <w:tc>
          <w:tcPr>
            <w:tcW w:w="4390" w:type="dxa"/>
            <w:shd w:val="clear" w:color="auto" w:fill="auto"/>
            <w:noWrap/>
          </w:tcPr>
          <w:p w14:paraId="1F9C56BF" w14:textId="77777777" w:rsidR="00AC375F" w:rsidRPr="00AC375F" w:rsidRDefault="00AC375F" w:rsidP="00AC375F">
            <w:pPr>
              <w:rPr>
                <w:b/>
                <w:bCs/>
                <w:sz w:val="18"/>
                <w:szCs w:val="18"/>
              </w:rPr>
            </w:pPr>
          </w:p>
        </w:tc>
        <w:tc>
          <w:tcPr>
            <w:tcW w:w="1609" w:type="dxa"/>
            <w:shd w:val="clear" w:color="auto" w:fill="auto"/>
            <w:noWrap/>
          </w:tcPr>
          <w:p w14:paraId="4BB89B5A" w14:textId="77777777" w:rsidR="00AC375F" w:rsidRPr="00AC375F" w:rsidRDefault="00AC375F" w:rsidP="00AC375F">
            <w:pPr>
              <w:jc w:val="center"/>
              <w:rPr>
                <w:sz w:val="18"/>
                <w:szCs w:val="18"/>
              </w:rPr>
            </w:pPr>
          </w:p>
        </w:tc>
        <w:tc>
          <w:tcPr>
            <w:tcW w:w="940" w:type="dxa"/>
            <w:shd w:val="clear" w:color="auto" w:fill="auto"/>
            <w:noWrap/>
          </w:tcPr>
          <w:p w14:paraId="042CADDB" w14:textId="77777777" w:rsidR="00AC375F" w:rsidRPr="00AC375F" w:rsidRDefault="00AC375F" w:rsidP="00AC375F">
            <w:pPr>
              <w:jc w:val="center"/>
              <w:rPr>
                <w:sz w:val="18"/>
                <w:szCs w:val="18"/>
              </w:rPr>
            </w:pPr>
          </w:p>
        </w:tc>
        <w:tc>
          <w:tcPr>
            <w:tcW w:w="1305" w:type="dxa"/>
            <w:shd w:val="clear" w:color="auto" w:fill="auto"/>
            <w:noWrap/>
          </w:tcPr>
          <w:p w14:paraId="41165C16" w14:textId="77777777" w:rsidR="00AC375F" w:rsidRPr="00AC375F" w:rsidRDefault="00AC375F" w:rsidP="00AC375F">
            <w:pPr>
              <w:jc w:val="center"/>
              <w:rPr>
                <w:sz w:val="18"/>
                <w:szCs w:val="18"/>
              </w:rPr>
            </w:pPr>
          </w:p>
        </w:tc>
        <w:tc>
          <w:tcPr>
            <w:tcW w:w="1249" w:type="dxa"/>
            <w:shd w:val="clear" w:color="auto" w:fill="auto"/>
            <w:noWrap/>
          </w:tcPr>
          <w:p w14:paraId="11D7944F" w14:textId="77777777" w:rsidR="00AC375F" w:rsidRPr="00AC375F" w:rsidRDefault="00AC375F" w:rsidP="00AC375F">
            <w:pPr>
              <w:jc w:val="center"/>
              <w:rPr>
                <w:sz w:val="18"/>
                <w:szCs w:val="18"/>
              </w:rPr>
            </w:pPr>
          </w:p>
        </w:tc>
      </w:tr>
      <w:tr w:rsidR="00AC375F" w:rsidRPr="00AC375F" w14:paraId="0B252958" w14:textId="77777777" w:rsidTr="00991955">
        <w:trPr>
          <w:trHeight w:val="240"/>
        </w:trPr>
        <w:tc>
          <w:tcPr>
            <w:tcW w:w="4390" w:type="dxa"/>
            <w:shd w:val="clear" w:color="auto" w:fill="auto"/>
            <w:noWrap/>
          </w:tcPr>
          <w:p w14:paraId="2CBEF481" w14:textId="77777777" w:rsidR="00AC375F" w:rsidRPr="00AC375F" w:rsidRDefault="00AC375F" w:rsidP="00AC375F">
            <w:pPr>
              <w:rPr>
                <w:b/>
                <w:bCs/>
                <w:sz w:val="18"/>
                <w:szCs w:val="18"/>
              </w:rPr>
            </w:pPr>
            <w:r w:rsidRPr="00AC375F">
              <w:rPr>
                <w:b/>
                <w:bCs/>
                <w:sz w:val="18"/>
                <w:szCs w:val="18"/>
              </w:rPr>
              <w:t>Podgrupa za znanstvena savjetovanja (Scientific Consultations Subgroup)</w:t>
            </w:r>
          </w:p>
        </w:tc>
        <w:tc>
          <w:tcPr>
            <w:tcW w:w="1609" w:type="dxa"/>
            <w:shd w:val="clear" w:color="auto" w:fill="auto"/>
            <w:noWrap/>
          </w:tcPr>
          <w:p w14:paraId="34B6D374" w14:textId="77777777" w:rsidR="00AC375F" w:rsidRPr="00AC375F" w:rsidRDefault="00AC375F" w:rsidP="00AC375F">
            <w:pPr>
              <w:jc w:val="center"/>
              <w:rPr>
                <w:sz w:val="18"/>
                <w:szCs w:val="18"/>
              </w:rPr>
            </w:pPr>
            <w:r w:rsidRPr="00AC375F">
              <w:rPr>
                <w:sz w:val="18"/>
                <w:szCs w:val="18"/>
              </w:rPr>
              <w:t>Bruxelles</w:t>
            </w:r>
          </w:p>
        </w:tc>
        <w:tc>
          <w:tcPr>
            <w:tcW w:w="940" w:type="dxa"/>
            <w:shd w:val="clear" w:color="auto" w:fill="auto"/>
            <w:noWrap/>
          </w:tcPr>
          <w:p w14:paraId="64DAD3C4" w14:textId="77777777" w:rsidR="00AC375F" w:rsidRPr="00AC375F" w:rsidRDefault="00AC375F" w:rsidP="00AC375F">
            <w:pPr>
              <w:jc w:val="center"/>
              <w:rPr>
                <w:sz w:val="18"/>
                <w:szCs w:val="18"/>
              </w:rPr>
            </w:pPr>
            <w:r w:rsidRPr="00AC375F">
              <w:rPr>
                <w:sz w:val="18"/>
                <w:szCs w:val="18"/>
              </w:rPr>
              <w:t>1</w:t>
            </w:r>
          </w:p>
        </w:tc>
        <w:tc>
          <w:tcPr>
            <w:tcW w:w="1305" w:type="dxa"/>
            <w:shd w:val="clear" w:color="auto" w:fill="auto"/>
            <w:noWrap/>
          </w:tcPr>
          <w:p w14:paraId="39FB031C" w14:textId="77777777" w:rsidR="00AC375F" w:rsidRPr="00AC375F" w:rsidRDefault="00AC375F" w:rsidP="00AC375F">
            <w:pPr>
              <w:jc w:val="center"/>
              <w:rPr>
                <w:sz w:val="18"/>
                <w:szCs w:val="18"/>
              </w:rPr>
            </w:pPr>
            <w:r w:rsidRPr="00AC375F">
              <w:rPr>
                <w:sz w:val="18"/>
                <w:szCs w:val="18"/>
              </w:rPr>
              <w:t>travanj</w:t>
            </w:r>
          </w:p>
        </w:tc>
        <w:tc>
          <w:tcPr>
            <w:tcW w:w="1249" w:type="dxa"/>
            <w:shd w:val="clear" w:color="auto" w:fill="auto"/>
            <w:noWrap/>
          </w:tcPr>
          <w:p w14:paraId="6DB31B24" w14:textId="77777777" w:rsidR="00AC375F" w:rsidRPr="00AC375F" w:rsidRDefault="00AC375F" w:rsidP="00AC375F">
            <w:pPr>
              <w:jc w:val="center"/>
              <w:rPr>
                <w:sz w:val="18"/>
                <w:szCs w:val="18"/>
              </w:rPr>
            </w:pPr>
            <w:r w:rsidRPr="00AC375F">
              <w:rPr>
                <w:sz w:val="18"/>
                <w:szCs w:val="18"/>
              </w:rPr>
              <w:t>1</w:t>
            </w:r>
          </w:p>
        </w:tc>
      </w:tr>
      <w:tr w:rsidR="00AC375F" w:rsidRPr="00AC375F" w14:paraId="1CE84FA3" w14:textId="77777777" w:rsidTr="00991955">
        <w:trPr>
          <w:trHeight w:val="240"/>
        </w:trPr>
        <w:tc>
          <w:tcPr>
            <w:tcW w:w="4390" w:type="dxa"/>
            <w:shd w:val="clear" w:color="auto" w:fill="auto"/>
            <w:noWrap/>
          </w:tcPr>
          <w:p w14:paraId="2BAFD2C9" w14:textId="77777777" w:rsidR="00AC375F" w:rsidRPr="00AC375F" w:rsidRDefault="00AC375F" w:rsidP="00AC375F"/>
        </w:tc>
        <w:tc>
          <w:tcPr>
            <w:tcW w:w="1609" w:type="dxa"/>
            <w:shd w:val="clear" w:color="auto" w:fill="auto"/>
            <w:noWrap/>
          </w:tcPr>
          <w:p w14:paraId="13363D3E" w14:textId="77777777" w:rsidR="00AC375F" w:rsidRPr="00AC375F" w:rsidRDefault="00AC375F" w:rsidP="00AC375F">
            <w:pPr>
              <w:jc w:val="center"/>
              <w:rPr>
                <w:sz w:val="18"/>
                <w:szCs w:val="18"/>
              </w:rPr>
            </w:pPr>
            <w:r w:rsidRPr="00AC375F">
              <w:rPr>
                <w:sz w:val="18"/>
                <w:szCs w:val="18"/>
              </w:rPr>
              <w:t>virtualno</w:t>
            </w:r>
          </w:p>
        </w:tc>
        <w:tc>
          <w:tcPr>
            <w:tcW w:w="940" w:type="dxa"/>
            <w:shd w:val="clear" w:color="auto" w:fill="auto"/>
            <w:noWrap/>
          </w:tcPr>
          <w:p w14:paraId="22D82D4C" w14:textId="77777777" w:rsidR="00AC375F" w:rsidRPr="00AC375F" w:rsidRDefault="00AC375F" w:rsidP="00AC375F">
            <w:pPr>
              <w:jc w:val="center"/>
              <w:rPr>
                <w:sz w:val="18"/>
                <w:szCs w:val="18"/>
              </w:rPr>
            </w:pPr>
            <w:r w:rsidRPr="00AC375F">
              <w:rPr>
                <w:sz w:val="18"/>
                <w:szCs w:val="18"/>
              </w:rPr>
              <w:t>1</w:t>
            </w:r>
          </w:p>
        </w:tc>
        <w:tc>
          <w:tcPr>
            <w:tcW w:w="1305" w:type="dxa"/>
            <w:shd w:val="clear" w:color="auto" w:fill="auto"/>
            <w:noWrap/>
          </w:tcPr>
          <w:p w14:paraId="5A4E71CF" w14:textId="77777777" w:rsidR="00AC375F" w:rsidRPr="00AC375F" w:rsidRDefault="00AC375F" w:rsidP="00AC375F">
            <w:pPr>
              <w:jc w:val="center"/>
              <w:rPr>
                <w:sz w:val="18"/>
                <w:szCs w:val="18"/>
              </w:rPr>
            </w:pPr>
            <w:r w:rsidRPr="00AC375F">
              <w:rPr>
                <w:sz w:val="18"/>
                <w:szCs w:val="18"/>
              </w:rPr>
              <w:t>svibanj</w:t>
            </w:r>
          </w:p>
        </w:tc>
        <w:tc>
          <w:tcPr>
            <w:tcW w:w="1249" w:type="dxa"/>
            <w:shd w:val="clear" w:color="auto" w:fill="auto"/>
            <w:noWrap/>
          </w:tcPr>
          <w:p w14:paraId="0E70EAB1" w14:textId="77777777" w:rsidR="00AC375F" w:rsidRPr="00AC375F" w:rsidRDefault="00AC375F" w:rsidP="00AC375F">
            <w:pPr>
              <w:jc w:val="center"/>
              <w:rPr>
                <w:sz w:val="18"/>
                <w:szCs w:val="18"/>
              </w:rPr>
            </w:pPr>
            <w:r w:rsidRPr="00AC375F">
              <w:rPr>
                <w:sz w:val="18"/>
                <w:szCs w:val="18"/>
              </w:rPr>
              <w:t>1</w:t>
            </w:r>
          </w:p>
        </w:tc>
      </w:tr>
      <w:tr w:rsidR="00AC375F" w:rsidRPr="00AC375F" w14:paraId="39F0779C" w14:textId="77777777" w:rsidTr="00991955">
        <w:trPr>
          <w:trHeight w:val="240"/>
        </w:trPr>
        <w:tc>
          <w:tcPr>
            <w:tcW w:w="4390" w:type="dxa"/>
            <w:shd w:val="clear" w:color="auto" w:fill="auto"/>
            <w:noWrap/>
          </w:tcPr>
          <w:p w14:paraId="1743D0B2" w14:textId="77777777" w:rsidR="00AC375F" w:rsidRPr="00AC375F" w:rsidRDefault="00AC375F" w:rsidP="00AC375F"/>
        </w:tc>
        <w:tc>
          <w:tcPr>
            <w:tcW w:w="1609" w:type="dxa"/>
            <w:shd w:val="clear" w:color="auto" w:fill="auto"/>
            <w:noWrap/>
          </w:tcPr>
          <w:p w14:paraId="1FAA0426" w14:textId="77777777" w:rsidR="00AC375F" w:rsidRPr="00AC375F" w:rsidRDefault="00AC375F" w:rsidP="00AC375F">
            <w:pPr>
              <w:jc w:val="center"/>
              <w:rPr>
                <w:sz w:val="18"/>
                <w:szCs w:val="18"/>
              </w:rPr>
            </w:pPr>
            <w:r w:rsidRPr="00AC375F">
              <w:rPr>
                <w:sz w:val="18"/>
                <w:szCs w:val="18"/>
              </w:rPr>
              <w:t>virtualno</w:t>
            </w:r>
          </w:p>
        </w:tc>
        <w:tc>
          <w:tcPr>
            <w:tcW w:w="940" w:type="dxa"/>
            <w:shd w:val="clear" w:color="auto" w:fill="auto"/>
            <w:noWrap/>
          </w:tcPr>
          <w:p w14:paraId="586DE438" w14:textId="77777777" w:rsidR="00AC375F" w:rsidRPr="00AC375F" w:rsidRDefault="00AC375F" w:rsidP="00AC375F">
            <w:pPr>
              <w:jc w:val="center"/>
              <w:rPr>
                <w:sz w:val="18"/>
                <w:szCs w:val="18"/>
              </w:rPr>
            </w:pPr>
            <w:r w:rsidRPr="00AC375F">
              <w:rPr>
                <w:sz w:val="18"/>
                <w:szCs w:val="18"/>
              </w:rPr>
              <w:t>1</w:t>
            </w:r>
          </w:p>
        </w:tc>
        <w:tc>
          <w:tcPr>
            <w:tcW w:w="1305" w:type="dxa"/>
            <w:shd w:val="clear" w:color="auto" w:fill="auto"/>
            <w:noWrap/>
          </w:tcPr>
          <w:p w14:paraId="0AD91DF3" w14:textId="77777777" w:rsidR="00AC375F" w:rsidRPr="00AC375F" w:rsidRDefault="00AC375F" w:rsidP="00AC375F">
            <w:pPr>
              <w:jc w:val="center"/>
              <w:rPr>
                <w:sz w:val="18"/>
                <w:szCs w:val="18"/>
              </w:rPr>
            </w:pPr>
            <w:r w:rsidRPr="00AC375F">
              <w:rPr>
                <w:sz w:val="18"/>
                <w:szCs w:val="18"/>
              </w:rPr>
              <w:t>srpanj</w:t>
            </w:r>
          </w:p>
        </w:tc>
        <w:tc>
          <w:tcPr>
            <w:tcW w:w="1249" w:type="dxa"/>
            <w:shd w:val="clear" w:color="auto" w:fill="auto"/>
            <w:noWrap/>
          </w:tcPr>
          <w:p w14:paraId="465EB271" w14:textId="77777777" w:rsidR="00AC375F" w:rsidRPr="00AC375F" w:rsidRDefault="00AC375F" w:rsidP="00AC375F">
            <w:pPr>
              <w:jc w:val="center"/>
              <w:rPr>
                <w:sz w:val="18"/>
                <w:szCs w:val="18"/>
              </w:rPr>
            </w:pPr>
            <w:r w:rsidRPr="00AC375F">
              <w:rPr>
                <w:sz w:val="18"/>
                <w:szCs w:val="18"/>
              </w:rPr>
              <w:t>1</w:t>
            </w:r>
          </w:p>
        </w:tc>
      </w:tr>
      <w:tr w:rsidR="00AC375F" w:rsidRPr="00AC375F" w14:paraId="5C36E13E" w14:textId="77777777" w:rsidTr="00991955">
        <w:trPr>
          <w:trHeight w:val="240"/>
        </w:trPr>
        <w:tc>
          <w:tcPr>
            <w:tcW w:w="4390" w:type="dxa"/>
            <w:shd w:val="clear" w:color="auto" w:fill="auto"/>
            <w:noWrap/>
          </w:tcPr>
          <w:p w14:paraId="59297E5A" w14:textId="77777777" w:rsidR="00AC375F" w:rsidRPr="00AC375F" w:rsidRDefault="00AC375F" w:rsidP="00AC375F"/>
        </w:tc>
        <w:tc>
          <w:tcPr>
            <w:tcW w:w="1609" w:type="dxa"/>
            <w:shd w:val="clear" w:color="auto" w:fill="auto"/>
            <w:noWrap/>
          </w:tcPr>
          <w:p w14:paraId="27E12501" w14:textId="77777777" w:rsidR="00AC375F" w:rsidRPr="00AC375F" w:rsidRDefault="00AC375F" w:rsidP="00AC375F">
            <w:pPr>
              <w:jc w:val="center"/>
              <w:rPr>
                <w:sz w:val="18"/>
                <w:szCs w:val="18"/>
              </w:rPr>
            </w:pPr>
            <w:r w:rsidRPr="00AC375F">
              <w:rPr>
                <w:sz w:val="18"/>
                <w:szCs w:val="18"/>
              </w:rPr>
              <w:t>Bruxelles</w:t>
            </w:r>
          </w:p>
        </w:tc>
        <w:tc>
          <w:tcPr>
            <w:tcW w:w="940" w:type="dxa"/>
            <w:shd w:val="clear" w:color="auto" w:fill="auto"/>
            <w:noWrap/>
          </w:tcPr>
          <w:p w14:paraId="035556D5" w14:textId="77777777" w:rsidR="00AC375F" w:rsidRPr="00AC375F" w:rsidRDefault="00AC375F" w:rsidP="00AC375F">
            <w:pPr>
              <w:jc w:val="center"/>
              <w:rPr>
                <w:sz w:val="18"/>
                <w:szCs w:val="18"/>
              </w:rPr>
            </w:pPr>
            <w:r w:rsidRPr="00AC375F">
              <w:rPr>
                <w:sz w:val="18"/>
                <w:szCs w:val="18"/>
              </w:rPr>
              <w:t>1</w:t>
            </w:r>
          </w:p>
        </w:tc>
        <w:tc>
          <w:tcPr>
            <w:tcW w:w="1305" w:type="dxa"/>
            <w:shd w:val="clear" w:color="auto" w:fill="auto"/>
            <w:noWrap/>
          </w:tcPr>
          <w:p w14:paraId="7BF0D715" w14:textId="77777777" w:rsidR="00AC375F" w:rsidRPr="00AC375F" w:rsidRDefault="00AC375F" w:rsidP="00AC375F">
            <w:pPr>
              <w:jc w:val="center"/>
              <w:rPr>
                <w:sz w:val="18"/>
                <w:szCs w:val="18"/>
              </w:rPr>
            </w:pPr>
            <w:r w:rsidRPr="00AC375F">
              <w:rPr>
                <w:sz w:val="18"/>
                <w:szCs w:val="18"/>
              </w:rPr>
              <w:t>rujan</w:t>
            </w:r>
          </w:p>
        </w:tc>
        <w:tc>
          <w:tcPr>
            <w:tcW w:w="1249" w:type="dxa"/>
            <w:shd w:val="clear" w:color="auto" w:fill="auto"/>
            <w:noWrap/>
          </w:tcPr>
          <w:p w14:paraId="61783930" w14:textId="77777777" w:rsidR="00AC375F" w:rsidRPr="00AC375F" w:rsidRDefault="00AC375F" w:rsidP="00AC375F">
            <w:pPr>
              <w:jc w:val="center"/>
              <w:rPr>
                <w:sz w:val="18"/>
                <w:szCs w:val="18"/>
              </w:rPr>
            </w:pPr>
            <w:r w:rsidRPr="00AC375F">
              <w:rPr>
                <w:sz w:val="18"/>
                <w:szCs w:val="18"/>
              </w:rPr>
              <w:t>1</w:t>
            </w:r>
          </w:p>
        </w:tc>
      </w:tr>
      <w:tr w:rsidR="00AC375F" w:rsidRPr="00AC375F" w14:paraId="2DF2C324" w14:textId="77777777" w:rsidTr="00991955">
        <w:trPr>
          <w:trHeight w:val="240"/>
        </w:trPr>
        <w:tc>
          <w:tcPr>
            <w:tcW w:w="4390" w:type="dxa"/>
            <w:shd w:val="clear" w:color="auto" w:fill="auto"/>
            <w:noWrap/>
          </w:tcPr>
          <w:p w14:paraId="406BFC90" w14:textId="77777777" w:rsidR="00AC375F" w:rsidRPr="00AC375F" w:rsidRDefault="00AC375F" w:rsidP="00AC375F"/>
        </w:tc>
        <w:tc>
          <w:tcPr>
            <w:tcW w:w="1609" w:type="dxa"/>
            <w:shd w:val="clear" w:color="auto" w:fill="auto"/>
            <w:noWrap/>
          </w:tcPr>
          <w:p w14:paraId="09C4EF84" w14:textId="77777777" w:rsidR="00AC375F" w:rsidRPr="00AC375F" w:rsidRDefault="00AC375F" w:rsidP="00AC375F">
            <w:pPr>
              <w:jc w:val="center"/>
              <w:rPr>
                <w:sz w:val="18"/>
                <w:szCs w:val="18"/>
              </w:rPr>
            </w:pPr>
            <w:r w:rsidRPr="00AC375F">
              <w:rPr>
                <w:sz w:val="18"/>
                <w:szCs w:val="18"/>
              </w:rPr>
              <w:t>virtualno</w:t>
            </w:r>
          </w:p>
        </w:tc>
        <w:tc>
          <w:tcPr>
            <w:tcW w:w="940" w:type="dxa"/>
            <w:shd w:val="clear" w:color="auto" w:fill="auto"/>
            <w:noWrap/>
          </w:tcPr>
          <w:p w14:paraId="63254E34" w14:textId="77777777" w:rsidR="00AC375F" w:rsidRPr="00AC375F" w:rsidRDefault="00AC375F" w:rsidP="00AC375F">
            <w:pPr>
              <w:jc w:val="center"/>
              <w:rPr>
                <w:sz w:val="18"/>
                <w:szCs w:val="18"/>
              </w:rPr>
            </w:pPr>
            <w:r w:rsidRPr="00AC375F">
              <w:rPr>
                <w:sz w:val="18"/>
                <w:szCs w:val="18"/>
              </w:rPr>
              <w:t>1</w:t>
            </w:r>
          </w:p>
        </w:tc>
        <w:tc>
          <w:tcPr>
            <w:tcW w:w="1305" w:type="dxa"/>
            <w:shd w:val="clear" w:color="auto" w:fill="auto"/>
            <w:noWrap/>
          </w:tcPr>
          <w:p w14:paraId="29360406" w14:textId="77777777" w:rsidR="00AC375F" w:rsidRPr="00AC375F" w:rsidRDefault="00AC375F" w:rsidP="00AC375F">
            <w:pPr>
              <w:jc w:val="center"/>
              <w:rPr>
                <w:sz w:val="18"/>
                <w:szCs w:val="18"/>
              </w:rPr>
            </w:pPr>
            <w:r w:rsidRPr="00AC375F">
              <w:rPr>
                <w:sz w:val="18"/>
                <w:szCs w:val="18"/>
              </w:rPr>
              <w:t>rujan</w:t>
            </w:r>
          </w:p>
        </w:tc>
        <w:tc>
          <w:tcPr>
            <w:tcW w:w="1249" w:type="dxa"/>
            <w:shd w:val="clear" w:color="auto" w:fill="auto"/>
            <w:noWrap/>
          </w:tcPr>
          <w:p w14:paraId="18451992" w14:textId="77777777" w:rsidR="00AC375F" w:rsidRPr="00AC375F" w:rsidRDefault="00AC375F" w:rsidP="00AC375F">
            <w:pPr>
              <w:jc w:val="center"/>
              <w:rPr>
                <w:sz w:val="18"/>
                <w:szCs w:val="18"/>
              </w:rPr>
            </w:pPr>
            <w:r w:rsidRPr="00AC375F">
              <w:rPr>
                <w:sz w:val="18"/>
                <w:szCs w:val="18"/>
              </w:rPr>
              <w:t>1</w:t>
            </w:r>
          </w:p>
        </w:tc>
      </w:tr>
      <w:tr w:rsidR="00AC375F" w:rsidRPr="00AC375F" w14:paraId="5E1A5EE4" w14:textId="77777777" w:rsidTr="00991955">
        <w:trPr>
          <w:trHeight w:val="240"/>
        </w:trPr>
        <w:tc>
          <w:tcPr>
            <w:tcW w:w="4390" w:type="dxa"/>
            <w:shd w:val="clear" w:color="auto" w:fill="auto"/>
            <w:noWrap/>
          </w:tcPr>
          <w:p w14:paraId="55351265" w14:textId="77777777" w:rsidR="00AC375F" w:rsidRPr="00AC375F" w:rsidRDefault="00AC375F" w:rsidP="00AC375F"/>
        </w:tc>
        <w:tc>
          <w:tcPr>
            <w:tcW w:w="1609" w:type="dxa"/>
            <w:shd w:val="clear" w:color="auto" w:fill="auto"/>
            <w:noWrap/>
          </w:tcPr>
          <w:p w14:paraId="700F901E" w14:textId="77777777" w:rsidR="00AC375F" w:rsidRPr="00AC375F" w:rsidRDefault="00AC375F" w:rsidP="00AC375F">
            <w:pPr>
              <w:jc w:val="center"/>
              <w:rPr>
                <w:sz w:val="18"/>
                <w:szCs w:val="18"/>
              </w:rPr>
            </w:pPr>
            <w:r w:rsidRPr="00AC375F">
              <w:rPr>
                <w:sz w:val="18"/>
                <w:szCs w:val="18"/>
              </w:rPr>
              <w:t>virtualno</w:t>
            </w:r>
          </w:p>
        </w:tc>
        <w:tc>
          <w:tcPr>
            <w:tcW w:w="940" w:type="dxa"/>
            <w:shd w:val="clear" w:color="auto" w:fill="auto"/>
            <w:noWrap/>
          </w:tcPr>
          <w:p w14:paraId="2018D087" w14:textId="77777777" w:rsidR="00AC375F" w:rsidRPr="00AC375F" w:rsidRDefault="00AC375F" w:rsidP="00AC375F">
            <w:pPr>
              <w:jc w:val="center"/>
              <w:rPr>
                <w:sz w:val="18"/>
                <w:szCs w:val="18"/>
              </w:rPr>
            </w:pPr>
            <w:r w:rsidRPr="00AC375F">
              <w:rPr>
                <w:sz w:val="18"/>
                <w:szCs w:val="18"/>
              </w:rPr>
              <w:t>1</w:t>
            </w:r>
          </w:p>
        </w:tc>
        <w:tc>
          <w:tcPr>
            <w:tcW w:w="1305" w:type="dxa"/>
            <w:shd w:val="clear" w:color="auto" w:fill="auto"/>
            <w:noWrap/>
          </w:tcPr>
          <w:p w14:paraId="730487CF" w14:textId="77777777" w:rsidR="00AC375F" w:rsidRPr="00AC375F" w:rsidRDefault="00AC375F" w:rsidP="00AC375F">
            <w:pPr>
              <w:jc w:val="center"/>
              <w:rPr>
                <w:sz w:val="18"/>
                <w:szCs w:val="18"/>
              </w:rPr>
            </w:pPr>
            <w:r w:rsidRPr="00AC375F">
              <w:rPr>
                <w:sz w:val="18"/>
                <w:szCs w:val="18"/>
              </w:rPr>
              <w:t>listopad</w:t>
            </w:r>
          </w:p>
        </w:tc>
        <w:tc>
          <w:tcPr>
            <w:tcW w:w="1249" w:type="dxa"/>
            <w:shd w:val="clear" w:color="auto" w:fill="auto"/>
            <w:noWrap/>
          </w:tcPr>
          <w:p w14:paraId="0FDAF5F5" w14:textId="77777777" w:rsidR="00AC375F" w:rsidRPr="00AC375F" w:rsidRDefault="00AC375F" w:rsidP="00AC375F">
            <w:pPr>
              <w:jc w:val="center"/>
              <w:rPr>
                <w:sz w:val="18"/>
                <w:szCs w:val="18"/>
              </w:rPr>
            </w:pPr>
            <w:r w:rsidRPr="00AC375F">
              <w:rPr>
                <w:sz w:val="18"/>
                <w:szCs w:val="18"/>
              </w:rPr>
              <w:t>1</w:t>
            </w:r>
          </w:p>
        </w:tc>
      </w:tr>
      <w:tr w:rsidR="00AC375F" w:rsidRPr="00AC375F" w14:paraId="690468D8" w14:textId="77777777" w:rsidTr="00991955">
        <w:trPr>
          <w:trHeight w:val="240"/>
        </w:trPr>
        <w:tc>
          <w:tcPr>
            <w:tcW w:w="4390" w:type="dxa"/>
            <w:shd w:val="clear" w:color="auto" w:fill="auto"/>
            <w:noWrap/>
          </w:tcPr>
          <w:p w14:paraId="34B73515" w14:textId="77777777" w:rsidR="00AC375F" w:rsidRPr="00AC375F" w:rsidRDefault="00AC375F" w:rsidP="00AC375F"/>
        </w:tc>
        <w:tc>
          <w:tcPr>
            <w:tcW w:w="1609" w:type="dxa"/>
            <w:shd w:val="clear" w:color="auto" w:fill="auto"/>
            <w:noWrap/>
          </w:tcPr>
          <w:p w14:paraId="737C41D0" w14:textId="77777777" w:rsidR="00AC375F" w:rsidRPr="00AC375F" w:rsidRDefault="00AC375F" w:rsidP="00AC375F">
            <w:pPr>
              <w:jc w:val="center"/>
              <w:rPr>
                <w:sz w:val="18"/>
                <w:szCs w:val="18"/>
              </w:rPr>
            </w:pPr>
            <w:r w:rsidRPr="00AC375F">
              <w:rPr>
                <w:sz w:val="18"/>
                <w:szCs w:val="18"/>
              </w:rPr>
              <w:t>virtualno</w:t>
            </w:r>
          </w:p>
        </w:tc>
        <w:tc>
          <w:tcPr>
            <w:tcW w:w="940" w:type="dxa"/>
            <w:shd w:val="clear" w:color="auto" w:fill="auto"/>
            <w:noWrap/>
          </w:tcPr>
          <w:p w14:paraId="00F5CAF1" w14:textId="77777777" w:rsidR="00AC375F" w:rsidRPr="00AC375F" w:rsidRDefault="00AC375F" w:rsidP="00AC375F">
            <w:pPr>
              <w:jc w:val="center"/>
              <w:rPr>
                <w:sz w:val="18"/>
                <w:szCs w:val="18"/>
              </w:rPr>
            </w:pPr>
            <w:r w:rsidRPr="00AC375F">
              <w:rPr>
                <w:sz w:val="18"/>
                <w:szCs w:val="18"/>
              </w:rPr>
              <w:t>1</w:t>
            </w:r>
          </w:p>
        </w:tc>
        <w:tc>
          <w:tcPr>
            <w:tcW w:w="1305" w:type="dxa"/>
            <w:shd w:val="clear" w:color="auto" w:fill="auto"/>
            <w:noWrap/>
          </w:tcPr>
          <w:p w14:paraId="7077351F" w14:textId="77777777" w:rsidR="00AC375F" w:rsidRPr="00AC375F" w:rsidRDefault="00AC375F" w:rsidP="00AC375F">
            <w:pPr>
              <w:jc w:val="center"/>
              <w:rPr>
                <w:sz w:val="18"/>
                <w:szCs w:val="18"/>
              </w:rPr>
            </w:pPr>
            <w:r w:rsidRPr="00AC375F">
              <w:rPr>
                <w:sz w:val="18"/>
                <w:szCs w:val="18"/>
              </w:rPr>
              <w:t>studeni</w:t>
            </w:r>
          </w:p>
        </w:tc>
        <w:tc>
          <w:tcPr>
            <w:tcW w:w="1249" w:type="dxa"/>
            <w:shd w:val="clear" w:color="auto" w:fill="auto"/>
            <w:noWrap/>
          </w:tcPr>
          <w:p w14:paraId="283DE199" w14:textId="77777777" w:rsidR="00AC375F" w:rsidRPr="00AC375F" w:rsidRDefault="00AC375F" w:rsidP="00AC375F">
            <w:pPr>
              <w:jc w:val="center"/>
              <w:rPr>
                <w:sz w:val="18"/>
                <w:szCs w:val="18"/>
              </w:rPr>
            </w:pPr>
            <w:r w:rsidRPr="00AC375F">
              <w:rPr>
                <w:sz w:val="18"/>
                <w:szCs w:val="18"/>
              </w:rPr>
              <w:t>1</w:t>
            </w:r>
          </w:p>
        </w:tc>
      </w:tr>
      <w:tr w:rsidR="00AC375F" w:rsidRPr="00AC375F" w14:paraId="07237DF5" w14:textId="77777777" w:rsidTr="00991955">
        <w:trPr>
          <w:trHeight w:val="240"/>
        </w:trPr>
        <w:tc>
          <w:tcPr>
            <w:tcW w:w="4390" w:type="dxa"/>
            <w:shd w:val="clear" w:color="auto" w:fill="auto"/>
            <w:noWrap/>
          </w:tcPr>
          <w:p w14:paraId="6937247F" w14:textId="77777777" w:rsidR="00AC375F" w:rsidRPr="00AC375F" w:rsidRDefault="00AC375F" w:rsidP="00AC375F"/>
        </w:tc>
        <w:tc>
          <w:tcPr>
            <w:tcW w:w="1609" w:type="dxa"/>
            <w:shd w:val="clear" w:color="auto" w:fill="auto"/>
            <w:noWrap/>
          </w:tcPr>
          <w:p w14:paraId="038009E9" w14:textId="77777777" w:rsidR="00AC375F" w:rsidRPr="00AC375F" w:rsidRDefault="00AC375F" w:rsidP="00AC375F">
            <w:pPr>
              <w:jc w:val="center"/>
              <w:rPr>
                <w:sz w:val="18"/>
                <w:szCs w:val="18"/>
              </w:rPr>
            </w:pPr>
            <w:r w:rsidRPr="00AC375F">
              <w:rPr>
                <w:sz w:val="18"/>
                <w:szCs w:val="18"/>
              </w:rPr>
              <w:t>Bruxelles</w:t>
            </w:r>
          </w:p>
        </w:tc>
        <w:tc>
          <w:tcPr>
            <w:tcW w:w="940" w:type="dxa"/>
            <w:shd w:val="clear" w:color="auto" w:fill="auto"/>
            <w:noWrap/>
          </w:tcPr>
          <w:p w14:paraId="6208E717" w14:textId="77777777" w:rsidR="00AC375F" w:rsidRPr="00AC375F" w:rsidRDefault="00AC375F" w:rsidP="00AC375F">
            <w:pPr>
              <w:jc w:val="center"/>
              <w:rPr>
                <w:sz w:val="18"/>
                <w:szCs w:val="18"/>
              </w:rPr>
            </w:pPr>
            <w:r w:rsidRPr="00AC375F">
              <w:rPr>
                <w:sz w:val="18"/>
                <w:szCs w:val="18"/>
              </w:rPr>
              <w:t>1</w:t>
            </w:r>
          </w:p>
        </w:tc>
        <w:tc>
          <w:tcPr>
            <w:tcW w:w="1305" w:type="dxa"/>
            <w:shd w:val="clear" w:color="auto" w:fill="auto"/>
            <w:noWrap/>
          </w:tcPr>
          <w:p w14:paraId="0A964715" w14:textId="77777777" w:rsidR="00AC375F" w:rsidRPr="00AC375F" w:rsidRDefault="00AC375F" w:rsidP="00AC375F">
            <w:pPr>
              <w:jc w:val="center"/>
              <w:rPr>
                <w:sz w:val="18"/>
                <w:szCs w:val="18"/>
              </w:rPr>
            </w:pPr>
            <w:r w:rsidRPr="00AC375F">
              <w:rPr>
                <w:sz w:val="18"/>
                <w:szCs w:val="18"/>
              </w:rPr>
              <w:t>studeni</w:t>
            </w:r>
          </w:p>
        </w:tc>
        <w:tc>
          <w:tcPr>
            <w:tcW w:w="1249" w:type="dxa"/>
            <w:shd w:val="clear" w:color="auto" w:fill="auto"/>
            <w:noWrap/>
          </w:tcPr>
          <w:p w14:paraId="4231AF6B" w14:textId="77777777" w:rsidR="00AC375F" w:rsidRPr="00AC375F" w:rsidRDefault="00AC375F" w:rsidP="00AC375F">
            <w:pPr>
              <w:jc w:val="center"/>
              <w:rPr>
                <w:sz w:val="18"/>
                <w:szCs w:val="18"/>
              </w:rPr>
            </w:pPr>
            <w:r w:rsidRPr="00AC375F">
              <w:rPr>
                <w:sz w:val="18"/>
                <w:szCs w:val="18"/>
              </w:rPr>
              <w:t>1</w:t>
            </w:r>
          </w:p>
        </w:tc>
      </w:tr>
      <w:tr w:rsidR="00AC375F" w:rsidRPr="00AC375F" w14:paraId="43B24836" w14:textId="77777777" w:rsidTr="00991955">
        <w:trPr>
          <w:trHeight w:val="240"/>
        </w:trPr>
        <w:tc>
          <w:tcPr>
            <w:tcW w:w="4390" w:type="dxa"/>
            <w:shd w:val="clear" w:color="auto" w:fill="auto"/>
            <w:noWrap/>
          </w:tcPr>
          <w:p w14:paraId="77A3CA8F" w14:textId="77777777" w:rsidR="00AC375F" w:rsidRPr="00AC375F" w:rsidRDefault="00AC375F" w:rsidP="00AC375F"/>
        </w:tc>
        <w:tc>
          <w:tcPr>
            <w:tcW w:w="1609" w:type="dxa"/>
            <w:shd w:val="clear" w:color="auto" w:fill="auto"/>
            <w:noWrap/>
          </w:tcPr>
          <w:p w14:paraId="619ED6BE" w14:textId="77777777" w:rsidR="00AC375F" w:rsidRPr="00AC375F" w:rsidRDefault="00AC375F" w:rsidP="00AC375F">
            <w:pPr>
              <w:jc w:val="center"/>
              <w:rPr>
                <w:sz w:val="18"/>
                <w:szCs w:val="18"/>
              </w:rPr>
            </w:pPr>
            <w:r w:rsidRPr="00AC375F">
              <w:rPr>
                <w:sz w:val="18"/>
                <w:szCs w:val="18"/>
              </w:rPr>
              <w:t>virtualno</w:t>
            </w:r>
          </w:p>
        </w:tc>
        <w:tc>
          <w:tcPr>
            <w:tcW w:w="940" w:type="dxa"/>
            <w:shd w:val="clear" w:color="auto" w:fill="auto"/>
            <w:noWrap/>
          </w:tcPr>
          <w:p w14:paraId="25A12E89" w14:textId="77777777" w:rsidR="00AC375F" w:rsidRPr="00AC375F" w:rsidRDefault="00AC375F" w:rsidP="00AC375F">
            <w:pPr>
              <w:jc w:val="center"/>
              <w:rPr>
                <w:sz w:val="18"/>
                <w:szCs w:val="18"/>
              </w:rPr>
            </w:pPr>
            <w:r w:rsidRPr="00AC375F">
              <w:rPr>
                <w:sz w:val="18"/>
                <w:szCs w:val="18"/>
              </w:rPr>
              <w:t>1</w:t>
            </w:r>
          </w:p>
        </w:tc>
        <w:tc>
          <w:tcPr>
            <w:tcW w:w="1305" w:type="dxa"/>
            <w:shd w:val="clear" w:color="auto" w:fill="auto"/>
            <w:noWrap/>
          </w:tcPr>
          <w:p w14:paraId="33830CBF" w14:textId="77777777" w:rsidR="00AC375F" w:rsidRPr="00AC375F" w:rsidRDefault="00AC375F" w:rsidP="00AC375F">
            <w:pPr>
              <w:jc w:val="center"/>
              <w:rPr>
                <w:sz w:val="18"/>
                <w:szCs w:val="18"/>
              </w:rPr>
            </w:pPr>
            <w:r w:rsidRPr="00AC375F">
              <w:rPr>
                <w:sz w:val="18"/>
                <w:szCs w:val="18"/>
              </w:rPr>
              <w:t>prosinac</w:t>
            </w:r>
          </w:p>
        </w:tc>
        <w:tc>
          <w:tcPr>
            <w:tcW w:w="1249" w:type="dxa"/>
            <w:shd w:val="clear" w:color="auto" w:fill="auto"/>
            <w:noWrap/>
          </w:tcPr>
          <w:p w14:paraId="458CC019" w14:textId="77777777" w:rsidR="00AC375F" w:rsidRPr="00AC375F" w:rsidRDefault="00AC375F" w:rsidP="00AC375F">
            <w:pPr>
              <w:jc w:val="center"/>
              <w:rPr>
                <w:sz w:val="18"/>
                <w:szCs w:val="18"/>
              </w:rPr>
            </w:pPr>
            <w:r w:rsidRPr="00AC375F">
              <w:rPr>
                <w:sz w:val="18"/>
                <w:szCs w:val="18"/>
              </w:rPr>
              <w:t>1</w:t>
            </w:r>
          </w:p>
        </w:tc>
      </w:tr>
      <w:tr w:rsidR="00AC375F" w:rsidRPr="00AC375F" w14:paraId="3C0614D9" w14:textId="77777777" w:rsidTr="00991955">
        <w:trPr>
          <w:trHeight w:val="240"/>
        </w:trPr>
        <w:tc>
          <w:tcPr>
            <w:tcW w:w="4390" w:type="dxa"/>
            <w:shd w:val="clear" w:color="auto" w:fill="auto"/>
            <w:noWrap/>
          </w:tcPr>
          <w:p w14:paraId="2989243F" w14:textId="77777777" w:rsidR="00AC375F" w:rsidRPr="00AC375F" w:rsidRDefault="00AC375F" w:rsidP="00AC375F">
            <w:pPr>
              <w:rPr>
                <w:b/>
                <w:bCs/>
                <w:sz w:val="18"/>
                <w:szCs w:val="18"/>
              </w:rPr>
            </w:pPr>
            <w:r w:rsidRPr="00AC375F">
              <w:rPr>
                <w:b/>
                <w:bCs/>
                <w:sz w:val="18"/>
                <w:szCs w:val="18"/>
              </w:rPr>
              <w:t>Health Emergency Preparedness and Response Authority (HERA MCM)</w:t>
            </w:r>
          </w:p>
        </w:tc>
        <w:tc>
          <w:tcPr>
            <w:tcW w:w="1609" w:type="dxa"/>
            <w:shd w:val="clear" w:color="auto" w:fill="auto"/>
            <w:noWrap/>
          </w:tcPr>
          <w:p w14:paraId="0D405C8E" w14:textId="77777777" w:rsidR="00AC375F" w:rsidRPr="00AC375F" w:rsidRDefault="00AC375F" w:rsidP="00AC375F">
            <w:pPr>
              <w:jc w:val="center"/>
              <w:rPr>
                <w:sz w:val="18"/>
                <w:szCs w:val="18"/>
              </w:rPr>
            </w:pPr>
            <w:r w:rsidRPr="00AC375F">
              <w:rPr>
                <w:sz w:val="18"/>
                <w:szCs w:val="18"/>
              </w:rPr>
              <w:t>virtualno</w:t>
            </w:r>
          </w:p>
        </w:tc>
        <w:tc>
          <w:tcPr>
            <w:tcW w:w="940" w:type="dxa"/>
            <w:shd w:val="clear" w:color="auto" w:fill="auto"/>
            <w:noWrap/>
          </w:tcPr>
          <w:p w14:paraId="792B7AFD" w14:textId="77777777" w:rsidR="00AC375F" w:rsidRPr="00AC375F" w:rsidRDefault="00AC375F" w:rsidP="00AC375F">
            <w:pPr>
              <w:jc w:val="center"/>
              <w:rPr>
                <w:sz w:val="18"/>
                <w:szCs w:val="18"/>
              </w:rPr>
            </w:pPr>
            <w:r w:rsidRPr="00AC375F">
              <w:rPr>
                <w:sz w:val="18"/>
                <w:szCs w:val="18"/>
              </w:rPr>
              <w:t>1</w:t>
            </w:r>
          </w:p>
        </w:tc>
        <w:tc>
          <w:tcPr>
            <w:tcW w:w="1305" w:type="dxa"/>
            <w:shd w:val="clear" w:color="auto" w:fill="auto"/>
            <w:noWrap/>
          </w:tcPr>
          <w:p w14:paraId="141A4016" w14:textId="77777777" w:rsidR="00AC375F" w:rsidRPr="00AC375F" w:rsidRDefault="00AC375F" w:rsidP="00AC375F">
            <w:pPr>
              <w:jc w:val="center"/>
              <w:rPr>
                <w:sz w:val="18"/>
                <w:szCs w:val="18"/>
              </w:rPr>
            </w:pPr>
            <w:r w:rsidRPr="00AC375F">
              <w:rPr>
                <w:sz w:val="18"/>
                <w:szCs w:val="18"/>
              </w:rPr>
              <w:t>siječanj</w:t>
            </w:r>
          </w:p>
        </w:tc>
        <w:tc>
          <w:tcPr>
            <w:tcW w:w="1249" w:type="dxa"/>
            <w:shd w:val="clear" w:color="auto" w:fill="auto"/>
            <w:noWrap/>
          </w:tcPr>
          <w:p w14:paraId="4E194F5A" w14:textId="77777777" w:rsidR="00AC375F" w:rsidRPr="00AC375F" w:rsidRDefault="00AC375F" w:rsidP="00AC375F">
            <w:pPr>
              <w:jc w:val="center"/>
              <w:rPr>
                <w:sz w:val="18"/>
                <w:szCs w:val="18"/>
              </w:rPr>
            </w:pPr>
            <w:r w:rsidRPr="00AC375F">
              <w:rPr>
                <w:sz w:val="18"/>
                <w:szCs w:val="18"/>
              </w:rPr>
              <w:t>1</w:t>
            </w:r>
          </w:p>
        </w:tc>
      </w:tr>
      <w:tr w:rsidR="00AC375F" w:rsidRPr="00AC375F" w14:paraId="29995DB1" w14:textId="77777777" w:rsidTr="00991955">
        <w:trPr>
          <w:trHeight w:val="240"/>
        </w:trPr>
        <w:tc>
          <w:tcPr>
            <w:tcW w:w="4390" w:type="dxa"/>
            <w:shd w:val="clear" w:color="auto" w:fill="auto"/>
            <w:noWrap/>
          </w:tcPr>
          <w:p w14:paraId="505AAAEA" w14:textId="77777777" w:rsidR="00AC375F" w:rsidRPr="00AC375F" w:rsidRDefault="00AC375F" w:rsidP="00AC375F"/>
        </w:tc>
        <w:tc>
          <w:tcPr>
            <w:tcW w:w="1609" w:type="dxa"/>
            <w:shd w:val="clear" w:color="auto" w:fill="auto"/>
            <w:noWrap/>
          </w:tcPr>
          <w:p w14:paraId="415BA3EE" w14:textId="77777777" w:rsidR="00AC375F" w:rsidRPr="00AC375F" w:rsidRDefault="00AC375F" w:rsidP="00AC375F">
            <w:pPr>
              <w:jc w:val="center"/>
              <w:rPr>
                <w:sz w:val="18"/>
                <w:szCs w:val="18"/>
              </w:rPr>
            </w:pPr>
            <w:r w:rsidRPr="00AC375F">
              <w:rPr>
                <w:sz w:val="18"/>
                <w:szCs w:val="18"/>
              </w:rPr>
              <w:t>virtualno</w:t>
            </w:r>
          </w:p>
        </w:tc>
        <w:tc>
          <w:tcPr>
            <w:tcW w:w="940" w:type="dxa"/>
            <w:shd w:val="clear" w:color="auto" w:fill="auto"/>
            <w:noWrap/>
          </w:tcPr>
          <w:p w14:paraId="73ACC1E4" w14:textId="77777777" w:rsidR="00AC375F" w:rsidRPr="00AC375F" w:rsidRDefault="00AC375F" w:rsidP="00AC375F">
            <w:pPr>
              <w:jc w:val="center"/>
              <w:rPr>
                <w:sz w:val="18"/>
                <w:szCs w:val="18"/>
              </w:rPr>
            </w:pPr>
            <w:r w:rsidRPr="00AC375F">
              <w:rPr>
                <w:sz w:val="18"/>
                <w:szCs w:val="18"/>
              </w:rPr>
              <w:t>1</w:t>
            </w:r>
          </w:p>
        </w:tc>
        <w:tc>
          <w:tcPr>
            <w:tcW w:w="1305" w:type="dxa"/>
            <w:shd w:val="clear" w:color="auto" w:fill="auto"/>
            <w:noWrap/>
          </w:tcPr>
          <w:p w14:paraId="45973F44" w14:textId="77777777" w:rsidR="00AC375F" w:rsidRPr="00AC375F" w:rsidRDefault="00AC375F" w:rsidP="00AC375F">
            <w:pPr>
              <w:jc w:val="center"/>
              <w:rPr>
                <w:sz w:val="18"/>
                <w:szCs w:val="18"/>
              </w:rPr>
            </w:pPr>
            <w:r w:rsidRPr="00AC375F">
              <w:rPr>
                <w:sz w:val="18"/>
                <w:szCs w:val="18"/>
              </w:rPr>
              <w:t>siječanj</w:t>
            </w:r>
          </w:p>
        </w:tc>
        <w:tc>
          <w:tcPr>
            <w:tcW w:w="1249" w:type="dxa"/>
            <w:shd w:val="clear" w:color="auto" w:fill="auto"/>
            <w:noWrap/>
          </w:tcPr>
          <w:p w14:paraId="5662DBDC" w14:textId="77777777" w:rsidR="00AC375F" w:rsidRPr="00AC375F" w:rsidRDefault="00AC375F" w:rsidP="00AC375F">
            <w:pPr>
              <w:jc w:val="center"/>
              <w:rPr>
                <w:sz w:val="18"/>
                <w:szCs w:val="18"/>
              </w:rPr>
            </w:pPr>
            <w:r w:rsidRPr="00AC375F">
              <w:rPr>
                <w:sz w:val="18"/>
                <w:szCs w:val="18"/>
              </w:rPr>
              <w:t>1</w:t>
            </w:r>
          </w:p>
        </w:tc>
      </w:tr>
      <w:tr w:rsidR="00AC375F" w:rsidRPr="00AC375F" w14:paraId="4D682508" w14:textId="77777777" w:rsidTr="00991955">
        <w:trPr>
          <w:trHeight w:val="240"/>
        </w:trPr>
        <w:tc>
          <w:tcPr>
            <w:tcW w:w="4390" w:type="dxa"/>
            <w:shd w:val="clear" w:color="auto" w:fill="auto"/>
            <w:noWrap/>
          </w:tcPr>
          <w:p w14:paraId="7BAC0FD0" w14:textId="77777777" w:rsidR="00AC375F" w:rsidRPr="00AC375F" w:rsidRDefault="00AC375F" w:rsidP="00AC375F"/>
        </w:tc>
        <w:tc>
          <w:tcPr>
            <w:tcW w:w="1609" w:type="dxa"/>
            <w:shd w:val="clear" w:color="auto" w:fill="auto"/>
            <w:noWrap/>
          </w:tcPr>
          <w:p w14:paraId="12E78777" w14:textId="77777777" w:rsidR="00AC375F" w:rsidRPr="00AC375F" w:rsidRDefault="00AC375F" w:rsidP="00AC375F">
            <w:pPr>
              <w:jc w:val="center"/>
              <w:rPr>
                <w:sz w:val="18"/>
                <w:szCs w:val="18"/>
              </w:rPr>
            </w:pPr>
            <w:r w:rsidRPr="00AC375F">
              <w:rPr>
                <w:sz w:val="18"/>
                <w:szCs w:val="18"/>
              </w:rPr>
              <w:t>virtualno</w:t>
            </w:r>
          </w:p>
        </w:tc>
        <w:tc>
          <w:tcPr>
            <w:tcW w:w="940" w:type="dxa"/>
            <w:shd w:val="clear" w:color="auto" w:fill="auto"/>
            <w:noWrap/>
          </w:tcPr>
          <w:p w14:paraId="57449F18" w14:textId="77777777" w:rsidR="00AC375F" w:rsidRPr="00AC375F" w:rsidRDefault="00AC375F" w:rsidP="00AC375F">
            <w:pPr>
              <w:jc w:val="center"/>
              <w:rPr>
                <w:sz w:val="18"/>
                <w:szCs w:val="18"/>
              </w:rPr>
            </w:pPr>
            <w:r w:rsidRPr="00AC375F">
              <w:rPr>
                <w:sz w:val="18"/>
                <w:szCs w:val="18"/>
              </w:rPr>
              <w:t>1</w:t>
            </w:r>
          </w:p>
        </w:tc>
        <w:tc>
          <w:tcPr>
            <w:tcW w:w="1305" w:type="dxa"/>
            <w:shd w:val="clear" w:color="auto" w:fill="auto"/>
            <w:noWrap/>
          </w:tcPr>
          <w:p w14:paraId="7E9844C4" w14:textId="77777777" w:rsidR="00AC375F" w:rsidRPr="00AC375F" w:rsidRDefault="00AC375F" w:rsidP="00AC375F">
            <w:pPr>
              <w:jc w:val="center"/>
              <w:rPr>
                <w:sz w:val="18"/>
                <w:szCs w:val="18"/>
              </w:rPr>
            </w:pPr>
            <w:r w:rsidRPr="00AC375F">
              <w:rPr>
                <w:sz w:val="18"/>
                <w:szCs w:val="18"/>
              </w:rPr>
              <w:t>siječanj</w:t>
            </w:r>
          </w:p>
        </w:tc>
        <w:tc>
          <w:tcPr>
            <w:tcW w:w="1249" w:type="dxa"/>
            <w:shd w:val="clear" w:color="auto" w:fill="auto"/>
            <w:noWrap/>
          </w:tcPr>
          <w:p w14:paraId="3293065E" w14:textId="77777777" w:rsidR="00AC375F" w:rsidRPr="00AC375F" w:rsidRDefault="00AC375F" w:rsidP="00AC375F">
            <w:pPr>
              <w:jc w:val="center"/>
              <w:rPr>
                <w:sz w:val="18"/>
                <w:szCs w:val="18"/>
              </w:rPr>
            </w:pPr>
            <w:r w:rsidRPr="00AC375F">
              <w:rPr>
                <w:sz w:val="18"/>
                <w:szCs w:val="18"/>
              </w:rPr>
              <w:t>1</w:t>
            </w:r>
          </w:p>
        </w:tc>
      </w:tr>
      <w:tr w:rsidR="00AC375F" w:rsidRPr="00AC375F" w14:paraId="356DF458" w14:textId="77777777" w:rsidTr="00991955">
        <w:trPr>
          <w:trHeight w:val="240"/>
        </w:trPr>
        <w:tc>
          <w:tcPr>
            <w:tcW w:w="4390" w:type="dxa"/>
            <w:shd w:val="clear" w:color="auto" w:fill="auto"/>
            <w:noWrap/>
          </w:tcPr>
          <w:p w14:paraId="2F61786D" w14:textId="77777777" w:rsidR="00AC375F" w:rsidRPr="00AC375F" w:rsidRDefault="00AC375F" w:rsidP="00AC375F"/>
        </w:tc>
        <w:tc>
          <w:tcPr>
            <w:tcW w:w="1609" w:type="dxa"/>
            <w:shd w:val="clear" w:color="auto" w:fill="auto"/>
            <w:noWrap/>
          </w:tcPr>
          <w:p w14:paraId="4955C33E" w14:textId="77777777" w:rsidR="00AC375F" w:rsidRPr="00AC375F" w:rsidRDefault="00AC375F" w:rsidP="00AC375F">
            <w:pPr>
              <w:jc w:val="center"/>
              <w:rPr>
                <w:sz w:val="18"/>
                <w:szCs w:val="18"/>
              </w:rPr>
            </w:pPr>
            <w:r w:rsidRPr="00AC375F">
              <w:rPr>
                <w:sz w:val="18"/>
                <w:szCs w:val="18"/>
              </w:rPr>
              <w:t>Bruxelles</w:t>
            </w:r>
          </w:p>
        </w:tc>
        <w:tc>
          <w:tcPr>
            <w:tcW w:w="940" w:type="dxa"/>
            <w:shd w:val="clear" w:color="auto" w:fill="auto"/>
            <w:noWrap/>
          </w:tcPr>
          <w:p w14:paraId="7A2FEC99" w14:textId="77777777" w:rsidR="00AC375F" w:rsidRPr="00AC375F" w:rsidRDefault="00AC375F" w:rsidP="00AC375F">
            <w:pPr>
              <w:jc w:val="center"/>
              <w:rPr>
                <w:sz w:val="18"/>
                <w:szCs w:val="18"/>
              </w:rPr>
            </w:pPr>
            <w:r w:rsidRPr="00AC375F">
              <w:rPr>
                <w:sz w:val="18"/>
                <w:szCs w:val="18"/>
              </w:rPr>
              <w:t>1</w:t>
            </w:r>
          </w:p>
        </w:tc>
        <w:tc>
          <w:tcPr>
            <w:tcW w:w="1305" w:type="dxa"/>
            <w:shd w:val="clear" w:color="auto" w:fill="auto"/>
            <w:noWrap/>
          </w:tcPr>
          <w:p w14:paraId="1B94A9F0" w14:textId="77777777" w:rsidR="00AC375F" w:rsidRPr="00AC375F" w:rsidRDefault="00AC375F" w:rsidP="00AC375F">
            <w:pPr>
              <w:jc w:val="center"/>
              <w:rPr>
                <w:sz w:val="18"/>
                <w:szCs w:val="18"/>
              </w:rPr>
            </w:pPr>
            <w:r w:rsidRPr="00AC375F">
              <w:rPr>
                <w:sz w:val="18"/>
                <w:szCs w:val="18"/>
              </w:rPr>
              <w:t>veljača</w:t>
            </w:r>
          </w:p>
        </w:tc>
        <w:tc>
          <w:tcPr>
            <w:tcW w:w="1249" w:type="dxa"/>
            <w:shd w:val="clear" w:color="auto" w:fill="auto"/>
            <w:noWrap/>
          </w:tcPr>
          <w:p w14:paraId="31481582" w14:textId="77777777" w:rsidR="00AC375F" w:rsidRPr="00AC375F" w:rsidRDefault="00AC375F" w:rsidP="00AC375F">
            <w:pPr>
              <w:jc w:val="center"/>
              <w:rPr>
                <w:sz w:val="18"/>
                <w:szCs w:val="18"/>
              </w:rPr>
            </w:pPr>
            <w:r w:rsidRPr="00AC375F">
              <w:rPr>
                <w:sz w:val="18"/>
                <w:szCs w:val="18"/>
              </w:rPr>
              <w:t>2</w:t>
            </w:r>
          </w:p>
        </w:tc>
      </w:tr>
      <w:tr w:rsidR="00AC375F" w:rsidRPr="00AC375F" w14:paraId="7DBC063E" w14:textId="77777777" w:rsidTr="00991955">
        <w:trPr>
          <w:trHeight w:val="240"/>
        </w:trPr>
        <w:tc>
          <w:tcPr>
            <w:tcW w:w="4390" w:type="dxa"/>
            <w:shd w:val="clear" w:color="auto" w:fill="auto"/>
            <w:noWrap/>
          </w:tcPr>
          <w:p w14:paraId="56439ED2" w14:textId="77777777" w:rsidR="00AC375F" w:rsidRPr="00AC375F" w:rsidRDefault="00AC375F" w:rsidP="00AC375F"/>
        </w:tc>
        <w:tc>
          <w:tcPr>
            <w:tcW w:w="1609" w:type="dxa"/>
            <w:shd w:val="clear" w:color="auto" w:fill="auto"/>
            <w:noWrap/>
          </w:tcPr>
          <w:p w14:paraId="7B30C9BC" w14:textId="77777777" w:rsidR="00AC375F" w:rsidRPr="00AC375F" w:rsidRDefault="00AC375F" w:rsidP="00AC375F">
            <w:pPr>
              <w:jc w:val="center"/>
              <w:rPr>
                <w:sz w:val="18"/>
                <w:szCs w:val="18"/>
              </w:rPr>
            </w:pPr>
            <w:r w:rsidRPr="00AC375F">
              <w:rPr>
                <w:sz w:val="18"/>
                <w:szCs w:val="18"/>
              </w:rPr>
              <w:t>virtualno</w:t>
            </w:r>
          </w:p>
        </w:tc>
        <w:tc>
          <w:tcPr>
            <w:tcW w:w="940" w:type="dxa"/>
            <w:shd w:val="clear" w:color="auto" w:fill="auto"/>
            <w:noWrap/>
          </w:tcPr>
          <w:p w14:paraId="19B81D45" w14:textId="77777777" w:rsidR="00AC375F" w:rsidRPr="00AC375F" w:rsidRDefault="00AC375F" w:rsidP="00AC375F">
            <w:pPr>
              <w:jc w:val="center"/>
              <w:rPr>
                <w:sz w:val="18"/>
                <w:szCs w:val="18"/>
              </w:rPr>
            </w:pPr>
            <w:r w:rsidRPr="00AC375F">
              <w:rPr>
                <w:sz w:val="18"/>
                <w:szCs w:val="18"/>
              </w:rPr>
              <w:t>1</w:t>
            </w:r>
          </w:p>
        </w:tc>
        <w:tc>
          <w:tcPr>
            <w:tcW w:w="1305" w:type="dxa"/>
            <w:shd w:val="clear" w:color="auto" w:fill="auto"/>
            <w:noWrap/>
          </w:tcPr>
          <w:p w14:paraId="4747B02A" w14:textId="77777777" w:rsidR="00AC375F" w:rsidRPr="00AC375F" w:rsidRDefault="00AC375F" w:rsidP="00AC375F">
            <w:pPr>
              <w:jc w:val="center"/>
              <w:rPr>
                <w:sz w:val="18"/>
                <w:szCs w:val="18"/>
              </w:rPr>
            </w:pPr>
            <w:r w:rsidRPr="00AC375F">
              <w:rPr>
                <w:sz w:val="18"/>
                <w:szCs w:val="18"/>
              </w:rPr>
              <w:t>veljača</w:t>
            </w:r>
          </w:p>
        </w:tc>
        <w:tc>
          <w:tcPr>
            <w:tcW w:w="1249" w:type="dxa"/>
            <w:shd w:val="clear" w:color="auto" w:fill="auto"/>
            <w:noWrap/>
          </w:tcPr>
          <w:p w14:paraId="243E1BC4" w14:textId="77777777" w:rsidR="00AC375F" w:rsidRPr="00AC375F" w:rsidRDefault="00AC375F" w:rsidP="00AC375F">
            <w:pPr>
              <w:jc w:val="center"/>
              <w:rPr>
                <w:sz w:val="18"/>
                <w:szCs w:val="18"/>
              </w:rPr>
            </w:pPr>
            <w:r w:rsidRPr="00AC375F">
              <w:rPr>
                <w:sz w:val="18"/>
                <w:szCs w:val="18"/>
              </w:rPr>
              <w:t>1</w:t>
            </w:r>
          </w:p>
        </w:tc>
      </w:tr>
      <w:tr w:rsidR="00AC375F" w:rsidRPr="00AC375F" w14:paraId="2EBF6C5A" w14:textId="77777777" w:rsidTr="00991955">
        <w:trPr>
          <w:trHeight w:val="240"/>
        </w:trPr>
        <w:tc>
          <w:tcPr>
            <w:tcW w:w="4390" w:type="dxa"/>
            <w:shd w:val="clear" w:color="auto" w:fill="auto"/>
            <w:noWrap/>
          </w:tcPr>
          <w:p w14:paraId="314862C6" w14:textId="77777777" w:rsidR="00AC375F" w:rsidRPr="00AC375F" w:rsidRDefault="00AC375F" w:rsidP="00AC375F"/>
        </w:tc>
        <w:tc>
          <w:tcPr>
            <w:tcW w:w="1609" w:type="dxa"/>
            <w:shd w:val="clear" w:color="auto" w:fill="auto"/>
            <w:noWrap/>
          </w:tcPr>
          <w:p w14:paraId="41020F49" w14:textId="77777777" w:rsidR="00AC375F" w:rsidRPr="00AC375F" w:rsidRDefault="00AC375F" w:rsidP="00AC375F">
            <w:pPr>
              <w:jc w:val="center"/>
              <w:rPr>
                <w:sz w:val="18"/>
                <w:szCs w:val="18"/>
              </w:rPr>
            </w:pPr>
            <w:r w:rsidRPr="00AC375F">
              <w:rPr>
                <w:sz w:val="18"/>
                <w:szCs w:val="18"/>
              </w:rPr>
              <w:t>virtualno</w:t>
            </w:r>
          </w:p>
        </w:tc>
        <w:tc>
          <w:tcPr>
            <w:tcW w:w="940" w:type="dxa"/>
            <w:shd w:val="clear" w:color="auto" w:fill="auto"/>
            <w:noWrap/>
          </w:tcPr>
          <w:p w14:paraId="071136B2" w14:textId="77777777" w:rsidR="00AC375F" w:rsidRPr="00AC375F" w:rsidRDefault="00AC375F" w:rsidP="00AC375F">
            <w:pPr>
              <w:jc w:val="center"/>
              <w:rPr>
                <w:sz w:val="18"/>
                <w:szCs w:val="18"/>
              </w:rPr>
            </w:pPr>
            <w:r w:rsidRPr="00AC375F">
              <w:rPr>
                <w:sz w:val="18"/>
                <w:szCs w:val="18"/>
              </w:rPr>
              <w:t>1</w:t>
            </w:r>
          </w:p>
        </w:tc>
        <w:tc>
          <w:tcPr>
            <w:tcW w:w="1305" w:type="dxa"/>
            <w:shd w:val="clear" w:color="auto" w:fill="auto"/>
            <w:noWrap/>
          </w:tcPr>
          <w:p w14:paraId="3A6BEF9B" w14:textId="77777777" w:rsidR="00AC375F" w:rsidRPr="00AC375F" w:rsidRDefault="00AC375F" w:rsidP="00AC375F">
            <w:pPr>
              <w:jc w:val="center"/>
              <w:rPr>
                <w:sz w:val="18"/>
                <w:szCs w:val="18"/>
              </w:rPr>
            </w:pPr>
            <w:r w:rsidRPr="00AC375F">
              <w:rPr>
                <w:sz w:val="18"/>
                <w:szCs w:val="18"/>
              </w:rPr>
              <w:t xml:space="preserve">veljača </w:t>
            </w:r>
          </w:p>
        </w:tc>
        <w:tc>
          <w:tcPr>
            <w:tcW w:w="1249" w:type="dxa"/>
            <w:shd w:val="clear" w:color="auto" w:fill="auto"/>
            <w:noWrap/>
          </w:tcPr>
          <w:p w14:paraId="59D3D5D7" w14:textId="77777777" w:rsidR="00AC375F" w:rsidRPr="00AC375F" w:rsidRDefault="00AC375F" w:rsidP="00AC375F">
            <w:pPr>
              <w:jc w:val="center"/>
              <w:rPr>
                <w:sz w:val="18"/>
                <w:szCs w:val="18"/>
              </w:rPr>
            </w:pPr>
            <w:r w:rsidRPr="00AC375F">
              <w:rPr>
                <w:sz w:val="18"/>
                <w:szCs w:val="18"/>
              </w:rPr>
              <w:t>1</w:t>
            </w:r>
          </w:p>
        </w:tc>
      </w:tr>
      <w:tr w:rsidR="00AC375F" w:rsidRPr="00AC375F" w14:paraId="60DD8772" w14:textId="77777777" w:rsidTr="00991955">
        <w:trPr>
          <w:trHeight w:val="240"/>
        </w:trPr>
        <w:tc>
          <w:tcPr>
            <w:tcW w:w="4390" w:type="dxa"/>
            <w:shd w:val="clear" w:color="auto" w:fill="auto"/>
            <w:noWrap/>
          </w:tcPr>
          <w:p w14:paraId="00AC8AF9" w14:textId="77777777" w:rsidR="00AC375F" w:rsidRPr="00AC375F" w:rsidRDefault="00AC375F" w:rsidP="00AC375F"/>
        </w:tc>
        <w:tc>
          <w:tcPr>
            <w:tcW w:w="1609" w:type="dxa"/>
            <w:shd w:val="clear" w:color="auto" w:fill="auto"/>
            <w:noWrap/>
          </w:tcPr>
          <w:p w14:paraId="765C1080" w14:textId="77777777" w:rsidR="00AC375F" w:rsidRPr="00AC375F" w:rsidRDefault="00AC375F" w:rsidP="00AC375F">
            <w:pPr>
              <w:jc w:val="center"/>
              <w:rPr>
                <w:sz w:val="18"/>
                <w:szCs w:val="18"/>
              </w:rPr>
            </w:pPr>
            <w:r w:rsidRPr="00AC375F">
              <w:rPr>
                <w:sz w:val="18"/>
                <w:szCs w:val="18"/>
              </w:rPr>
              <w:t>virtulalno</w:t>
            </w:r>
          </w:p>
        </w:tc>
        <w:tc>
          <w:tcPr>
            <w:tcW w:w="940" w:type="dxa"/>
            <w:shd w:val="clear" w:color="auto" w:fill="auto"/>
            <w:noWrap/>
          </w:tcPr>
          <w:p w14:paraId="44F1F87C" w14:textId="77777777" w:rsidR="00AC375F" w:rsidRPr="00AC375F" w:rsidRDefault="00AC375F" w:rsidP="00AC375F">
            <w:pPr>
              <w:jc w:val="center"/>
              <w:rPr>
                <w:sz w:val="18"/>
                <w:szCs w:val="18"/>
              </w:rPr>
            </w:pPr>
            <w:r w:rsidRPr="00AC375F">
              <w:rPr>
                <w:sz w:val="18"/>
                <w:szCs w:val="18"/>
              </w:rPr>
              <w:t>1</w:t>
            </w:r>
          </w:p>
        </w:tc>
        <w:tc>
          <w:tcPr>
            <w:tcW w:w="1305" w:type="dxa"/>
            <w:shd w:val="clear" w:color="auto" w:fill="auto"/>
            <w:noWrap/>
          </w:tcPr>
          <w:p w14:paraId="11D68757" w14:textId="77777777" w:rsidR="00AC375F" w:rsidRPr="00AC375F" w:rsidRDefault="00AC375F" w:rsidP="00AC375F">
            <w:pPr>
              <w:jc w:val="center"/>
              <w:rPr>
                <w:sz w:val="18"/>
                <w:szCs w:val="18"/>
              </w:rPr>
            </w:pPr>
            <w:r w:rsidRPr="00AC375F">
              <w:rPr>
                <w:sz w:val="18"/>
                <w:szCs w:val="18"/>
              </w:rPr>
              <w:t>ožujak</w:t>
            </w:r>
          </w:p>
        </w:tc>
        <w:tc>
          <w:tcPr>
            <w:tcW w:w="1249" w:type="dxa"/>
            <w:shd w:val="clear" w:color="auto" w:fill="auto"/>
            <w:noWrap/>
          </w:tcPr>
          <w:p w14:paraId="6E12C35C" w14:textId="77777777" w:rsidR="00AC375F" w:rsidRPr="00AC375F" w:rsidRDefault="00AC375F" w:rsidP="00AC375F">
            <w:pPr>
              <w:jc w:val="center"/>
              <w:rPr>
                <w:sz w:val="18"/>
                <w:szCs w:val="18"/>
              </w:rPr>
            </w:pPr>
            <w:r w:rsidRPr="00AC375F">
              <w:rPr>
                <w:sz w:val="18"/>
                <w:szCs w:val="18"/>
              </w:rPr>
              <w:t>1</w:t>
            </w:r>
          </w:p>
        </w:tc>
      </w:tr>
      <w:tr w:rsidR="00AC375F" w:rsidRPr="00AC375F" w14:paraId="6443C6E1" w14:textId="77777777" w:rsidTr="00991955">
        <w:trPr>
          <w:trHeight w:val="240"/>
        </w:trPr>
        <w:tc>
          <w:tcPr>
            <w:tcW w:w="4390" w:type="dxa"/>
            <w:shd w:val="clear" w:color="auto" w:fill="auto"/>
            <w:noWrap/>
          </w:tcPr>
          <w:p w14:paraId="2DA21754" w14:textId="77777777" w:rsidR="00AC375F" w:rsidRPr="00AC375F" w:rsidRDefault="00AC375F" w:rsidP="00AC375F"/>
        </w:tc>
        <w:tc>
          <w:tcPr>
            <w:tcW w:w="1609" w:type="dxa"/>
            <w:shd w:val="clear" w:color="auto" w:fill="auto"/>
            <w:noWrap/>
          </w:tcPr>
          <w:p w14:paraId="3E65AF1B" w14:textId="77777777" w:rsidR="00AC375F" w:rsidRPr="00AC375F" w:rsidRDefault="00AC375F" w:rsidP="00AC375F">
            <w:pPr>
              <w:jc w:val="center"/>
              <w:rPr>
                <w:sz w:val="18"/>
                <w:szCs w:val="18"/>
              </w:rPr>
            </w:pPr>
            <w:r w:rsidRPr="00AC375F">
              <w:rPr>
                <w:sz w:val="18"/>
                <w:szCs w:val="18"/>
              </w:rPr>
              <w:t>virtulano</w:t>
            </w:r>
          </w:p>
        </w:tc>
        <w:tc>
          <w:tcPr>
            <w:tcW w:w="940" w:type="dxa"/>
            <w:shd w:val="clear" w:color="auto" w:fill="auto"/>
            <w:noWrap/>
          </w:tcPr>
          <w:p w14:paraId="5DFB847C" w14:textId="77777777" w:rsidR="00AC375F" w:rsidRPr="00AC375F" w:rsidRDefault="00AC375F" w:rsidP="00AC375F">
            <w:pPr>
              <w:jc w:val="center"/>
              <w:rPr>
                <w:sz w:val="18"/>
                <w:szCs w:val="18"/>
              </w:rPr>
            </w:pPr>
            <w:r w:rsidRPr="00AC375F">
              <w:rPr>
                <w:sz w:val="18"/>
                <w:szCs w:val="18"/>
              </w:rPr>
              <w:t>1</w:t>
            </w:r>
          </w:p>
        </w:tc>
        <w:tc>
          <w:tcPr>
            <w:tcW w:w="1305" w:type="dxa"/>
            <w:shd w:val="clear" w:color="auto" w:fill="auto"/>
            <w:noWrap/>
          </w:tcPr>
          <w:p w14:paraId="1516758C" w14:textId="77777777" w:rsidR="00AC375F" w:rsidRPr="00AC375F" w:rsidRDefault="00AC375F" w:rsidP="00AC375F">
            <w:pPr>
              <w:jc w:val="center"/>
              <w:rPr>
                <w:sz w:val="18"/>
                <w:szCs w:val="18"/>
              </w:rPr>
            </w:pPr>
            <w:r w:rsidRPr="00AC375F">
              <w:rPr>
                <w:sz w:val="18"/>
                <w:szCs w:val="18"/>
              </w:rPr>
              <w:t xml:space="preserve">ožujak </w:t>
            </w:r>
          </w:p>
        </w:tc>
        <w:tc>
          <w:tcPr>
            <w:tcW w:w="1249" w:type="dxa"/>
            <w:shd w:val="clear" w:color="auto" w:fill="auto"/>
            <w:noWrap/>
          </w:tcPr>
          <w:p w14:paraId="19A82FF0" w14:textId="77777777" w:rsidR="00AC375F" w:rsidRPr="00AC375F" w:rsidRDefault="00AC375F" w:rsidP="00AC375F">
            <w:pPr>
              <w:jc w:val="center"/>
              <w:rPr>
                <w:sz w:val="18"/>
                <w:szCs w:val="18"/>
              </w:rPr>
            </w:pPr>
            <w:r w:rsidRPr="00AC375F">
              <w:rPr>
                <w:sz w:val="18"/>
                <w:szCs w:val="18"/>
              </w:rPr>
              <w:t>1</w:t>
            </w:r>
          </w:p>
        </w:tc>
      </w:tr>
      <w:tr w:rsidR="00AC375F" w:rsidRPr="00AC375F" w14:paraId="24D500D9" w14:textId="77777777" w:rsidTr="00991955">
        <w:trPr>
          <w:trHeight w:val="240"/>
        </w:trPr>
        <w:tc>
          <w:tcPr>
            <w:tcW w:w="4390" w:type="dxa"/>
            <w:shd w:val="clear" w:color="auto" w:fill="auto"/>
            <w:noWrap/>
          </w:tcPr>
          <w:p w14:paraId="17318486" w14:textId="77777777" w:rsidR="00AC375F" w:rsidRPr="00AC375F" w:rsidRDefault="00AC375F" w:rsidP="00AC375F"/>
        </w:tc>
        <w:tc>
          <w:tcPr>
            <w:tcW w:w="1609" w:type="dxa"/>
            <w:shd w:val="clear" w:color="auto" w:fill="auto"/>
            <w:noWrap/>
          </w:tcPr>
          <w:p w14:paraId="61B5D9E6" w14:textId="77777777" w:rsidR="00AC375F" w:rsidRPr="00AC375F" w:rsidRDefault="00AC375F" w:rsidP="00AC375F">
            <w:pPr>
              <w:jc w:val="center"/>
              <w:rPr>
                <w:sz w:val="18"/>
                <w:szCs w:val="18"/>
              </w:rPr>
            </w:pPr>
            <w:r w:rsidRPr="00AC375F">
              <w:rPr>
                <w:sz w:val="18"/>
                <w:szCs w:val="18"/>
              </w:rPr>
              <w:t>virtulano</w:t>
            </w:r>
          </w:p>
        </w:tc>
        <w:tc>
          <w:tcPr>
            <w:tcW w:w="940" w:type="dxa"/>
            <w:shd w:val="clear" w:color="auto" w:fill="auto"/>
            <w:noWrap/>
          </w:tcPr>
          <w:p w14:paraId="187548DD" w14:textId="77777777" w:rsidR="00AC375F" w:rsidRPr="00AC375F" w:rsidRDefault="00AC375F" w:rsidP="00AC375F">
            <w:pPr>
              <w:jc w:val="center"/>
              <w:rPr>
                <w:sz w:val="18"/>
                <w:szCs w:val="18"/>
              </w:rPr>
            </w:pPr>
            <w:r w:rsidRPr="00AC375F">
              <w:rPr>
                <w:sz w:val="18"/>
                <w:szCs w:val="18"/>
              </w:rPr>
              <w:t>1</w:t>
            </w:r>
          </w:p>
        </w:tc>
        <w:tc>
          <w:tcPr>
            <w:tcW w:w="1305" w:type="dxa"/>
            <w:shd w:val="clear" w:color="auto" w:fill="auto"/>
            <w:noWrap/>
          </w:tcPr>
          <w:p w14:paraId="667906DF" w14:textId="77777777" w:rsidR="00AC375F" w:rsidRPr="00AC375F" w:rsidRDefault="00AC375F" w:rsidP="00AC375F">
            <w:pPr>
              <w:jc w:val="center"/>
              <w:rPr>
                <w:sz w:val="18"/>
                <w:szCs w:val="18"/>
              </w:rPr>
            </w:pPr>
            <w:r w:rsidRPr="00AC375F">
              <w:rPr>
                <w:sz w:val="18"/>
                <w:szCs w:val="18"/>
              </w:rPr>
              <w:t>travanj</w:t>
            </w:r>
          </w:p>
        </w:tc>
        <w:tc>
          <w:tcPr>
            <w:tcW w:w="1249" w:type="dxa"/>
            <w:shd w:val="clear" w:color="auto" w:fill="auto"/>
            <w:noWrap/>
          </w:tcPr>
          <w:p w14:paraId="4C0988E1" w14:textId="77777777" w:rsidR="00AC375F" w:rsidRPr="00AC375F" w:rsidRDefault="00AC375F" w:rsidP="00AC375F">
            <w:pPr>
              <w:jc w:val="center"/>
              <w:rPr>
                <w:sz w:val="18"/>
                <w:szCs w:val="18"/>
              </w:rPr>
            </w:pPr>
            <w:r w:rsidRPr="00AC375F">
              <w:rPr>
                <w:sz w:val="18"/>
                <w:szCs w:val="18"/>
              </w:rPr>
              <w:t>1</w:t>
            </w:r>
          </w:p>
        </w:tc>
      </w:tr>
      <w:tr w:rsidR="00AC375F" w:rsidRPr="00AC375F" w14:paraId="0C2876AF" w14:textId="77777777" w:rsidTr="00991955">
        <w:trPr>
          <w:trHeight w:val="240"/>
        </w:trPr>
        <w:tc>
          <w:tcPr>
            <w:tcW w:w="4390" w:type="dxa"/>
            <w:shd w:val="clear" w:color="auto" w:fill="auto"/>
            <w:noWrap/>
          </w:tcPr>
          <w:p w14:paraId="1A8E47E5" w14:textId="77777777" w:rsidR="00AC375F" w:rsidRPr="00AC375F" w:rsidRDefault="00AC375F" w:rsidP="00AC375F"/>
        </w:tc>
        <w:tc>
          <w:tcPr>
            <w:tcW w:w="1609" w:type="dxa"/>
            <w:shd w:val="clear" w:color="auto" w:fill="auto"/>
            <w:noWrap/>
          </w:tcPr>
          <w:p w14:paraId="5F68E578" w14:textId="77777777" w:rsidR="00AC375F" w:rsidRPr="00AC375F" w:rsidRDefault="00AC375F" w:rsidP="00AC375F">
            <w:pPr>
              <w:jc w:val="center"/>
              <w:rPr>
                <w:sz w:val="18"/>
                <w:szCs w:val="18"/>
              </w:rPr>
            </w:pPr>
            <w:r w:rsidRPr="00AC375F">
              <w:rPr>
                <w:sz w:val="18"/>
                <w:szCs w:val="18"/>
              </w:rPr>
              <w:t>virtulano</w:t>
            </w:r>
          </w:p>
        </w:tc>
        <w:tc>
          <w:tcPr>
            <w:tcW w:w="940" w:type="dxa"/>
            <w:shd w:val="clear" w:color="auto" w:fill="auto"/>
            <w:noWrap/>
          </w:tcPr>
          <w:p w14:paraId="56381F28" w14:textId="77777777" w:rsidR="00AC375F" w:rsidRPr="00AC375F" w:rsidRDefault="00AC375F" w:rsidP="00AC375F">
            <w:pPr>
              <w:jc w:val="center"/>
              <w:rPr>
                <w:sz w:val="18"/>
                <w:szCs w:val="18"/>
              </w:rPr>
            </w:pPr>
            <w:r w:rsidRPr="00AC375F">
              <w:rPr>
                <w:sz w:val="18"/>
                <w:szCs w:val="18"/>
              </w:rPr>
              <w:t>1</w:t>
            </w:r>
          </w:p>
        </w:tc>
        <w:tc>
          <w:tcPr>
            <w:tcW w:w="1305" w:type="dxa"/>
            <w:shd w:val="clear" w:color="auto" w:fill="auto"/>
            <w:noWrap/>
          </w:tcPr>
          <w:p w14:paraId="42103752" w14:textId="77777777" w:rsidR="00AC375F" w:rsidRPr="00AC375F" w:rsidRDefault="00AC375F" w:rsidP="00AC375F">
            <w:pPr>
              <w:jc w:val="center"/>
              <w:rPr>
                <w:sz w:val="18"/>
                <w:szCs w:val="18"/>
              </w:rPr>
            </w:pPr>
            <w:r w:rsidRPr="00AC375F">
              <w:rPr>
                <w:sz w:val="18"/>
                <w:szCs w:val="18"/>
              </w:rPr>
              <w:t xml:space="preserve">svibanj </w:t>
            </w:r>
          </w:p>
        </w:tc>
        <w:tc>
          <w:tcPr>
            <w:tcW w:w="1249" w:type="dxa"/>
            <w:shd w:val="clear" w:color="auto" w:fill="auto"/>
            <w:noWrap/>
          </w:tcPr>
          <w:p w14:paraId="03270CF3" w14:textId="77777777" w:rsidR="00AC375F" w:rsidRPr="00AC375F" w:rsidRDefault="00AC375F" w:rsidP="00AC375F">
            <w:pPr>
              <w:jc w:val="center"/>
              <w:rPr>
                <w:sz w:val="18"/>
                <w:szCs w:val="18"/>
              </w:rPr>
            </w:pPr>
            <w:r w:rsidRPr="00AC375F">
              <w:rPr>
                <w:sz w:val="18"/>
                <w:szCs w:val="18"/>
              </w:rPr>
              <w:t>1</w:t>
            </w:r>
          </w:p>
        </w:tc>
      </w:tr>
      <w:tr w:rsidR="00AC375F" w:rsidRPr="00AC375F" w14:paraId="357CEE5C" w14:textId="77777777" w:rsidTr="00991955">
        <w:trPr>
          <w:trHeight w:val="240"/>
        </w:trPr>
        <w:tc>
          <w:tcPr>
            <w:tcW w:w="4390" w:type="dxa"/>
            <w:shd w:val="clear" w:color="auto" w:fill="auto"/>
            <w:noWrap/>
          </w:tcPr>
          <w:p w14:paraId="075DD818" w14:textId="77777777" w:rsidR="00AC375F" w:rsidRPr="00AC375F" w:rsidRDefault="00AC375F" w:rsidP="00AC375F"/>
        </w:tc>
        <w:tc>
          <w:tcPr>
            <w:tcW w:w="1609" w:type="dxa"/>
            <w:shd w:val="clear" w:color="auto" w:fill="auto"/>
            <w:noWrap/>
          </w:tcPr>
          <w:p w14:paraId="3637C3E3" w14:textId="77777777" w:rsidR="00AC375F" w:rsidRPr="00AC375F" w:rsidRDefault="00AC375F" w:rsidP="00AC375F">
            <w:pPr>
              <w:jc w:val="center"/>
              <w:rPr>
                <w:sz w:val="18"/>
                <w:szCs w:val="18"/>
              </w:rPr>
            </w:pPr>
            <w:r w:rsidRPr="00AC375F">
              <w:rPr>
                <w:sz w:val="18"/>
                <w:szCs w:val="18"/>
              </w:rPr>
              <w:t>virtulano</w:t>
            </w:r>
          </w:p>
        </w:tc>
        <w:tc>
          <w:tcPr>
            <w:tcW w:w="940" w:type="dxa"/>
            <w:shd w:val="clear" w:color="auto" w:fill="auto"/>
            <w:noWrap/>
          </w:tcPr>
          <w:p w14:paraId="1462A85F" w14:textId="77777777" w:rsidR="00AC375F" w:rsidRPr="00AC375F" w:rsidRDefault="00AC375F" w:rsidP="00AC375F">
            <w:pPr>
              <w:jc w:val="center"/>
              <w:rPr>
                <w:sz w:val="18"/>
                <w:szCs w:val="18"/>
              </w:rPr>
            </w:pPr>
            <w:r w:rsidRPr="00AC375F">
              <w:rPr>
                <w:sz w:val="18"/>
                <w:szCs w:val="18"/>
              </w:rPr>
              <w:t>1</w:t>
            </w:r>
          </w:p>
        </w:tc>
        <w:tc>
          <w:tcPr>
            <w:tcW w:w="1305" w:type="dxa"/>
            <w:shd w:val="clear" w:color="auto" w:fill="auto"/>
            <w:noWrap/>
          </w:tcPr>
          <w:p w14:paraId="27E20D58" w14:textId="77777777" w:rsidR="00AC375F" w:rsidRPr="00AC375F" w:rsidRDefault="00AC375F" w:rsidP="00AC375F">
            <w:pPr>
              <w:jc w:val="center"/>
              <w:rPr>
                <w:sz w:val="18"/>
                <w:szCs w:val="18"/>
              </w:rPr>
            </w:pPr>
            <w:r w:rsidRPr="00AC375F">
              <w:rPr>
                <w:sz w:val="18"/>
                <w:szCs w:val="18"/>
              </w:rPr>
              <w:t>lipanj</w:t>
            </w:r>
          </w:p>
        </w:tc>
        <w:tc>
          <w:tcPr>
            <w:tcW w:w="1249" w:type="dxa"/>
            <w:shd w:val="clear" w:color="auto" w:fill="auto"/>
            <w:noWrap/>
          </w:tcPr>
          <w:p w14:paraId="2626B1BA" w14:textId="77777777" w:rsidR="00AC375F" w:rsidRPr="00AC375F" w:rsidRDefault="00AC375F" w:rsidP="00AC375F">
            <w:pPr>
              <w:jc w:val="center"/>
              <w:rPr>
                <w:sz w:val="18"/>
                <w:szCs w:val="18"/>
              </w:rPr>
            </w:pPr>
            <w:r w:rsidRPr="00AC375F">
              <w:rPr>
                <w:sz w:val="18"/>
                <w:szCs w:val="18"/>
              </w:rPr>
              <w:t>1</w:t>
            </w:r>
          </w:p>
        </w:tc>
      </w:tr>
      <w:tr w:rsidR="00AC375F" w:rsidRPr="00AC375F" w14:paraId="25C606EC" w14:textId="77777777" w:rsidTr="00991955">
        <w:trPr>
          <w:trHeight w:val="240"/>
        </w:trPr>
        <w:tc>
          <w:tcPr>
            <w:tcW w:w="4390" w:type="dxa"/>
            <w:shd w:val="clear" w:color="auto" w:fill="auto"/>
            <w:noWrap/>
          </w:tcPr>
          <w:p w14:paraId="14D10555" w14:textId="77777777" w:rsidR="00AC375F" w:rsidRPr="00AC375F" w:rsidRDefault="00AC375F" w:rsidP="00AC375F"/>
        </w:tc>
        <w:tc>
          <w:tcPr>
            <w:tcW w:w="1609" w:type="dxa"/>
            <w:shd w:val="clear" w:color="auto" w:fill="auto"/>
            <w:noWrap/>
          </w:tcPr>
          <w:p w14:paraId="31C6536A" w14:textId="77777777" w:rsidR="00AC375F" w:rsidRPr="00AC375F" w:rsidRDefault="00AC375F" w:rsidP="00AC375F">
            <w:pPr>
              <w:jc w:val="center"/>
              <w:rPr>
                <w:sz w:val="18"/>
                <w:szCs w:val="18"/>
              </w:rPr>
            </w:pPr>
            <w:r w:rsidRPr="00AC375F">
              <w:rPr>
                <w:sz w:val="18"/>
                <w:szCs w:val="18"/>
              </w:rPr>
              <w:t>virtualno</w:t>
            </w:r>
          </w:p>
        </w:tc>
        <w:tc>
          <w:tcPr>
            <w:tcW w:w="940" w:type="dxa"/>
            <w:shd w:val="clear" w:color="auto" w:fill="auto"/>
            <w:noWrap/>
          </w:tcPr>
          <w:p w14:paraId="207AD291" w14:textId="77777777" w:rsidR="00AC375F" w:rsidRPr="00AC375F" w:rsidRDefault="00AC375F" w:rsidP="00AC375F">
            <w:pPr>
              <w:jc w:val="center"/>
              <w:rPr>
                <w:sz w:val="18"/>
                <w:szCs w:val="18"/>
              </w:rPr>
            </w:pPr>
            <w:r w:rsidRPr="00AC375F">
              <w:rPr>
                <w:sz w:val="18"/>
                <w:szCs w:val="18"/>
              </w:rPr>
              <w:t>1</w:t>
            </w:r>
          </w:p>
        </w:tc>
        <w:tc>
          <w:tcPr>
            <w:tcW w:w="1305" w:type="dxa"/>
            <w:shd w:val="clear" w:color="auto" w:fill="auto"/>
            <w:noWrap/>
          </w:tcPr>
          <w:p w14:paraId="22ECBBFA" w14:textId="77777777" w:rsidR="00AC375F" w:rsidRPr="00AC375F" w:rsidRDefault="00AC375F" w:rsidP="00AC375F">
            <w:pPr>
              <w:jc w:val="center"/>
              <w:rPr>
                <w:sz w:val="18"/>
                <w:szCs w:val="18"/>
              </w:rPr>
            </w:pPr>
            <w:r w:rsidRPr="00AC375F">
              <w:rPr>
                <w:sz w:val="18"/>
                <w:szCs w:val="18"/>
              </w:rPr>
              <w:t>srpanj</w:t>
            </w:r>
          </w:p>
        </w:tc>
        <w:tc>
          <w:tcPr>
            <w:tcW w:w="1249" w:type="dxa"/>
            <w:shd w:val="clear" w:color="auto" w:fill="auto"/>
            <w:noWrap/>
          </w:tcPr>
          <w:p w14:paraId="6EF41B3E" w14:textId="77777777" w:rsidR="00AC375F" w:rsidRPr="00AC375F" w:rsidRDefault="00AC375F" w:rsidP="00AC375F">
            <w:pPr>
              <w:jc w:val="center"/>
              <w:rPr>
                <w:sz w:val="18"/>
                <w:szCs w:val="18"/>
              </w:rPr>
            </w:pPr>
            <w:r w:rsidRPr="00AC375F">
              <w:rPr>
                <w:sz w:val="18"/>
                <w:szCs w:val="18"/>
              </w:rPr>
              <w:t>1</w:t>
            </w:r>
          </w:p>
        </w:tc>
      </w:tr>
      <w:tr w:rsidR="00AC375F" w:rsidRPr="00AC375F" w14:paraId="27A2AE89" w14:textId="77777777" w:rsidTr="00991955">
        <w:trPr>
          <w:trHeight w:val="240"/>
        </w:trPr>
        <w:tc>
          <w:tcPr>
            <w:tcW w:w="4390" w:type="dxa"/>
            <w:shd w:val="clear" w:color="auto" w:fill="auto"/>
            <w:noWrap/>
          </w:tcPr>
          <w:p w14:paraId="390446B4" w14:textId="77777777" w:rsidR="00AC375F" w:rsidRPr="00AC375F" w:rsidRDefault="00AC375F" w:rsidP="00AC375F"/>
        </w:tc>
        <w:tc>
          <w:tcPr>
            <w:tcW w:w="1609" w:type="dxa"/>
            <w:shd w:val="clear" w:color="auto" w:fill="auto"/>
            <w:noWrap/>
          </w:tcPr>
          <w:p w14:paraId="74193F5B" w14:textId="77777777" w:rsidR="00AC375F" w:rsidRPr="00AC375F" w:rsidRDefault="00AC375F" w:rsidP="00AC375F">
            <w:pPr>
              <w:jc w:val="center"/>
              <w:rPr>
                <w:sz w:val="18"/>
                <w:szCs w:val="18"/>
              </w:rPr>
            </w:pPr>
            <w:r w:rsidRPr="00AC375F">
              <w:rPr>
                <w:sz w:val="18"/>
                <w:szCs w:val="18"/>
              </w:rPr>
              <w:t>Bruxelles</w:t>
            </w:r>
          </w:p>
        </w:tc>
        <w:tc>
          <w:tcPr>
            <w:tcW w:w="940" w:type="dxa"/>
            <w:shd w:val="clear" w:color="auto" w:fill="auto"/>
            <w:noWrap/>
          </w:tcPr>
          <w:p w14:paraId="07A06958" w14:textId="77777777" w:rsidR="00AC375F" w:rsidRPr="00AC375F" w:rsidRDefault="00AC375F" w:rsidP="00AC375F">
            <w:pPr>
              <w:jc w:val="center"/>
              <w:rPr>
                <w:sz w:val="18"/>
                <w:szCs w:val="18"/>
              </w:rPr>
            </w:pPr>
            <w:r w:rsidRPr="00AC375F">
              <w:rPr>
                <w:sz w:val="18"/>
                <w:szCs w:val="18"/>
              </w:rPr>
              <w:t>1</w:t>
            </w:r>
          </w:p>
        </w:tc>
        <w:tc>
          <w:tcPr>
            <w:tcW w:w="1305" w:type="dxa"/>
            <w:shd w:val="clear" w:color="auto" w:fill="auto"/>
            <w:noWrap/>
          </w:tcPr>
          <w:p w14:paraId="2FF5FC02" w14:textId="77777777" w:rsidR="00AC375F" w:rsidRPr="00AC375F" w:rsidRDefault="00AC375F" w:rsidP="00AC375F">
            <w:pPr>
              <w:rPr>
                <w:sz w:val="18"/>
                <w:szCs w:val="18"/>
              </w:rPr>
            </w:pPr>
            <w:r w:rsidRPr="00AC375F">
              <w:rPr>
                <w:sz w:val="18"/>
                <w:szCs w:val="18"/>
              </w:rPr>
              <w:t>listopad</w:t>
            </w:r>
          </w:p>
        </w:tc>
        <w:tc>
          <w:tcPr>
            <w:tcW w:w="1249" w:type="dxa"/>
            <w:shd w:val="clear" w:color="auto" w:fill="auto"/>
            <w:noWrap/>
          </w:tcPr>
          <w:p w14:paraId="0AD1A48F" w14:textId="77777777" w:rsidR="00AC375F" w:rsidRPr="00AC375F" w:rsidRDefault="00AC375F" w:rsidP="00AC375F">
            <w:pPr>
              <w:jc w:val="center"/>
              <w:rPr>
                <w:sz w:val="18"/>
                <w:szCs w:val="18"/>
              </w:rPr>
            </w:pPr>
            <w:r w:rsidRPr="00AC375F">
              <w:rPr>
                <w:sz w:val="18"/>
                <w:szCs w:val="18"/>
              </w:rPr>
              <w:t>1</w:t>
            </w:r>
          </w:p>
        </w:tc>
      </w:tr>
      <w:tr w:rsidR="00AC375F" w:rsidRPr="00AC375F" w14:paraId="204B41AF" w14:textId="77777777" w:rsidTr="00991955">
        <w:trPr>
          <w:trHeight w:val="240"/>
        </w:trPr>
        <w:tc>
          <w:tcPr>
            <w:tcW w:w="4390" w:type="dxa"/>
            <w:shd w:val="clear" w:color="auto" w:fill="auto"/>
            <w:noWrap/>
          </w:tcPr>
          <w:p w14:paraId="270E742B" w14:textId="77777777" w:rsidR="00AC375F" w:rsidRPr="00AC375F" w:rsidRDefault="00AC375F" w:rsidP="00AC375F"/>
        </w:tc>
        <w:tc>
          <w:tcPr>
            <w:tcW w:w="1609" w:type="dxa"/>
            <w:shd w:val="clear" w:color="auto" w:fill="auto"/>
            <w:noWrap/>
          </w:tcPr>
          <w:p w14:paraId="708B6A83" w14:textId="77777777" w:rsidR="00AC375F" w:rsidRPr="00AC375F" w:rsidRDefault="00AC375F" w:rsidP="00AC375F">
            <w:pPr>
              <w:jc w:val="center"/>
              <w:rPr>
                <w:sz w:val="18"/>
                <w:szCs w:val="18"/>
              </w:rPr>
            </w:pPr>
            <w:r w:rsidRPr="00AC375F">
              <w:rPr>
                <w:sz w:val="18"/>
                <w:szCs w:val="18"/>
              </w:rPr>
              <w:t>virtualno</w:t>
            </w:r>
          </w:p>
        </w:tc>
        <w:tc>
          <w:tcPr>
            <w:tcW w:w="940" w:type="dxa"/>
            <w:shd w:val="clear" w:color="auto" w:fill="auto"/>
            <w:noWrap/>
          </w:tcPr>
          <w:p w14:paraId="2F821C13" w14:textId="77777777" w:rsidR="00AC375F" w:rsidRPr="00AC375F" w:rsidRDefault="00AC375F" w:rsidP="00AC375F">
            <w:pPr>
              <w:jc w:val="center"/>
              <w:rPr>
                <w:sz w:val="18"/>
                <w:szCs w:val="18"/>
              </w:rPr>
            </w:pPr>
            <w:r w:rsidRPr="00AC375F">
              <w:rPr>
                <w:sz w:val="18"/>
                <w:szCs w:val="18"/>
              </w:rPr>
              <w:t>1</w:t>
            </w:r>
          </w:p>
        </w:tc>
        <w:tc>
          <w:tcPr>
            <w:tcW w:w="1305" w:type="dxa"/>
            <w:shd w:val="clear" w:color="auto" w:fill="auto"/>
            <w:noWrap/>
          </w:tcPr>
          <w:p w14:paraId="2D7BE1BD" w14:textId="77777777" w:rsidR="00AC375F" w:rsidRPr="00AC375F" w:rsidRDefault="00AC375F" w:rsidP="00AC375F">
            <w:pPr>
              <w:jc w:val="center"/>
              <w:rPr>
                <w:sz w:val="18"/>
                <w:szCs w:val="18"/>
              </w:rPr>
            </w:pPr>
            <w:r w:rsidRPr="00AC375F">
              <w:rPr>
                <w:sz w:val="18"/>
                <w:szCs w:val="18"/>
              </w:rPr>
              <w:t>listopad</w:t>
            </w:r>
          </w:p>
        </w:tc>
        <w:tc>
          <w:tcPr>
            <w:tcW w:w="1249" w:type="dxa"/>
            <w:shd w:val="clear" w:color="auto" w:fill="auto"/>
            <w:noWrap/>
          </w:tcPr>
          <w:p w14:paraId="048FEB87" w14:textId="77777777" w:rsidR="00AC375F" w:rsidRPr="00AC375F" w:rsidRDefault="00AC375F" w:rsidP="00AC375F">
            <w:pPr>
              <w:jc w:val="center"/>
              <w:rPr>
                <w:sz w:val="18"/>
                <w:szCs w:val="18"/>
              </w:rPr>
            </w:pPr>
            <w:r w:rsidRPr="00AC375F">
              <w:rPr>
                <w:sz w:val="18"/>
                <w:szCs w:val="18"/>
              </w:rPr>
              <w:t>1</w:t>
            </w:r>
          </w:p>
        </w:tc>
      </w:tr>
      <w:tr w:rsidR="00AC375F" w:rsidRPr="00AC375F" w14:paraId="0BE50E44" w14:textId="77777777" w:rsidTr="00991955">
        <w:trPr>
          <w:trHeight w:val="240"/>
        </w:trPr>
        <w:tc>
          <w:tcPr>
            <w:tcW w:w="4390" w:type="dxa"/>
            <w:shd w:val="clear" w:color="auto" w:fill="auto"/>
            <w:noWrap/>
          </w:tcPr>
          <w:p w14:paraId="02238D6D" w14:textId="77777777" w:rsidR="00AC375F" w:rsidRPr="00AC375F" w:rsidRDefault="00AC375F" w:rsidP="00AC375F"/>
        </w:tc>
        <w:tc>
          <w:tcPr>
            <w:tcW w:w="1609" w:type="dxa"/>
            <w:shd w:val="clear" w:color="auto" w:fill="auto"/>
            <w:noWrap/>
          </w:tcPr>
          <w:p w14:paraId="28F54094" w14:textId="77777777" w:rsidR="00AC375F" w:rsidRPr="00AC375F" w:rsidRDefault="00AC375F" w:rsidP="00AC375F">
            <w:pPr>
              <w:jc w:val="center"/>
              <w:rPr>
                <w:sz w:val="18"/>
                <w:szCs w:val="18"/>
              </w:rPr>
            </w:pPr>
            <w:r w:rsidRPr="00AC375F">
              <w:rPr>
                <w:sz w:val="18"/>
                <w:szCs w:val="18"/>
              </w:rPr>
              <w:t>virtualno</w:t>
            </w:r>
          </w:p>
        </w:tc>
        <w:tc>
          <w:tcPr>
            <w:tcW w:w="940" w:type="dxa"/>
            <w:shd w:val="clear" w:color="auto" w:fill="auto"/>
            <w:noWrap/>
          </w:tcPr>
          <w:p w14:paraId="63BB2729" w14:textId="77777777" w:rsidR="00AC375F" w:rsidRPr="00AC375F" w:rsidRDefault="00AC375F" w:rsidP="00AC375F">
            <w:pPr>
              <w:jc w:val="center"/>
              <w:rPr>
                <w:sz w:val="18"/>
                <w:szCs w:val="18"/>
              </w:rPr>
            </w:pPr>
            <w:r w:rsidRPr="00AC375F">
              <w:rPr>
                <w:sz w:val="18"/>
                <w:szCs w:val="18"/>
              </w:rPr>
              <w:t>1</w:t>
            </w:r>
          </w:p>
        </w:tc>
        <w:tc>
          <w:tcPr>
            <w:tcW w:w="1305" w:type="dxa"/>
            <w:shd w:val="clear" w:color="auto" w:fill="auto"/>
            <w:noWrap/>
          </w:tcPr>
          <w:p w14:paraId="1DDA45FC" w14:textId="77777777" w:rsidR="00AC375F" w:rsidRPr="00AC375F" w:rsidRDefault="00AC375F" w:rsidP="00AC375F">
            <w:pPr>
              <w:jc w:val="center"/>
              <w:rPr>
                <w:sz w:val="18"/>
                <w:szCs w:val="18"/>
              </w:rPr>
            </w:pPr>
            <w:r w:rsidRPr="00AC375F">
              <w:rPr>
                <w:sz w:val="18"/>
                <w:szCs w:val="18"/>
              </w:rPr>
              <w:t>listopad</w:t>
            </w:r>
          </w:p>
        </w:tc>
        <w:tc>
          <w:tcPr>
            <w:tcW w:w="1249" w:type="dxa"/>
            <w:shd w:val="clear" w:color="auto" w:fill="auto"/>
            <w:noWrap/>
          </w:tcPr>
          <w:p w14:paraId="59BB9236" w14:textId="77777777" w:rsidR="00AC375F" w:rsidRPr="00AC375F" w:rsidRDefault="00AC375F" w:rsidP="00AC375F">
            <w:pPr>
              <w:jc w:val="center"/>
              <w:rPr>
                <w:sz w:val="18"/>
                <w:szCs w:val="18"/>
              </w:rPr>
            </w:pPr>
            <w:r w:rsidRPr="00AC375F">
              <w:rPr>
                <w:sz w:val="18"/>
                <w:szCs w:val="18"/>
              </w:rPr>
              <w:t>1</w:t>
            </w:r>
          </w:p>
        </w:tc>
      </w:tr>
      <w:tr w:rsidR="00AC375F" w:rsidRPr="00AC375F" w14:paraId="6EA5CD2E" w14:textId="77777777" w:rsidTr="00991955">
        <w:trPr>
          <w:trHeight w:val="240"/>
        </w:trPr>
        <w:tc>
          <w:tcPr>
            <w:tcW w:w="4390" w:type="dxa"/>
            <w:shd w:val="clear" w:color="auto" w:fill="auto"/>
            <w:noWrap/>
          </w:tcPr>
          <w:p w14:paraId="6D6108B6" w14:textId="77777777" w:rsidR="00AC375F" w:rsidRPr="00AC375F" w:rsidRDefault="00AC375F" w:rsidP="00AC375F"/>
        </w:tc>
        <w:tc>
          <w:tcPr>
            <w:tcW w:w="1609" w:type="dxa"/>
            <w:shd w:val="clear" w:color="auto" w:fill="auto"/>
            <w:noWrap/>
          </w:tcPr>
          <w:p w14:paraId="3E982F4B" w14:textId="77777777" w:rsidR="00AC375F" w:rsidRPr="00AC375F" w:rsidRDefault="00AC375F" w:rsidP="00AC375F">
            <w:pPr>
              <w:jc w:val="center"/>
              <w:rPr>
                <w:sz w:val="18"/>
                <w:szCs w:val="18"/>
              </w:rPr>
            </w:pPr>
            <w:r w:rsidRPr="00AC375F">
              <w:rPr>
                <w:sz w:val="18"/>
                <w:szCs w:val="18"/>
              </w:rPr>
              <w:t>Bruxelles</w:t>
            </w:r>
          </w:p>
        </w:tc>
        <w:tc>
          <w:tcPr>
            <w:tcW w:w="940" w:type="dxa"/>
            <w:shd w:val="clear" w:color="auto" w:fill="auto"/>
            <w:noWrap/>
          </w:tcPr>
          <w:p w14:paraId="6F5B2FC7" w14:textId="77777777" w:rsidR="00AC375F" w:rsidRPr="00AC375F" w:rsidRDefault="00AC375F" w:rsidP="00AC375F">
            <w:pPr>
              <w:jc w:val="center"/>
              <w:rPr>
                <w:sz w:val="18"/>
                <w:szCs w:val="18"/>
              </w:rPr>
            </w:pPr>
            <w:r w:rsidRPr="00AC375F">
              <w:rPr>
                <w:sz w:val="18"/>
                <w:szCs w:val="18"/>
              </w:rPr>
              <w:t>1</w:t>
            </w:r>
          </w:p>
        </w:tc>
        <w:tc>
          <w:tcPr>
            <w:tcW w:w="1305" w:type="dxa"/>
            <w:shd w:val="clear" w:color="auto" w:fill="auto"/>
            <w:noWrap/>
          </w:tcPr>
          <w:p w14:paraId="1844D5D7" w14:textId="77777777" w:rsidR="00AC375F" w:rsidRPr="00AC375F" w:rsidRDefault="00AC375F" w:rsidP="00AC375F">
            <w:pPr>
              <w:jc w:val="center"/>
              <w:rPr>
                <w:sz w:val="18"/>
                <w:szCs w:val="18"/>
              </w:rPr>
            </w:pPr>
            <w:r w:rsidRPr="00AC375F">
              <w:rPr>
                <w:sz w:val="18"/>
                <w:szCs w:val="18"/>
              </w:rPr>
              <w:t>studeni</w:t>
            </w:r>
          </w:p>
        </w:tc>
        <w:tc>
          <w:tcPr>
            <w:tcW w:w="1249" w:type="dxa"/>
            <w:shd w:val="clear" w:color="auto" w:fill="auto"/>
            <w:noWrap/>
          </w:tcPr>
          <w:p w14:paraId="23CC45FD" w14:textId="77777777" w:rsidR="00AC375F" w:rsidRPr="00AC375F" w:rsidRDefault="00AC375F" w:rsidP="00AC375F">
            <w:pPr>
              <w:jc w:val="center"/>
              <w:rPr>
                <w:sz w:val="18"/>
                <w:szCs w:val="18"/>
              </w:rPr>
            </w:pPr>
            <w:r w:rsidRPr="00AC375F">
              <w:rPr>
                <w:sz w:val="18"/>
                <w:szCs w:val="18"/>
              </w:rPr>
              <w:t>1</w:t>
            </w:r>
          </w:p>
        </w:tc>
      </w:tr>
      <w:tr w:rsidR="00AC375F" w:rsidRPr="00AC375F" w14:paraId="3611D6EA" w14:textId="77777777" w:rsidTr="00991955">
        <w:trPr>
          <w:trHeight w:val="240"/>
        </w:trPr>
        <w:tc>
          <w:tcPr>
            <w:tcW w:w="4390" w:type="dxa"/>
            <w:shd w:val="clear" w:color="auto" w:fill="auto"/>
            <w:noWrap/>
          </w:tcPr>
          <w:p w14:paraId="69BD487B" w14:textId="77777777" w:rsidR="00AC375F" w:rsidRPr="00AC375F" w:rsidRDefault="00AC375F" w:rsidP="00AC375F"/>
        </w:tc>
        <w:tc>
          <w:tcPr>
            <w:tcW w:w="1609" w:type="dxa"/>
            <w:shd w:val="clear" w:color="auto" w:fill="auto"/>
            <w:noWrap/>
          </w:tcPr>
          <w:p w14:paraId="1D9290BF" w14:textId="77777777" w:rsidR="00AC375F" w:rsidRPr="00AC375F" w:rsidRDefault="00AC375F" w:rsidP="00AC375F">
            <w:pPr>
              <w:jc w:val="center"/>
              <w:rPr>
                <w:sz w:val="18"/>
                <w:szCs w:val="18"/>
              </w:rPr>
            </w:pPr>
            <w:r w:rsidRPr="00AC375F">
              <w:rPr>
                <w:sz w:val="18"/>
                <w:szCs w:val="18"/>
              </w:rPr>
              <w:t>virtualno</w:t>
            </w:r>
          </w:p>
        </w:tc>
        <w:tc>
          <w:tcPr>
            <w:tcW w:w="940" w:type="dxa"/>
            <w:shd w:val="clear" w:color="auto" w:fill="auto"/>
            <w:noWrap/>
          </w:tcPr>
          <w:p w14:paraId="1AC79EBE" w14:textId="77777777" w:rsidR="00AC375F" w:rsidRPr="00AC375F" w:rsidRDefault="00AC375F" w:rsidP="00AC375F">
            <w:pPr>
              <w:jc w:val="center"/>
              <w:rPr>
                <w:sz w:val="18"/>
                <w:szCs w:val="18"/>
              </w:rPr>
            </w:pPr>
            <w:r w:rsidRPr="00AC375F">
              <w:rPr>
                <w:sz w:val="18"/>
                <w:szCs w:val="18"/>
              </w:rPr>
              <w:t>1</w:t>
            </w:r>
          </w:p>
        </w:tc>
        <w:tc>
          <w:tcPr>
            <w:tcW w:w="1305" w:type="dxa"/>
            <w:shd w:val="clear" w:color="auto" w:fill="auto"/>
            <w:noWrap/>
          </w:tcPr>
          <w:p w14:paraId="7721B111" w14:textId="77777777" w:rsidR="00AC375F" w:rsidRPr="00AC375F" w:rsidRDefault="00AC375F" w:rsidP="00AC375F">
            <w:pPr>
              <w:jc w:val="center"/>
              <w:rPr>
                <w:sz w:val="18"/>
                <w:szCs w:val="18"/>
              </w:rPr>
            </w:pPr>
            <w:r w:rsidRPr="00AC375F">
              <w:rPr>
                <w:sz w:val="18"/>
                <w:szCs w:val="18"/>
              </w:rPr>
              <w:t>studeni</w:t>
            </w:r>
          </w:p>
        </w:tc>
        <w:tc>
          <w:tcPr>
            <w:tcW w:w="1249" w:type="dxa"/>
            <w:shd w:val="clear" w:color="auto" w:fill="auto"/>
            <w:noWrap/>
          </w:tcPr>
          <w:p w14:paraId="6292D568" w14:textId="77777777" w:rsidR="00AC375F" w:rsidRPr="00AC375F" w:rsidRDefault="00AC375F" w:rsidP="00AC375F">
            <w:pPr>
              <w:jc w:val="center"/>
              <w:rPr>
                <w:sz w:val="18"/>
                <w:szCs w:val="18"/>
              </w:rPr>
            </w:pPr>
            <w:r w:rsidRPr="00AC375F">
              <w:rPr>
                <w:sz w:val="18"/>
                <w:szCs w:val="18"/>
              </w:rPr>
              <w:t>1</w:t>
            </w:r>
          </w:p>
        </w:tc>
      </w:tr>
      <w:tr w:rsidR="00AC375F" w:rsidRPr="00AC375F" w14:paraId="667BA4BF" w14:textId="77777777" w:rsidTr="00991955">
        <w:trPr>
          <w:trHeight w:val="240"/>
        </w:trPr>
        <w:tc>
          <w:tcPr>
            <w:tcW w:w="4390" w:type="dxa"/>
            <w:shd w:val="clear" w:color="auto" w:fill="auto"/>
            <w:noWrap/>
          </w:tcPr>
          <w:p w14:paraId="656EAA91" w14:textId="77777777" w:rsidR="00AC375F" w:rsidRPr="00AC375F" w:rsidRDefault="00AC375F" w:rsidP="00AC375F"/>
        </w:tc>
        <w:tc>
          <w:tcPr>
            <w:tcW w:w="1609" w:type="dxa"/>
            <w:shd w:val="clear" w:color="auto" w:fill="auto"/>
            <w:noWrap/>
          </w:tcPr>
          <w:p w14:paraId="61927B87" w14:textId="77777777" w:rsidR="00AC375F" w:rsidRPr="00AC375F" w:rsidRDefault="00AC375F" w:rsidP="00AC375F">
            <w:pPr>
              <w:jc w:val="center"/>
              <w:rPr>
                <w:sz w:val="18"/>
                <w:szCs w:val="18"/>
              </w:rPr>
            </w:pPr>
            <w:r w:rsidRPr="00AC375F">
              <w:rPr>
                <w:sz w:val="18"/>
                <w:szCs w:val="18"/>
              </w:rPr>
              <w:t>virtualno</w:t>
            </w:r>
          </w:p>
        </w:tc>
        <w:tc>
          <w:tcPr>
            <w:tcW w:w="940" w:type="dxa"/>
            <w:shd w:val="clear" w:color="auto" w:fill="auto"/>
            <w:noWrap/>
          </w:tcPr>
          <w:p w14:paraId="4B99D7BD" w14:textId="77777777" w:rsidR="00AC375F" w:rsidRPr="00AC375F" w:rsidRDefault="00AC375F" w:rsidP="00AC375F">
            <w:pPr>
              <w:jc w:val="center"/>
              <w:rPr>
                <w:sz w:val="18"/>
                <w:szCs w:val="18"/>
              </w:rPr>
            </w:pPr>
            <w:r w:rsidRPr="00AC375F">
              <w:rPr>
                <w:sz w:val="18"/>
                <w:szCs w:val="18"/>
              </w:rPr>
              <w:t>1</w:t>
            </w:r>
          </w:p>
        </w:tc>
        <w:tc>
          <w:tcPr>
            <w:tcW w:w="1305" w:type="dxa"/>
            <w:shd w:val="clear" w:color="auto" w:fill="auto"/>
            <w:noWrap/>
          </w:tcPr>
          <w:p w14:paraId="67F64480" w14:textId="77777777" w:rsidR="00AC375F" w:rsidRPr="00AC375F" w:rsidRDefault="00AC375F" w:rsidP="00AC375F">
            <w:pPr>
              <w:jc w:val="center"/>
              <w:rPr>
                <w:sz w:val="18"/>
                <w:szCs w:val="18"/>
              </w:rPr>
            </w:pPr>
            <w:r w:rsidRPr="00AC375F">
              <w:rPr>
                <w:sz w:val="18"/>
                <w:szCs w:val="18"/>
              </w:rPr>
              <w:t>prosinac</w:t>
            </w:r>
          </w:p>
        </w:tc>
        <w:tc>
          <w:tcPr>
            <w:tcW w:w="1249" w:type="dxa"/>
            <w:shd w:val="clear" w:color="auto" w:fill="auto"/>
            <w:noWrap/>
          </w:tcPr>
          <w:p w14:paraId="6DAED058" w14:textId="77777777" w:rsidR="00AC375F" w:rsidRPr="00AC375F" w:rsidRDefault="00AC375F" w:rsidP="00AC375F">
            <w:pPr>
              <w:jc w:val="center"/>
              <w:rPr>
                <w:sz w:val="18"/>
                <w:szCs w:val="18"/>
              </w:rPr>
            </w:pPr>
            <w:r w:rsidRPr="00AC375F">
              <w:rPr>
                <w:sz w:val="18"/>
                <w:szCs w:val="18"/>
              </w:rPr>
              <w:t>1</w:t>
            </w:r>
          </w:p>
        </w:tc>
      </w:tr>
    </w:tbl>
    <w:p w14:paraId="306C1911" w14:textId="77777777" w:rsidR="00AC375F" w:rsidRPr="00AC375F" w:rsidRDefault="00AC375F" w:rsidP="00991955">
      <w:pPr>
        <w:spacing w:line="276" w:lineRule="auto"/>
        <w:rPr>
          <w:rFonts w:eastAsia="Times New Roman" w:cstheme="minorHAnsi"/>
          <w:sz w:val="18"/>
          <w:szCs w:val="18"/>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4"/>
        <w:gridCol w:w="1559"/>
        <w:gridCol w:w="940"/>
        <w:gridCol w:w="1328"/>
        <w:gridCol w:w="1276"/>
      </w:tblGrid>
      <w:tr w:rsidR="00AC375F" w:rsidRPr="00AC375F" w14:paraId="3F100B50" w14:textId="77777777" w:rsidTr="001B7BE6">
        <w:trPr>
          <w:trHeight w:val="330"/>
        </w:trPr>
        <w:tc>
          <w:tcPr>
            <w:tcW w:w="4424" w:type="dxa"/>
            <w:shd w:val="clear" w:color="auto" w:fill="A3E7FF"/>
            <w:noWrap/>
            <w:hideMark/>
          </w:tcPr>
          <w:p w14:paraId="3E0A674F" w14:textId="77777777" w:rsidR="00AC375F" w:rsidRPr="00AC375F" w:rsidRDefault="00AC375F" w:rsidP="00AC375F">
            <w:pPr>
              <w:rPr>
                <w:b/>
                <w:bCs/>
                <w:i/>
                <w:iCs/>
                <w:sz w:val="18"/>
                <w:szCs w:val="18"/>
              </w:rPr>
            </w:pPr>
            <w:r w:rsidRPr="00AC375F">
              <w:rPr>
                <w:b/>
                <w:bCs/>
                <w:i/>
                <w:iCs/>
                <w:sz w:val="18"/>
                <w:szCs w:val="18"/>
              </w:rPr>
              <w:t>HMA</w:t>
            </w:r>
          </w:p>
        </w:tc>
        <w:tc>
          <w:tcPr>
            <w:tcW w:w="1559" w:type="dxa"/>
            <w:shd w:val="clear" w:color="auto" w:fill="A3E7FF"/>
            <w:noWrap/>
            <w:hideMark/>
          </w:tcPr>
          <w:p w14:paraId="302A1C24" w14:textId="77777777" w:rsidR="00AC375F" w:rsidRPr="00AC375F" w:rsidRDefault="00AC375F" w:rsidP="00AC375F">
            <w:pPr>
              <w:jc w:val="center"/>
              <w:rPr>
                <w:i/>
                <w:iCs/>
                <w:sz w:val="18"/>
                <w:szCs w:val="18"/>
              </w:rPr>
            </w:pPr>
          </w:p>
        </w:tc>
        <w:tc>
          <w:tcPr>
            <w:tcW w:w="940" w:type="dxa"/>
            <w:shd w:val="clear" w:color="auto" w:fill="A3E7FF"/>
            <w:noWrap/>
            <w:hideMark/>
          </w:tcPr>
          <w:p w14:paraId="5A864DC5" w14:textId="77777777" w:rsidR="00AC375F" w:rsidRPr="00AC375F" w:rsidRDefault="00AC375F" w:rsidP="00AC375F">
            <w:pPr>
              <w:jc w:val="center"/>
              <w:rPr>
                <w:i/>
                <w:iCs/>
                <w:sz w:val="18"/>
                <w:szCs w:val="18"/>
              </w:rPr>
            </w:pPr>
          </w:p>
        </w:tc>
        <w:tc>
          <w:tcPr>
            <w:tcW w:w="1328" w:type="dxa"/>
            <w:shd w:val="clear" w:color="auto" w:fill="A3E7FF"/>
            <w:noWrap/>
            <w:hideMark/>
          </w:tcPr>
          <w:p w14:paraId="6D625D59" w14:textId="77777777" w:rsidR="00AC375F" w:rsidRPr="00AC375F" w:rsidRDefault="00AC375F" w:rsidP="00AC375F">
            <w:pPr>
              <w:jc w:val="center"/>
              <w:rPr>
                <w:i/>
                <w:iCs/>
                <w:sz w:val="18"/>
                <w:szCs w:val="18"/>
              </w:rPr>
            </w:pPr>
          </w:p>
        </w:tc>
        <w:tc>
          <w:tcPr>
            <w:tcW w:w="1276" w:type="dxa"/>
            <w:shd w:val="clear" w:color="auto" w:fill="A3E7FF"/>
            <w:noWrap/>
            <w:hideMark/>
          </w:tcPr>
          <w:p w14:paraId="71A416EA" w14:textId="77777777" w:rsidR="00AC375F" w:rsidRPr="00AC375F" w:rsidRDefault="00AC375F" w:rsidP="00AC375F">
            <w:pPr>
              <w:jc w:val="center"/>
              <w:rPr>
                <w:i/>
                <w:iCs/>
                <w:sz w:val="18"/>
                <w:szCs w:val="18"/>
              </w:rPr>
            </w:pPr>
          </w:p>
        </w:tc>
      </w:tr>
      <w:tr w:rsidR="00AC375F" w:rsidRPr="00AC375F" w14:paraId="4FF0E4D2" w14:textId="77777777" w:rsidTr="001B7BE6">
        <w:trPr>
          <w:trHeight w:val="238"/>
        </w:trPr>
        <w:tc>
          <w:tcPr>
            <w:tcW w:w="4424" w:type="dxa"/>
            <w:shd w:val="clear" w:color="auto" w:fill="auto"/>
            <w:noWrap/>
            <w:hideMark/>
          </w:tcPr>
          <w:p w14:paraId="658EE316" w14:textId="77777777" w:rsidR="00AC375F" w:rsidRPr="00AC375F" w:rsidRDefault="00AC375F" w:rsidP="00AC375F">
            <w:pPr>
              <w:rPr>
                <w:i/>
                <w:iCs/>
                <w:sz w:val="18"/>
                <w:szCs w:val="18"/>
              </w:rPr>
            </w:pPr>
            <w:r w:rsidRPr="00AC375F">
              <w:rPr>
                <w:i/>
                <w:iCs/>
                <w:sz w:val="18"/>
                <w:szCs w:val="18"/>
              </w:rPr>
              <w:t>naziv skupine</w:t>
            </w:r>
          </w:p>
        </w:tc>
        <w:tc>
          <w:tcPr>
            <w:tcW w:w="1559" w:type="dxa"/>
            <w:shd w:val="clear" w:color="auto" w:fill="auto"/>
            <w:noWrap/>
          </w:tcPr>
          <w:p w14:paraId="35AAB9D4" w14:textId="77777777" w:rsidR="00AC375F" w:rsidRPr="00AC375F" w:rsidRDefault="00AC375F" w:rsidP="00AC375F">
            <w:pPr>
              <w:jc w:val="center"/>
              <w:rPr>
                <w:i/>
                <w:iCs/>
                <w:sz w:val="18"/>
                <w:szCs w:val="18"/>
              </w:rPr>
            </w:pPr>
            <w:r w:rsidRPr="00AC375F">
              <w:rPr>
                <w:i/>
                <w:iCs/>
                <w:sz w:val="18"/>
                <w:szCs w:val="18"/>
              </w:rPr>
              <w:t>mjesto</w:t>
            </w:r>
          </w:p>
        </w:tc>
        <w:tc>
          <w:tcPr>
            <w:tcW w:w="940" w:type="dxa"/>
            <w:shd w:val="clear" w:color="auto" w:fill="auto"/>
          </w:tcPr>
          <w:p w14:paraId="71A7D700" w14:textId="77777777" w:rsidR="00AC375F" w:rsidRPr="00AC375F" w:rsidRDefault="00AC375F" w:rsidP="00AC375F">
            <w:pPr>
              <w:jc w:val="center"/>
              <w:rPr>
                <w:i/>
                <w:iCs/>
                <w:sz w:val="18"/>
                <w:szCs w:val="18"/>
              </w:rPr>
            </w:pPr>
            <w:r w:rsidRPr="00AC375F">
              <w:rPr>
                <w:i/>
                <w:iCs/>
                <w:sz w:val="18"/>
                <w:szCs w:val="18"/>
              </w:rPr>
              <w:t>broj</w:t>
            </w:r>
          </w:p>
          <w:p w14:paraId="4EF004CC" w14:textId="77777777" w:rsidR="00AC375F" w:rsidRPr="00AC375F" w:rsidRDefault="00AC375F" w:rsidP="00AC375F">
            <w:pPr>
              <w:jc w:val="center"/>
              <w:rPr>
                <w:i/>
                <w:iCs/>
                <w:sz w:val="18"/>
                <w:szCs w:val="18"/>
              </w:rPr>
            </w:pPr>
            <w:r w:rsidRPr="00AC375F">
              <w:rPr>
                <w:i/>
                <w:iCs/>
                <w:sz w:val="18"/>
                <w:szCs w:val="18"/>
              </w:rPr>
              <w:t>djelatnika</w:t>
            </w:r>
          </w:p>
        </w:tc>
        <w:tc>
          <w:tcPr>
            <w:tcW w:w="1328" w:type="dxa"/>
            <w:shd w:val="clear" w:color="auto" w:fill="auto"/>
            <w:noWrap/>
          </w:tcPr>
          <w:p w14:paraId="68F4F23B" w14:textId="77777777" w:rsidR="00AC375F" w:rsidRPr="00AC375F" w:rsidRDefault="00AC375F" w:rsidP="00AC375F">
            <w:pPr>
              <w:jc w:val="center"/>
              <w:rPr>
                <w:i/>
                <w:iCs/>
                <w:sz w:val="18"/>
                <w:szCs w:val="18"/>
              </w:rPr>
            </w:pPr>
            <w:r w:rsidRPr="00AC375F">
              <w:rPr>
                <w:i/>
                <w:iCs/>
                <w:sz w:val="18"/>
                <w:szCs w:val="18"/>
              </w:rPr>
              <w:t>mjesec</w:t>
            </w:r>
          </w:p>
        </w:tc>
        <w:tc>
          <w:tcPr>
            <w:tcW w:w="1276" w:type="dxa"/>
            <w:shd w:val="clear" w:color="auto" w:fill="auto"/>
          </w:tcPr>
          <w:p w14:paraId="17FD9F65" w14:textId="77777777" w:rsidR="00AC375F" w:rsidRPr="00AC375F" w:rsidRDefault="00AC375F" w:rsidP="00AC375F">
            <w:pPr>
              <w:jc w:val="center"/>
              <w:rPr>
                <w:i/>
                <w:iCs/>
                <w:sz w:val="18"/>
                <w:szCs w:val="18"/>
              </w:rPr>
            </w:pPr>
            <w:r w:rsidRPr="00AC375F">
              <w:rPr>
                <w:i/>
                <w:iCs/>
                <w:sz w:val="18"/>
                <w:szCs w:val="18"/>
              </w:rPr>
              <w:t>broj dana/</w:t>
            </w:r>
          </w:p>
          <w:p w14:paraId="77D8B6FC" w14:textId="77777777" w:rsidR="00AC375F" w:rsidRPr="00AC375F" w:rsidRDefault="00AC375F" w:rsidP="00AC375F">
            <w:pPr>
              <w:jc w:val="center"/>
              <w:rPr>
                <w:i/>
                <w:iCs/>
                <w:sz w:val="18"/>
                <w:szCs w:val="18"/>
              </w:rPr>
            </w:pPr>
            <w:r w:rsidRPr="00AC375F">
              <w:rPr>
                <w:i/>
                <w:iCs/>
                <w:sz w:val="18"/>
                <w:szCs w:val="18"/>
              </w:rPr>
              <w:t>sastanku</w:t>
            </w:r>
          </w:p>
        </w:tc>
      </w:tr>
      <w:tr w:rsidR="00AC375F" w:rsidRPr="00AC375F" w14:paraId="30D7DA68" w14:textId="77777777" w:rsidTr="001B7BE6">
        <w:trPr>
          <w:trHeight w:val="238"/>
        </w:trPr>
        <w:tc>
          <w:tcPr>
            <w:tcW w:w="4424" w:type="dxa"/>
            <w:shd w:val="clear" w:color="auto" w:fill="auto"/>
            <w:noWrap/>
          </w:tcPr>
          <w:p w14:paraId="67872F1E" w14:textId="77777777" w:rsidR="00AC375F" w:rsidRPr="00AC375F" w:rsidRDefault="00AC375F" w:rsidP="00AC375F">
            <w:pPr>
              <w:rPr>
                <w:b/>
                <w:bCs/>
                <w:sz w:val="18"/>
                <w:szCs w:val="18"/>
              </w:rPr>
            </w:pPr>
            <w:r w:rsidRPr="00AC375F">
              <w:rPr>
                <w:b/>
                <w:bCs/>
                <w:sz w:val="18"/>
                <w:szCs w:val="18"/>
              </w:rPr>
              <w:t>EMACOLEX</w:t>
            </w:r>
          </w:p>
        </w:tc>
        <w:tc>
          <w:tcPr>
            <w:tcW w:w="1559" w:type="dxa"/>
            <w:shd w:val="clear" w:color="auto" w:fill="auto"/>
            <w:noWrap/>
          </w:tcPr>
          <w:p w14:paraId="48278224" w14:textId="77777777" w:rsidR="00AC375F" w:rsidRPr="00AC375F" w:rsidRDefault="00AC375F" w:rsidP="00AC375F">
            <w:pPr>
              <w:jc w:val="center"/>
              <w:rPr>
                <w:sz w:val="18"/>
                <w:szCs w:val="18"/>
              </w:rPr>
            </w:pPr>
            <w:r w:rsidRPr="00AC375F">
              <w:rPr>
                <w:sz w:val="18"/>
                <w:szCs w:val="18"/>
              </w:rPr>
              <w:t>Uppsala</w:t>
            </w:r>
          </w:p>
        </w:tc>
        <w:tc>
          <w:tcPr>
            <w:tcW w:w="940" w:type="dxa"/>
            <w:shd w:val="clear" w:color="auto" w:fill="auto"/>
            <w:noWrap/>
          </w:tcPr>
          <w:p w14:paraId="2EB87CAA" w14:textId="77777777" w:rsidR="00AC375F" w:rsidRPr="00AC375F" w:rsidRDefault="00AC375F" w:rsidP="00AC375F">
            <w:pPr>
              <w:jc w:val="center"/>
              <w:rPr>
                <w:sz w:val="18"/>
                <w:szCs w:val="18"/>
              </w:rPr>
            </w:pPr>
            <w:r w:rsidRPr="00AC375F">
              <w:rPr>
                <w:sz w:val="18"/>
                <w:szCs w:val="18"/>
              </w:rPr>
              <w:t>1</w:t>
            </w:r>
          </w:p>
        </w:tc>
        <w:tc>
          <w:tcPr>
            <w:tcW w:w="1328" w:type="dxa"/>
            <w:shd w:val="clear" w:color="auto" w:fill="auto"/>
            <w:noWrap/>
          </w:tcPr>
          <w:p w14:paraId="76935A93" w14:textId="77777777" w:rsidR="00AC375F" w:rsidRPr="00AC375F" w:rsidRDefault="00AC375F" w:rsidP="00AC375F">
            <w:pPr>
              <w:jc w:val="center"/>
              <w:rPr>
                <w:sz w:val="18"/>
                <w:szCs w:val="18"/>
              </w:rPr>
            </w:pPr>
            <w:r w:rsidRPr="00AC375F">
              <w:rPr>
                <w:sz w:val="18"/>
                <w:szCs w:val="18"/>
              </w:rPr>
              <w:t>travanj</w:t>
            </w:r>
          </w:p>
        </w:tc>
        <w:tc>
          <w:tcPr>
            <w:tcW w:w="1276" w:type="dxa"/>
            <w:shd w:val="clear" w:color="auto" w:fill="auto"/>
            <w:noWrap/>
          </w:tcPr>
          <w:p w14:paraId="0E06AAEC" w14:textId="77777777" w:rsidR="00AC375F" w:rsidRPr="00AC375F" w:rsidRDefault="00AC375F" w:rsidP="00AC375F">
            <w:pPr>
              <w:jc w:val="center"/>
              <w:rPr>
                <w:sz w:val="18"/>
                <w:szCs w:val="18"/>
              </w:rPr>
            </w:pPr>
            <w:r w:rsidRPr="00AC375F">
              <w:rPr>
                <w:sz w:val="18"/>
                <w:szCs w:val="18"/>
              </w:rPr>
              <w:t>2</w:t>
            </w:r>
          </w:p>
        </w:tc>
      </w:tr>
      <w:tr w:rsidR="00AC375F" w:rsidRPr="00AC375F" w14:paraId="37589759" w14:textId="77777777" w:rsidTr="001B7BE6">
        <w:trPr>
          <w:trHeight w:val="238"/>
        </w:trPr>
        <w:tc>
          <w:tcPr>
            <w:tcW w:w="4424" w:type="dxa"/>
            <w:shd w:val="clear" w:color="auto" w:fill="auto"/>
            <w:noWrap/>
          </w:tcPr>
          <w:p w14:paraId="63E283DF" w14:textId="77777777" w:rsidR="00AC375F" w:rsidRPr="00AC375F" w:rsidRDefault="00AC375F" w:rsidP="00AC375F">
            <w:pPr>
              <w:rPr>
                <w:b/>
                <w:bCs/>
                <w:sz w:val="18"/>
                <w:szCs w:val="18"/>
              </w:rPr>
            </w:pPr>
          </w:p>
        </w:tc>
        <w:tc>
          <w:tcPr>
            <w:tcW w:w="1559" w:type="dxa"/>
            <w:shd w:val="clear" w:color="auto" w:fill="auto"/>
            <w:noWrap/>
          </w:tcPr>
          <w:p w14:paraId="03E9F5C8" w14:textId="77777777" w:rsidR="00AC375F" w:rsidRPr="00AC375F" w:rsidRDefault="00AC375F" w:rsidP="00AC375F">
            <w:pPr>
              <w:jc w:val="center"/>
              <w:rPr>
                <w:sz w:val="18"/>
                <w:szCs w:val="18"/>
              </w:rPr>
            </w:pPr>
            <w:r w:rsidRPr="00AC375F">
              <w:rPr>
                <w:sz w:val="18"/>
                <w:szCs w:val="18"/>
              </w:rPr>
              <w:t>Madrid</w:t>
            </w:r>
          </w:p>
        </w:tc>
        <w:tc>
          <w:tcPr>
            <w:tcW w:w="940" w:type="dxa"/>
            <w:shd w:val="clear" w:color="auto" w:fill="auto"/>
            <w:noWrap/>
          </w:tcPr>
          <w:p w14:paraId="41869F1F" w14:textId="77777777" w:rsidR="00AC375F" w:rsidRPr="00AC375F" w:rsidRDefault="00AC375F" w:rsidP="00AC375F">
            <w:pPr>
              <w:jc w:val="center"/>
              <w:rPr>
                <w:sz w:val="18"/>
                <w:szCs w:val="18"/>
              </w:rPr>
            </w:pPr>
            <w:r w:rsidRPr="00AC375F">
              <w:rPr>
                <w:sz w:val="18"/>
                <w:szCs w:val="18"/>
              </w:rPr>
              <w:t>1</w:t>
            </w:r>
          </w:p>
        </w:tc>
        <w:tc>
          <w:tcPr>
            <w:tcW w:w="1328" w:type="dxa"/>
            <w:shd w:val="clear" w:color="auto" w:fill="auto"/>
            <w:noWrap/>
          </w:tcPr>
          <w:p w14:paraId="64933B35" w14:textId="77777777" w:rsidR="00AC375F" w:rsidRPr="00AC375F" w:rsidRDefault="00AC375F" w:rsidP="00AC375F">
            <w:pPr>
              <w:jc w:val="center"/>
              <w:rPr>
                <w:sz w:val="18"/>
                <w:szCs w:val="18"/>
              </w:rPr>
            </w:pPr>
            <w:r w:rsidRPr="00AC375F">
              <w:rPr>
                <w:sz w:val="18"/>
                <w:szCs w:val="18"/>
              </w:rPr>
              <w:t>listopad</w:t>
            </w:r>
          </w:p>
        </w:tc>
        <w:tc>
          <w:tcPr>
            <w:tcW w:w="1276" w:type="dxa"/>
            <w:shd w:val="clear" w:color="auto" w:fill="auto"/>
            <w:noWrap/>
          </w:tcPr>
          <w:p w14:paraId="7F533D03" w14:textId="77777777" w:rsidR="00AC375F" w:rsidRPr="00AC375F" w:rsidRDefault="00AC375F" w:rsidP="00AC375F">
            <w:pPr>
              <w:jc w:val="center"/>
              <w:rPr>
                <w:sz w:val="18"/>
                <w:szCs w:val="18"/>
              </w:rPr>
            </w:pPr>
            <w:r w:rsidRPr="00AC375F">
              <w:rPr>
                <w:sz w:val="18"/>
                <w:szCs w:val="18"/>
              </w:rPr>
              <w:t>2</w:t>
            </w:r>
          </w:p>
        </w:tc>
      </w:tr>
      <w:tr w:rsidR="00AC375F" w:rsidRPr="00AC375F" w14:paraId="02BBFD23" w14:textId="77777777" w:rsidTr="001B7BE6">
        <w:trPr>
          <w:trHeight w:val="238"/>
        </w:trPr>
        <w:tc>
          <w:tcPr>
            <w:tcW w:w="4424" w:type="dxa"/>
            <w:shd w:val="clear" w:color="auto" w:fill="auto"/>
            <w:noWrap/>
          </w:tcPr>
          <w:p w14:paraId="5CB30387" w14:textId="77777777" w:rsidR="00AC375F" w:rsidRPr="00AC375F" w:rsidRDefault="00AC375F" w:rsidP="00AC375F">
            <w:pPr>
              <w:rPr>
                <w:b/>
                <w:bCs/>
                <w:sz w:val="18"/>
                <w:szCs w:val="18"/>
              </w:rPr>
            </w:pPr>
            <w:r w:rsidRPr="00AC375F">
              <w:rPr>
                <w:b/>
                <w:bCs/>
                <w:sz w:val="18"/>
                <w:szCs w:val="18"/>
              </w:rPr>
              <w:t>BEMA Steering Group Meeting</w:t>
            </w:r>
          </w:p>
        </w:tc>
        <w:tc>
          <w:tcPr>
            <w:tcW w:w="1559" w:type="dxa"/>
            <w:shd w:val="clear" w:color="auto" w:fill="auto"/>
            <w:noWrap/>
          </w:tcPr>
          <w:p w14:paraId="5A9B35D9" w14:textId="77777777" w:rsidR="00AC375F" w:rsidRPr="00AC375F" w:rsidRDefault="00AC375F" w:rsidP="00AC375F">
            <w:pPr>
              <w:jc w:val="center"/>
              <w:rPr>
                <w:sz w:val="18"/>
                <w:szCs w:val="18"/>
              </w:rPr>
            </w:pPr>
            <w:r w:rsidRPr="00AC375F">
              <w:rPr>
                <w:sz w:val="18"/>
                <w:szCs w:val="18"/>
              </w:rPr>
              <w:t>virtualno</w:t>
            </w:r>
          </w:p>
          <w:p w14:paraId="0F6D9D94" w14:textId="77777777" w:rsidR="00AC375F" w:rsidRPr="00AC375F" w:rsidRDefault="00AC375F" w:rsidP="00AC375F">
            <w:pPr>
              <w:jc w:val="center"/>
              <w:rPr>
                <w:sz w:val="18"/>
                <w:szCs w:val="18"/>
              </w:rPr>
            </w:pPr>
          </w:p>
        </w:tc>
        <w:tc>
          <w:tcPr>
            <w:tcW w:w="940" w:type="dxa"/>
            <w:shd w:val="clear" w:color="auto" w:fill="auto"/>
            <w:noWrap/>
          </w:tcPr>
          <w:p w14:paraId="7B42DEC6" w14:textId="77777777" w:rsidR="00AC375F" w:rsidRPr="00AC375F" w:rsidRDefault="00AC375F" w:rsidP="00AC375F">
            <w:pPr>
              <w:jc w:val="center"/>
              <w:rPr>
                <w:sz w:val="18"/>
                <w:szCs w:val="18"/>
              </w:rPr>
            </w:pPr>
            <w:r w:rsidRPr="00AC375F">
              <w:rPr>
                <w:sz w:val="18"/>
                <w:szCs w:val="18"/>
              </w:rPr>
              <w:t>2</w:t>
            </w:r>
          </w:p>
          <w:p w14:paraId="4F6951FB" w14:textId="77777777" w:rsidR="00AC375F" w:rsidRPr="00AC375F" w:rsidRDefault="00AC375F" w:rsidP="00AC375F">
            <w:pPr>
              <w:jc w:val="center"/>
              <w:rPr>
                <w:sz w:val="18"/>
                <w:szCs w:val="18"/>
              </w:rPr>
            </w:pPr>
          </w:p>
        </w:tc>
        <w:tc>
          <w:tcPr>
            <w:tcW w:w="1328" w:type="dxa"/>
            <w:shd w:val="clear" w:color="auto" w:fill="auto"/>
            <w:noWrap/>
          </w:tcPr>
          <w:p w14:paraId="167AF45C" w14:textId="77777777" w:rsidR="00AC375F" w:rsidRPr="00AC375F" w:rsidRDefault="00AC375F" w:rsidP="00AC375F">
            <w:pPr>
              <w:jc w:val="center"/>
              <w:rPr>
                <w:sz w:val="18"/>
                <w:szCs w:val="18"/>
              </w:rPr>
            </w:pPr>
            <w:r w:rsidRPr="00AC375F">
              <w:rPr>
                <w:sz w:val="18"/>
                <w:szCs w:val="18"/>
              </w:rPr>
              <w:t>veljača</w:t>
            </w:r>
          </w:p>
          <w:p w14:paraId="05FD2FAA" w14:textId="77777777" w:rsidR="00AC375F" w:rsidRPr="00AC375F" w:rsidRDefault="00AC375F" w:rsidP="00AC375F">
            <w:pPr>
              <w:jc w:val="center"/>
              <w:rPr>
                <w:sz w:val="18"/>
                <w:szCs w:val="18"/>
              </w:rPr>
            </w:pPr>
          </w:p>
        </w:tc>
        <w:tc>
          <w:tcPr>
            <w:tcW w:w="1276" w:type="dxa"/>
            <w:shd w:val="clear" w:color="auto" w:fill="auto"/>
            <w:noWrap/>
          </w:tcPr>
          <w:p w14:paraId="5D1A2FBF" w14:textId="77777777" w:rsidR="00AC375F" w:rsidRPr="00AC375F" w:rsidRDefault="00AC375F" w:rsidP="00AC375F">
            <w:pPr>
              <w:jc w:val="center"/>
              <w:rPr>
                <w:sz w:val="18"/>
                <w:szCs w:val="18"/>
              </w:rPr>
            </w:pPr>
            <w:r w:rsidRPr="00AC375F">
              <w:rPr>
                <w:sz w:val="18"/>
                <w:szCs w:val="18"/>
              </w:rPr>
              <w:t>1</w:t>
            </w:r>
          </w:p>
          <w:p w14:paraId="50A6ABEB" w14:textId="77777777" w:rsidR="00AC375F" w:rsidRPr="00AC375F" w:rsidRDefault="00AC375F" w:rsidP="00AC375F">
            <w:pPr>
              <w:jc w:val="center"/>
              <w:rPr>
                <w:sz w:val="18"/>
                <w:szCs w:val="18"/>
              </w:rPr>
            </w:pPr>
            <w:r w:rsidRPr="00AC375F">
              <w:rPr>
                <w:sz w:val="18"/>
                <w:szCs w:val="18"/>
              </w:rPr>
              <w:t>1</w:t>
            </w:r>
          </w:p>
          <w:p w14:paraId="251E480A" w14:textId="77777777" w:rsidR="00AC375F" w:rsidRPr="00AC375F" w:rsidRDefault="00AC375F" w:rsidP="00AC375F">
            <w:pPr>
              <w:jc w:val="center"/>
              <w:rPr>
                <w:sz w:val="18"/>
                <w:szCs w:val="18"/>
              </w:rPr>
            </w:pPr>
            <w:r w:rsidRPr="00AC375F">
              <w:rPr>
                <w:sz w:val="18"/>
                <w:szCs w:val="18"/>
              </w:rPr>
              <w:t>1</w:t>
            </w:r>
          </w:p>
          <w:p w14:paraId="15BE702B" w14:textId="77777777" w:rsidR="00AC375F" w:rsidRPr="00AC375F" w:rsidRDefault="00AC375F" w:rsidP="00AC375F">
            <w:pPr>
              <w:jc w:val="center"/>
              <w:rPr>
                <w:sz w:val="18"/>
                <w:szCs w:val="18"/>
              </w:rPr>
            </w:pPr>
            <w:r w:rsidRPr="00AC375F">
              <w:rPr>
                <w:sz w:val="18"/>
                <w:szCs w:val="18"/>
              </w:rPr>
              <w:t>1</w:t>
            </w:r>
          </w:p>
          <w:p w14:paraId="45E1CE81" w14:textId="77777777" w:rsidR="00AC375F" w:rsidRPr="00AC375F" w:rsidRDefault="00AC375F" w:rsidP="00AC375F">
            <w:pPr>
              <w:rPr>
                <w:sz w:val="18"/>
                <w:szCs w:val="18"/>
              </w:rPr>
            </w:pPr>
          </w:p>
        </w:tc>
      </w:tr>
      <w:tr w:rsidR="00AC375F" w:rsidRPr="00AC375F" w14:paraId="7F3BCEBA" w14:textId="77777777" w:rsidTr="001B7BE6">
        <w:trPr>
          <w:trHeight w:val="238"/>
        </w:trPr>
        <w:tc>
          <w:tcPr>
            <w:tcW w:w="4424" w:type="dxa"/>
            <w:shd w:val="clear" w:color="auto" w:fill="auto"/>
            <w:noWrap/>
          </w:tcPr>
          <w:p w14:paraId="00EAEC21" w14:textId="77777777" w:rsidR="00AC375F" w:rsidRPr="00AC375F" w:rsidRDefault="00AC375F" w:rsidP="00AC375F">
            <w:pPr>
              <w:rPr>
                <w:b/>
                <w:bCs/>
                <w:sz w:val="18"/>
                <w:szCs w:val="18"/>
              </w:rPr>
            </w:pPr>
          </w:p>
        </w:tc>
        <w:tc>
          <w:tcPr>
            <w:tcW w:w="1559" w:type="dxa"/>
            <w:shd w:val="clear" w:color="auto" w:fill="auto"/>
            <w:noWrap/>
          </w:tcPr>
          <w:p w14:paraId="4F715B3F" w14:textId="77777777" w:rsidR="00AC375F" w:rsidRPr="00AC375F" w:rsidRDefault="00AC375F" w:rsidP="00AC375F">
            <w:pPr>
              <w:jc w:val="center"/>
              <w:rPr>
                <w:sz w:val="18"/>
                <w:szCs w:val="18"/>
              </w:rPr>
            </w:pPr>
            <w:r w:rsidRPr="00AC375F">
              <w:rPr>
                <w:sz w:val="18"/>
                <w:szCs w:val="18"/>
              </w:rPr>
              <w:t>virtualno</w:t>
            </w:r>
          </w:p>
          <w:p w14:paraId="4AC665A2" w14:textId="77777777" w:rsidR="00AC375F" w:rsidRPr="00AC375F" w:rsidRDefault="00AC375F" w:rsidP="00AC375F">
            <w:pPr>
              <w:jc w:val="center"/>
              <w:rPr>
                <w:sz w:val="18"/>
                <w:szCs w:val="18"/>
              </w:rPr>
            </w:pPr>
          </w:p>
        </w:tc>
        <w:tc>
          <w:tcPr>
            <w:tcW w:w="940" w:type="dxa"/>
            <w:shd w:val="clear" w:color="auto" w:fill="auto"/>
            <w:noWrap/>
          </w:tcPr>
          <w:p w14:paraId="3835D836" w14:textId="77777777" w:rsidR="00AC375F" w:rsidRPr="00AC375F" w:rsidRDefault="00AC375F" w:rsidP="00AC375F">
            <w:pPr>
              <w:jc w:val="center"/>
              <w:rPr>
                <w:sz w:val="18"/>
                <w:szCs w:val="18"/>
              </w:rPr>
            </w:pPr>
            <w:r w:rsidRPr="00AC375F">
              <w:rPr>
                <w:sz w:val="18"/>
                <w:szCs w:val="18"/>
              </w:rPr>
              <w:t>2</w:t>
            </w:r>
          </w:p>
          <w:p w14:paraId="04B459BA" w14:textId="77777777" w:rsidR="00AC375F" w:rsidRPr="00AC375F" w:rsidRDefault="00AC375F" w:rsidP="00AC375F">
            <w:pPr>
              <w:jc w:val="center"/>
              <w:rPr>
                <w:sz w:val="18"/>
                <w:szCs w:val="18"/>
              </w:rPr>
            </w:pPr>
          </w:p>
        </w:tc>
        <w:tc>
          <w:tcPr>
            <w:tcW w:w="1328" w:type="dxa"/>
            <w:shd w:val="clear" w:color="auto" w:fill="auto"/>
            <w:noWrap/>
          </w:tcPr>
          <w:p w14:paraId="15E2DA56" w14:textId="77777777" w:rsidR="00AC375F" w:rsidRPr="00AC375F" w:rsidRDefault="00AC375F" w:rsidP="00AC375F">
            <w:pPr>
              <w:jc w:val="center"/>
              <w:rPr>
                <w:sz w:val="18"/>
                <w:szCs w:val="18"/>
              </w:rPr>
            </w:pPr>
            <w:r w:rsidRPr="00AC375F">
              <w:rPr>
                <w:sz w:val="18"/>
                <w:szCs w:val="18"/>
              </w:rPr>
              <w:t>ožujak</w:t>
            </w:r>
          </w:p>
          <w:p w14:paraId="3ADEDDB3" w14:textId="77777777" w:rsidR="00AC375F" w:rsidRPr="00AC375F" w:rsidRDefault="00AC375F" w:rsidP="00AC375F">
            <w:pPr>
              <w:jc w:val="center"/>
              <w:rPr>
                <w:sz w:val="18"/>
                <w:szCs w:val="18"/>
              </w:rPr>
            </w:pPr>
          </w:p>
        </w:tc>
        <w:tc>
          <w:tcPr>
            <w:tcW w:w="1276" w:type="dxa"/>
            <w:shd w:val="clear" w:color="auto" w:fill="auto"/>
            <w:noWrap/>
          </w:tcPr>
          <w:p w14:paraId="12EBE84F" w14:textId="77777777" w:rsidR="00AC375F" w:rsidRPr="00AC375F" w:rsidRDefault="00AC375F" w:rsidP="00AC375F">
            <w:pPr>
              <w:jc w:val="center"/>
              <w:rPr>
                <w:sz w:val="18"/>
                <w:szCs w:val="18"/>
              </w:rPr>
            </w:pPr>
            <w:r w:rsidRPr="00AC375F">
              <w:rPr>
                <w:sz w:val="18"/>
                <w:szCs w:val="18"/>
              </w:rPr>
              <w:t>1</w:t>
            </w:r>
          </w:p>
        </w:tc>
      </w:tr>
      <w:tr w:rsidR="00AC375F" w:rsidRPr="00AC375F" w14:paraId="104EEEC8" w14:textId="77777777" w:rsidTr="001B7BE6">
        <w:trPr>
          <w:trHeight w:val="238"/>
        </w:trPr>
        <w:tc>
          <w:tcPr>
            <w:tcW w:w="4424" w:type="dxa"/>
            <w:shd w:val="clear" w:color="auto" w:fill="auto"/>
            <w:noWrap/>
          </w:tcPr>
          <w:p w14:paraId="34769FF8" w14:textId="77777777" w:rsidR="00AC375F" w:rsidRPr="00AC375F" w:rsidRDefault="00AC375F" w:rsidP="00AC375F">
            <w:pPr>
              <w:rPr>
                <w:b/>
                <w:bCs/>
                <w:sz w:val="18"/>
                <w:szCs w:val="18"/>
              </w:rPr>
            </w:pPr>
          </w:p>
        </w:tc>
        <w:tc>
          <w:tcPr>
            <w:tcW w:w="1559" w:type="dxa"/>
            <w:shd w:val="clear" w:color="auto" w:fill="auto"/>
            <w:noWrap/>
          </w:tcPr>
          <w:p w14:paraId="45E3C43C" w14:textId="77777777" w:rsidR="00AC375F" w:rsidRPr="00AC375F" w:rsidRDefault="00AC375F" w:rsidP="00AC375F">
            <w:pPr>
              <w:jc w:val="center"/>
              <w:rPr>
                <w:sz w:val="18"/>
                <w:szCs w:val="18"/>
              </w:rPr>
            </w:pPr>
            <w:r w:rsidRPr="00AC375F">
              <w:rPr>
                <w:sz w:val="18"/>
                <w:szCs w:val="18"/>
              </w:rPr>
              <w:t>virtualno</w:t>
            </w:r>
          </w:p>
          <w:p w14:paraId="4DEC1527" w14:textId="77777777" w:rsidR="00AC375F" w:rsidRPr="00AC375F" w:rsidRDefault="00AC375F" w:rsidP="00AC375F">
            <w:pPr>
              <w:jc w:val="center"/>
              <w:rPr>
                <w:sz w:val="18"/>
                <w:szCs w:val="18"/>
              </w:rPr>
            </w:pPr>
          </w:p>
        </w:tc>
        <w:tc>
          <w:tcPr>
            <w:tcW w:w="940" w:type="dxa"/>
            <w:shd w:val="clear" w:color="auto" w:fill="auto"/>
            <w:noWrap/>
          </w:tcPr>
          <w:p w14:paraId="74F44D76" w14:textId="77777777" w:rsidR="00AC375F" w:rsidRPr="00AC375F" w:rsidRDefault="00AC375F" w:rsidP="00AC375F">
            <w:pPr>
              <w:jc w:val="center"/>
              <w:rPr>
                <w:sz w:val="18"/>
                <w:szCs w:val="18"/>
              </w:rPr>
            </w:pPr>
            <w:r w:rsidRPr="00AC375F">
              <w:rPr>
                <w:sz w:val="18"/>
                <w:szCs w:val="18"/>
              </w:rPr>
              <w:t>2</w:t>
            </w:r>
          </w:p>
          <w:p w14:paraId="5B4C8EF8" w14:textId="77777777" w:rsidR="00AC375F" w:rsidRPr="00AC375F" w:rsidRDefault="00AC375F" w:rsidP="00AC375F">
            <w:pPr>
              <w:jc w:val="center"/>
              <w:rPr>
                <w:sz w:val="18"/>
                <w:szCs w:val="18"/>
              </w:rPr>
            </w:pPr>
          </w:p>
        </w:tc>
        <w:tc>
          <w:tcPr>
            <w:tcW w:w="1328" w:type="dxa"/>
            <w:shd w:val="clear" w:color="auto" w:fill="auto"/>
            <w:noWrap/>
          </w:tcPr>
          <w:p w14:paraId="2315978A" w14:textId="77777777" w:rsidR="00AC375F" w:rsidRPr="00AC375F" w:rsidRDefault="00AC375F" w:rsidP="00AC375F">
            <w:pPr>
              <w:jc w:val="center"/>
              <w:rPr>
                <w:sz w:val="18"/>
                <w:szCs w:val="18"/>
              </w:rPr>
            </w:pPr>
            <w:r w:rsidRPr="00AC375F">
              <w:rPr>
                <w:sz w:val="18"/>
                <w:szCs w:val="18"/>
              </w:rPr>
              <w:t>svibanj</w:t>
            </w:r>
          </w:p>
          <w:p w14:paraId="0E633BA3" w14:textId="77777777" w:rsidR="00AC375F" w:rsidRPr="00AC375F" w:rsidRDefault="00AC375F" w:rsidP="00AC375F">
            <w:pPr>
              <w:jc w:val="center"/>
              <w:rPr>
                <w:sz w:val="18"/>
                <w:szCs w:val="18"/>
              </w:rPr>
            </w:pPr>
          </w:p>
        </w:tc>
        <w:tc>
          <w:tcPr>
            <w:tcW w:w="1276" w:type="dxa"/>
            <w:shd w:val="clear" w:color="auto" w:fill="auto"/>
            <w:noWrap/>
          </w:tcPr>
          <w:p w14:paraId="0FF3A007" w14:textId="77777777" w:rsidR="00AC375F" w:rsidRPr="00AC375F" w:rsidRDefault="00AC375F" w:rsidP="00AC375F">
            <w:pPr>
              <w:jc w:val="center"/>
              <w:rPr>
                <w:sz w:val="18"/>
                <w:szCs w:val="18"/>
              </w:rPr>
            </w:pPr>
            <w:r w:rsidRPr="00AC375F">
              <w:rPr>
                <w:sz w:val="18"/>
                <w:szCs w:val="18"/>
              </w:rPr>
              <w:t>1</w:t>
            </w:r>
          </w:p>
        </w:tc>
      </w:tr>
      <w:tr w:rsidR="00AC375F" w:rsidRPr="00AC375F" w14:paraId="5D62410D" w14:textId="77777777" w:rsidTr="001B7BE6">
        <w:trPr>
          <w:trHeight w:val="238"/>
        </w:trPr>
        <w:tc>
          <w:tcPr>
            <w:tcW w:w="4424" w:type="dxa"/>
            <w:shd w:val="clear" w:color="auto" w:fill="auto"/>
            <w:noWrap/>
          </w:tcPr>
          <w:p w14:paraId="3F2B3803" w14:textId="77777777" w:rsidR="00AC375F" w:rsidRPr="00AC375F" w:rsidRDefault="00AC375F" w:rsidP="00AC375F">
            <w:pPr>
              <w:rPr>
                <w:b/>
                <w:bCs/>
                <w:sz w:val="18"/>
                <w:szCs w:val="18"/>
              </w:rPr>
            </w:pPr>
          </w:p>
        </w:tc>
        <w:tc>
          <w:tcPr>
            <w:tcW w:w="1559" w:type="dxa"/>
            <w:shd w:val="clear" w:color="auto" w:fill="auto"/>
            <w:noWrap/>
          </w:tcPr>
          <w:p w14:paraId="78109E42" w14:textId="77777777" w:rsidR="00AC375F" w:rsidRPr="00AC375F" w:rsidRDefault="00AC375F" w:rsidP="00AC375F">
            <w:pPr>
              <w:jc w:val="center"/>
              <w:rPr>
                <w:sz w:val="18"/>
                <w:szCs w:val="18"/>
              </w:rPr>
            </w:pPr>
            <w:r w:rsidRPr="00AC375F">
              <w:rPr>
                <w:sz w:val="18"/>
                <w:szCs w:val="18"/>
              </w:rPr>
              <w:t>virtualno</w:t>
            </w:r>
          </w:p>
        </w:tc>
        <w:tc>
          <w:tcPr>
            <w:tcW w:w="940" w:type="dxa"/>
            <w:shd w:val="clear" w:color="auto" w:fill="auto"/>
            <w:noWrap/>
          </w:tcPr>
          <w:p w14:paraId="30943BA5" w14:textId="77777777" w:rsidR="00AC375F" w:rsidRPr="00AC375F" w:rsidRDefault="00AC375F" w:rsidP="00AC375F">
            <w:pPr>
              <w:jc w:val="center"/>
              <w:rPr>
                <w:sz w:val="18"/>
                <w:szCs w:val="18"/>
              </w:rPr>
            </w:pPr>
            <w:r w:rsidRPr="00AC375F">
              <w:rPr>
                <w:sz w:val="18"/>
                <w:szCs w:val="18"/>
              </w:rPr>
              <w:t>2</w:t>
            </w:r>
          </w:p>
        </w:tc>
        <w:tc>
          <w:tcPr>
            <w:tcW w:w="1328" w:type="dxa"/>
            <w:shd w:val="clear" w:color="auto" w:fill="auto"/>
            <w:noWrap/>
          </w:tcPr>
          <w:p w14:paraId="41C0F18C" w14:textId="77777777" w:rsidR="00AC375F" w:rsidRPr="00AC375F" w:rsidRDefault="00AC375F" w:rsidP="00AC375F">
            <w:pPr>
              <w:jc w:val="center"/>
              <w:rPr>
                <w:sz w:val="18"/>
                <w:szCs w:val="18"/>
              </w:rPr>
            </w:pPr>
            <w:r w:rsidRPr="00AC375F">
              <w:rPr>
                <w:sz w:val="18"/>
                <w:szCs w:val="18"/>
              </w:rPr>
              <w:t xml:space="preserve">rujan </w:t>
            </w:r>
          </w:p>
        </w:tc>
        <w:tc>
          <w:tcPr>
            <w:tcW w:w="1276" w:type="dxa"/>
            <w:shd w:val="clear" w:color="auto" w:fill="auto"/>
            <w:noWrap/>
          </w:tcPr>
          <w:p w14:paraId="21FF6213" w14:textId="77777777" w:rsidR="00AC375F" w:rsidRPr="00AC375F" w:rsidRDefault="00AC375F" w:rsidP="00AC375F">
            <w:pPr>
              <w:jc w:val="center"/>
              <w:rPr>
                <w:sz w:val="18"/>
                <w:szCs w:val="18"/>
              </w:rPr>
            </w:pPr>
            <w:r w:rsidRPr="00AC375F">
              <w:rPr>
                <w:sz w:val="18"/>
                <w:szCs w:val="18"/>
              </w:rPr>
              <w:t>1</w:t>
            </w:r>
          </w:p>
        </w:tc>
      </w:tr>
      <w:tr w:rsidR="00AC375F" w:rsidRPr="00AC375F" w14:paraId="52407879" w14:textId="77777777" w:rsidTr="001B7BE6">
        <w:trPr>
          <w:trHeight w:val="238"/>
        </w:trPr>
        <w:tc>
          <w:tcPr>
            <w:tcW w:w="4424" w:type="dxa"/>
            <w:shd w:val="clear" w:color="auto" w:fill="auto"/>
            <w:noWrap/>
          </w:tcPr>
          <w:p w14:paraId="1D667ADF" w14:textId="77777777" w:rsidR="00AC375F" w:rsidRPr="00AC375F" w:rsidRDefault="008B34CD" w:rsidP="00AC375F">
            <w:pPr>
              <w:rPr>
                <w:b/>
                <w:bCs/>
                <w:sz w:val="18"/>
                <w:szCs w:val="18"/>
              </w:rPr>
            </w:pPr>
            <w:hyperlink r:id="rId42" w:history="1">
              <w:r w:rsidR="00AC375F" w:rsidRPr="00AC375F">
                <w:rPr>
                  <w:b/>
                  <w:sz w:val="18"/>
                  <w:szCs w:val="18"/>
                  <w:lang w:val="en-GB"/>
                </w:rPr>
                <w:t>HMA/EMA Task Force on Availability of Authorised Medicines</w:t>
              </w:r>
            </w:hyperlink>
            <w:r w:rsidR="00AC375F" w:rsidRPr="00AC375F">
              <w:rPr>
                <w:rFonts w:cstheme="minorHAnsi"/>
                <w:b/>
                <w:sz w:val="18"/>
                <w:szCs w:val="18"/>
                <w:lang w:val="en-GB"/>
              </w:rPr>
              <w:t xml:space="preserve"> (</w:t>
            </w:r>
            <w:r w:rsidR="00AC375F" w:rsidRPr="00AC375F">
              <w:rPr>
                <w:b/>
                <w:sz w:val="18"/>
                <w:szCs w:val="18"/>
              </w:rPr>
              <w:t>EU list of critical medicinal products -drafting group)-</w:t>
            </w:r>
          </w:p>
        </w:tc>
        <w:tc>
          <w:tcPr>
            <w:tcW w:w="1559" w:type="dxa"/>
            <w:shd w:val="clear" w:color="auto" w:fill="auto"/>
            <w:noWrap/>
          </w:tcPr>
          <w:p w14:paraId="7F848D1B" w14:textId="77777777" w:rsidR="00AC375F" w:rsidRPr="00AC375F" w:rsidRDefault="00AC375F" w:rsidP="00AC375F">
            <w:pPr>
              <w:jc w:val="center"/>
              <w:rPr>
                <w:sz w:val="18"/>
                <w:szCs w:val="18"/>
              </w:rPr>
            </w:pPr>
          </w:p>
          <w:p w14:paraId="1B264BAF" w14:textId="77777777" w:rsidR="00AC375F" w:rsidRPr="00AC375F" w:rsidRDefault="00AC375F" w:rsidP="00AC375F">
            <w:pPr>
              <w:jc w:val="center"/>
              <w:rPr>
                <w:sz w:val="18"/>
                <w:szCs w:val="18"/>
              </w:rPr>
            </w:pPr>
            <w:r w:rsidRPr="00AC375F">
              <w:rPr>
                <w:sz w:val="18"/>
                <w:szCs w:val="18"/>
              </w:rPr>
              <w:t>virtualno</w:t>
            </w:r>
          </w:p>
          <w:p w14:paraId="27322A41" w14:textId="77777777" w:rsidR="00AC375F" w:rsidRPr="00AC375F" w:rsidRDefault="00AC375F" w:rsidP="00AC375F">
            <w:pPr>
              <w:rPr>
                <w:sz w:val="18"/>
                <w:szCs w:val="18"/>
              </w:rPr>
            </w:pPr>
            <w:r w:rsidRPr="00AC375F">
              <w:rPr>
                <w:sz w:val="18"/>
                <w:szCs w:val="18"/>
              </w:rPr>
              <w:t xml:space="preserve">       </w:t>
            </w:r>
          </w:p>
          <w:p w14:paraId="4A8BC37F" w14:textId="77777777" w:rsidR="00AC375F" w:rsidRPr="00AC375F" w:rsidRDefault="00AC375F" w:rsidP="00AC375F">
            <w:pPr>
              <w:rPr>
                <w:sz w:val="18"/>
                <w:szCs w:val="18"/>
              </w:rPr>
            </w:pPr>
            <w:r w:rsidRPr="00AC375F">
              <w:rPr>
                <w:sz w:val="18"/>
                <w:szCs w:val="18"/>
              </w:rPr>
              <w:t xml:space="preserve">       </w:t>
            </w:r>
          </w:p>
          <w:p w14:paraId="6ED7CEB4" w14:textId="77777777" w:rsidR="00AC375F" w:rsidRPr="00AC375F" w:rsidRDefault="00AC375F" w:rsidP="00AC375F">
            <w:pPr>
              <w:jc w:val="center"/>
              <w:rPr>
                <w:sz w:val="18"/>
                <w:szCs w:val="18"/>
              </w:rPr>
            </w:pPr>
          </w:p>
        </w:tc>
        <w:tc>
          <w:tcPr>
            <w:tcW w:w="940" w:type="dxa"/>
            <w:shd w:val="clear" w:color="auto" w:fill="auto"/>
            <w:noWrap/>
          </w:tcPr>
          <w:p w14:paraId="6821BAFC" w14:textId="77777777" w:rsidR="00AC375F" w:rsidRPr="00AC375F" w:rsidRDefault="00AC375F" w:rsidP="00AC375F">
            <w:pPr>
              <w:jc w:val="center"/>
              <w:rPr>
                <w:sz w:val="18"/>
                <w:szCs w:val="18"/>
              </w:rPr>
            </w:pPr>
          </w:p>
          <w:p w14:paraId="710F4F74" w14:textId="77777777" w:rsidR="00AC375F" w:rsidRPr="00AC375F" w:rsidRDefault="00AC375F" w:rsidP="00AC375F">
            <w:pPr>
              <w:jc w:val="center"/>
              <w:rPr>
                <w:sz w:val="18"/>
                <w:szCs w:val="18"/>
              </w:rPr>
            </w:pPr>
            <w:r w:rsidRPr="00AC375F">
              <w:rPr>
                <w:sz w:val="18"/>
                <w:szCs w:val="18"/>
              </w:rPr>
              <w:t>2</w:t>
            </w:r>
          </w:p>
          <w:p w14:paraId="73680348" w14:textId="77777777" w:rsidR="00AC375F" w:rsidRPr="00AC375F" w:rsidRDefault="00AC375F" w:rsidP="00AC375F">
            <w:pPr>
              <w:jc w:val="center"/>
              <w:rPr>
                <w:sz w:val="18"/>
                <w:szCs w:val="18"/>
              </w:rPr>
            </w:pPr>
          </w:p>
        </w:tc>
        <w:tc>
          <w:tcPr>
            <w:tcW w:w="1328" w:type="dxa"/>
            <w:shd w:val="clear" w:color="auto" w:fill="auto"/>
            <w:noWrap/>
          </w:tcPr>
          <w:p w14:paraId="7852E1F4" w14:textId="77777777" w:rsidR="00AC375F" w:rsidRPr="00AC375F" w:rsidRDefault="00AC375F" w:rsidP="00AC375F">
            <w:pPr>
              <w:jc w:val="center"/>
              <w:rPr>
                <w:sz w:val="18"/>
                <w:szCs w:val="18"/>
              </w:rPr>
            </w:pPr>
          </w:p>
          <w:p w14:paraId="1EB35723" w14:textId="77777777" w:rsidR="00AC375F" w:rsidRPr="00AC375F" w:rsidRDefault="00AC375F" w:rsidP="00AC375F">
            <w:pPr>
              <w:jc w:val="center"/>
              <w:rPr>
                <w:sz w:val="18"/>
                <w:szCs w:val="18"/>
              </w:rPr>
            </w:pPr>
            <w:r w:rsidRPr="00AC375F">
              <w:rPr>
                <w:sz w:val="18"/>
                <w:szCs w:val="18"/>
              </w:rPr>
              <w:t>svibanj</w:t>
            </w:r>
          </w:p>
          <w:p w14:paraId="6122992D" w14:textId="77777777" w:rsidR="00AC375F" w:rsidRPr="00AC375F" w:rsidRDefault="00AC375F" w:rsidP="00AC375F">
            <w:pPr>
              <w:rPr>
                <w:sz w:val="18"/>
                <w:szCs w:val="18"/>
              </w:rPr>
            </w:pPr>
          </w:p>
        </w:tc>
        <w:tc>
          <w:tcPr>
            <w:tcW w:w="1276" w:type="dxa"/>
            <w:shd w:val="clear" w:color="auto" w:fill="auto"/>
            <w:noWrap/>
            <w:vAlign w:val="center"/>
          </w:tcPr>
          <w:p w14:paraId="075B4DC9" w14:textId="77777777" w:rsidR="00AC375F" w:rsidRPr="00AC375F" w:rsidRDefault="00AC375F" w:rsidP="00AC375F">
            <w:pPr>
              <w:jc w:val="center"/>
              <w:rPr>
                <w:sz w:val="18"/>
                <w:szCs w:val="18"/>
              </w:rPr>
            </w:pPr>
          </w:p>
          <w:p w14:paraId="54C3C3DA" w14:textId="77777777" w:rsidR="00AC375F" w:rsidRPr="00AC375F" w:rsidRDefault="00AC375F" w:rsidP="00AC375F">
            <w:pPr>
              <w:jc w:val="center"/>
              <w:rPr>
                <w:sz w:val="18"/>
                <w:szCs w:val="18"/>
              </w:rPr>
            </w:pPr>
            <w:r w:rsidRPr="00AC375F">
              <w:rPr>
                <w:sz w:val="18"/>
                <w:szCs w:val="18"/>
              </w:rPr>
              <w:t>1</w:t>
            </w:r>
          </w:p>
          <w:p w14:paraId="753D65FF" w14:textId="77777777" w:rsidR="00AC375F" w:rsidRPr="00AC375F" w:rsidRDefault="00AC375F" w:rsidP="00AC375F">
            <w:pPr>
              <w:jc w:val="center"/>
              <w:rPr>
                <w:sz w:val="18"/>
                <w:szCs w:val="18"/>
              </w:rPr>
            </w:pPr>
            <w:r w:rsidRPr="00AC375F">
              <w:rPr>
                <w:sz w:val="18"/>
                <w:szCs w:val="18"/>
              </w:rPr>
              <w:t>1</w:t>
            </w:r>
          </w:p>
          <w:p w14:paraId="4F7EE5BE" w14:textId="77777777" w:rsidR="00AC375F" w:rsidRPr="00AC375F" w:rsidRDefault="00AC375F" w:rsidP="00AC375F">
            <w:pPr>
              <w:jc w:val="center"/>
              <w:rPr>
                <w:sz w:val="18"/>
                <w:szCs w:val="18"/>
              </w:rPr>
            </w:pPr>
          </w:p>
        </w:tc>
      </w:tr>
      <w:tr w:rsidR="00AC375F" w:rsidRPr="00AC375F" w14:paraId="250668D3" w14:textId="77777777" w:rsidTr="001B7BE6">
        <w:trPr>
          <w:trHeight w:val="238"/>
        </w:trPr>
        <w:tc>
          <w:tcPr>
            <w:tcW w:w="4424" w:type="dxa"/>
            <w:shd w:val="clear" w:color="auto" w:fill="auto"/>
            <w:noWrap/>
          </w:tcPr>
          <w:p w14:paraId="0E5A9A9E" w14:textId="77777777" w:rsidR="00AC375F" w:rsidRPr="00AC375F" w:rsidRDefault="00AC375F" w:rsidP="00AC375F"/>
        </w:tc>
        <w:tc>
          <w:tcPr>
            <w:tcW w:w="1559" w:type="dxa"/>
            <w:shd w:val="clear" w:color="auto" w:fill="auto"/>
            <w:noWrap/>
          </w:tcPr>
          <w:p w14:paraId="44EA5F03" w14:textId="77777777" w:rsidR="00AC375F" w:rsidRPr="00AC375F" w:rsidRDefault="00AC375F" w:rsidP="00AC375F">
            <w:pPr>
              <w:rPr>
                <w:sz w:val="18"/>
                <w:szCs w:val="18"/>
              </w:rPr>
            </w:pPr>
            <w:r w:rsidRPr="00AC375F">
              <w:rPr>
                <w:sz w:val="18"/>
                <w:szCs w:val="18"/>
              </w:rPr>
              <w:t xml:space="preserve">        virtualno</w:t>
            </w:r>
          </w:p>
          <w:p w14:paraId="6E4BD818" w14:textId="77777777" w:rsidR="00AC375F" w:rsidRPr="00AC375F" w:rsidRDefault="00AC375F" w:rsidP="00AC375F">
            <w:pPr>
              <w:jc w:val="center"/>
              <w:rPr>
                <w:sz w:val="18"/>
                <w:szCs w:val="18"/>
              </w:rPr>
            </w:pPr>
          </w:p>
        </w:tc>
        <w:tc>
          <w:tcPr>
            <w:tcW w:w="940" w:type="dxa"/>
            <w:shd w:val="clear" w:color="auto" w:fill="auto"/>
            <w:noWrap/>
          </w:tcPr>
          <w:p w14:paraId="6EAE0109" w14:textId="77777777" w:rsidR="00AC375F" w:rsidRPr="00AC375F" w:rsidRDefault="00AC375F" w:rsidP="00AC375F">
            <w:pPr>
              <w:jc w:val="center"/>
              <w:rPr>
                <w:sz w:val="18"/>
                <w:szCs w:val="18"/>
              </w:rPr>
            </w:pPr>
            <w:r w:rsidRPr="00AC375F">
              <w:rPr>
                <w:sz w:val="18"/>
                <w:szCs w:val="18"/>
              </w:rPr>
              <w:t>2</w:t>
            </w:r>
          </w:p>
          <w:p w14:paraId="246A9AE6" w14:textId="77777777" w:rsidR="00AC375F" w:rsidRPr="00AC375F" w:rsidRDefault="00AC375F" w:rsidP="00AC375F">
            <w:pPr>
              <w:jc w:val="center"/>
              <w:rPr>
                <w:sz w:val="18"/>
                <w:szCs w:val="18"/>
              </w:rPr>
            </w:pPr>
          </w:p>
        </w:tc>
        <w:tc>
          <w:tcPr>
            <w:tcW w:w="1328" w:type="dxa"/>
            <w:shd w:val="clear" w:color="auto" w:fill="auto"/>
            <w:noWrap/>
          </w:tcPr>
          <w:p w14:paraId="28C5414C" w14:textId="77777777" w:rsidR="00AC375F" w:rsidRPr="00AC375F" w:rsidRDefault="00AC375F" w:rsidP="00AC375F">
            <w:pPr>
              <w:jc w:val="center"/>
              <w:rPr>
                <w:sz w:val="18"/>
                <w:szCs w:val="18"/>
              </w:rPr>
            </w:pPr>
            <w:r w:rsidRPr="00AC375F">
              <w:rPr>
                <w:sz w:val="18"/>
                <w:szCs w:val="18"/>
              </w:rPr>
              <w:t>svibanj</w:t>
            </w:r>
          </w:p>
          <w:p w14:paraId="3266CEFC" w14:textId="77777777" w:rsidR="00AC375F" w:rsidRPr="00AC375F" w:rsidRDefault="00AC375F" w:rsidP="00AC375F">
            <w:pPr>
              <w:jc w:val="center"/>
              <w:rPr>
                <w:sz w:val="18"/>
                <w:szCs w:val="18"/>
              </w:rPr>
            </w:pPr>
          </w:p>
        </w:tc>
        <w:tc>
          <w:tcPr>
            <w:tcW w:w="1276" w:type="dxa"/>
            <w:shd w:val="clear" w:color="auto" w:fill="auto"/>
            <w:noWrap/>
            <w:vAlign w:val="center"/>
          </w:tcPr>
          <w:p w14:paraId="2D1F733D" w14:textId="77777777" w:rsidR="00AC375F" w:rsidRPr="00AC375F" w:rsidRDefault="00AC375F" w:rsidP="00AC375F">
            <w:pPr>
              <w:jc w:val="center"/>
              <w:rPr>
                <w:sz w:val="18"/>
                <w:szCs w:val="18"/>
              </w:rPr>
            </w:pPr>
            <w:r w:rsidRPr="00AC375F">
              <w:rPr>
                <w:sz w:val="18"/>
                <w:szCs w:val="18"/>
              </w:rPr>
              <w:t>1</w:t>
            </w:r>
          </w:p>
          <w:p w14:paraId="2A94AEE6" w14:textId="77777777" w:rsidR="00AC375F" w:rsidRPr="00AC375F" w:rsidRDefault="00AC375F" w:rsidP="00AC375F">
            <w:pPr>
              <w:jc w:val="center"/>
              <w:rPr>
                <w:sz w:val="18"/>
                <w:szCs w:val="18"/>
              </w:rPr>
            </w:pPr>
          </w:p>
        </w:tc>
      </w:tr>
      <w:tr w:rsidR="00AC375F" w:rsidRPr="00AC375F" w14:paraId="2FF7E284" w14:textId="77777777" w:rsidTr="001B7BE6">
        <w:trPr>
          <w:trHeight w:val="238"/>
        </w:trPr>
        <w:tc>
          <w:tcPr>
            <w:tcW w:w="4424" w:type="dxa"/>
            <w:shd w:val="clear" w:color="auto" w:fill="auto"/>
            <w:noWrap/>
          </w:tcPr>
          <w:p w14:paraId="01F03422" w14:textId="77777777" w:rsidR="00AC375F" w:rsidRPr="00AC375F" w:rsidRDefault="00AC375F" w:rsidP="00AC375F"/>
        </w:tc>
        <w:tc>
          <w:tcPr>
            <w:tcW w:w="1559" w:type="dxa"/>
            <w:shd w:val="clear" w:color="auto" w:fill="auto"/>
            <w:noWrap/>
          </w:tcPr>
          <w:p w14:paraId="770CA8C8" w14:textId="77777777" w:rsidR="00AC375F" w:rsidRPr="00AC375F" w:rsidRDefault="00AC375F" w:rsidP="00AC375F">
            <w:pPr>
              <w:rPr>
                <w:sz w:val="18"/>
                <w:szCs w:val="18"/>
              </w:rPr>
            </w:pPr>
            <w:r w:rsidRPr="00AC375F">
              <w:rPr>
                <w:sz w:val="18"/>
                <w:szCs w:val="18"/>
              </w:rPr>
              <w:t xml:space="preserve">        virtualno</w:t>
            </w:r>
          </w:p>
          <w:p w14:paraId="3BB3F5D9" w14:textId="77777777" w:rsidR="00AC375F" w:rsidRPr="00AC375F" w:rsidRDefault="00AC375F" w:rsidP="00AC375F">
            <w:pPr>
              <w:jc w:val="center"/>
              <w:rPr>
                <w:sz w:val="18"/>
                <w:szCs w:val="18"/>
              </w:rPr>
            </w:pPr>
          </w:p>
        </w:tc>
        <w:tc>
          <w:tcPr>
            <w:tcW w:w="940" w:type="dxa"/>
            <w:shd w:val="clear" w:color="auto" w:fill="auto"/>
            <w:noWrap/>
          </w:tcPr>
          <w:p w14:paraId="01EB53B0" w14:textId="77777777" w:rsidR="00AC375F" w:rsidRPr="00AC375F" w:rsidRDefault="00AC375F" w:rsidP="00AC375F">
            <w:pPr>
              <w:jc w:val="center"/>
              <w:rPr>
                <w:sz w:val="18"/>
                <w:szCs w:val="18"/>
              </w:rPr>
            </w:pPr>
            <w:r w:rsidRPr="00AC375F">
              <w:rPr>
                <w:sz w:val="18"/>
                <w:szCs w:val="18"/>
              </w:rPr>
              <w:t>2</w:t>
            </w:r>
          </w:p>
          <w:p w14:paraId="3BF62FD9" w14:textId="77777777" w:rsidR="00AC375F" w:rsidRPr="00AC375F" w:rsidRDefault="00AC375F" w:rsidP="00AC375F">
            <w:pPr>
              <w:jc w:val="center"/>
              <w:rPr>
                <w:sz w:val="18"/>
                <w:szCs w:val="18"/>
              </w:rPr>
            </w:pPr>
          </w:p>
        </w:tc>
        <w:tc>
          <w:tcPr>
            <w:tcW w:w="1328" w:type="dxa"/>
            <w:shd w:val="clear" w:color="auto" w:fill="auto"/>
            <w:noWrap/>
          </w:tcPr>
          <w:p w14:paraId="6E96786A" w14:textId="77777777" w:rsidR="00AC375F" w:rsidRPr="00AC375F" w:rsidRDefault="00AC375F" w:rsidP="00AC375F">
            <w:pPr>
              <w:jc w:val="center"/>
              <w:rPr>
                <w:sz w:val="18"/>
                <w:szCs w:val="18"/>
              </w:rPr>
            </w:pPr>
            <w:r w:rsidRPr="00AC375F">
              <w:rPr>
                <w:sz w:val="18"/>
                <w:szCs w:val="18"/>
              </w:rPr>
              <w:t>lipanj</w:t>
            </w:r>
          </w:p>
          <w:p w14:paraId="1D967086" w14:textId="77777777" w:rsidR="00AC375F" w:rsidRPr="00AC375F" w:rsidRDefault="00AC375F" w:rsidP="00AC375F">
            <w:pPr>
              <w:jc w:val="center"/>
              <w:rPr>
                <w:sz w:val="18"/>
                <w:szCs w:val="18"/>
              </w:rPr>
            </w:pPr>
          </w:p>
        </w:tc>
        <w:tc>
          <w:tcPr>
            <w:tcW w:w="1276" w:type="dxa"/>
            <w:shd w:val="clear" w:color="auto" w:fill="auto"/>
            <w:noWrap/>
            <w:vAlign w:val="center"/>
          </w:tcPr>
          <w:p w14:paraId="2F677B74" w14:textId="77777777" w:rsidR="00AC375F" w:rsidRPr="00AC375F" w:rsidRDefault="00AC375F" w:rsidP="00AC375F">
            <w:pPr>
              <w:jc w:val="center"/>
              <w:rPr>
                <w:sz w:val="18"/>
                <w:szCs w:val="18"/>
              </w:rPr>
            </w:pPr>
            <w:r w:rsidRPr="00AC375F">
              <w:rPr>
                <w:sz w:val="18"/>
                <w:szCs w:val="18"/>
              </w:rPr>
              <w:t>1</w:t>
            </w:r>
          </w:p>
        </w:tc>
      </w:tr>
      <w:tr w:rsidR="00AC375F" w:rsidRPr="00AC375F" w14:paraId="270BCF86" w14:textId="77777777" w:rsidTr="001B7BE6">
        <w:trPr>
          <w:trHeight w:val="238"/>
        </w:trPr>
        <w:tc>
          <w:tcPr>
            <w:tcW w:w="4424" w:type="dxa"/>
            <w:shd w:val="clear" w:color="auto" w:fill="auto"/>
            <w:noWrap/>
          </w:tcPr>
          <w:p w14:paraId="53B99F78" w14:textId="77777777" w:rsidR="00AC375F" w:rsidRPr="00AC375F" w:rsidRDefault="00AC375F" w:rsidP="00AC375F"/>
        </w:tc>
        <w:tc>
          <w:tcPr>
            <w:tcW w:w="1559" w:type="dxa"/>
            <w:shd w:val="clear" w:color="auto" w:fill="auto"/>
            <w:noWrap/>
          </w:tcPr>
          <w:p w14:paraId="13279D4E" w14:textId="77777777" w:rsidR="00AC375F" w:rsidRPr="00AC375F" w:rsidRDefault="00AC375F" w:rsidP="00AC375F">
            <w:pPr>
              <w:jc w:val="center"/>
              <w:rPr>
                <w:sz w:val="18"/>
                <w:szCs w:val="18"/>
              </w:rPr>
            </w:pPr>
            <w:r w:rsidRPr="00AC375F">
              <w:rPr>
                <w:sz w:val="18"/>
                <w:szCs w:val="18"/>
              </w:rPr>
              <w:t>virtualno</w:t>
            </w:r>
          </w:p>
        </w:tc>
        <w:tc>
          <w:tcPr>
            <w:tcW w:w="940" w:type="dxa"/>
            <w:shd w:val="clear" w:color="auto" w:fill="auto"/>
            <w:noWrap/>
          </w:tcPr>
          <w:p w14:paraId="71CA8396" w14:textId="77777777" w:rsidR="00AC375F" w:rsidRPr="00AC375F" w:rsidRDefault="00AC375F" w:rsidP="00AC375F">
            <w:pPr>
              <w:jc w:val="center"/>
              <w:rPr>
                <w:sz w:val="18"/>
                <w:szCs w:val="18"/>
              </w:rPr>
            </w:pPr>
            <w:r w:rsidRPr="00AC375F">
              <w:rPr>
                <w:sz w:val="18"/>
                <w:szCs w:val="18"/>
              </w:rPr>
              <w:t>2</w:t>
            </w:r>
          </w:p>
          <w:p w14:paraId="012711EC" w14:textId="77777777" w:rsidR="00AC375F" w:rsidRPr="00AC375F" w:rsidRDefault="00AC375F" w:rsidP="00AC375F">
            <w:pPr>
              <w:jc w:val="center"/>
              <w:rPr>
                <w:sz w:val="18"/>
                <w:szCs w:val="18"/>
              </w:rPr>
            </w:pPr>
          </w:p>
        </w:tc>
        <w:tc>
          <w:tcPr>
            <w:tcW w:w="1328" w:type="dxa"/>
            <w:shd w:val="clear" w:color="auto" w:fill="auto"/>
            <w:noWrap/>
          </w:tcPr>
          <w:p w14:paraId="52E74B19" w14:textId="77777777" w:rsidR="00AC375F" w:rsidRPr="00AC375F" w:rsidRDefault="00AC375F" w:rsidP="00AC375F">
            <w:pPr>
              <w:jc w:val="center"/>
              <w:rPr>
                <w:sz w:val="18"/>
                <w:szCs w:val="18"/>
              </w:rPr>
            </w:pPr>
            <w:r w:rsidRPr="00AC375F">
              <w:rPr>
                <w:sz w:val="18"/>
                <w:szCs w:val="18"/>
              </w:rPr>
              <w:t>lipanj</w:t>
            </w:r>
          </w:p>
          <w:p w14:paraId="0E38D90D" w14:textId="77777777" w:rsidR="00AC375F" w:rsidRPr="00AC375F" w:rsidRDefault="00AC375F" w:rsidP="00AC375F">
            <w:pPr>
              <w:jc w:val="center"/>
              <w:rPr>
                <w:sz w:val="18"/>
                <w:szCs w:val="18"/>
              </w:rPr>
            </w:pPr>
          </w:p>
        </w:tc>
        <w:tc>
          <w:tcPr>
            <w:tcW w:w="1276" w:type="dxa"/>
            <w:shd w:val="clear" w:color="auto" w:fill="auto"/>
            <w:noWrap/>
            <w:vAlign w:val="center"/>
          </w:tcPr>
          <w:p w14:paraId="35EB73EE" w14:textId="77777777" w:rsidR="00AC375F" w:rsidRPr="00AC375F" w:rsidRDefault="00AC375F" w:rsidP="00AC375F">
            <w:pPr>
              <w:jc w:val="center"/>
              <w:rPr>
                <w:sz w:val="18"/>
                <w:szCs w:val="18"/>
              </w:rPr>
            </w:pPr>
            <w:r w:rsidRPr="00AC375F">
              <w:rPr>
                <w:sz w:val="18"/>
                <w:szCs w:val="18"/>
              </w:rPr>
              <w:t>1</w:t>
            </w:r>
          </w:p>
          <w:p w14:paraId="24CB51BF" w14:textId="77777777" w:rsidR="00AC375F" w:rsidRPr="00AC375F" w:rsidRDefault="00AC375F" w:rsidP="00AC375F">
            <w:pPr>
              <w:jc w:val="center"/>
              <w:rPr>
                <w:sz w:val="18"/>
                <w:szCs w:val="18"/>
              </w:rPr>
            </w:pPr>
          </w:p>
        </w:tc>
      </w:tr>
      <w:tr w:rsidR="00AC375F" w:rsidRPr="00AC375F" w14:paraId="58772AF2" w14:textId="77777777" w:rsidTr="001B7BE6">
        <w:trPr>
          <w:trHeight w:val="238"/>
        </w:trPr>
        <w:tc>
          <w:tcPr>
            <w:tcW w:w="4424" w:type="dxa"/>
            <w:shd w:val="clear" w:color="auto" w:fill="auto"/>
            <w:noWrap/>
          </w:tcPr>
          <w:p w14:paraId="0B2517EE" w14:textId="77777777" w:rsidR="00AC375F" w:rsidRPr="00AC375F" w:rsidRDefault="00AC375F" w:rsidP="00AC375F"/>
        </w:tc>
        <w:tc>
          <w:tcPr>
            <w:tcW w:w="1559" w:type="dxa"/>
            <w:shd w:val="clear" w:color="auto" w:fill="auto"/>
            <w:noWrap/>
          </w:tcPr>
          <w:p w14:paraId="2913CD8B" w14:textId="77777777" w:rsidR="00AC375F" w:rsidRPr="00AC375F" w:rsidRDefault="00AC375F" w:rsidP="00AC375F">
            <w:pPr>
              <w:rPr>
                <w:sz w:val="18"/>
                <w:szCs w:val="18"/>
              </w:rPr>
            </w:pPr>
            <w:r w:rsidRPr="00AC375F">
              <w:rPr>
                <w:sz w:val="18"/>
                <w:szCs w:val="18"/>
              </w:rPr>
              <w:t xml:space="preserve">        virtualno</w:t>
            </w:r>
          </w:p>
          <w:p w14:paraId="77C11D4B" w14:textId="77777777" w:rsidR="00AC375F" w:rsidRPr="00AC375F" w:rsidRDefault="00AC375F" w:rsidP="00AC375F">
            <w:pPr>
              <w:jc w:val="center"/>
              <w:rPr>
                <w:sz w:val="18"/>
                <w:szCs w:val="18"/>
              </w:rPr>
            </w:pPr>
          </w:p>
        </w:tc>
        <w:tc>
          <w:tcPr>
            <w:tcW w:w="940" w:type="dxa"/>
            <w:shd w:val="clear" w:color="auto" w:fill="auto"/>
            <w:noWrap/>
          </w:tcPr>
          <w:p w14:paraId="468DB13E" w14:textId="77777777" w:rsidR="00AC375F" w:rsidRPr="00AC375F" w:rsidRDefault="00AC375F" w:rsidP="00AC375F">
            <w:pPr>
              <w:jc w:val="center"/>
              <w:rPr>
                <w:sz w:val="18"/>
                <w:szCs w:val="18"/>
              </w:rPr>
            </w:pPr>
            <w:r w:rsidRPr="00AC375F">
              <w:rPr>
                <w:sz w:val="18"/>
                <w:szCs w:val="18"/>
              </w:rPr>
              <w:t>2</w:t>
            </w:r>
          </w:p>
          <w:p w14:paraId="44D5800C" w14:textId="77777777" w:rsidR="00AC375F" w:rsidRPr="00AC375F" w:rsidRDefault="00AC375F" w:rsidP="00AC375F">
            <w:pPr>
              <w:jc w:val="center"/>
              <w:rPr>
                <w:sz w:val="18"/>
                <w:szCs w:val="18"/>
              </w:rPr>
            </w:pPr>
          </w:p>
        </w:tc>
        <w:tc>
          <w:tcPr>
            <w:tcW w:w="1328" w:type="dxa"/>
            <w:shd w:val="clear" w:color="auto" w:fill="auto"/>
            <w:noWrap/>
          </w:tcPr>
          <w:p w14:paraId="4D9E351C" w14:textId="77777777" w:rsidR="00AC375F" w:rsidRPr="00AC375F" w:rsidRDefault="00AC375F" w:rsidP="00AC375F">
            <w:pPr>
              <w:jc w:val="center"/>
              <w:rPr>
                <w:sz w:val="18"/>
                <w:szCs w:val="18"/>
              </w:rPr>
            </w:pPr>
            <w:r w:rsidRPr="00AC375F">
              <w:rPr>
                <w:sz w:val="18"/>
                <w:szCs w:val="18"/>
              </w:rPr>
              <w:t>srpanj</w:t>
            </w:r>
          </w:p>
          <w:p w14:paraId="49684A77" w14:textId="77777777" w:rsidR="00AC375F" w:rsidRPr="00AC375F" w:rsidRDefault="00AC375F" w:rsidP="00AC375F">
            <w:pPr>
              <w:jc w:val="center"/>
              <w:rPr>
                <w:sz w:val="18"/>
                <w:szCs w:val="18"/>
              </w:rPr>
            </w:pPr>
          </w:p>
        </w:tc>
        <w:tc>
          <w:tcPr>
            <w:tcW w:w="1276" w:type="dxa"/>
            <w:shd w:val="clear" w:color="auto" w:fill="auto"/>
            <w:noWrap/>
            <w:vAlign w:val="center"/>
          </w:tcPr>
          <w:p w14:paraId="40FD8229" w14:textId="77777777" w:rsidR="00AC375F" w:rsidRPr="00AC375F" w:rsidRDefault="00AC375F" w:rsidP="00AC375F">
            <w:pPr>
              <w:jc w:val="center"/>
              <w:rPr>
                <w:sz w:val="18"/>
                <w:szCs w:val="18"/>
              </w:rPr>
            </w:pPr>
            <w:r w:rsidRPr="00AC375F">
              <w:rPr>
                <w:sz w:val="18"/>
                <w:szCs w:val="18"/>
              </w:rPr>
              <w:t>1</w:t>
            </w:r>
          </w:p>
        </w:tc>
      </w:tr>
      <w:tr w:rsidR="00AC375F" w:rsidRPr="00AC375F" w14:paraId="32D5B2EE" w14:textId="77777777" w:rsidTr="001B7BE6">
        <w:trPr>
          <w:trHeight w:val="238"/>
        </w:trPr>
        <w:tc>
          <w:tcPr>
            <w:tcW w:w="4424" w:type="dxa"/>
            <w:shd w:val="clear" w:color="auto" w:fill="auto"/>
            <w:noWrap/>
          </w:tcPr>
          <w:p w14:paraId="6EB76DC3" w14:textId="77777777" w:rsidR="00AC375F" w:rsidRPr="00AC375F" w:rsidRDefault="00AC375F" w:rsidP="00AC375F"/>
        </w:tc>
        <w:tc>
          <w:tcPr>
            <w:tcW w:w="1559" w:type="dxa"/>
            <w:shd w:val="clear" w:color="auto" w:fill="auto"/>
            <w:noWrap/>
          </w:tcPr>
          <w:p w14:paraId="0DFAC89B" w14:textId="77777777" w:rsidR="00AC375F" w:rsidRPr="00AC375F" w:rsidRDefault="00AC375F" w:rsidP="00AC375F">
            <w:pPr>
              <w:rPr>
                <w:sz w:val="18"/>
                <w:szCs w:val="18"/>
              </w:rPr>
            </w:pPr>
            <w:r w:rsidRPr="00AC375F">
              <w:rPr>
                <w:sz w:val="18"/>
                <w:szCs w:val="18"/>
              </w:rPr>
              <w:t xml:space="preserve">        virtualno</w:t>
            </w:r>
          </w:p>
          <w:p w14:paraId="68EE9209" w14:textId="77777777" w:rsidR="00AC375F" w:rsidRPr="00AC375F" w:rsidRDefault="00AC375F" w:rsidP="00AC375F">
            <w:pPr>
              <w:jc w:val="center"/>
              <w:rPr>
                <w:sz w:val="18"/>
                <w:szCs w:val="18"/>
              </w:rPr>
            </w:pPr>
          </w:p>
        </w:tc>
        <w:tc>
          <w:tcPr>
            <w:tcW w:w="940" w:type="dxa"/>
            <w:shd w:val="clear" w:color="auto" w:fill="auto"/>
            <w:noWrap/>
          </w:tcPr>
          <w:p w14:paraId="23655829" w14:textId="77777777" w:rsidR="00AC375F" w:rsidRPr="00AC375F" w:rsidRDefault="00AC375F" w:rsidP="00AC375F">
            <w:pPr>
              <w:jc w:val="center"/>
              <w:rPr>
                <w:sz w:val="18"/>
                <w:szCs w:val="18"/>
              </w:rPr>
            </w:pPr>
            <w:r w:rsidRPr="00AC375F">
              <w:rPr>
                <w:sz w:val="18"/>
                <w:szCs w:val="18"/>
              </w:rPr>
              <w:t>2</w:t>
            </w:r>
          </w:p>
          <w:p w14:paraId="01F3DE29" w14:textId="77777777" w:rsidR="00AC375F" w:rsidRPr="00AC375F" w:rsidRDefault="00AC375F" w:rsidP="00AC375F">
            <w:pPr>
              <w:jc w:val="center"/>
              <w:rPr>
                <w:sz w:val="18"/>
                <w:szCs w:val="18"/>
              </w:rPr>
            </w:pPr>
          </w:p>
        </w:tc>
        <w:tc>
          <w:tcPr>
            <w:tcW w:w="1328" w:type="dxa"/>
            <w:shd w:val="clear" w:color="auto" w:fill="auto"/>
            <w:noWrap/>
          </w:tcPr>
          <w:p w14:paraId="039E8664" w14:textId="77777777" w:rsidR="00AC375F" w:rsidRPr="00AC375F" w:rsidRDefault="00AC375F" w:rsidP="00AC375F">
            <w:pPr>
              <w:jc w:val="center"/>
              <w:rPr>
                <w:sz w:val="18"/>
                <w:szCs w:val="18"/>
              </w:rPr>
            </w:pPr>
            <w:r w:rsidRPr="00AC375F">
              <w:rPr>
                <w:sz w:val="18"/>
                <w:szCs w:val="18"/>
              </w:rPr>
              <w:t>rujan</w:t>
            </w:r>
          </w:p>
          <w:p w14:paraId="73966658" w14:textId="77777777" w:rsidR="00AC375F" w:rsidRPr="00AC375F" w:rsidRDefault="00AC375F" w:rsidP="00AC375F">
            <w:pPr>
              <w:jc w:val="center"/>
              <w:rPr>
                <w:sz w:val="18"/>
                <w:szCs w:val="18"/>
              </w:rPr>
            </w:pPr>
          </w:p>
        </w:tc>
        <w:tc>
          <w:tcPr>
            <w:tcW w:w="1276" w:type="dxa"/>
            <w:shd w:val="clear" w:color="auto" w:fill="auto"/>
            <w:noWrap/>
            <w:vAlign w:val="center"/>
          </w:tcPr>
          <w:p w14:paraId="6BE141C2" w14:textId="77777777" w:rsidR="00AC375F" w:rsidRPr="00AC375F" w:rsidRDefault="00AC375F" w:rsidP="00AC375F">
            <w:pPr>
              <w:jc w:val="center"/>
              <w:rPr>
                <w:sz w:val="18"/>
                <w:szCs w:val="18"/>
              </w:rPr>
            </w:pPr>
            <w:r w:rsidRPr="00AC375F">
              <w:rPr>
                <w:sz w:val="18"/>
                <w:szCs w:val="18"/>
              </w:rPr>
              <w:t>1</w:t>
            </w:r>
          </w:p>
          <w:p w14:paraId="3BA48D83" w14:textId="77777777" w:rsidR="00AC375F" w:rsidRPr="00AC375F" w:rsidRDefault="00AC375F" w:rsidP="00AC375F">
            <w:pPr>
              <w:jc w:val="center"/>
              <w:rPr>
                <w:sz w:val="18"/>
                <w:szCs w:val="18"/>
              </w:rPr>
            </w:pPr>
          </w:p>
        </w:tc>
      </w:tr>
      <w:tr w:rsidR="00AC375F" w:rsidRPr="00AC375F" w14:paraId="43DEA1B4" w14:textId="77777777" w:rsidTr="001B7BE6">
        <w:trPr>
          <w:trHeight w:val="238"/>
        </w:trPr>
        <w:tc>
          <w:tcPr>
            <w:tcW w:w="4424" w:type="dxa"/>
            <w:shd w:val="clear" w:color="auto" w:fill="auto"/>
            <w:noWrap/>
          </w:tcPr>
          <w:p w14:paraId="4B3E3438" w14:textId="77777777" w:rsidR="00AC375F" w:rsidRPr="00AC375F" w:rsidRDefault="00AC375F" w:rsidP="00AC375F"/>
        </w:tc>
        <w:tc>
          <w:tcPr>
            <w:tcW w:w="1559" w:type="dxa"/>
            <w:shd w:val="clear" w:color="auto" w:fill="auto"/>
            <w:noWrap/>
          </w:tcPr>
          <w:p w14:paraId="2C66276E" w14:textId="77777777" w:rsidR="00AC375F" w:rsidRPr="00AC375F" w:rsidRDefault="00AC375F" w:rsidP="00AC375F">
            <w:pPr>
              <w:rPr>
                <w:sz w:val="18"/>
                <w:szCs w:val="18"/>
              </w:rPr>
            </w:pPr>
            <w:r w:rsidRPr="00AC375F">
              <w:rPr>
                <w:sz w:val="18"/>
                <w:szCs w:val="18"/>
              </w:rPr>
              <w:t xml:space="preserve">        virtualno</w:t>
            </w:r>
          </w:p>
          <w:p w14:paraId="66036DB1" w14:textId="77777777" w:rsidR="00AC375F" w:rsidRPr="00AC375F" w:rsidRDefault="00AC375F" w:rsidP="00AC375F">
            <w:pPr>
              <w:jc w:val="center"/>
              <w:rPr>
                <w:sz w:val="18"/>
                <w:szCs w:val="18"/>
              </w:rPr>
            </w:pPr>
          </w:p>
        </w:tc>
        <w:tc>
          <w:tcPr>
            <w:tcW w:w="940" w:type="dxa"/>
            <w:shd w:val="clear" w:color="auto" w:fill="auto"/>
            <w:noWrap/>
          </w:tcPr>
          <w:p w14:paraId="2C940B20" w14:textId="77777777" w:rsidR="00AC375F" w:rsidRPr="00AC375F" w:rsidRDefault="00AC375F" w:rsidP="00AC375F">
            <w:pPr>
              <w:jc w:val="center"/>
              <w:rPr>
                <w:sz w:val="18"/>
                <w:szCs w:val="18"/>
              </w:rPr>
            </w:pPr>
            <w:r w:rsidRPr="00AC375F">
              <w:rPr>
                <w:sz w:val="18"/>
                <w:szCs w:val="18"/>
              </w:rPr>
              <w:t>2</w:t>
            </w:r>
          </w:p>
          <w:p w14:paraId="467B8CB6" w14:textId="77777777" w:rsidR="00AC375F" w:rsidRPr="00AC375F" w:rsidRDefault="00AC375F" w:rsidP="00AC375F">
            <w:pPr>
              <w:jc w:val="center"/>
              <w:rPr>
                <w:sz w:val="18"/>
                <w:szCs w:val="18"/>
              </w:rPr>
            </w:pPr>
          </w:p>
        </w:tc>
        <w:tc>
          <w:tcPr>
            <w:tcW w:w="1328" w:type="dxa"/>
            <w:shd w:val="clear" w:color="auto" w:fill="auto"/>
            <w:noWrap/>
          </w:tcPr>
          <w:p w14:paraId="0CD203E7" w14:textId="77777777" w:rsidR="00AC375F" w:rsidRPr="00AC375F" w:rsidRDefault="00AC375F" w:rsidP="00AC375F">
            <w:pPr>
              <w:jc w:val="center"/>
              <w:rPr>
                <w:sz w:val="18"/>
                <w:szCs w:val="18"/>
              </w:rPr>
            </w:pPr>
            <w:r w:rsidRPr="00AC375F">
              <w:rPr>
                <w:sz w:val="18"/>
                <w:szCs w:val="18"/>
              </w:rPr>
              <w:t>rujan</w:t>
            </w:r>
          </w:p>
          <w:p w14:paraId="6FEC69F7" w14:textId="77777777" w:rsidR="00AC375F" w:rsidRPr="00AC375F" w:rsidRDefault="00AC375F" w:rsidP="00AC375F">
            <w:pPr>
              <w:jc w:val="center"/>
              <w:rPr>
                <w:sz w:val="18"/>
                <w:szCs w:val="18"/>
              </w:rPr>
            </w:pPr>
          </w:p>
        </w:tc>
        <w:tc>
          <w:tcPr>
            <w:tcW w:w="1276" w:type="dxa"/>
            <w:shd w:val="clear" w:color="auto" w:fill="auto"/>
            <w:noWrap/>
            <w:vAlign w:val="center"/>
          </w:tcPr>
          <w:p w14:paraId="5BAA19A5" w14:textId="77777777" w:rsidR="00AC375F" w:rsidRPr="00AC375F" w:rsidRDefault="00AC375F" w:rsidP="00AC375F">
            <w:pPr>
              <w:jc w:val="center"/>
              <w:rPr>
                <w:sz w:val="18"/>
                <w:szCs w:val="18"/>
              </w:rPr>
            </w:pPr>
            <w:r w:rsidRPr="00AC375F">
              <w:rPr>
                <w:sz w:val="18"/>
                <w:szCs w:val="18"/>
              </w:rPr>
              <w:t>1</w:t>
            </w:r>
          </w:p>
          <w:p w14:paraId="27A6C4F5" w14:textId="77777777" w:rsidR="00AC375F" w:rsidRPr="00AC375F" w:rsidRDefault="00AC375F" w:rsidP="00AC375F">
            <w:pPr>
              <w:jc w:val="center"/>
              <w:rPr>
                <w:sz w:val="18"/>
                <w:szCs w:val="18"/>
              </w:rPr>
            </w:pPr>
          </w:p>
        </w:tc>
      </w:tr>
      <w:tr w:rsidR="00AC375F" w:rsidRPr="00AC375F" w14:paraId="0821D117" w14:textId="77777777" w:rsidTr="001B7BE6">
        <w:trPr>
          <w:trHeight w:val="238"/>
        </w:trPr>
        <w:tc>
          <w:tcPr>
            <w:tcW w:w="4424" w:type="dxa"/>
            <w:shd w:val="clear" w:color="auto" w:fill="auto"/>
            <w:noWrap/>
          </w:tcPr>
          <w:p w14:paraId="4EEE40CB" w14:textId="77777777" w:rsidR="00AC375F" w:rsidRPr="00AC375F" w:rsidRDefault="00AC375F" w:rsidP="00AC375F"/>
        </w:tc>
        <w:tc>
          <w:tcPr>
            <w:tcW w:w="1559" w:type="dxa"/>
            <w:shd w:val="clear" w:color="auto" w:fill="auto"/>
            <w:noWrap/>
          </w:tcPr>
          <w:p w14:paraId="253893C0" w14:textId="77777777" w:rsidR="00AC375F" w:rsidRPr="00AC375F" w:rsidRDefault="00AC375F" w:rsidP="00AC375F">
            <w:pPr>
              <w:jc w:val="center"/>
              <w:rPr>
                <w:sz w:val="18"/>
                <w:szCs w:val="18"/>
              </w:rPr>
            </w:pPr>
            <w:r w:rsidRPr="00AC375F">
              <w:rPr>
                <w:sz w:val="18"/>
                <w:szCs w:val="18"/>
              </w:rPr>
              <w:t>virtualno</w:t>
            </w:r>
          </w:p>
        </w:tc>
        <w:tc>
          <w:tcPr>
            <w:tcW w:w="940" w:type="dxa"/>
            <w:shd w:val="clear" w:color="auto" w:fill="auto"/>
            <w:noWrap/>
          </w:tcPr>
          <w:p w14:paraId="0688E4BA" w14:textId="77777777" w:rsidR="00AC375F" w:rsidRPr="00AC375F" w:rsidRDefault="00AC375F" w:rsidP="00AC375F">
            <w:pPr>
              <w:jc w:val="center"/>
              <w:rPr>
                <w:sz w:val="18"/>
                <w:szCs w:val="18"/>
              </w:rPr>
            </w:pPr>
            <w:r w:rsidRPr="00AC375F">
              <w:rPr>
                <w:sz w:val="18"/>
                <w:szCs w:val="18"/>
              </w:rPr>
              <w:t>2</w:t>
            </w:r>
          </w:p>
          <w:p w14:paraId="4CBB5AFB" w14:textId="77777777" w:rsidR="00AC375F" w:rsidRPr="00AC375F" w:rsidRDefault="00AC375F" w:rsidP="00AC375F">
            <w:pPr>
              <w:jc w:val="center"/>
              <w:rPr>
                <w:sz w:val="18"/>
                <w:szCs w:val="18"/>
              </w:rPr>
            </w:pPr>
          </w:p>
        </w:tc>
        <w:tc>
          <w:tcPr>
            <w:tcW w:w="1328" w:type="dxa"/>
            <w:shd w:val="clear" w:color="auto" w:fill="auto"/>
            <w:noWrap/>
          </w:tcPr>
          <w:p w14:paraId="4A9E3DDA" w14:textId="77777777" w:rsidR="00AC375F" w:rsidRPr="00AC375F" w:rsidRDefault="00AC375F" w:rsidP="00AC375F">
            <w:pPr>
              <w:jc w:val="center"/>
              <w:rPr>
                <w:sz w:val="18"/>
                <w:szCs w:val="18"/>
              </w:rPr>
            </w:pPr>
            <w:r w:rsidRPr="00AC375F">
              <w:rPr>
                <w:sz w:val="18"/>
                <w:szCs w:val="18"/>
              </w:rPr>
              <w:t>listopad</w:t>
            </w:r>
          </w:p>
          <w:p w14:paraId="33B7B8E6" w14:textId="77777777" w:rsidR="00AC375F" w:rsidRPr="00AC375F" w:rsidRDefault="00AC375F" w:rsidP="00AC375F">
            <w:pPr>
              <w:jc w:val="center"/>
              <w:rPr>
                <w:sz w:val="18"/>
                <w:szCs w:val="18"/>
              </w:rPr>
            </w:pPr>
          </w:p>
        </w:tc>
        <w:tc>
          <w:tcPr>
            <w:tcW w:w="1276" w:type="dxa"/>
            <w:shd w:val="clear" w:color="auto" w:fill="auto"/>
            <w:noWrap/>
            <w:vAlign w:val="center"/>
          </w:tcPr>
          <w:p w14:paraId="2A3D2E31" w14:textId="77777777" w:rsidR="00AC375F" w:rsidRPr="00AC375F" w:rsidRDefault="00AC375F" w:rsidP="00AC375F">
            <w:pPr>
              <w:jc w:val="center"/>
              <w:rPr>
                <w:sz w:val="18"/>
                <w:szCs w:val="18"/>
              </w:rPr>
            </w:pPr>
            <w:r w:rsidRPr="00AC375F">
              <w:rPr>
                <w:sz w:val="18"/>
                <w:szCs w:val="18"/>
              </w:rPr>
              <w:t>1</w:t>
            </w:r>
          </w:p>
        </w:tc>
      </w:tr>
      <w:tr w:rsidR="00AC375F" w:rsidRPr="00AC375F" w14:paraId="5425F8C5" w14:textId="77777777" w:rsidTr="001B7BE6">
        <w:trPr>
          <w:trHeight w:val="238"/>
        </w:trPr>
        <w:tc>
          <w:tcPr>
            <w:tcW w:w="4424" w:type="dxa"/>
            <w:shd w:val="clear" w:color="auto" w:fill="auto"/>
            <w:noWrap/>
          </w:tcPr>
          <w:p w14:paraId="145F172E" w14:textId="77777777" w:rsidR="00AC375F" w:rsidRPr="00AC375F" w:rsidRDefault="00AC375F" w:rsidP="00AC375F"/>
        </w:tc>
        <w:tc>
          <w:tcPr>
            <w:tcW w:w="1559" w:type="dxa"/>
            <w:shd w:val="clear" w:color="auto" w:fill="auto"/>
            <w:noWrap/>
          </w:tcPr>
          <w:p w14:paraId="1F08FF8D" w14:textId="77777777" w:rsidR="00AC375F" w:rsidRPr="00AC375F" w:rsidRDefault="00AC375F" w:rsidP="00AC375F">
            <w:pPr>
              <w:jc w:val="center"/>
              <w:rPr>
                <w:sz w:val="18"/>
                <w:szCs w:val="18"/>
              </w:rPr>
            </w:pPr>
            <w:r w:rsidRPr="00AC375F">
              <w:rPr>
                <w:sz w:val="18"/>
                <w:szCs w:val="18"/>
              </w:rPr>
              <w:t>virtualno</w:t>
            </w:r>
          </w:p>
        </w:tc>
        <w:tc>
          <w:tcPr>
            <w:tcW w:w="940" w:type="dxa"/>
            <w:shd w:val="clear" w:color="auto" w:fill="auto"/>
            <w:noWrap/>
          </w:tcPr>
          <w:p w14:paraId="374094C5" w14:textId="77777777" w:rsidR="00AC375F" w:rsidRPr="00AC375F" w:rsidRDefault="00AC375F" w:rsidP="00AC375F">
            <w:pPr>
              <w:jc w:val="center"/>
              <w:rPr>
                <w:sz w:val="18"/>
                <w:szCs w:val="18"/>
              </w:rPr>
            </w:pPr>
            <w:r w:rsidRPr="00AC375F">
              <w:rPr>
                <w:sz w:val="18"/>
                <w:szCs w:val="18"/>
              </w:rPr>
              <w:t>2</w:t>
            </w:r>
          </w:p>
        </w:tc>
        <w:tc>
          <w:tcPr>
            <w:tcW w:w="1328" w:type="dxa"/>
            <w:shd w:val="clear" w:color="auto" w:fill="auto"/>
            <w:noWrap/>
          </w:tcPr>
          <w:p w14:paraId="43982D85" w14:textId="77777777" w:rsidR="00AC375F" w:rsidRPr="00AC375F" w:rsidRDefault="00AC375F" w:rsidP="00AC375F">
            <w:pPr>
              <w:jc w:val="center"/>
              <w:rPr>
                <w:sz w:val="18"/>
                <w:szCs w:val="18"/>
              </w:rPr>
            </w:pPr>
            <w:r w:rsidRPr="00AC375F">
              <w:rPr>
                <w:sz w:val="18"/>
                <w:szCs w:val="18"/>
              </w:rPr>
              <w:t>studeni</w:t>
            </w:r>
          </w:p>
        </w:tc>
        <w:tc>
          <w:tcPr>
            <w:tcW w:w="1276" w:type="dxa"/>
            <w:shd w:val="clear" w:color="auto" w:fill="auto"/>
            <w:noWrap/>
            <w:vAlign w:val="center"/>
          </w:tcPr>
          <w:p w14:paraId="40172CFF" w14:textId="77777777" w:rsidR="00AC375F" w:rsidRPr="00AC375F" w:rsidRDefault="00AC375F" w:rsidP="00AC375F">
            <w:pPr>
              <w:jc w:val="center"/>
              <w:rPr>
                <w:sz w:val="18"/>
                <w:szCs w:val="18"/>
              </w:rPr>
            </w:pPr>
            <w:r w:rsidRPr="00AC375F">
              <w:rPr>
                <w:sz w:val="18"/>
                <w:szCs w:val="18"/>
              </w:rPr>
              <w:t>1</w:t>
            </w:r>
          </w:p>
        </w:tc>
      </w:tr>
      <w:tr w:rsidR="00AC375F" w:rsidRPr="00AC375F" w14:paraId="0EBDF78A" w14:textId="77777777" w:rsidTr="001B7BE6">
        <w:trPr>
          <w:trHeight w:val="238"/>
        </w:trPr>
        <w:tc>
          <w:tcPr>
            <w:tcW w:w="4424" w:type="dxa"/>
            <w:shd w:val="clear" w:color="auto" w:fill="auto"/>
            <w:noWrap/>
          </w:tcPr>
          <w:p w14:paraId="4FC57801" w14:textId="77777777" w:rsidR="00AC375F" w:rsidRPr="00AC375F" w:rsidRDefault="00AC375F" w:rsidP="00AC375F"/>
        </w:tc>
        <w:tc>
          <w:tcPr>
            <w:tcW w:w="1559" w:type="dxa"/>
            <w:shd w:val="clear" w:color="auto" w:fill="auto"/>
            <w:noWrap/>
          </w:tcPr>
          <w:p w14:paraId="6599A16B" w14:textId="77777777" w:rsidR="00AC375F" w:rsidRPr="00AC375F" w:rsidRDefault="00AC375F" w:rsidP="00AC375F">
            <w:pPr>
              <w:rPr>
                <w:sz w:val="18"/>
                <w:szCs w:val="18"/>
              </w:rPr>
            </w:pPr>
          </w:p>
        </w:tc>
        <w:tc>
          <w:tcPr>
            <w:tcW w:w="940" w:type="dxa"/>
            <w:shd w:val="clear" w:color="auto" w:fill="auto"/>
            <w:noWrap/>
          </w:tcPr>
          <w:p w14:paraId="51D264A8" w14:textId="77777777" w:rsidR="00AC375F" w:rsidRPr="00AC375F" w:rsidRDefault="00AC375F" w:rsidP="00AC375F">
            <w:pPr>
              <w:jc w:val="center"/>
              <w:rPr>
                <w:sz w:val="18"/>
                <w:szCs w:val="18"/>
              </w:rPr>
            </w:pPr>
          </w:p>
        </w:tc>
        <w:tc>
          <w:tcPr>
            <w:tcW w:w="1328" w:type="dxa"/>
            <w:shd w:val="clear" w:color="auto" w:fill="auto"/>
            <w:noWrap/>
          </w:tcPr>
          <w:p w14:paraId="0F6C5242" w14:textId="77777777" w:rsidR="00AC375F" w:rsidRPr="00AC375F" w:rsidRDefault="00AC375F" w:rsidP="00AC375F">
            <w:pPr>
              <w:rPr>
                <w:sz w:val="18"/>
                <w:szCs w:val="18"/>
              </w:rPr>
            </w:pPr>
          </w:p>
        </w:tc>
        <w:tc>
          <w:tcPr>
            <w:tcW w:w="1276" w:type="dxa"/>
            <w:shd w:val="clear" w:color="auto" w:fill="auto"/>
            <w:noWrap/>
            <w:vAlign w:val="center"/>
          </w:tcPr>
          <w:p w14:paraId="499C5D8E" w14:textId="77777777" w:rsidR="00AC375F" w:rsidRPr="00AC375F" w:rsidRDefault="00AC375F" w:rsidP="00AC375F">
            <w:pPr>
              <w:jc w:val="center"/>
              <w:rPr>
                <w:sz w:val="18"/>
                <w:szCs w:val="18"/>
              </w:rPr>
            </w:pPr>
          </w:p>
        </w:tc>
      </w:tr>
      <w:tr w:rsidR="00AC375F" w:rsidRPr="00AC375F" w14:paraId="34A7D7EC" w14:textId="77777777" w:rsidTr="001B7BE6">
        <w:trPr>
          <w:trHeight w:val="238"/>
        </w:trPr>
        <w:tc>
          <w:tcPr>
            <w:tcW w:w="4424" w:type="dxa"/>
            <w:shd w:val="clear" w:color="auto" w:fill="auto"/>
            <w:noWrap/>
          </w:tcPr>
          <w:p w14:paraId="28CE32A4" w14:textId="77777777" w:rsidR="00AC375F" w:rsidRPr="00AC375F" w:rsidRDefault="00AC375F" w:rsidP="00AC375F">
            <w:pPr>
              <w:rPr>
                <w:b/>
                <w:bCs/>
                <w:sz w:val="18"/>
                <w:szCs w:val="18"/>
              </w:rPr>
            </w:pPr>
            <w:r w:rsidRPr="00AC375F">
              <w:rPr>
                <w:b/>
                <w:bCs/>
                <w:sz w:val="18"/>
                <w:szCs w:val="18"/>
              </w:rPr>
              <w:t>Homeopathic Medicinal Products Working Group (HMPWG)</w:t>
            </w:r>
          </w:p>
        </w:tc>
        <w:tc>
          <w:tcPr>
            <w:tcW w:w="1559" w:type="dxa"/>
            <w:shd w:val="clear" w:color="auto" w:fill="auto"/>
            <w:noWrap/>
          </w:tcPr>
          <w:p w14:paraId="09797853" w14:textId="77777777" w:rsidR="00AC375F" w:rsidRPr="00AC375F" w:rsidRDefault="00AC375F" w:rsidP="00AC375F">
            <w:pPr>
              <w:jc w:val="center"/>
              <w:rPr>
                <w:sz w:val="18"/>
                <w:szCs w:val="18"/>
              </w:rPr>
            </w:pPr>
          </w:p>
        </w:tc>
        <w:tc>
          <w:tcPr>
            <w:tcW w:w="940" w:type="dxa"/>
            <w:shd w:val="clear" w:color="auto" w:fill="auto"/>
            <w:noWrap/>
          </w:tcPr>
          <w:p w14:paraId="1409CB37" w14:textId="77777777" w:rsidR="00AC375F" w:rsidRPr="00AC375F" w:rsidRDefault="00AC375F" w:rsidP="00AC375F">
            <w:pPr>
              <w:jc w:val="center"/>
              <w:rPr>
                <w:sz w:val="18"/>
                <w:szCs w:val="18"/>
              </w:rPr>
            </w:pPr>
          </w:p>
        </w:tc>
        <w:tc>
          <w:tcPr>
            <w:tcW w:w="1328" w:type="dxa"/>
            <w:shd w:val="clear" w:color="auto" w:fill="auto"/>
            <w:noWrap/>
          </w:tcPr>
          <w:p w14:paraId="56C5C642" w14:textId="77777777" w:rsidR="00AC375F" w:rsidRPr="00AC375F" w:rsidRDefault="00AC375F" w:rsidP="00AC375F">
            <w:pPr>
              <w:jc w:val="center"/>
              <w:rPr>
                <w:sz w:val="18"/>
                <w:szCs w:val="18"/>
              </w:rPr>
            </w:pPr>
          </w:p>
        </w:tc>
        <w:tc>
          <w:tcPr>
            <w:tcW w:w="1276" w:type="dxa"/>
            <w:shd w:val="clear" w:color="auto" w:fill="auto"/>
            <w:noWrap/>
            <w:vAlign w:val="center"/>
          </w:tcPr>
          <w:p w14:paraId="7C53C48A" w14:textId="77777777" w:rsidR="00AC375F" w:rsidRPr="00AC375F" w:rsidRDefault="00AC375F" w:rsidP="00AC375F">
            <w:pPr>
              <w:jc w:val="center"/>
              <w:rPr>
                <w:sz w:val="18"/>
                <w:szCs w:val="18"/>
              </w:rPr>
            </w:pPr>
          </w:p>
        </w:tc>
      </w:tr>
      <w:tr w:rsidR="00AC375F" w:rsidRPr="00AC375F" w14:paraId="0287AD2E" w14:textId="77777777" w:rsidTr="001B7BE6">
        <w:trPr>
          <w:trHeight w:val="238"/>
        </w:trPr>
        <w:tc>
          <w:tcPr>
            <w:tcW w:w="4424" w:type="dxa"/>
            <w:shd w:val="clear" w:color="auto" w:fill="auto"/>
            <w:noWrap/>
          </w:tcPr>
          <w:p w14:paraId="261340E4" w14:textId="77777777" w:rsidR="00AC375F" w:rsidRPr="00AC375F" w:rsidRDefault="00AC375F" w:rsidP="00AC375F">
            <w:pPr>
              <w:rPr>
                <w:b/>
                <w:bCs/>
                <w:sz w:val="18"/>
                <w:szCs w:val="18"/>
              </w:rPr>
            </w:pPr>
          </w:p>
        </w:tc>
        <w:tc>
          <w:tcPr>
            <w:tcW w:w="1559" w:type="dxa"/>
            <w:shd w:val="clear" w:color="auto" w:fill="auto"/>
            <w:noWrap/>
          </w:tcPr>
          <w:p w14:paraId="4BAD4198" w14:textId="77777777" w:rsidR="00AC375F" w:rsidRPr="00AC375F" w:rsidRDefault="00AC375F" w:rsidP="00AC375F">
            <w:pPr>
              <w:jc w:val="center"/>
              <w:rPr>
                <w:sz w:val="18"/>
                <w:szCs w:val="18"/>
              </w:rPr>
            </w:pPr>
            <w:r w:rsidRPr="00AC375F">
              <w:rPr>
                <w:sz w:val="18"/>
                <w:szCs w:val="18"/>
              </w:rPr>
              <w:t>vitualno</w:t>
            </w:r>
          </w:p>
        </w:tc>
        <w:tc>
          <w:tcPr>
            <w:tcW w:w="940" w:type="dxa"/>
            <w:shd w:val="clear" w:color="auto" w:fill="auto"/>
            <w:noWrap/>
          </w:tcPr>
          <w:p w14:paraId="50BA4B18" w14:textId="77777777" w:rsidR="00AC375F" w:rsidRPr="00AC375F" w:rsidRDefault="00AC375F" w:rsidP="00AC375F">
            <w:pPr>
              <w:jc w:val="center"/>
              <w:rPr>
                <w:sz w:val="18"/>
                <w:szCs w:val="18"/>
              </w:rPr>
            </w:pPr>
            <w:r w:rsidRPr="00AC375F">
              <w:rPr>
                <w:sz w:val="18"/>
                <w:szCs w:val="18"/>
              </w:rPr>
              <w:t>1</w:t>
            </w:r>
          </w:p>
        </w:tc>
        <w:tc>
          <w:tcPr>
            <w:tcW w:w="1328" w:type="dxa"/>
            <w:shd w:val="clear" w:color="auto" w:fill="auto"/>
            <w:noWrap/>
          </w:tcPr>
          <w:p w14:paraId="15DFC09F" w14:textId="77777777" w:rsidR="00AC375F" w:rsidRPr="00AC375F" w:rsidRDefault="00AC375F" w:rsidP="00AC375F">
            <w:pPr>
              <w:jc w:val="center"/>
              <w:rPr>
                <w:sz w:val="18"/>
                <w:szCs w:val="18"/>
              </w:rPr>
            </w:pPr>
            <w:r w:rsidRPr="00AC375F">
              <w:rPr>
                <w:sz w:val="18"/>
                <w:szCs w:val="18"/>
              </w:rPr>
              <w:t>ožujak</w:t>
            </w:r>
          </w:p>
        </w:tc>
        <w:tc>
          <w:tcPr>
            <w:tcW w:w="1276" w:type="dxa"/>
            <w:shd w:val="clear" w:color="auto" w:fill="auto"/>
            <w:noWrap/>
            <w:vAlign w:val="center"/>
          </w:tcPr>
          <w:p w14:paraId="43ED52A0" w14:textId="77777777" w:rsidR="00AC375F" w:rsidRPr="00AC375F" w:rsidRDefault="00AC375F" w:rsidP="00AC375F">
            <w:pPr>
              <w:jc w:val="center"/>
              <w:rPr>
                <w:sz w:val="18"/>
                <w:szCs w:val="18"/>
              </w:rPr>
            </w:pPr>
            <w:r w:rsidRPr="00AC375F">
              <w:rPr>
                <w:sz w:val="18"/>
                <w:szCs w:val="18"/>
              </w:rPr>
              <w:t>2</w:t>
            </w:r>
          </w:p>
        </w:tc>
      </w:tr>
      <w:tr w:rsidR="00AC375F" w:rsidRPr="00AC375F" w14:paraId="0EB5B2F9" w14:textId="77777777" w:rsidTr="001B7BE6">
        <w:trPr>
          <w:trHeight w:val="238"/>
        </w:trPr>
        <w:tc>
          <w:tcPr>
            <w:tcW w:w="4424" w:type="dxa"/>
            <w:shd w:val="clear" w:color="auto" w:fill="auto"/>
            <w:noWrap/>
          </w:tcPr>
          <w:p w14:paraId="2A0B6427" w14:textId="77777777" w:rsidR="00AC375F" w:rsidRPr="00AC375F" w:rsidRDefault="00AC375F" w:rsidP="00AC375F">
            <w:pPr>
              <w:rPr>
                <w:b/>
                <w:bCs/>
                <w:sz w:val="18"/>
                <w:szCs w:val="18"/>
              </w:rPr>
            </w:pPr>
          </w:p>
        </w:tc>
        <w:tc>
          <w:tcPr>
            <w:tcW w:w="1559" w:type="dxa"/>
            <w:shd w:val="clear" w:color="auto" w:fill="auto"/>
            <w:noWrap/>
          </w:tcPr>
          <w:p w14:paraId="120DE69E" w14:textId="77777777" w:rsidR="00AC375F" w:rsidRPr="00AC375F" w:rsidRDefault="00AC375F" w:rsidP="00AC375F">
            <w:pPr>
              <w:jc w:val="center"/>
              <w:rPr>
                <w:sz w:val="18"/>
                <w:szCs w:val="18"/>
              </w:rPr>
            </w:pPr>
            <w:r w:rsidRPr="00AC375F">
              <w:rPr>
                <w:sz w:val="18"/>
                <w:szCs w:val="18"/>
              </w:rPr>
              <w:t>Beč</w:t>
            </w:r>
          </w:p>
        </w:tc>
        <w:tc>
          <w:tcPr>
            <w:tcW w:w="940" w:type="dxa"/>
            <w:shd w:val="clear" w:color="auto" w:fill="auto"/>
            <w:noWrap/>
          </w:tcPr>
          <w:p w14:paraId="3A54F997" w14:textId="77777777" w:rsidR="00AC375F" w:rsidRPr="00AC375F" w:rsidRDefault="00AC375F" w:rsidP="00AC375F">
            <w:pPr>
              <w:jc w:val="center"/>
              <w:rPr>
                <w:sz w:val="18"/>
                <w:szCs w:val="18"/>
              </w:rPr>
            </w:pPr>
            <w:r w:rsidRPr="00AC375F">
              <w:rPr>
                <w:sz w:val="18"/>
                <w:szCs w:val="18"/>
              </w:rPr>
              <w:t>1</w:t>
            </w:r>
          </w:p>
        </w:tc>
        <w:tc>
          <w:tcPr>
            <w:tcW w:w="1328" w:type="dxa"/>
            <w:shd w:val="clear" w:color="auto" w:fill="auto"/>
            <w:noWrap/>
          </w:tcPr>
          <w:p w14:paraId="68F7E68D" w14:textId="77777777" w:rsidR="00AC375F" w:rsidRPr="00AC375F" w:rsidRDefault="00AC375F" w:rsidP="00AC375F">
            <w:pPr>
              <w:jc w:val="center"/>
              <w:rPr>
                <w:sz w:val="18"/>
                <w:szCs w:val="18"/>
              </w:rPr>
            </w:pPr>
            <w:r w:rsidRPr="00AC375F">
              <w:rPr>
                <w:sz w:val="18"/>
                <w:szCs w:val="18"/>
              </w:rPr>
              <w:t>listopad</w:t>
            </w:r>
          </w:p>
        </w:tc>
        <w:tc>
          <w:tcPr>
            <w:tcW w:w="1276" w:type="dxa"/>
            <w:shd w:val="clear" w:color="auto" w:fill="auto"/>
            <w:noWrap/>
            <w:vAlign w:val="center"/>
          </w:tcPr>
          <w:p w14:paraId="0954A11E" w14:textId="77777777" w:rsidR="00AC375F" w:rsidRPr="00AC375F" w:rsidRDefault="00AC375F" w:rsidP="00AC375F">
            <w:pPr>
              <w:jc w:val="center"/>
              <w:rPr>
                <w:sz w:val="18"/>
                <w:szCs w:val="18"/>
              </w:rPr>
            </w:pPr>
            <w:r w:rsidRPr="00AC375F">
              <w:rPr>
                <w:sz w:val="18"/>
                <w:szCs w:val="18"/>
              </w:rPr>
              <w:t>1</w:t>
            </w:r>
          </w:p>
        </w:tc>
      </w:tr>
      <w:tr w:rsidR="00AC375F" w:rsidRPr="00AC375F" w14:paraId="4CD3C43C" w14:textId="77777777" w:rsidTr="001B7BE6">
        <w:trPr>
          <w:trHeight w:val="238"/>
        </w:trPr>
        <w:tc>
          <w:tcPr>
            <w:tcW w:w="4424" w:type="dxa"/>
            <w:shd w:val="clear" w:color="auto" w:fill="auto"/>
            <w:noWrap/>
          </w:tcPr>
          <w:p w14:paraId="6B9FC156" w14:textId="77777777" w:rsidR="00AC375F" w:rsidRPr="00AC375F" w:rsidRDefault="00AC375F" w:rsidP="00AC375F">
            <w:pPr>
              <w:rPr>
                <w:b/>
                <w:bCs/>
                <w:sz w:val="18"/>
                <w:szCs w:val="18"/>
              </w:rPr>
            </w:pPr>
            <w:r w:rsidRPr="00AC375F">
              <w:rPr>
                <w:b/>
                <w:bCs/>
                <w:sz w:val="18"/>
                <w:szCs w:val="18"/>
              </w:rPr>
              <w:t>Radna skupina komunikacijskih stručnjaka (WGCP)</w:t>
            </w:r>
          </w:p>
        </w:tc>
        <w:tc>
          <w:tcPr>
            <w:tcW w:w="1559" w:type="dxa"/>
            <w:shd w:val="clear" w:color="auto" w:fill="auto"/>
            <w:noWrap/>
          </w:tcPr>
          <w:p w14:paraId="6AC8FA00" w14:textId="77777777" w:rsidR="00AC375F" w:rsidRPr="00AC375F" w:rsidRDefault="00AC375F" w:rsidP="00AC375F">
            <w:pPr>
              <w:jc w:val="center"/>
              <w:rPr>
                <w:sz w:val="18"/>
                <w:szCs w:val="18"/>
              </w:rPr>
            </w:pPr>
            <w:r w:rsidRPr="00AC375F">
              <w:rPr>
                <w:sz w:val="18"/>
                <w:szCs w:val="18"/>
              </w:rPr>
              <w:t>Virtualno, 2 puta mjesečno</w:t>
            </w:r>
          </w:p>
        </w:tc>
        <w:tc>
          <w:tcPr>
            <w:tcW w:w="940" w:type="dxa"/>
            <w:shd w:val="clear" w:color="auto" w:fill="auto"/>
            <w:noWrap/>
          </w:tcPr>
          <w:p w14:paraId="3B2BB249" w14:textId="77777777" w:rsidR="00AC375F" w:rsidRPr="00AC375F" w:rsidRDefault="00AC375F" w:rsidP="00AC375F">
            <w:pPr>
              <w:jc w:val="center"/>
              <w:rPr>
                <w:sz w:val="18"/>
                <w:szCs w:val="18"/>
              </w:rPr>
            </w:pPr>
            <w:r w:rsidRPr="00AC375F">
              <w:rPr>
                <w:sz w:val="18"/>
                <w:szCs w:val="18"/>
              </w:rPr>
              <w:t>2</w:t>
            </w:r>
          </w:p>
        </w:tc>
        <w:tc>
          <w:tcPr>
            <w:tcW w:w="1328" w:type="dxa"/>
            <w:shd w:val="clear" w:color="auto" w:fill="auto"/>
            <w:noWrap/>
          </w:tcPr>
          <w:p w14:paraId="16635DBC" w14:textId="77777777" w:rsidR="00AC375F" w:rsidRPr="00AC375F" w:rsidRDefault="00AC375F" w:rsidP="00AC375F">
            <w:pPr>
              <w:jc w:val="center"/>
              <w:rPr>
                <w:sz w:val="18"/>
                <w:szCs w:val="18"/>
              </w:rPr>
            </w:pPr>
            <w:r w:rsidRPr="00AC375F">
              <w:rPr>
                <w:sz w:val="18"/>
                <w:szCs w:val="18"/>
              </w:rPr>
              <w:t>siječanj</w:t>
            </w:r>
          </w:p>
          <w:p w14:paraId="7D0FA626" w14:textId="77777777" w:rsidR="00AC375F" w:rsidRPr="00AC375F" w:rsidRDefault="00AC375F" w:rsidP="00AC375F">
            <w:pPr>
              <w:jc w:val="center"/>
              <w:rPr>
                <w:sz w:val="18"/>
                <w:szCs w:val="18"/>
              </w:rPr>
            </w:pPr>
          </w:p>
        </w:tc>
        <w:tc>
          <w:tcPr>
            <w:tcW w:w="1276" w:type="dxa"/>
            <w:shd w:val="clear" w:color="auto" w:fill="auto"/>
            <w:noWrap/>
            <w:vAlign w:val="center"/>
          </w:tcPr>
          <w:p w14:paraId="5C65EA20" w14:textId="77777777" w:rsidR="00AC375F" w:rsidRPr="00AC375F" w:rsidRDefault="00AC375F" w:rsidP="00AC375F">
            <w:pPr>
              <w:jc w:val="center"/>
              <w:rPr>
                <w:sz w:val="18"/>
                <w:szCs w:val="18"/>
              </w:rPr>
            </w:pPr>
            <w:r w:rsidRPr="00AC375F">
              <w:rPr>
                <w:sz w:val="18"/>
                <w:szCs w:val="18"/>
              </w:rPr>
              <w:t>1</w:t>
            </w:r>
          </w:p>
        </w:tc>
      </w:tr>
      <w:tr w:rsidR="00AC375F" w:rsidRPr="00AC375F" w14:paraId="1BCE9E62" w14:textId="77777777" w:rsidTr="001B7BE6">
        <w:trPr>
          <w:trHeight w:val="238"/>
        </w:trPr>
        <w:tc>
          <w:tcPr>
            <w:tcW w:w="4424" w:type="dxa"/>
            <w:shd w:val="clear" w:color="auto" w:fill="auto"/>
            <w:noWrap/>
          </w:tcPr>
          <w:p w14:paraId="731C203D" w14:textId="77777777" w:rsidR="00AC375F" w:rsidRPr="00AC375F" w:rsidRDefault="00AC375F" w:rsidP="00AC375F">
            <w:pPr>
              <w:rPr>
                <w:b/>
                <w:bCs/>
                <w:sz w:val="18"/>
                <w:szCs w:val="18"/>
              </w:rPr>
            </w:pPr>
          </w:p>
        </w:tc>
        <w:tc>
          <w:tcPr>
            <w:tcW w:w="1559" w:type="dxa"/>
            <w:shd w:val="clear" w:color="auto" w:fill="auto"/>
            <w:noWrap/>
          </w:tcPr>
          <w:p w14:paraId="190DBA53" w14:textId="77777777" w:rsidR="00AC375F" w:rsidRPr="00AC375F" w:rsidRDefault="00AC375F" w:rsidP="00AC375F">
            <w:pPr>
              <w:jc w:val="center"/>
              <w:rPr>
                <w:sz w:val="18"/>
                <w:szCs w:val="18"/>
              </w:rPr>
            </w:pPr>
            <w:r w:rsidRPr="00AC375F">
              <w:rPr>
                <w:sz w:val="18"/>
                <w:szCs w:val="18"/>
              </w:rPr>
              <w:t>Virtualno, 2 puta mjesečno</w:t>
            </w:r>
          </w:p>
        </w:tc>
        <w:tc>
          <w:tcPr>
            <w:tcW w:w="940" w:type="dxa"/>
            <w:shd w:val="clear" w:color="auto" w:fill="auto"/>
            <w:noWrap/>
          </w:tcPr>
          <w:p w14:paraId="3EB1C6DD" w14:textId="77777777" w:rsidR="00AC375F" w:rsidRPr="00AC375F" w:rsidRDefault="00AC375F" w:rsidP="00AC375F">
            <w:pPr>
              <w:jc w:val="center"/>
              <w:rPr>
                <w:sz w:val="18"/>
                <w:szCs w:val="18"/>
              </w:rPr>
            </w:pPr>
            <w:r w:rsidRPr="00AC375F">
              <w:rPr>
                <w:sz w:val="18"/>
                <w:szCs w:val="18"/>
              </w:rPr>
              <w:t>2</w:t>
            </w:r>
          </w:p>
        </w:tc>
        <w:tc>
          <w:tcPr>
            <w:tcW w:w="1328" w:type="dxa"/>
            <w:shd w:val="clear" w:color="auto" w:fill="auto"/>
            <w:noWrap/>
          </w:tcPr>
          <w:p w14:paraId="4526D56A" w14:textId="77777777" w:rsidR="00AC375F" w:rsidRPr="00AC375F" w:rsidRDefault="00AC375F" w:rsidP="00AC375F">
            <w:pPr>
              <w:jc w:val="center"/>
              <w:rPr>
                <w:sz w:val="18"/>
                <w:szCs w:val="18"/>
              </w:rPr>
            </w:pPr>
            <w:r w:rsidRPr="00AC375F">
              <w:rPr>
                <w:sz w:val="18"/>
                <w:szCs w:val="18"/>
              </w:rPr>
              <w:t>veljača</w:t>
            </w:r>
          </w:p>
        </w:tc>
        <w:tc>
          <w:tcPr>
            <w:tcW w:w="1276" w:type="dxa"/>
            <w:shd w:val="clear" w:color="auto" w:fill="auto"/>
            <w:noWrap/>
            <w:vAlign w:val="center"/>
          </w:tcPr>
          <w:p w14:paraId="7DD62822" w14:textId="77777777" w:rsidR="00AC375F" w:rsidRPr="00AC375F" w:rsidRDefault="00AC375F" w:rsidP="00AC375F">
            <w:pPr>
              <w:jc w:val="center"/>
              <w:rPr>
                <w:sz w:val="18"/>
                <w:szCs w:val="18"/>
              </w:rPr>
            </w:pPr>
            <w:r w:rsidRPr="00AC375F">
              <w:rPr>
                <w:sz w:val="18"/>
                <w:szCs w:val="18"/>
              </w:rPr>
              <w:t>1</w:t>
            </w:r>
          </w:p>
        </w:tc>
      </w:tr>
      <w:tr w:rsidR="00AC375F" w:rsidRPr="00AC375F" w14:paraId="76ACD772" w14:textId="77777777" w:rsidTr="001B7BE6">
        <w:trPr>
          <w:trHeight w:val="238"/>
        </w:trPr>
        <w:tc>
          <w:tcPr>
            <w:tcW w:w="4424" w:type="dxa"/>
            <w:shd w:val="clear" w:color="auto" w:fill="auto"/>
            <w:noWrap/>
          </w:tcPr>
          <w:p w14:paraId="609EDD28" w14:textId="77777777" w:rsidR="00AC375F" w:rsidRPr="00AC375F" w:rsidRDefault="00AC375F" w:rsidP="00AC375F">
            <w:pPr>
              <w:rPr>
                <w:b/>
                <w:bCs/>
                <w:sz w:val="18"/>
                <w:szCs w:val="18"/>
              </w:rPr>
            </w:pPr>
          </w:p>
        </w:tc>
        <w:tc>
          <w:tcPr>
            <w:tcW w:w="1559" w:type="dxa"/>
            <w:shd w:val="clear" w:color="auto" w:fill="auto"/>
            <w:noWrap/>
          </w:tcPr>
          <w:p w14:paraId="49973347" w14:textId="77777777" w:rsidR="00AC375F" w:rsidRPr="00AC375F" w:rsidRDefault="00AC375F" w:rsidP="00AC375F">
            <w:pPr>
              <w:jc w:val="center"/>
              <w:rPr>
                <w:sz w:val="18"/>
                <w:szCs w:val="18"/>
              </w:rPr>
            </w:pPr>
            <w:r w:rsidRPr="00AC375F">
              <w:rPr>
                <w:sz w:val="18"/>
                <w:szCs w:val="18"/>
              </w:rPr>
              <w:t>Virtualno, 2 puta mjesečno</w:t>
            </w:r>
          </w:p>
        </w:tc>
        <w:tc>
          <w:tcPr>
            <w:tcW w:w="940" w:type="dxa"/>
            <w:shd w:val="clear" w:color="auto" w:fill="auto"/>
            <w:noWrap/>
          </w:tcPr>
          <w:p w14:paraId="48970C46" w14:textId="77777777" w:rsidR="00AC375F" w:rsidRPr="00AC375F" w:rsidRDefault="00AC375F" w:rsidP="00AC375F">
            <w:pPr>
              <w:jc w:val="center"/>
              <w:rPr>
                <w:sz w:val="18"/>
                <w:szCs w:val="18"/>
              </w:rPr>
            </w:pPr>
            <w:r w:rsidRPr="00AC375F">
              <w:rPr>
                <w:sz w:val="18"/>
                <w:szCs w:val="18"/>
              </w:rPr>
              <w:t>2</w:t>
            </w:r>
          </w:p>
        </w:tc>
        <w:tc>
          <w:tcPr>
            <w:tcW w:w="1328" w:type="dxa"/>
            <w:shd w:val="clear" w:color="auto" w:fill="auto"/>
            <w:noWrap/>
          </w:tcPr>
          <w:p w14:paraId="65BEBF55" w14:textId="77777777" w:rsidR="00AC375F" w:rsidRPr="00AC375F" w:rsidRDefault="00AC375F" w:rsidP="00AC375F">
            <w:pPr>
              <w:jc w:val="center"/>
              <w:rPr>
                <w:sz w:val="18"/>
                <w:szCs w:val="18"/>
              </w:rPr>
            </w:pPr>
            <w:r w:rsidRPr="00AC375F">
              <w:rPr>
                <w:sz w:val="18"/>
                <w:szCs w:val="18"/>
              </w:rPr>
              <w:t>ožujak</w:t>
            </w:r>
          </w:p>
        </w:tc>
        <w:tc>
          <w:tcPr>
            <w:tcW w:w="1276" w:type="dxa"/>
            <w:shd w:val="clear" w:color="auto" w:fill="auto"/>
            <w:noWrap/>
            <w:vAlign w:val="center"/>
          </w:tcPr>
          <w:p w14:paraId="61BEFAEA" w14:textId="77777777" w:rsidR="00AC375F" w:rsidRPr="00AC375F" w:rsidRDefault="00AC375F" w:rsidP="00AC375F">
            <w:pPr>
              <w:jc w:val="center"/>
              <w:rPr>
                <w:sz w:val="18"/>
                <w:szCs w:val="18"/>
              </w:rPr>
            </w:pPr>
            <w:r w:rsidRPr="00AC375F">
              <w:rPr>
                <w:sz w:val="18"/>
                <w:szCs w:val="18"/>
              </w:rPr>
              <w:t>1</w:t>
            </w:r>
          </w:p>
        </w:tc>
      </w:tr>
      <w:tr w:rsidR="00AC375F" w:rsidRPr="00AC375F" w14:paraId="59462323" w14:textId="77777777" w:rsidTr="001B7BE6">
        <w:trPr>
          <w:trHeight w:val="238"/>
        </w:trPr>
        <w:tc>
          <w:tcPr>
            <w:tcW w:w="4424" w:type="dxa"/>
            <w:shd w:val="clear" w:color="auto" w:fill="auto"/>
            <w:noWrap/>
          </w:tcPr>
          <w:p w14:paraId="5FD21497" w14:textId="77777777" w:rsidR="00AC375F" w:rsidRPr="00AC375F" w:rsidRDefault="00AC375F" w:rsidP="00AC375F">
            <w:pPr>
              <w:rPr>
                <w:b/>
                <w:bCs/>
                <w:sz w:val="18"/>
                <w:szCs w:val="18"/>
              </w:rPr>
            </w:pPr>
          </w:p>
        </w:tc>
        <w:tc>
          <w:tcPr>
            <w:tcW w:w="1559" w:type="dxa"/>
            <w:shd w:val="clear" w:color="auto" w:fill="auto"/>
            <w:noWrap/>
          </w:tcPr>
          <w:p w14:paraId="196CDF84" w14:textId="77777777" w:rsidR="00AC375F" w:rsidRPr="00AC375F" w:rsidRDefault="00AC375F" w:rsidP="00AC375F">
            <w:pPr>
              <w:jc w:val="center"/>
              <w:rPr>
                <w:sz w:val="18"/>
                <w:szCs w:val="18"/>
              </w:rPr>
            </w:pPr>
            <w:r w:rsidRPr="00AC375F">
              <w:rPr>
                <w:sz w:val="18"/>
                <w:szCs w:val="18"/>
              </w:rPr>
              <w:t>Virtualno, 2 puta mjesečno</w:t>
            </w:r>
          </w:p>
        </w:tc>
        <w:tc>
          <w:tcPr>
            <w:tcW w:w="940" w:type="dxa"/>
            <w:shd w:val="clear" w:color="auto" w:fill="auto"/>
            <w:noWrap/>
          </w:tcPr>
          <w:p w14:paraId="00C78BB2" w14:textId="77777777" w:rsidR="00AC375F" w:rsidRPr="00AC375F" w:rsidRDefault="00AC375F" w:rsidP="00AC375F">
            <w:pPr>
              <w:jc w:val="center"/>
              <w:rPr>
                <w:sz w:val="18"/>
                <w:szCs w:val="18"/>
              </w:rPr>
            </w:pPr>
            <w:r w:rsidRPr="00AC375F">
              <w:rPr>
                <w:sz w:val="18"/>
                <w:szCs w:val="18"/>
              </w:rPr>
              <w:t>2</w:t>
            </w:r>
          </w:p>
        </w:tc>
        <w:tc>
          <w:tcPr>
            <w:tcW w:w="1328" w:type="dxa"/>
            <w:shd w:val="clear" w:color="auto" w:fill="auto"/>
            <w:noWrap/>
          </w:tcPr>
          <w:p w14:paraId="0246DCBF" w14:textId="77777777" w:rsidR="00AC375F" w:rsidRPr="00AC375F" w:rsidRDefault="00AC375F" w:rsidP="00AC375F">
            <w:pPr>
              <w:jc w:val="center"/>
              <w:rPr>
                <w:sz w:val="18"/>
                <w:szCs w:val="18"/>
              </w:rPr>
            </w:pPr>
            <w:r w:rsidRPr="00AC375F">
              <w:rPr>
                <w:sz w:val="18"/>
                <w:szCs w:val="18"/>
              </w:rPr>
              <w:t>travanj</w:t>
            </w:r>
          </w:p>
        </w:tc>
        <w:tc>
          <w:tcPr>
            <w:tcW w:w="1276" w:type="dxa"/>
            <w:shd w:val="clear" w:color="auto" w:fill="auto"/>
            <w:noWrap/>
            <w:vAlign w:val="center"/>
          </w:tcPr>
          <w:p w14:paraId="738F3DE3" w14:textId="77777777" w:rsidR="00AC375F" w:rsidRPr="00AC375F" w:rsidRDefault="00AC375F" w:rsidP="00AC375F">
            <w:pPr>
              <w:jc w:val="center"/>
              <w:rPr>
                <w:sz w:val="18"/>
                <w:szCs w:val="18"/>
              </w:rPr>
            </w:pPr>
            <w:r w:rsidRPr="00AC375F">
              <w:rPr>
                <w:sz w:val="18"/>
                <w:szCs w:val="18"/>
              </w:rPr>
              <w:t>1</w:t>
            </w:r>
          </w:p>
        </w:tc>
      </w:tr>
      <w:tr w:rsidR="00AC375F" w:rsidRPr="00AC375F" w14:paraId="2B529D3D" w14:textId="77777777" w:rsidTr="001B7BE6">
        <w:trPr>
          <w:trHeight w:val="315"/>
        </w:trPr>
        <w:tc>
          <w:tcPr>
            <w:tcW w:w="4424" w:type="dxa"/>
            <w:shd w:val="clear" w:color="auto" w:fill="auto"/>
            <w:noWrap/>
          </w:tcPr>
          <w:p w14:paraId="72BED5FF" w14:textId="77777777" w:rsidR="00AC375F" w:rsidRPr="00AC375F" w:rsidRDefault="00AC375F" w:rsidP="00AC375F">
            <w:pPr>
              <w:rPr>
                <w:b/>
                <w:bCs/>
                <w:sz w:val="18"/>
                <w:szCs w:val="18"/>
              </w:rPr>
            </w:pPr>
          </w:p>
        </w:tc>
        <w:tc>
          <w:tcPr>
            <w:tcW w:w="1559" w:type="dxa"/>
            <w:shd w:val="clear" w:color="auto" w:fill="auto"/>
            <w:noWrap/>
          </w:tcPr>
          <w:p w14:paraId="1E248123" w14:textId="77777777" w:rsidR="00AC375F" w:rsidRPr="00AC375F" w:rsidRDefault="00AC375F" w:rsidP="00AC375F">
            <w:pPr>
              <w:jc w:val="center"/>
              <w:rPr>
                <w:sz w:val="18"/>
                <w:szCs w:val="18"/>
              </w:rPr>
            </w:pPr>
            <w:r w:rsidRPr="00AC375F">
              <w:rPr>
                <w:sz w:val="18"/>
                <w:szCs w:val="18"/>
              </w:rPr>
              <w:t>Virtualno, 2 puta mjesečno</w:t>
            </w:r>
          </w:p>
        </w:tc>
        <w:tc>
          <w:tcPr>
            <w:tcW w:w="940" w:type="dxa"/>
            <w:shd w:val="clear" w:color="auto" w:fill="auto"/>
            <w:noWrap/>
          </w:tcPr>
          <w:p w14:paraId="797AEBF6" w14:textId="77777777" w:rsidR="00AC375F" w:rsidRPr="00AC375F" w:rsidRDefault="00AC375F" w:rsidP="00AC375F">
            <w:pPr>
              <w:jc w:val="center"/>
              <w:rPr>
                <w:sz w:val="18"/>
                <w:szCs w:val="18"/>
              </w:rPr>
            </w:pPr>
            <w:r w:rsidRPr="00AC375F">
              <w:rPr>
                <w:sz w:val="18"/>
                <w:szCs w:val="18"/>
              </w:rPr>
              <w:t>2</w:t>
            </w:r>
          </w:p>
        </w:tc>
        <w:tc>
          <w:tcPr>
            <w:tcW w:w="1328" w:type="dxa"/>
            <w:shd w:val="clear" w:color="auto" w:fill="auto"/>
            <w:noWrap/>
          </w:tcPr>
          <w:p w14:paraId="7BBB2ACF" w14:textId="77777777" w:rsidR="00AC375F" w:rsidRPr="00AC375F" w:rsidRDefault="00AC375F" w:rsidP="00AC375F">
            <w:pPr>
              <w:jc w:val="center"/>
              <w:rPr>
                <w:sz w:val="18"/>
                <w:szCs w:val="18"/>
              </w:rPr>
            </w:pPr>
            <w:r w:rsidRPr="00AC375F">
              <w:rPr>
                <w:sz w:val="18"/>
                <w:szCs w:val="18"/>
              </w:rPr>
              <w:t>svibanj</w:t>
            </w:r>
          </w:p>
        </w:tc>
        <w:tc>
          <w:tcPr>
            <w:tcW w:w="1276" w:type="dxa"/>
            <w:shd w:val="clear" w:color="auto" w:fill="auto"/>
            <w:noWrap/>
            <w:vAlign w:val="center"/>
          </w:tcPr>
          <w:p w14:paraId="56663D83" w14:textId="77777777" w:rsidR="00AC375F" w:rsidRPr="00AC375F" w:rsidRDefault="00AC375F" w:rsidP="00AC375F">
            <w:pPr>
              <w:jc w:val="center"/>
              <w:rPr>
                <w:sz w:val="18"/>
                <w:szCs w:val="18"/>
              </w:rPr>
            </w:pPr>
            <w:r w:rsidRPr="00AC375F">
              <w:rPr>
                <w:sz w:val="18"/>
                <w:szCs w:val="18"/>
              </w:rPr>
              <w:t>1</w:t>
            </w:r>
          </w:p>
        </w:tc>
      </w:tr>
      <w:tr w:rsidR="00AC375F" w:rsidRPr="00AC375F" w14:paraId="79DC6828" w14:textId="77777777" w:rsidTr="001B7BE6">
        <w:trPr>
          <w:trHeight w:val="315"/>
        </w:trPr>
        <w:tc>
          <w:tcPr>
            <w:tcW w:w="4424" w:type="dxa"/>
            <w:shd w:val="clear" w:color="auto" w:fill="auto"/>
            <w:noWrap/>
          </w:tcPr>
          <w:p w14:paraId="1B66EE0D" w14:textId="77777777" w:rsidR="00AC375F" w:rsidRPr="00AC375F" w:rsidRDefault="00AC375F" w:rsidP="00AC375F">
            <w:pPr>
              <w:rPr>
                <w:b/>
                <w:bCs/>
                <w:sz w:val="18"/>
                <w:szCs w:val="18"/>
              </w:rPr>
            </w:pPr>
          </w:p>
        </w:tc>
        <w:tc>
          <w:tcPr>
            <w:tcW w:w="1559" w:type="dxa"/>
            <w:shd w:val="clear" w:color="auto" w:fill="auto"/>
            <w:noWrap/>
          </w:tcPr>
          <w:p w14:paraId="56C727BC" w14:textId="77777777" w:rsidR="00AC375F" w:rsidRPr="00AC375F" w:rsidRDefault="00AC375F" w:rsidP="00AC375F">
            <w:pPr>
              <w:jc w:val="center"/>
              <w:rPr>
                <w:sz w:val="18"/>
                <w:szCs w:val="18"/>
              </w:rPr>
            </w:pPr>
            <w:r w:rsidRPr="00AC375F">
              <w:rPr>
                <w:sz w:val="18"/>
                <w:szCs w:val="18"/>
              </w:rPr>
              <w:t>Virtualno, 2 puta mjesečno</w:t>
            </w:r>
          </w:p>
        </w:tc>
        <w:tc>
          <w:tcPr>
            <w:tcW w:w="940" w:type="dxa"/>
            <w:shd w:val="clear" w:color="auto" w:fill="auto"/>
            <w:noWrap/>
          </w:tcPr>
          <w:p w14:paraId="314C4E49" w14:textId="77777777" w:rsidR="00AC375F" w:rsidRPr="00AC375F" w:rsidRDefault="00AC375F" w:rsidP="00AC375F">
            <w:pPr>
              <w:jc w:val="center"/>
              <w:rPr>
                <w:sz w:val="18"/>
                <w:szCs w:val="18"/>
              </w:rPr>
            </w:pPr>
            <w:r w:rsidRPr="00AC375F">
              <w:rPr>
                <w:sz w:val="18"/>
                <w:szCs w:val="18"/>
              </w:rPr>
              <w:t>2</w:t>
            </w:r>
          </w:p>
        </w:tc>
        <w:tc>
          <w:tcPr>
            <w:tcW w:w="1328" w:type="dxa"/>
            <w:shd w:val="clear" w:color="auto" w:fill="auto"/>
            <w:noWrap/>
          </w:tcPr>
          <w:p w14:paraId="57640B14" w14:textId="77777777" w:rsidR="00AC375F" w:rsidRPr="00AC375F" w:rsidRDefault="00AC375F" w:rsidP="00AC375F">
            <w:pPr>
              <w:jc w:val="center"/>
              <w:rPr>
                <w:sz w:val="18"/>
                <w:szCs w:val="18"/>
              </w:rPr>
            </w:pPr>
            <w:r w:rsidRPr="00AC375F">
              <w:rPr>
                <w:sz w:val="18"/>
                <w:szCs w:val="18"/>
              </w:rPr>
              <w:t>lipanj</w:t>
            </w:r>
          </w:p>
        </w:tc>
        <w:tc>
          <w:tcPr>
            <w:tcW w:w="1276" w:type="dxa"/>
            <w:shd w:val="clear" w:color="auto" w:fill="auto"/>
            <w:noWrap/>
            <w:vAlign w:val="center"/>
          </w:tcPr>
          <w:p w14:paraId="3409DFD3" w14:textId="77777777" w:rsidR="00AC375F" w:rsidRPr="00AC375F" w:rsidRDefault="00AC375F" w:rsidP="00AC375F">
            <w:pPr>
              <w:jc w:val="center"/>
              <w:rPr>
                <w:sz w:val="18"/>
                <w:szCs w:val="18"/>
              </w:rPr>
            </w:pPr>
            <w:r w:rsidRPr="00AC375F">
              <w:rPr>
                <w:sz w:val="18"/>
                <w:szCs w:val="18"/>
              </w:rPr>
              <w:t>1</w:t>
            </w:r>
          </w:p>
        </w:tc>
      </w:tr>
      <w:tr w:rsidR="00AC375F" w:rsidRPr="00AC375F" w14:paraId="3C3DCFB3" w14:textId="77777777" w:rsidTr="001B7BE6">
        <w:trPr>
          <w:trHeight w:val="315"/>
        </w:trPr>
        <w:tc>
          <w:tcPr>
            <w:tcW w:w="4424" w:type="dxa"/>
            <w:shd w:val="clear" w:color="auto" w:fill="auto"/>
            <w:noWrap/>
          </w:tcPr>
          <w:p w14:paraId="1794C3D0" w14:textId="77777777" w:rsidR="00AC375F" w:rsidRPr="00AC375F" w:rsidRDefault="00AC375F" w:rsidP="00AC375F">
            <w:pPr>
              <w:rPr>
                <w:b/>
                <w:bCs/>
                <w:sz w:val="18"/>
                <w:szCs w:val="18"/>
              </w:rPr>
            </w:pPr>
          </w:p>
        </w:tc>
        <w:tc>
          <w:tcPr>
            <w:tcW w:w="1559" w:type="dxa"/>
            <w:shd w:val="clear" w:color="auto" w:fill="auto"/>
            <w:noWrap/>
          </w:tcPr>
          <w:p w14:paraId="4128D103" w14:textId="77777777" w:rsidR="00AC375F" w:rsidRPr="00AC375F" w:rsidRDefault="00AC375F" w:rsidP="00AC375F">
            <w:pPr>
              <w:jc w:val="center"/>
              <w:rPr>
                <w:sz w:val="18"/>
                <w:szCs w:val="18"/>
              </w:rPr>
            </w:pPr>
            <w:r w:rsidRPr="00AC375F">
              <w:rPr>
                <w:sz w:val="18"/>
                <w:szCs w:val="18"/>
              </w:rPr>
              <w:t>Virtualno, 2 puta mjesečno</w:t>
            </w:r>
          </w:p>
        </w:tc>
        <w:tc>
          <w:tcPr>
            <w:tcW w:w="940" w:type="dxa"/>
            <w:shd w:val="clear" w:color="auto" w:fill="auto"/>
            <w:noWrap/>
          </w:tcPr>
          <w:p w14:paraId="55E740BF" w14:textId="77777777" w:rsidR="00AC375F" w:rsidRPr="00AC375F" w:rsidRDefault="00AC375F" w:rsidP="00AC375F">
            <w:pPr>
              <w:jc w:val="center"/>
              <w:rPr>
                <w:sz w:val="18"/>
                <w:szCs w:val="18"/>
              </w:rPr>
            </w:pPr>
            <w:r w:rsidRPr="00AC375F">
              <w:rPr>
                <w:sz w:val="18"/>
                <w:szCs w:val="18"/>
              </w:rPr>
              <w:t>2</w:t>
            </w:r>
          </w:p>
        </w:tc>
        <w:tc>
          <w:tcPr>
            <w:tcW w:w="1328" w:type="dxa"/>
            <w:shd w:val="clear" w:color="auto" w:fill="auto"/>
            <w:noWrap/>
          </w:tcPr>
          <w:p w14:paraId="23ABC55E" w14:textId="77777777" w:rsidR="00AC375F" w:rsidRPr="00AC375F" w:rsidRDefault="00AC375F" w:rsidP="00AC375F">
            <w:pPr>
              <w:jc w:val="center"/>
              <w:rPr>
                <w:sz w:val="18"/>
                <w:szCs w:val="18"/>
              </w:rPr>
            </w:pPr>
            <w:r w:rsidRPr="00AC375F">
              <w:rPr>
                <w:sz w:val="18"/>
                <w:szCs w:val="18"/>
              </w:rPr>
              <w:t>srpanj</w:t>
            </w:r>
          </w:p>
        </w:tc>
        <w:tc>
          <w:tcPr>
            <w:tcW w:w="1276" w:type="dxa"/>
            <w:shd w:val="clear" w:color="auto" w:fill="auto"/>
            <w:noWrap/>
            <w:vAlign w:val="center"/>
          </w:tcPr>
          <w:p w14:paraId="0FBF62CB" w14:textId="77777777" w:rsidR="00AC375F" w:rsidRPr="00AC375F" w:rsidRDefault="00AC375F" w:rsidP="00AC375F">
            <w:pPr>
              <w:jc w:val="center"/>
              <w:rPr>
                <w:sz w:val="18"/>
                <w:szCs w:val="18"/>
              </w:rPr>
            </w:pPr>
            <w:r w:rsidRPr="00AC375F">
              <w:rPr>
                <w:sz w:val="18"/>
                <w:szCs w:val="18"/>
              </w:rPr>
              <w:t>1</w:t>
            </w:r>
          </w:p>
        </w:tc>
      </w:tr>
      <w:tr w:rsidR="00AC375F" w:rsidRPr="00AC375F" w14:paraId="17497D06" w14:textId="77777777" w:rsidTr="001B7BE6">
        <w:trPr>
          <w:trHeight w:val="315"/>
        </w:trPr>
        <w:tc>
          <w:tcPr>
            <w:tcW w:w="4424" w:type="dxa"/>
            <w:shd w:val="clear" w:color="auto" w:fill="auto"/>
            <w:noWrap/>
          </w:tcPr>
          <w:p w14:paraId="2A55EA95" w14:textId="77777777" w:rsidR="00AC375F" w:rsidRPr="00AC375F" w:rsidRDefault="00AC375F" w:rsidP="00AC375F">
            <w:pPr>
              <w:rPr>
                <w:b/>
                <w:bCs/>
                <w:sz w:val="18"/>
                <w:szCs w:val="18"/>
              </w:rPr>
            </w:pPr>
          </w:p>
        </w:tc>
        <w:tc>
          <w:tcPr>
            <w:tcW w:w="1559" w:type="dxa"/>
            <w:shd w:val="clear" w:color="auto" w:fill="auto"/>
            <w:noWrap/>
          </w:tcPr>
          <w:p w14:paraId="3D1526D4" w14:textId="77777777" w:rsidR="00AC375F" w:rsidRPr="00AC375F" w:rsidRDefault="00AC375F" w:rsidP="00AC375F">
            <w:pPr>
              <w:jc w:val="center"/>
              <w:rPr>
                <w:sz w:val="18"/>
                <w:szCs w:val="18"/>
              </w:rPr>
            </w:pPr>
            <w:r w:rsidRPr="00AC375F">
              <w:rPr>
                <w:sz w:val="18"/>
                <w:szCs w:val="18"/>
              </w:rPr>
              <w:t>Virtualno, 2 puta mjesečno</w:t>
            </w:r>
          </w:p>
        </w:tc>
        <w:tc>
          <w:tcPr>
            <w:tcW w:w="940" w:type="dxa"/>
            <w:shd w:val="clear" w:color="auto" w:fill="auto"/>
            <w:noWrap/>
          </w:tcPr>
          <w:p w14:paraId="6F7F5E8A" w14:textId="77777777" w:rsidR="00AC375F" w:rsidRPr="00AC375F" w:rsidRDefault="00AC375F" w:rsidP="00AC375F">
            <w:pPr>
              <w:jc w:val="center"/>
              <w:rPr>
                <w:sz w:val="18"/>
                <w:szCs w:val="18"/>
              </w:rPr>
            </w:pPr>
            <w:r w:rsidRPr="00AC375F">
              <w:rPr>
                <w:sz w:val="18"/>
                <w:szCs w:val="18"/>
              </w:rPr>
              <w:t>2</w:t>
            </w:r>
          </w:p>
        </w:tc>
        <w:tc>
          <w:tcPr>
            <w:tcW w:w="1328" w:type="dxa"/>
            <w:shd w:val="clear" w:color="auto" w:fill="auto"/>
            <w:noWrap/>
          </w:tcPr>
          <w:p w14:paraId="045AD7F0" w14:textId="77777777" w:rsidR="00AC375F" w:rsidRPr="00AC375F" w:rsidRDefault="00AC375F" w:rsidP="00AC375F">
            <w:pPr>
              <w:jc w:val="center"/>
              <w:rPr>
                <w:sz w:val="18"/>
                <w:szCs w:val="18"/>
              </w:rPr>
            </w:pPr>
            <w:r w:rsidRPr="00AC375F">
              <w:rPr>
                <w:sz w:val="18"/>
                <w:szCs w:val="18"/>
              </w:rPr>
              <w:t>kolovoz</w:t>
            </w:r>
          </w:p>
        </w:tc>
        <w:tc>
          <w:tcPr>
            <w:tcW w:w="1276" w:type="dxa"/>
            <w:shd w:val="clear" w:color="auto" w:fill="auto"/>
            <w:noWrap/>
            <w:vAlign w:val="center"/>
          </w:tcPr>
          <w:p w14:paraId="2C1AB2C8" w14:textId="77777777" w:rsidR="00AC375F" w:rsidRPr="00AC375F" w:rsidRDefault="00AC375F" w:rsidP="00AC375F">
            <w:pPr>
              <w:jc w:val="center"/>
              <w:rPr>
                <w:sz w:val="18"/>
                <w:szCs w:val="18"/>
              </w:rPr>
            </w:pPr>
            <w:r w:rsidRPr="00AC375F">
              <w:rPr>
                <w:sz w:val="18"/>
                <w:szCs w:val="18"/>
              </w:rPr>
              <w:t>1</w:t>
            </w:r>
          </w:p>
        </w:tc>
      </w:tr>
      <w:tr w:rsidR="00AC375F" w:rsidRPr="00AC375F" w14:paraId="66B3A1BA" w14:textId="77777777" w:rsidTr="001B7BE6">
        <w:trPr>
          <w:trHeight w:val="315"/>
        </w:trPr>
        <w:tc>
          <w:tcPr>
            <w:tcW w:w="4424" w:type="dxa"/>
            <w:shd w:val="clear" w:color="auto" w:fill="auto"/>
            <w:noWrap/>
          </w:tcPr>
          <w:p w14:paraId="794E04E6" w14:textId="77777777" w:rsidR="00AC375F" w:rsidRPr="00AC375F" w:rsidRDefault="00AC375F" w:rsidP="00AC375F">
            <w:pPr>
              <w:rPr>
                <w:b/>
                <w:bCs/>
                <w:sz w:val="18"/>
                <w:szCs w:val="18"/>
              </w:rPr>
            </w:pPr>
          </w:p>
        </w:tc>
        <w:tc>
          <w:tcPr>
            <w:tcW w:w="1559" w:type="dxa"/>
            <w:shd w:val="clear" w:color="auto" w:fill="auto"/>
            <w:noWrap/>
          </w:tcPr>
          <w:p w14:paraId="411EF4D3" w14:textId="77777777" w:rsidR="00AC375F" w:rsidRPr="00AC375F" w:rsidRDefault="00AC375F" w:rsidP="00AC375F">
            <w:pPr>
              <w:jc w:val="center"/>
              <w:rPr>
                <w:sz w:val="18"/>
                <w:szCs w:val="18"/>
              </w:rPr>
            </w:pPr>
            <w:r w:rsidRPr="00AC375F">
              <w:rPr>
                <w:sz w:val="18"/>
                <w:szCs w:val="18"/>
              </w:rPr>
              <w:t>Virtualno, 2 puta mjesečno</w:t>
            </w:r>
          </w:p>
        </w:tc>
        <w:tc>
          <w:tcPr>
            <w:tcW w:w="940" w:type="dxa"/>
            <w:shd w:val="clear" w:color="auto" w:fill="auto"/>
            <w:noWrap/>
          </w:tcPr>
          <w:p w14:paraId="5BA31380" w14:textId="77777777" w:rsidR="00AC375F" w:rsidRPr="00AC375F" w:rsidRDefault="00AC375F" w:rsidP="00AC375F">
            <w:pPr>
              <w:jc w:val="center"/>
              <w:rPr>
                <w:sz w:val="18"/>
                <w:szCs w:val="18"/>
              </w:rPr>
            </w:pPr>
            <w:r w:rsidRPr="00AC375F">
              <w:rPr>
                <w:sz w:val="18"/>
                <w:szCs w:val="18"/>
              </w:rPr>
              <w:t>2</w:t>
            </w:r>
          </w:p>
        </w:tc>
        <w:tc>
          <w:tcPr>
            <w:tcW w:w="1328" w:type="dxa"/>
            <w:shd w:val="clear" w:color="auto" w:fill="auto"/>
            <w:noWrap/>
          </w:tcPr>
          <w:p w14:paraId="1A2FEEF8" w14:textId="77777777" w:rsidR="00AC375F" w:rsidRPr="00AC375F" w:rsidRDefault="00AC375F" w:rsidP="00AC375F">
            <w:pPr>
              <w:jc w:val="center"/>
              <w:rPr>
                <w:sz w:val="18"/>
                <w:szCs w:val="18"/>
              </w:rPr>
            </w:pPr>
            <w:r w:rsidRPr="00AC375F">
              <w:rPr>
                <w:sz w:val="18"/>
                <w:szCs w:val="18"/>
              </w:rPr>
              <w:t>rujan</w:t>
            </w:r>
          </w:p>
        </w:tc>
        <w:tc>
          <w:tcPr>
            <w:tcW w:w="1276" w:type="dxa"/>
            <w:shd w:val="clear" w:color="auto" w:fill="auto"/>
            <w:noWrap/>
            <w:vAlign w:val="center"/>
          </w:tcPr>
          <w:p w14:paraId="3BEF4EED" w14:textId="77777777" w:rsidR="00AC375F" w:rsidRPr="00AC375F" w:rsidRDefault="00AC375F" w:rsidP="00AC375F">
            <w:pPr>
              <w:jc w:val="center"/>
              <w:rPr>
                <w:sz w:val="18"/>
                <w:szCs w:val="18"/>
              </w:rPr>
            </w:pPr>
            <w:r w:rsidRPr="00AC375F">
              <w:rPr>
                <w:sz w:val="18"/>
                <w:szCs w:val="18"/>
              </w:rPr>
              <w:t>1</w:t>
            </w:r>
          </w:p>
        </w:tc>
      </w:tr>
      <w:tr w:rsidR="00AC375F" w:rsidRPr="00AC375F" w14:paraId="1C90353A" w14:textId="77777777" w:rsidTr="001B7BE6">
        <w:trPr>
          <w:trHeight w:val="315"/>
        </w:trPr>
        <w:tc>
          <w:tcPr>
            <w:tcW w:w="4424" w:type="dxa"/>
            <w:shd w:val="clear" w:color="auto" w:fill="auto"/>
            <w:noWrap/>
          </w:tcPr>
          <w:p w14:paraId="14504F4A" w14:textId="77777777" w:rsidR="00AC375F" w:rsidRPr="00AC375F" w:rsidRDefault="00AC375F" w:rsidP="00AC375F">
            <w:pPr>
              <w:rPr>
                <w:b/>
                <w:bCs/>
                <w:sz w:val="18"/>
                <w:szCs w:val="18"/>
              </w:rPr>
            </w:pPr>
          </w:p>
        </w:tc>
        <w:tc>
          <w:tcPr>
            <w:tcW w:w="1559" w:type="dxa"/>
            <w:shd w:val="clear" w:color="auto" w:fill="auto"/>
            <w:noWrap/>
          </w:tcPr>
          <w:p w14:paraId="67FE80E1" w14:textId="77777777" w:rsidR="00AC375F" w:rsidRPr="00AC375F" w:rsidRDefault="00AC375F" w:rsidP="00AC375F">
            <w:pPr>
              <w:jc w:val="center"/>
              <w:rPr>
                <w:sz w:val="18"/>
                <w:szCs w:val="18"/>
              </w:rPr>
            </w:pPr>
            <w:r w:rsidRPr="00AC375F">
              <w:rPr>
                <w:sz w:val="18"/>
                <w:szCs w:val="18"/>
              </w:rPr>
              <w:t>Virtualno, 2 puta mjesečno</w:t>
            </w:r>
          </w:p>
        </w:tc>
        <w:tc>
          <w:tcPr>
            <w:tcW w:w="940" w:type="dxa"/>
            <w:shd w:val="clear" w:color="auto" w:fill="auto"/>
            <w:noWrap/>
          </w:tcPr>
          <w:p w14:paraId="29A31E04" w14:textId="77777777" w:rsidR="00AC375F" w:rsidRPr="00AC375F" w:rsidRDefault="00AC375F" w:rsidP="00AC375F">
            <w:pPr>
              <w:jc w:val="center"/>
              <w:rPr>
                <w:sz w:val="18"/>
                <w:szCs w:val="18"/>
              </w:rPr>
            </w:pPr>
            <w:r w:rsidRPr="00AC375F">
              <w:rPr>
                <w:sz w:val="18"/>
                <w:szCs w:val="18"/>
              </w:rPr>
              <w:t>2</w:t>
            </w:r>
          </w:p>
        </w:tc>
        <w:tc>
          <w:tcPr>
            <w:tcW w:w="1328" w:type="dxa"/>
            <w:shd w:val="clear" w:color="auto" w:fill="auto"/>
            <w:noWrap/>
          </w:tcPr>
          <w:p w14:paraId="71C356F7" w14:textId="77777777" w:rsidR="00AC375F" w:rsidRPr="00AC375F" w:rsidRDefault="00AC375F" w:rsidP="00AC375F">
            <w:pPr>
              <w:jc w:val="center"/>
              <w:rPr>
                <w:sz w:val="18"/>
                <w:szCs w:val="18"/>
              </w:rPr>
            </w:pPr>
            <w:r w:rsidRPr="00AC375F">
              <w:rPr>
                <w:sz w:val="18"/>
                <w:szCs w:val="18"/>
              </w:rPr>
              <w:t>listopad</w:t>
            </w:r>
          </w:p>
        </w:tc>
        <w:tc>
          <w:tcPr>
            <w:tcW w:w="1276" w:type="dxa"/>
            <w:shd w:val="clear" w:color="auto" w:fill="auto"/>
            <w:noWrap/>
            <w:vAlign w:val="center"/>
          </w:tcPr>
          <w:p w14:paraId="6DEC47ED" w14:textId="77777777" w:rsidR="00AC375F" w:rsidRPr="00AC375F" w:rsidRDefault="00AC375F" w:rsidP="00AC375F">
            <w:pPr>
              <w:jc w:val="center"/>
              <w:rPr>
                <w:sz w:val="18"/>
                <w:szCs w:val="18"/>
              </w:rPr>
            </w:pPr>
            <w:r w:rsidRPr="00AC375F">
              <w:rPr>
                <w:sz w:val="18"/>
                <w:szCs w:val="18"/>
              </w:rPr>
              <w:t>1</w:t>
            </w:r>
          </w:p>
        </w:tc>
      </w:tr>
      <w:tr w:rsidR="00AC375F" w:rsidRPr="00AC375F" w14:paraId="3D8B63EC" w14:textId="77777777" w:rsidTr="001B7BE6">
        <w:trPr>
          <w:trHeight w:val="315"/>
        </w:trPr>
        <w:tc>
          <w:tcPr>
            <w:tcW w:w="4424" w:type="dxa"/>
            <w:shd w:val="clear" w:color="auto" w:fill="auto"/>
            <w:noWrap/>
          </w:tcPr>
          <w:p w14:paraId="6356BBB9" w14:textId="77777777" w:rsidR="00AC375F" w:rsidRPr="00AC375F" w:rsidRDefault="00AC375F" w:rsidP="00AC375F">
            <w:pPr>
              <w:rPr>
                <w:b/>
                <w:bCs/>
                <w:sz w:val="18"/>
                <w:szCs w:val="18"/>
              </w:rPr>
            </w:pPr>
          </w:p>
        </w:tc>
        <w:tc>
          <w:tcPr>
            <w:tcW w:w="1559" w:type="dxa"/>
            <w:shd w:val="clear" w:color="auto" w:fill="auto"/>
            <w:noWrap/>
          </w:tcPr>
          <w:p w14:paraId="116C9741" w14:textId="77777777" w:rsidR="00AC375F" w:rsidRPr="00AC375F" w:rsidRDefault="00AC375F" w:rsidP="00AC375F">
            <w:pPr>
              <w:jc w:val="center"/>
              <w:rPr>
                <w:sz w:val="18"/>
                <w:szCs w:val="18"/>
              </w:rPr>
            </w:pPr>
            <w:r w:rsidRPr="00AC375F">
              <w:rPr>
                <w:sz w:val="18"/>
                <w:szCs w:val="18"/>
              </w:rPr>
              <w:t>Virtualno, 2 puta mjesečno</w:t>
            </w:r>
          </w:p>
        </w:tc>
        <w:tc>
          <w:tcPr>
            <w:tcW w:w="940" w:type="dxa"/>
            <w:shd w:val="clear" w:color="auto" w:fill="auto"/>
            <w:noWrap/>
          </w:tcPr>
          <w:p w14:paraId="0DF3536F" w14:textId="77777777" w:rsidR="00AC375F" w:rsidRPr="00AC375F" w:rsidRDefault="00AC375F" w:rsidP="00AC375F">
            <w:pPr>
              <w:jc w:val="center"/>
              <w:rPr>
                <w:sz w:val="18"/>
                <w:szCs w:val="18"/>
              </w:rPr>
            </w:pPr>
            <w:r w:rsidRPr="00AC375F">
              <w:rPr>
                <w:sz w:val="18"/>
                <w:szCs w:val="18"/>
              </w:rPr>
              <w:t>2</w:t>
            </w:r>
          </w:p>
        </w:tc>
        <w:tc>
          <w:tcPr>
            <w:tcW w:w="1328" w:type="dxa"/>
            <w:shd w:val="clear" w:color="auto" w:fill="auto"/>
            <w:noWrap/>
          </w:tcPr>
          <w:p w14:paraId="4AD4935A" w14:textId="77777777" w:rsidR="00AC375F" w:rsidRPr="00AC375F" w:rsidRDefault="00AC375F" w:rsidP="00AC375F">
            <w:pPr>
              <w:jc w:val="center"/>
              <w:rPr>
                <w:sz w:val="18"/>
                <w:szCs w:val="18"/>
              </w:rPr>
            </w:pPr>
            <w:r w:rsidRPr="00AC375F">
              <w:rPr>
                <w:sz w:val="18"/>
                <w:szCs w:val="18"/>
              </w:rPr>
              <w:t>studeni</w:t>
            </w:r>
          </w:p>
        </w:tc>
        <w:tc>
          <w:tcPr>
            <w:tcW w:w="1276" w:type="dxa"/>
            <w:shd w:val="clear" w:color="auto" w:fill="auto"/>
            <w:noWrap/>
            <w:vAlign w:val="center"/>
          </w:tcPr>
          <w:p w14:paraId="5825CF37" w14:textId="77777777" w:rsidR="00AC375F" w:rsidRPr="00AC375F" w:rsidRDefault="00AC375F" w:rsidP="00AC375F">
            <w:pPr>
              <w:jc w:val="center"/>
              <w:rPr>
                <w:sz w:val="18"/>
                <w:szCs w:val="18"/>
              </w:rPr>
            </w:pPr>
            <w:r w:rsidRPr="00AC375F">
              <w:rPr>
                <w:sz w:val="18"/>
                <w:szCs w:val="18"/>
              </w:rPr>
              <w:t>1</w:t>
            </w:r>
          </w:p>
        </w:tc>
      </w:tr>
      <w:tr w:rsidR="00AC375F" w:rsidRPr="00AC375F" w14:paraId="22796A80" w14:textId="77777777" w:rsidTr="001B7BE6">
        <w:trPr>
          <w:trHeight w:val="315"/>
        </w:trPr>
        <w:tc>
          <w:tcPr>
            <w:tcW w:w="4424" w:type="dxa"/>
            <w:shd w:val="clear" w:color="auto" w:fill="auto"/>
            <w:noWrap/>
          </w:tcPr>
          <w:p w14:paraId="278520A3" w14:textId="77777777" w:rsidR="00AC375F" w:rsidRPr="00AC375F" w:rsidRDefault="00AC375F" w:rsidP="00AC375F">
            <w:pPr>
              <w:rPr>
                <w:b/>
                <w:bCs/>
                <w:sz w:val="18"/>
                <w:szCs w:val="18"/>
              </w:rPr>
            </w:pPr>
          </w:p>
        </w:tc>
        <w:tc>
          <w:tcPr>
            <w:tcW w:w="1559" w:type="dxa"/>
            <w:shd w:val="clear" w:color="auto" w:fill="auto"/>
            <w:noWrap/>
          </w:tcPr>
          <w:p w14:paraId="3941E721" w14:textId="77777777" w:rsidR="00AC375F" w:rsidRPr="00AC375F" w:rsidRDefault="00AC375F" w:rsidP="00AC375F">
            <w:pPr>
              <w:jc w:val="center"/>
              <w:rPr>
                <w:sz w:val="18"/>
                <w:szCs w:val="18"/>
              </w:rPr>
            </w:pPr>
            <w:r w:rsidRPr="00AC375F">
              <w:rPr>
                <w:sz w:val="18"/>
                <w:szCs w:val="18"/>
              </w:rPr>
              <w:t>Virtualno 1 put</w:t>
            </w:r>
          </w:p>
        </w:tc>
        <w:tc>
          <w:tcPr>
            <w:tcW w:w="940" w:type="dxa"/>
            <w:shd w:val="clear" w:color="auto" w:fill="auto"/>
            <w:noWrap/>
          </w:tcPr>
          <w:p w14:paraId="304CB5A1" w14:textId="77777777" w:rsidR="00AC375F" w:rsidRPr="00AC375F" w:rsidRDefault="00AC375F" w:rsidP="00AC375F">
            <w:pPr>
              <w:jc w:val="center"/>
              <w:rPr>
                <w:sz w:val="18"/>
                <w:szCs w:val="18"/>
              </w:rPr>
            </w:pPr>
            <w:r w:rsidRPr="00AC375F">
              <w:rPr>
                <w:sz w:val="18"/>
                <w:szCs w:val="18"/>
              </w:rPr>
              <w:t>2</w:t>
            </w:r>
          </w:p>
        </w:tc>
        <w:tc>
          <w:tcPr>
            <w:tcW w:w="1328" w:type="dxa"/>
            <w:shd w:val="clear" w:color="auto" w:fill="auto"/>
            <w:noWrap/>
          </w:tcPr>
          <w:p w14:paraId="09E0B6C3" w14:textId="77777777" w:rsidR="00AC375F" w:rsidRPr="00AC375F" w:rsidRDefault="00AC375F" w:rsidP="00AC375F">
            <w:pPr>
              <w:jc w:val="center"/>
              <w:rPr>
                <w:sz w:val="18"/>
                <w:szCs w:val="18"/>
              </w:rPr>
            </w:pPr>
            <w:r w:rsidRPr="00AC375F">
              <w:rPr>
                <w:sz w:val="18"/>
                <w:szCs w:val="18"/>
              </w:rPr>
              <w:t>prosinac</w:t>
            </w:r>
          </w:p>
        </w:tc>
        <w:tc>
          <w:tcPr>
            <w:tcW w:w="1276" w:type="dxa"/>
            <w:shd w:val="clear" w:color="auto" w:fill="auto"/>
            <w:noWrap/>
            <w:vAlign w:val="center"/>
          </w:tcPr>
          <w:p w14:paraId="0CCFFF14" w14:textId="77777777" w:rsidR="00AC375F" w:rsidRPr="00AC375F" w:rsidRDefault="00AC375F" w:rsidP="00AC375F">
            <w:pPr>
              <w:jc w:val="center"/>
              <w:rPr>
                <w:sz w:val="18"/>
                <w:szCs w:val="18"/>
              </w:rPr>
            </w:pPr>
            <w:r w:rsidRPr="00AC375F">
              <w:rPr>
                <w:sz w:val="18"/>
                <w:szCs w:val="18"/>
              </w:rPr>
              <w:t>1</w:t>
            </w:r>
          </w:p>
        </w:tc>
      </w:tr>
      <w:tr w:rsidR="00AC375F" w:rsidRPr="00AC375F" w14:paraId="2EC9FC59" w14:textId="77777777" w:rsidTr="001B7BE6">
        <w:trPr>
          <w:trHeight w:val="315"/>
        </w:trPr>
        <w:tc>
          <w:tcPr>
            <w:tcW w:w="4424" w:type="dxa"/>
            <w:shd w:val="clear" w:color="auto" w:fill="auto"/>
            <w:noWrap/>
          </w:tcPr>
          <w:p w14:paraId="26F767E0" w14:textId="77777777" w:rsidR="00AC375F" w:rsidRPr="00AC375F" w:rsidRDefault="00AC375F" w:rsidP="00AC375F">
            <w:pPr>
              <w:rPr>
                <w:b/>
                <w:bCs/>
                <w:sz w:val="18"/>
                <w:szCs w:val="18"/>
              </w:rPr>
            </w:pPr>
            <w:r w:rsidRPr="00AC375F">
              <w:rPr>
                <w:b/>
                <w:bCs/>
                <w:sz w:val="18"/>
                <w:szCs w:val="18"/>
              </w:rPr>
              <w:t>Working Group of Enforcement Officers (WGEO)</w:t>
            </w:r>
            <w:r w:rsidRPr="00AC375F">
              <w:rPr>
                <w:sz w:val="18"/>
                <w:szCs w:val="18"/>
              </w:rPr>
              <w:t xml:space="preserve"> </w:t>
            </w:r>
          </w:p>
        </w:tc>
        <w:tc>
          <w:tcPr>
            <w:tcW w:w="1559" w:type="dxa"/>
            <w:shd w:val="clear" w:color="auto" w:fill="auto"/>
            <w:noWrap/>
          </w:tcPr>
          <w:p w14:paraId="7C58B8C4" w14:textId="77777777" w:rsidR="00AC375F" w:rsidRPr="00AC375F" w:rsidRDefault="00AC375F" w:rsidP="00AC375F">
            <w:pPr>
              <w:jc w:val="center"/>
              <w:rPr>
                <w:sz w:val="18"/>
                <w:szCs w:val="18"/>
              </w:rPr>
            </w:pPr>
            <w:r w:rsidRPr="00AC375F">
              <w:rPr>
                <w:sz w:val="18"/>
                <w:szCs w:val="18"/>
              </w:rPr>
              <w:t>Uppsala</w:t>
            </w:r>
          </w:p>
        </w:tc>
        <w:tc>
          <w:tcPr>
            <w:tcW w:w="940" w:type="dxa"/>
            <w:shd w:val="clear" w:color="auto" w:fill="auto"/>
            <w:noWrap/>
          </w:tcPr>
          <w:p w14:paraId="72B5207A" w14:textId="77777777" w:rsidR="00AC375F" w:rsidRPr="00AC375F" w:rsidRDefault="00AC375F" w:rsidP="00AC375F">
            <w:pPr>
              <w:jc w:val="center"/>
              <w:rPr>
                <w:sz w:val="18"/>
                <w:szCs w:val="18"/>
              </w:rPr>
            </w:pPr>
            <w:r w:rsidRPr="00AC375F">
              <w:rPr>
                <w:sz w:val="18"/>
                <w:szCs w:val="18"/>
              </w:rPr>
              <w:t>1</w:t>
            </w:r>
          </w:p>
        </w:tc>
        <w:tc>
          <w:tcPr>
            <w:tcW w:w="1328" w:type="dxa"/>
            <w:shd w:val="clear" w:color="auto" w:fill="auto"/>
            <w:noWrap/>
          </w:tcPr>
          <w:p w14:paraId="29ABCA1A" w14:textId="77777777" w:rsidR="00AC375F" w:rsidRPr="00AC375F" w:rsidRDefault="00AC375F" w:rsidP="00AC375F">
            <w:pPr>
              <w:jc w:val="center"/>
              <w:rPr>
                <w:sz w:val="18"/>
                <w:szCs w:val="18"/>
              </w:rPr>
            </w:pPr>
            <w:r w:rsidRPr="00AC375F">
              <w:rPr>
                <w:sz w:val="18"/>
                <w:szCs w:val="18"/>
              </w:rPr>
              <w:t>svibanj</w:t>
            </w:r>
          </w:p>
        </w:tc>
        <w:tc>
          <w:tcPr>
            <w:tcW w:w="1276" w:type="dxa"/>
            <w:shd w:val="clear" w:color="auto" w:fill="auto"/>
            <w:noWrap/>
            <w:vAlign w:val="center"/>
          </w:tcPr>
          <w:p w14:paraId="3E7522EF" w14:textId="77777777" w:rsidR="00AC375F" w:rsidRPr="00AC375F" w:rsidRDefault="00AC375F" w:rsidP="00AC375F">
            <w:pPr>
              <w:jc w:val="center"/>
              <w:rPr>
                <w:sz w:val="18"/>
                <w:szCs w:val="18"/>
              </w:rPr>
            </w:pPr>
            <w:r w:rsidRPr="00AC375F">
              <w:rPr>
                <w:sz w:val="18"/>
                <w:szCs w:val="18"/>
              </w:rPr>
              <w:t>3</w:t>
            </w:r>
          </w:p>
        </w:tc>
      </w:tr>
      <w:tr w:rsidR="00AC375F" w:rsidRPr="00AC375F" w14:paraId="67AA4BB3" w14:textId="77777777" w:rsidTr="001B7BE6">
        <w:trPr>
          <w:trHeight w:val="315"/>
        </w:trPr>
        <w:tc>
          <w:tcPr>
            <w:tcW w:w="4424" w:type="dxa"/>
            <w:shd w:val="clear" w:color="auto" w:fill="auto"/>
            <w:noWrap/>
          </w:tcPr>
          <w:p w14:paraId="15E2ADCA" w14:textId="77777777" w:rsidR="00AC375F" w:rsidRPr="00AC375F" w:rsidRDefault="00AC375F" w:rsidP="00AC375F">
            <w:pPr>
              <w:rPr>
                <w:b/>
                <w:bCs/>
                <w:sz w:val="18"/>
                <w:szCs w:val="18"/>
              </w:rPr>
            </w:pPr>
          </w:p>
        </w:tc>
        <w:tc>
          <w:tcPr>
            <w:tcW w:w="1559" w:type="dxa"/>
            <w:shd w:val="clear" w:color="auto" w:fill="auto"/>
            <w:noWrap/>
          </w:tcPr>
          <w:p w14:paraId="3431CE7D" w14:textId="77777777" w:rsidR="00AC375F" w:rsidRPr="00AC375F" w:rsidRDefault="00AC375F" w:rsidP="00AC375F">
            <w:pPr>
              <w:jc w:val="center"/>
              <w:rPr>
                <w:sz w:val="18"/>
                <w:szCs w:val="18"/>
              </w:rPr>
            </w:pPr>
            <w:r w:rsidRPr="00AC375F">
              <w:rPr>
                <w:sz w:val="18"/>
                <w:szCs w:val="18"/>
              </w:rPr>
              <w:t>Madrid</w:t>
            </w:r>
          </w:p>
        </w:tc>
        <w:tc>
          <w:tcPr>
            <w:tcW w:w="940" w:type="dxa"/>
            <w:shd w:val="clear" w:color="auto" w:fill="auto"/>
            <w:noWrap/>
          </w:tcPr>
          <w:p w14:paraId="75CB5C69" w14:textId="77777777" w:rsidR="00AC375F" w:rsidRPr="00AC375F" w:rsidRDefault="00AC375F" w:rsidP="00AC375F">
            <w:pPr>
              <w:jc w:val="center"/>
              <w:rPr>
                <w:sz w:val="18"/>
                <w:szCs w:val="18"/>
              </w:rPr>
            </w:pPr>
            <w:r w:rsidRPr="00AC375F">
              <w:rPr>
                <w:sz w:val="18"/>
                <w:szCs w:val="18"/>
              </w:rPr>
              <w:t>2</w:t>
            </w:r>
          </w:p>
        </w:tc>
        <w:tc>
          <w:tcPr>
            <w:tcW w:w="1328" w:type="dxa"/>
            <w:shd w:val="clear" w:color="auto" w:fill="auto"/>
            <w:noWrap/>
          </w:tcPr>
          <w:p w14:paraId="15A52188" w14:textId="77777777" w:rsidR="00AC375F" w:rsidRPr="00AC375F" w:rsidRDefault="00AC375F" w:rsidP="00AC375F">
            <w:pPr>
              <w:jc w:val="center"/>
              <w:rPr>
                <w:sz w:val="18"/>
                <w:szCs w:val="18"/>
              </w:rPr>
            </w:pPr>
            <w:r w:rsidRPr="00AC375F">
              <w:rPr>
                <w:sz w:val="18"/>
                <w:szCs w:val="18"/>
              </w:rPr>
              <w:t>prosinac</w:t>
            </w:r>
          </w:p>
        </w:tc>
        <w:tc>
          <w:tcPr>
            <w:tcW w:w="1276" w:type="dxa"/>
            <w:shd w:val="clear" w:color="auto" w:fill="auto"/>
            <w:noWrap/>
            <w:vAlign w:val="center"/>
          </w:tcPr>
          <w:p w14:paraId="7B041BC5" w14:textId="77777777" w:rsidR="00AC375F" w:rsidRPr="00AC375F" w:rsidRDefault="00AC375F" w:rsidP="00AC375F">
            <w:pPr>
              <w:jc w:val="center"/>
              <w:rPr>
                <w:sz w:val="18"/>
                <w:szCs w:val="18"/>
              </w:rPr>
            </w:pPr>
            <w:r w:rsidRPr="00AC375F">
              <w:rPr>
                <w:sz w:val="18"/>
                <w:szCs w:val="18"/>
              </w:rPr>
              <w:t>3</w:t>
            </w:r>
          </w:p>
        </w:tc>
      </w:tr>
      <w:tr w:rsidR="00AC375F" w:rsidRPr="00AC375F" w14:paraId="737655FF" w14:textId="77777777" w:rsidTr="001B7BE6">
        <w:trPr>
          <w:trHeight w:val="315"/>
        </w:trPr>
        <w:tc>
          <w:tcPr>
            <w:tcW w:w="4424" w:type="dxa"/>
            <w:shd w:val="clear" w:color="auto" w:fill="auto"/>
            <w:noWrap/>
          </w:tcPr>
          <w:p w14:paraId="0B270B0A" w14:textId="77777777" w:rsidR="00AC375F" w:rsidRPr="00AC375F" w:rsidRDefault="00AC375F" w:rsidP="00AC375F">
            <w:pPr>
              <w:rPr>
                <w:b/>
                <w:bCs/>
                <w:sz w:val="18"/>
                <w:szCs w:val="18"/>
              </w:rPr>
            </w:pPr>
            <w:r w:rsidRPr="00AC375F">
              <w:rPr>
                <w:b/>
                <w:bCs/>
                <w:sz w:val="18"/>
                <w:szCs w:val="18"/>
              </w:rPr>
              <w:t>Working Group of Quality Managers</w:t>
            </w:r>
          </w:p>
        </w:tc>
        <w:tc>
          <w:tcPr>
            <w:tcW w:w="1559" w:type="dxa"/>
            <w:shd w:val="clear" w:color="auto" w:fill="auto"/>
            <w:noWrap/>
          </w:tcPr>
          <w:p w14:paraId="73DF3F85" w14:textId="77777777" w:rsidR="00AC375F" w:rsidRPr="00AC375F" w:rsidRDefault="00AC375F" w:rsidP="00AC375F">
            <w:pPr>
              <w:jc w:val="center"/>
              <w:rPr>
                <w:sz w:val="18"/>
                <w:szCs w:val="18"/>
              </w:rPr>
            </w:pPr>
            <w:r w:rsidRPr="00AC375F">
              <w:rPr>
                <w:sz w:val="18"/>
                <w:szCs w:val="18"/>
              </w:rPr>
              <w:t>Uppsala</w:t>
            </w:r>
          </w:p>
          <w:p w14:paraId="5694B6B1" w14:textId="77777777" w:rsidR="00AC375F" w:rsidRPr="00AC375F" w:rsidRDefault="00AC375F" w:rsidP="00AC375F">
            <w:pPr>
              <w:jc w:val="center"/>
              <w:rPr>
                <w:sz w:val="18"/>
                <w:szCs w:val="18"/>
              </w:rPr>
            </w:pPr>
            <w:r w:rsidRPr="00AC375F">
              <w:rPr>
                <w:sz w:val="18"/>
                <w:szCs w:val="18"/>
              </w:rPr>
              <w:t>Madrid</w:t>
            </w:r>
          </w:p>
        </w:tc>
        <w:tc>
          <w:tcPr>
            <w:tcW w:w="940" w:type="dxa"/>
            <w:shd w:val="clear" w:color="auto" w:fill="auto"/>
            <w:noWrap/>
          </w:tcPr>
          <w:p w14:paraId="22319B5D" w14:textId="77777777" w:rsidR="00AC375F" w:rsidRPr="00AC375F" w:rsidRDefault="00AC375F" w:rsidP="00AC375F">
            <w:pPr>
              <w:jc w:val="center"/>
              <w:rPr>
                <w:sz w:val="18"/>
                <w:szCs w:val="18"/>
              </w:rPr>
            </w:pPr>
            <w:r w:rsidRPr="00AC375F">
              <w:rPr>
                <w:sz w:val="18"/>
                <w:szCs w:val="18"/>
              </w:rPr>
              <w:t>2</w:t>
            </w:r>
          </w:p>
          <w:p w14:paraId="64220A50" w14:textId="77777777" w:rsidR="00AC375F" w:rsidRPr="00AC375F" w:rsidRDefault="00AC375F" w:rsidP="00AC375F">
            <w:pPr>
              <w:jc w:val="center"/>
              <w:rPr>
                <w:sz w:val="18"/>
                <w:szCs w:val="18"/>
              </w:rPr>
            </w:pPr>
            <w:r w:rsidRPr="00AC375F">
              <w:rPr>
                <w:sz w:val="18"/>
                <w:szCs w:val="18"/>
              </w:rPr>
              <w:t>2</w:t>
            </w:r>
          </w:p>
        </w:tc>
        <w:tc>
          <w:tcPr>
            <w:tcW w:w="1328" w:type="dxa"/>
            <w:shd w:val="clear" w:color="auto" w:fill="auto"/>
            <w:noWrap/>
          </w:tcPr>
          <w:p w14:paraId="08F27C80" w14:textId="77777777" w:rsidR="00AC375F" w:rsidRPr="00AC375F" w:rsidRDefault="00AC375F" w:rsidP="00AC375F">
            <w:pPr>
              <w:jc w:val="center"/>
              <w:rPr>
                <w:sz w:val="18"/>
                <w:szCs w:val="18"/>
              </w:rPr>
            </w:pPr>
            <w:r w:rsidRPr="00AC375F">
              <w:rPr>
                <w:sz w:val="18"/>
                <w:szCs w:val="18"/>
              </w:rPr>
              <w:t>travanj</w:t>
            </w:r>
          </w:p>
          <w:p w14:paraId="599F0162" w14:textId="77777777" w:rsidR="00AC375F" w:rsidRPr="00AC375F" w:rsidRDefault="00AC375F" w:rsidP="00AC375F">
            <w:pPr>
              <w:jc w:val="center"/>
              <w:rPr>
                <w:sz w:val="18"/>
                <w:szCs w:val="18"/>
              </w:rPr>
            </w:pPr>
            <w:r w:rsidRPr="00AC375F">
              <w:rPr>
                <w:sz w:val="18"/>
                <w:szCs w:val="18"/>
              </w:rPr>
              <w:t>studeni</w:t>
            </w:r>
          </w:p>
        </w:tc>
        <w:tc>
          <w:tcPr>
            <w:tcW w:w="1276" w:type="dxa"/>
            <w:shd w:val="clear" w:color="auto" w:fill="auto"/>
            <w:noWrap/>
            <w:vAlign w:val="center"/>
          </w:tcPr>
          <w:p w14:paraId="4404DFFF" w14:textId="77777777" w:rsidR="00AC375F" w:rsidRPr="00AC375F" w:rsidRDefault="00AC375F" w:rsidP="00AC375F">
            <w:pPr>
              <w:jc w:val="center"/>
              <w:rPr>
                <w:sz w:val="18"/>
                <w:szCs w:val="18"/>
              </w:rPr>
            </w:pPr>
            <w:r w:rsidRPr="00AC375F">
              <w:rPr>
                <w:sz w:val="18"/>
                <w:szCs w:val="18"/>
              </w:rPr>
              <w:t>2</w:t>
            </w:r>
          </w:p>
          <w:p w14:paraId="0A1219D9" w14:textId="77777777" w:rsidR="00AC375F" w:rsidRPr="00AC375F" w:rsidRDefault="00AC375F" w:rsidP="00AC375F">
            <w:pPr>
              <w:jc w:val="center"/>
              <w:rPr>
                <w:sz w:val="18"/>
                <w:szCs w:val="18"/>
              </w:rPr>
            </w:pPr>
            <w:r w:rsidRPr="00AC375F">
              <w:rPr>
                <w:sz w:val="18"/>
                <w:szCs w:val="18"/>
              </w:rPr>
              <w:t>2</w:t>
            </w:r>
          </w:p>
        </w:tc>
      </w:tr>
    </w:tbl>
    <w:p w14:paraId="1DCE125F" w14:textId="77777777" w:rsidR="00AC375F" w:rsidRPr="00AC375F" w:rsidRDefault="00AC375F" w:rsidP="001B7BE6">
      <w:pPr>
        <w:spacing w:line="276" w:lineRule="auto"/>
        <w:rPr>
          <w:rFonts w:eastAsia="Times New Roman" w:cstheme="minorHAnsi"/>
          <w:sz w:val="18"/>
          <w:szCs w:val="18"/>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4"/>
        <w:gridCol w:w="1559"/>
        <w:gridCol w:w="992"/>
        <w:gridCol w:w="1276"/>
        <w:gridCol w:w="1134"/>
      </w:tblGrid>
      <w:tr w:rsidR="00AC375F" w:rsidRPr="00AC375F" w14:paraId="252D30AC" w14:textId="77777777" w:rsidTr="00991955">
        <w:trPr>
          <w:trHeight w:val="314"/>
          <w:tblHeader/>
        </w:trPr>
        <w:tc>
          <w:tcPr>
            <w:tcW w:w="4424" w:type="dxa"/>
            <w:tcBorders>
              <w:top w:val="single" w:sz="4" w:space="0" w:color="auto"/>
              <w:left w:val="single" w:sz="4" w:space="0" w:color="auto"/>
              <w:bottom w:val="single" w:sz="4" w:space="0" w:color="auto"/>
              <w:right w:val="single" w:sz="4" w:space="0" w:color="auto"/>
            </w:tcBorders>
            <w:shd w:val="clear" w:color="auto" w:fill="A3E7FF"/>
            <w:noWrap/>
          </w:tcPr>
          <w:p w14:paraId="05A38E5F" w14:textId="77777777" w:rsidR="00AC375F" w:rsidRPr="00AC375F" w:rsidRDefault="00AC375F" w:rsidP="00AC375F">
            <w:pPr>
              <w:rPr>
                <w:b/>
                <w:bCs/>
                <w:i/>
                <w:iCs/>
                <w:sz w:val="18"/>
                <w:szCs w:val="18"/>
              </w:rPr>
            </w:pPr>
            <w:r w:rsidRPr="00AC375F">
              <w:rPr>
                <w:b/>
                <w:bCs/>
                <w:i/>
                <w:iCs/>
                <w:sz w:val="18"/>
                <w:szCs w:val="18"/>
              </w:rPr>
              <w:t>Projekt UNICOM</w:t>
            </w:r>
          </w:p>
        </w:tc>
        <w:tc>
          <w:tcPr>
            <w:tcW w:w="1559" w:type="dxa"/>
            <w:tcBorders>
              <w:top w:val="single" w:sz="4" w:space="0" w:color="auto"/>
              <w:left w:val="single" w:sz="4" w:space="0" w:color="auto"/>
              <w:bottom w:val="single" w:sz="4" w:space="0" w:color="auto"/>
              <w:right w:val="single" w:sz="4" w:space="0" w:color="auto"/>
            </w:tcBorders>
            <w:shd w:val="clear" w:color="auto" w:fill="A3E7FF"/>
            <w:noWrap/>
          </w:tcPr>
          <w:p w14:paraId="6E998D67" w14:textId="77777777" w:rsidR="00AC375F" w:rsidRPr="00AC375F" w:rsidRDefault="00AC375F" w:rsidP="00AC375F">
            <w:pPr>
              <w:rPr>
                <w:b/>
                <w:bCs/>
                <w:i/>
                <w:iCs/>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3E7FF"/>
            <w:noWrap/>
          </w:tcPr>
          <w:p w14:paraId="13D29FC8" w14:textId="77777777" w:rsidR="00AC375F" w:rsidRPr="00AC375F" w:rsidRDefault="00AC375F" w:rsidP="00AC375F">
            <w:pPr>
              <w:rPr>
                <w:b/>
                <w:bCs/>
                <w:i/>
                <w:i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3E7FF"/>
            <w:noWrap/>
          </w:tcPr>
          <w:p w14:paraId="12487CC6" w14:textId="77777777" w:rsidR="00AC375F" w:rsidRPr="00AC375F" w:rsidRDefault="00AC375F" w:rsidP="00AC375F">
            <w:pPr>
              <w:rPr>
                <w:b/>
                <w:bCs/>
                <w:i/>
                <w:i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3E7FF"/>
            <w:noWrap/>
          </w:tcPr>
          <w:p w14:paraId="01E7657D" w14:textId="77777777" w:rsidR="00AC375F" w:rsidRPr="00AC375F" w:rsidRDefault="00AC375F" w:rsidP="00AC375F">
            <w:pPr>
              <w:rPr>
                <w:b/>
                <w:bCs/>
                <w:i/>
                <w:iCs/>
                <w:sz w:val="18"/>
                <w:szCs w:val="18"/>
              </w:rPr>
            </w:pPr>
          </w:p>
        </w:tc>
      </w:tr>
      <w:tr w:rsidR="00AC375F" w:rsidRPr="00AC375F" w14:paraId="6069DC51" w14:textId="77777777" w:rsidTr="00991955">
        <w:trPr>
          <w:trHeight w:val="570"/>
          <w:tblHeader/>
        </w:trPr>
        <w:tc>
          <w:tcPr>
            <w:tcW w:w="4424" w:type="dxa"/>
            <w:shd w:val="clear" w:color="auto" w:fill="auto"/>
            <w:noWrap/>
            <w:hideMark/>
          </w:tcPr>
          <w:p w14:paraId="51B0FC2B" w14:textId="77777777" w:rsidR="00AC375F" w:rsidRPr="00AC375F" w:rsidRDefault="00AC375F" w:rsidP="00AC375F">
            <w:pPr>
              <w:rPr>
                <w:i/>
                <w:iCs/>
                <w:sz w:val="18"/>
                <w:szCs w:val="18"/>
              </w:rPr>
            </w:pPr>
            <w:r w:rsidRPr="00AC375F">
              <w:rPr>
                <w:i/>
                <w:iCs/>
                <w:sz w:val="18"/>
                <w:szCs w:val="18"/>
              </w:rPr>
              <w:t>naziv skupine</w:t>
            </w:r>
          </w:p>
        </w:tc>
        <w:tc>
          <w:tcPr>
            <w:tcW w:w="1559" w:type="dxa"/>
            <w:shd w:val="clear" w:color="auto" w:fill="auto"/>
            <w:noWrap/>
          </w:tcPr>
          <w:p w14:paraId="0DC6EB9F" w14:textId="77777777" w:rsidR="00AC375F" w:rsidRPr="00AC375F" w:rsidRDefault="00AC375F" w:rsidP="00AC375F">
            <w:pPr>
              <w:jc w:val="center"/>
              <w:rPr>
                <w:i/>
                <w:iCs/>
                <w:sz w:val="18"/>
                <w:szCs w:val="18"/>
              </w:rPr>
            </w:pPr>
            <w:r w:rsidRPr="00AC375F">
              <w:rPr>
                <w:i/>
                <w:iCs/>
                <w:sz w:val="18"/>
                <w:szCs w:val="18"/>
              </w:rPr>
              <w:t>mjesto</w:t>
            </w:r>
          </w:p>
        </w:tc>
        <w:tc>
          <w:tcPr>
            <w:tcW w:w="992" w:type="dxa"/>
            <w:shd w:val="clear" w:color="auto" w:fill="auto"/>
          </w:tcPr>
          <w:p w14:paraId="2349D8C1" w14:textId="77777777" w:rsidR="00AC375F" w:rsidRPr="00AC375F" w:rsidRDefault="00AC375F" w:rsidP="00AC375F">
            <w:pPr>
              <w:jc w:val="center"/>
              <w:rPr>
                <w:i/>
                <w:iCs/>
                <w:sz w:val="18"/>
                <w:szCs w:val="18"/>
              </w:rPr>
            </w:pPr>
            <w:r w:rsidRPr="00AC375F">
              <w:rPr>
                <w:i/>
                <w:iCs/>
                <w:sz w:val="18"/>
                <w:szCs w:val="18"/>
              </w:rPr>
              <w:t>broj</w:t>
            </w:r>
          </w:p>
          <w:p w14:paraId="630D1B1C" w14:textId="77777777" w:rsidR="00AC375F" w:rsidRPr="00AC375F" w:rsidRDefault="00AC375F" w:rsidP="00AC375F">
            <w:pPr>
              <w:jc w:val="center"/>
              <w:rPr>
                <w:i/>
                <w:iCs/>
                <w:sz w:val="18"/>
                <w:szCs w:val="18"/>
              </w:rPr>
            </w:pPr>
            <w:r w:rsidRPr="00AC375F">
              <w:rPr>
                <w:i/>
                <w:iCs/>
                <w:sz w:val="18"/>
                <w:szCs w:val="18"/>
              </w:rPr>
              <w:t>djelatnika</w:t>
            </w:r>
          </w:p>
        </w:tc>
        <w:tc>
          <w:tcPr>
            <w:tcW w:w="1276" w:type="dxa"/>
            <w:shd w:val="clear" w:color="auto" w:fill="auto"/>
            <w:noWrap/>
          </w:tcPr>
          <w:p w14:paraId="08D5E774" w14:textId="77777777" w:rsidR="00AC375F" w:rsidRPr="00AC375F" w:rsidRDefault="00AC375F" w:rsidP="00AC375F">
            <w:pPr>
              <w:jc w:val="center"/>
              <w:rPr>
                <w:i/>
                <w:iCs/>
                <w:sz w:val="18"/>
                <w:szCs w:val="18"/>
              </w:rPr>
            </w:pPr>
            <w:r w:rsidRPr="00AC375F">
              <w:rPr>
                <w:i/>
                <w:iCs/>
                <w:sz w:val="18"/>
                <w:szCs w:val="18"/>
              </w:rPr>
              <w:t>mjesec</w:t>
            </w:r>
          </w:p>
        </w:tc>
        <w:tc>
          <w:tcPr>
            <w:tcW w:w="1134" w:type="dxa"/>
            <w:shd w:val="clear" w:color="auto" w:fill="auto"/>
          </w:tcPr>
          <w:p w14:paraId="111CFE4C" w14:textId="77777777" w:rsidR="00AC375F" w:rsidRPr="00AC375F" w:rsidRDefault="00AC375F" w:rsidP="00AC375F">
            <w:pPr>
              <w:jc w:val="center"/>
              <w:rPr>
                <w:i/>
                <w:iCs/>
                <w:sz w:val="18"/>
                <w:szCs w:val="18"/>
              </w:rPr>
            </w:pPr>
            <w:r w:rsidRPr="00AC375F">
              <w:rPr>
                <w:i/>
                <w:iCs/>
                <w:sz w:val="18"/>
                <w:szCs w:val="18"/>
              </w:rPr>
              <w:t>broj dana/</w:t>
            </w:r>
          </w:p>
          <w:p w14:paraId="20546315" w14:textId="77777777" w:rsidR="00AC375F" w:rsidRPr="00AC375F" w:rsidRDefault="00AC375F" w:rsidP="00AC375F">
            <w:pPr>
              <w:jc w:val="center"/>
              <w:rPr>
                <w:i/>
                <w:iCs/>
                <w:sz w:val="18"/>
                <w:szCs w:val="18"/>
              </w:rPr>
            </w:pPr>
            <w:r w:rsidRPr="00AC375F">
              <w:rPr>
                <w:i/>
                <w:iCs/>
                <w:sz w:val="18"/>
                <w:szCs w:val="18"/>
              </w:rPr>
              <w:t>sastanku</w:t>
            </w:r>
          </w:p>
        </w:tc>
      </w:tr>
      <w:tr w:rsidR="00AC375F" w:rsidRPr="00AC375F" w14:paraId="0F7BA410" w14:textId="77777777" w:rsidTr="00991955">
        <w:trPr>
          <w:trHeight w:val="314"/>
        </w:trPr>
        <w:tc>
          <w:tcPr>
            <w:tcW w:w="4424" w:type="dxa"/>
            <w:shd w:val="clear" w:color="auto" w:fill="auto"/>
            <w:noWrap/>
          </w:tcPr>
          <w:p w14:paraId="5835F866" w14:textId="77777777" w:rsidR="00AC375F" w:rsidRPr="00AC375F" w:rsidRDefault="00AC375F" w:rsidP="00AC375F">
            <w:pPr>
              <w:rPr>
                <w:rFonts w:cstheme="minorHAnsi"/>
                <w:b/>
                <w:sz w:val="18"/>
                <w:szCs w:val="18"/>
              </w:rPr>
            </w:pPr>
            <w:r w:rsidRPr="00AC375F">
              <w:rPr>
                <w:rFonts w:cstheme="minorHAnsi"/>
                <w:sz w:val="18"/>
                <w:szCs w:val="18"/>
              </w:rPr>
              <w:t>UNICOM WP4 status meeting (monthly)</w:t>
            </w:r>
          </w:p>
        </w:tc>
        <w:tc>
          <w:tcPr>
            <w:tcW w:w="1559" w:type="dxa"/>
            <w:shd w:val="clear" w:color="auto" w:fill="auto"/>
            <w:noWrap/>
          </w:tcPr>
          <w:p w14:paraId="29874D41" w14:textId="77777777" w:rsidR="00AC375F" w:rsidRPr="00AC375F" w:rsidRDefault="00AC375F" w:rsidP="00AC375F">
            <w:pPr>
              <w:jc w:val="center"/>
              <w:rPr>
                <w:rFonts w:cstheme="minorHAnsi"/>
                <w:sz w:val="18"/>
                <w:szCs w:val="18"/>
              </w:rPr>
            </w:pPr>
            <w:r w:rsidRPr="00AC375F">
              <w:rPr>
                <w:rFonts w:cstheme="minorHAnsi"/>
                <w:sz w:val="18"/>
                <w:szCs w:val="18"/>
              </w:rPr>
              <w:t>virutalno</w:t>
            </w:r>
          </w:p>
        </w:tc>
        <w:tc>
          <w:tcPr>
            <w:tcW w:w="992" w:type="dxa"/>
            <w:shd w:val="clear" w:color="auto" w:fill="auto"/>
            <w:noWrap/>
          </w:tcPr>
          <w:p w14:paraId="46AB752E" w14:textId="77777777" w:rsidR="00AC375F" w:rsidRPr="00AC375F" w:rsidRDefault="00AC375F" w:rsidP="00AC375F">
            <w:pPr>
              <w:jc w:val="center"/>
              <w:rPr>
                <w:rFonts w:cstheme="minorHAnsi"/>
                <w:sz w:val="18"/>
                <w:szCs w:val="18"/>
              </w:rPr>
            </w:pPr>
            <w:r w:rsidRPr="00AC375F">
              <w:rPr>
                <w:rFonts w:cstheme="minorHAnsi"/>
                <w:sz w:val="18"/>
                <w:szCs w:val="18"/>
              </w:rPr>
              <w:t>2</w:t>
            </w:r>
          </w:p>
        </w:tc>
        <w:tc>
          <w:tcPr>
            <w:tcW w:w="1276" w:type="dxa"/>
            <w:shd w:val="clear" w:color="auto" w:fill="auto"/>
            <w:noWrap/>
          </w:tcPr>
          <w:p w14:paraId="3ABB32E3" w14:textId="77777777" w:rsidR="00AC375F" w:rsidRPr="00AC375F" w:rsidRDefault="00AC375F" w:rsidP="00AC375F">
            <w:pPr>
              <w:jc w:val="center"/>
              <w:rPr>
                <w:rFonts w:cstheme="minorHAnsi"/>
                <w:sz w:val="18"/>
                <w:szCs w:val="18"/>
              </w:rPr>
            </w:pPr>
            <w:r w:rsidRPr="00AC375F">
              <w:rPr>
                <w:rFonts w:cstheme="minorHAnsi"/>
                <w:sz w:val="18"/>
                <w:szCs w:val="18"/>
              </w:rPr>
              <w:t>siječanj</w:t>
            </w:r>
          </w:p>
        </w:tc>
        <w:tc>
          <w:tcPr>
            <w:tcW w:w="1134" w:type="dxa"/>
            <w:shd w:val="clear" w:color="auto" w:fill="auto"/>
            <w:noWrap/>
          </w:tcPr>
          <w:p w14:paraId="3A9C0BC0" w14:textId="77777777" w:rsidR="00AC375F" w:rsidRPr="00AC375F" w:rsidRDefault="00AC375F" w:rsidP="00AC375F">
            <w:pPr>
              <w:jc w:val="center"/>
              <w:rPr>
                <w:rFonts w:cstheme="minorHAnsi"/>
                <w:sz w:val="18"/>
                <w:szCs w:val="18"/>
              </w:rPr>
            </w:pPr>
            <w:r w:rsidRPr="00AC375F">
              <w:rPr>
                <w:rFonts w:cstheme="minorHAnsi"/>
                <w:sz w:val="18"/>
                <w:szCs w:val="18"/>
              </w:rPr>
              <w:t>0,5</w:t>
            </w:r>
          </w:p>
        </w:tc>
      </w:tr>
      <w:tr w:rsidR="00AC375F" w:rsidRPr="00AC375F" w14:paraId="5F674A07" w14:textId="77777777" w:rsidTr="00991955">
        <w:trPr>
          <w:trHeight w:val="314"/>
        </w:trPr>
        <w:tc>
          <w:tcPr>
            <w:tcW w:w="4424" w:type="dxa"/>
            <w:shd w:val="clear" w:color="auto" w:fill="auto"/>
            <w:noWrap/>
          </w:tcPr>
          <w:p w14:paraId="1551AF17" w14:textId="77777777" w:rsidR="00AC375F" w:rsidRPr="00AC375F" w:rsidRDefault="00AC375F" w:rsidP="00AC375F">
            <w:pPr>
              <w:rPr>
                <w:rFonts w:cstheme="minorHAnsi"/>
                <w:sz w:val="18"/>
                <w:szCs w:val="18"/>
              </w:rPr>
            </w:pPr>
            <w:r w:rsidRPr="00AC375F">
              <w:rPr>
                <w:rFonts w:cstheme="minorHAnsi"/>
                <w:sz w:val="18"/>
                <w:szCs w:val="18"/>
              </w:rPr>
              <w:t xml:space="preserve">WP4 prezentacija za Technical review </w:t>
            </w:r>
          </w:p>
        </w:tc>
        <w:tc>
          <w:tcPr>
            <w:tcW w:w="1559" w:type="dxa"/>
            <w:shd w:val="clear" w:color="auto" w:fill="auto"/>
            <w:noWrap/>
          </w:tcPr>
          <w:p w14:paraId="79B6BE73" w14:textId="77777777" w:rsidR="00AC375F" w:rsidRPr="00AC375F" w:rsidRDefault="00AC375F" w:rsidP="00AC375F">
            <w:pPr>
              <w:jc w:val="center"/>
              <w:rPr>
                <w:rFonts w:cstheme="minorHAnsi"/>
                <w:sz w:val="18"/>
                <w:szCs w:val="18"/>
              </w:rPr>
            </w:pPr>
            <w:r w:rsidRPr="00AC375F">
              <w:rPr>
                <w:rFonts w:cstheme="minorHAnsi"/>
                <w:sz w:val="18"/>
                <w:szCs w:val="18"/>
              </w:rPr>
              <w:t>virutalno</w:t>
            </w:r>
          </w:p>
        </w:tc>
        <w:tc>
          <w:tcPr>
            <w:tcW w:w="992" w:type="dxa"/>
            <w:shd w:val="clear" w:color="auto" w:fill="auto"/>
            <w:noWrap/>
          </w:tcPr>
          <w:p w14:paraId="72B52B59" w14:textId="77777777" w:rsidR="00AC375F" w:rsidRPr="00AC375F" w:rsidRDefault="00AC375F" w:rsidP="00AC375F">
            <w:pPr>
              <w:jc w:val="center"/>
              <w:rPr>
                <w:rFonts w:cstheme="minorHAnsi"/>
                <w:sz w:val="18"/>
                <w:szCs w:val="18"/>
              </w:rPr>
            </w:pPr>
            <w:r w:rsidRPr="00AC375F">
              <w:rPr>
                <w:rFonts w:cstheme="minorHAnsi"/>
                <w:sz w:val="18"/>
                <w:szCs w:val="18"/>
              </w:rPr>
              <w:t>2</w:t>
            </w:r>
          </w:p>
        </w:tc>
        <w:tc>
          <w:tcPr>
            <w:tcW w:w="1276" w:type="dxa"/>
            <w:shd w:val="clear" w:color="auto" w:fill="auto"/>
            <w:noWrap/>
          </w:tcPr>
          <w:p w14:paraId="2B4CF2FD" w14:textId="77777777" w:rsidR="00AC375F" w:rsidRPr="00AC375F" w:rsidRDefault="00AC375F" w:rsidP="00AC375F">
            <w:pPr>
              <w:jc w:val="center"/>
              <w:rPr>
                <w:rFonts w:cstheme="minorHAnsi"/>
                <w:sz w:val="18"/>
                <w:szCs w:val="18"/>
              </w:rPr>
            </w:pPr>
            <w:r w:rsidRPr="00AC375F">
              <w:rPr>
                <w:rFonts w:cstheme="minorHAnsi"/>
                <w:sz w:val="18"/>
                <w:szCs w:val="18"/>
              </w:rPr>
              <w:t>siječanj</w:t>
            </w:r>
          </w:p>
        </w:tc>
        <w:tc>
          <w:tcPr>
            <w:tcW w:w="1134" w:type="dxa"/>
            <w:shd w:val="clear" w:color="auto" w:fill="auto"/>
            <w:noWrap/>
          </w:tcPr>
          <w:p w14:paraId="42129EEA" w14:textId="77777777" w:rsidR="00AC375F" w:rsidRPr="00AC375F" w:rsidRDefault="00AC375F" w:rsidP="00AC375F">
            <w:pPr>
              <w:jc w:val="center"/>
              <w:rPr>
                <w:rFonts w:cstheme="minorHAnsi"/>
                <w:sz w:val="18"/>
                <w:szCs w:val="18"/>
              </w:rPr>
            </w:pPr>
            <w:r w:rsidRPr="00AC375F">
              <w:rPr>
                <w:rFonts w:cstheme="minorHAnsi"/>
                <w:sz w:val="18"/>
                <w:szCs w:val="18"/>
              </w:rPr>
              <w:t>0,25</w:t>
            </w:r>
          </w:p>
        </w:tc>
      </w:tr>
      <w:tr w:rsidR="00AC375F" w:rsidRPr="00AC375F" w14:paraId="1AF6EF62" w14:textId="77777777" w:rsidTr="00991955">
        <w:trPr>
          <w:trHeight w:val="314"/>
        </w:trPr>
        <w:tc>
          <w:tcPr>
            <w:tcW w:w="4424" w:type="dxa"/>
            <w:shd w:val="clear" w:color="auto" w:fill="auto"/>
            <w:noWrap/>
          </w:tcPr>
          <w:p w14:paraId="188FD246" w14:textId="77777777" w:rsidR="00AC375F" w:rsidRPr="00AC375F" w:rsidRDefault="00AC375F" w:rsidP="00AC375F">
            <w:pPr>
              <w:rPr>
                <w:rFonts w:cstheme="minorHAnsi"/>
                <w:sz w:val="18"/>
                <w:szCs w:val="18"/>
              </w:rPr>
            </w:pPr>
            <w:r w:rsidRPr="00AC375F">
              <w:rPr>
                <w:rFonts w:cstheme="minorHAnsi"/>
                <w:sz w:val="18"/>
                <w:szCs w:val="18"/>
              </w:rPr>
              <w:t>UNICOM 2nd Periodic Review</w:t>
            </w:r>
          </w:p>
        </w:tc>
        <w:tc>
          <w:tcPr>
            <w:tcW w:w="1559" w:type="dxa"/>
            <w:shd w:val="clear" w:color="auto" w:fill="auto"/>
            <w:noWrap/>
          </w:tcPr>
          <w:p w14:paraId="60829833" w14:textId="77777777" w:rsidR="00AC375F" w:rsidRPr="00AC375F" w:rsidRDefault="00AC375F" w:rsidP="00AC375F">
            <w:pPr>
              <w:jc w:val="center"/>
              <w:rPr>
                <w:rFonts w:cstheme="minorHAnsi"/>
                <w:sz w:val="18"/>
                <w:szCs w:val="18"/>
              </w:rPr>
            </w:pPr>
            <w:r w:rsidRPr="00AC375F">
              <w:rPr>
                <w:rFonts w:cstheme="minorHAnsi"/>
                <w:sz w:val="18"/>
                <w:szCs w:val="18"/>
              </w:rPr>
              <w:t>virutalno</w:t>
            </w:r>
          </w:p>
        </w:tc>
        <w:tc>
          <w:tcPr>
            <w:tcW w:w="992" w:type="dxa"/>
            <w:shd w:val="clear" w:color="auto" w:fill="auto"/>
            <w:noWrap/>
          </w:tcPr>
          <w:p w14:paraId="0D15D564" w14:textId="77777777" w:rsidR="00AC375F" w:rsidRPr="00AC375F" w:rsidRDefault="00AC375F" w:rsidP="00AC375F">
            <w:pPr>
              <w:jc w:val="center"/>
              <w:rPr>
                <w:rFonts w:cstheme="minorHAnsi"/>
                <w:sz w:val="18"/>
                <w:szCs w:val="18"/>
              </w:rPr>
            </w:pPr>
            <w:r w:rsidRPr="00AC375F">
              <w:rPr>
                <w:rFonts w:cstheme="minorHAnsi"/>
                <w:sz w:val="18"/>
                <w:szCs w:val="18"/>
              </w:rPr>
              <w:t>2</w:t>
            </w:r>
          </w:p>
        </w:tc>
        <w:tc>
          <w:tcPr>
            <w:tcW w:w="1276" w:type="dxa"/>
            <w:shd w:val="clear" w:color="auto" w:fill="auto"/>
            <w:noWrap/>
          </w:tcPr>
          <w:p w14:paraId="19A81048" w14:textId="77777777" w:rsidR="00AC375F" w:rsidRPr="00AC375F" w:rsidRDefault="00AC375F" w:rsidP="00AC375F">
            <w:pPr>
              <w:jc w:val="center"/>
              <w:rPr>
                <w:rFonts w:cstheme="minorHAnsi"/>
                <w:sz w:val="18"/>
                <w:szCs w:val="18"/>
              </w:rPr>
            </w:pPr>
            <w:r w:rsidRPr="00AC375F">
              <w:rPr>
                <w:rFonts w:cstheme="minorHAnsi"/>
                <w:sz w:val="18"/>
                <w:szCs w:val="18"/>
              </w:rPr>
              <w:t>veljača</w:t>
            </w:r>
          </w:p>
        </w:tc>
        <w:tc>
          <w:tcPr>
            <w:tcW w:w="1134" w:type="dxa"/>
            <w:shd w:val="clear" w:color="auto" w:fill="auto"/>
            <w:noWrap/>
          </w:tcPr>
          <w:p w14:paraId="5F856169" w14:textId="77777777" w:rsidR="00AC375F" w:rsidRPr="00AC375F" w:rsidRDefault="00AC375F" w:rsidP="00AC375F">
            <w:pPr>
              <w:jc w:val="center"/>
              <w:rPr>
                <w:rFonts w:cstheme="minorHAnsi"/>
                <w:sz w:val="18"/>
                <w:szCs w:val="18"/>
              </w:rPr>
            </w:pPr>
            <w:r w:rsidRPr="00AC375F">
              <w:rPr>
                <w:rFonts w:cstheme="minorHAnsi"/>
                <w:sz w:val="18"/>
                <w:szCs w:val="18"/>
              </w:rPr>
              <w:t>3</w:t>
            </w:r>
          </w:p>
        </w:tc>
      </w:tr>
      <w:tr w:rsidR="00AC375F" w:rsidRPr="00AC375F" w14:paraId="7DFEDD64" w14:textId="77777777" w:rsidTr="00991955">
        <w:trPr>
          <w:trHeight w:val="314"/>
        </w:trPr>
        <w:tc>
          <w:tcPr>
            <w:tcW w:w="4424" w:type="dxa"/>
            <w:shd w:val="clear" w:color="auto" w:fill="auto"/>
            <w:noWrap/>
          </w:tcPr>
          <w:p w14:paraId="0E4A4E35" w14:textId="77777777" w:rsidR="00AC375F" w:rsidRPr="00AC375F" w:rsidRDefault="00AC375F" w:rsidP="00AC375F">
            <w:pPr>
              <w:rPr>
                <w:rFonts w:cstheme="minorHAnsi"/>
                <w:sz w:val="18"/>
                <w:szCs w:val="18"/>
              </w:rPr>
            </w:pPr>
            <w:r w:rsidRPr="00AC375F">
              <w:rPr>
                <w:rFonts w:cstheme="minorHAnsi"/>
                <w:sz w:val="18"/>
                <w:szCs w:val="18"/>
              </w:rPr>
              <w:t xml:space="preserve">UNICOM: Sources of medication data </w:t>
            </w:r>
          </w:p>
        </w:tc>
        <w:tc>
          <w:tcPr>
            <w:tcW w:w="1559" w:type="dxa"/>
            <w:shd w:val="clear" w:color="auto" w:fill="auto"/>
            <w:noWrap/>
          </w:tcPr>
          <w:p w14:paraId="53A7054B" w14:textId="77777777" w:rsidR="00AC375F" w:rsidRPr="00AC375F" w:rsidRDefault="00AC375F" w:rsidP="00AC375F">
            <w:pPr>
              <w:jc w:val="center"/>
              <w:rPr>
                <w:rFonts w:cstheme="minorHAnsi"/>
                <w:sz w:val="18"/>
                <w:szCs w:val="18"/>
              </w:rPr>
            </w:pPr>
            <w:r w:rsidRPr="00AC375F">
              <w:rPr>
                <w:rFonts w:cstheme="minorHAnsi"/>
                <w:sz w:val="18"/>
                <w:szCs w:val="18"/>
              </w:rPr>
              <w:t>virtualno</w:t>
            </w:r>
          </w:p>
        </w:tc>
        <w:tc>
          <w:tcPr>
            <w:tcW w:w="992" w:type="dxa"/>
            <w:shd w:val="clear" w:color="auto" w:fill="auto"/>
            <w:noWrap/>
          </w:tcPr>
          <w:p w14:paraId="4982F75F" w14:textId="77777777" w:rsidR="00AC375F" w:rsidRPr="00AC375F" w:rsidRDefault="00AC375F" w:rsidP="00AC375F">
            <w:pPr>
              <w:jc w:val="center"/>
              <w:rPr>
                <w:rFonts w:cstheme="minorHAnsi"/>
                <w:sz w:val="18"/>
                <w:szCs w:val="18"/>
              </w:rPr>
            </w:pPr>
            <w:r w:rsidRPr="00AC375F">
              <w:rPr>
                <w:rFonts w:cstheme="minorHAnsi"/>
                <w:sz w:val="18"/>
                <w:szCs w:val="18"/>
              </w:rPr>
              <w:t>2</w:t>
            </w:r>
          </w:p>
        </w:tc>
        <w:tc>
          <w:tcPr>
            <w:tcW w:w="1276" w:type="dxa"/>
            <w:shd w:val="clear" w:color="auto" w:fill="auto"/>
            <w:noWrap/>
          </w:tcPr>
          <w:p w14:paraId="4058CB48" w14:textId="77777777" w:rsidR="00AC375F" w:rsidRPr="00AC375F" w:rsidRDefault="00AC375F" w:rsidP="00AC375F">
            <w:pPr>
              <w:jc w:val="center"/>
              <w:rPr>
                <w:rFonts w:cstheme="minorHAnsi"/>
                <w:sz w:val="18"/>
                <w:szCs w:val="18"/>
              </w:rPr>
            </w:pPr>
            <w:r w:rsidRPr="00AC375F">
              <w:rPr>
                <w:rFonts w:cstheme="minorHAnsi"/>
                <w:sz w:val="18"/>
                <w:szCs w:val="18"/>
              </w:rPr>
              <w:t>veljača</w:t>
            </w:r>
          </w:p>
        </w:tc>
        <w:tc>
          <w:tcPr>
            <w:tcW w:w="1134" w:type="dxa"/>
            <w:shd w:val="clear" w:color="auto" w:fill="auto"/>
            <w:noWrap/>
          </w:tcPr>
          <w:p w14:paraId="297B65D8" w14:textId="77777777" w:rsidR="00AC375F" w:rsidRPr="00AC375F" w:rsidRDefault="00AC375F" w:rsidP="00AC375F">
            <w:pPr>
              <w:jc w:val="center"/>
              <w:rPr>
                <w:rFonts w:cstheme="minorHAnsi"/>
                <w:sz w:val="18"/>
                <w:szCs w:val="18"/>
              </w:rPr>
            </w:pPr>
            <w:r w:rsidRPr="00AC375F">
              <w:rPr>
                <w:rFonts w:cstheme="minorHAnsi"/>
                <w:sz w:val="18"/>
                <w:szCs w:val="18"/>
              </w:rPr>
              <w:t>0,375</w:t>
            </w:r>
          </w:p>
        </w:tc>
      </w:tr>
      <w:tr w:rsidR="00AC375F" w:rsidRPr="00AC375F" w14:paraId="56107FC5" w14:textId="77777777" w:rsidTr="00991955">
        <w:trPr>
          <w:trHeight w:val="314"/>
        </w:trPr>
        <w:tc>
          <w:tcPr>
            <w:tcW w:w="4424" w:type="dxa"/>
            <w:shd w:val="clear" w:color="auto" w:fill="auto"/>
            <w:noWrap/>
          </w:tcPr>
          <w:p w14:paraId="358041EF" w14:textId="77777777" w:rsidR="00AC375F" w:rsidRPr="00AC375F" w:rsidRDefault="00AC375F" w:rsidP="00AC375F">
            <w:pPr>
              <w:rPr>
                <w:rFonts w:cstheme="minorHAnsi"/>
                <w:sz w:val="18"/>
                <w:szCs w:val="18"/>
              </w:rPr>
            </w:pPr>
            <w:r w:rsidRPr="00AC375F">
              <w:rPr>
                <w:rFonts w:cstheme="minorHAnsi"/>
                <w:sz w:val="18"/>
                <w:szCs w:val="18"/>
              </w:rPr>
              <w:t>Product Management Service (PMS) Webinar on Data Migration</w:t>
            </w:r>
          </w:p>
        </w:tc>
        <w:tc>
          <w:tcPr>
            <w:tcW w:w="1559" w:type="dxa"/>
            <w:shd w:val="clear" w:color="auto" w:fill="auto"/>
            <w:noWrap/>
          </w:tcPr>
          <w:p w14:paraId="146E4A5D" w14:textId="77777777" w:rsidR="00AC375F" w:rsidRPr="00AC375F" w:rsidRDefault="00AC375F" w:rsidP="00AC375F">
            <w:pPr>
              <w:jc w:val="center"/>
              <w:rPr>
                <w:rFonts w:cstheme="minorHAnsi"/>
                <w:sz w:val="18"/>
                <w:szCs w:val="18"/>
              </w:rPr>
            </w:pPr>
            <w:r w:rsidRPr="00AC375F">
              <w:rPr>
                <w:rFonts w:cstheme="minorHAnsi"/>
                <w:sz w:val="18"/>
                <w:szCs w:val="18"/>
              </w:rPr>
              <w:t>virtualno</w:t>
            </w:r>
          </w:p>
        </w:tc>
        <w:tc>
          <w:tcPr>
            <w:tcW w:w="992" w:type="dxa"/>
            <w:shd w:val="clear" w:color="auto" w:fill="auto"/>
            <w:noWrap/>
          </w:tcPr>
          <w:p w14:paraId="662791C6" w14:textId="77777777" w:rsidR="00AC375F" w:rsidRPr="00AC375F" w:rsidRDefault="00AC375F" w:rsidP="00AC375F">
            <w:pPr>
              <w:jc w:val="center"/>
              <w:rPr>
                <w:rFonts w:cstheme="minorHAnsi"/>
                <w:sz w:val="18"/>
                <w:szCs w:val="18"/>
              </w:rPr>
            </w:pPr>
            <w:r w:rsidRPr="00AC375F">
              <w:rPr>
                <w:rFonts w:cstheme="minorHAnsi"/>
                <w:sz w:val="18"/>
                <w:szCs w:val="18"/>
              </w:rPr>
              <w:t>1</w:t>
            </w:r>
          </w:p>
        </w:tc>
        <w:tc>
          <w:tcPr>
            <w:tcW w:w="1276" w:type="dxa"/>
            <w:shd w:val="clear" w:color="auto" w:fill="auto"/>
            <w:noWrap/>
          </w:tcPr>
          <w:p w14:paraId="1710376B" w14:textId="77777777" w:rsidR="00AC375F" w:rsidRPr="00AC375F" w:rsidRDefault="00AC375F" w:rsidP="00AC375F">
            <w:pPr>
              <w:jc w:val="center"/>
              <w:rPr>
                <w:rFonts w:cstheme="minorHAnsi"/>
                <w:sz w:val="18"/>
                <w:szCs w:val="18"/>
              </w:rPr>
            </w:pPr>
            <w:r w:rsidRPr="00AC375F">
              <w:rPr>
                <w:rFonts w:cstheme="minorHAnsi"/>
                <w:sz w:val="18"/>
                <w:szCs w:val="18"/>
              </w:rPr>
              <w:t>veljača</w:t>
            </w:r>
          </w:p>
        </w:tc>
        <w:tc>
          <w:tcPr>
            <w:tcW w:w="1134" w:type="dxa"/>
            <w:shd w:val="clear" w:color="auto" w:fill="auto"/>
            <w:noWrap/>
          </w:tcPr>
          <w:p w14:paraId="642AB938" w14:textId="77777777" w:rsidR="00AC375F" w:rsidRPr="00AC375F" w:rsidRDefault="00AC375F" w:rsidP="00AC375F">
            <w:pPr>
              <w:jc w:val="center"/>
              <w:rPr>
                <w:rFonts w:cstheme="minorHAnsi"/>
                <w:sz w:val="18"/>
                <w:szCs w:val="18"/>
              </w:rPr>
            </w:pPr>
            <w:r w:rsidRPr="00AC375F">
              <w:rPr>
                <w:rFonts w:cstheme="minorHAnsi"/>
                <w:sz w:val="18"/>
                <w:szCs w:val="18"/>
              </w:rPr>
              <w:t>0,1875</w:t>
            </w:r>
          </w:p>
        </w:tc>
      </w:tr>
      <w:tr w:rsidR="00AC375F" w:rsidRPr="00AC375F" w14:paraId="020D91CA" w14:textId="77777777" w:rsidTr="00991955">
        <w:trPr>
          <w:trHeight w:val="314"/>
        </w:trPr>
        <w:tc>
          <w:tcPr>
            <w:tcW w:w="4424" w:type="dxa"/>
            <w:shd w:val="clear" w:color="auto" w:fill="auto"/>
            <w:noWrap/>
          </w:tcPr>
          <w:p w14:paraId="52028E05" w14:textId="77777777" w:rsidR="00AC375F" w:rsidRPr="00AC375F" w:rsidRDefault="00AC375F" w:rsidP="00AC375F">
            <w:pPr>
              <w:rPr>
                <w:rFonts w:cstheme="minorHAnsi"/>
                <w:b/>
                <w:sz w:val="18"/>
                <w:szCs w:val="18"/>
              </w:rPr>
            </w:pPr>
            <w:r w:rsidRPr="00AC375F">
              <w:rPr>
                <w:rFonts w:cstheme="minorHAnsi"/>
                <w:sz w:val="18"/>
                <w:szCs w:val="18"/>
              </w:rPr>
              <w:t>UNICOM WP4 status meeting (monthly)</w:t>
            </w:r>
          </w:p>
        </w:tc>
        <w:tc>
          <w:tcPr>
            <w:tcW w:w="1559" w:type="dxa"/>
            <w:shd w:val="clear" w:color="auto" w:fill="auto"/>
            <w:noWrap/>
          </w:tcPr>
          <w:p w14:paraId="470F2D68" w14:textId="77777777" w:rsidR="00AC375F" w:rsidRPr="00AC375F" w:rsidRDefault="00AC375F" w:rsidP="00AC375F">
            <w:pPr>
              <w:jc w:val="center"/>
              <w:rPr>
                <w:rFonts w:cstheme="minorHAnsi"/>
                <w:sz w:val="18"/>
                <w:szCs w:val="18"/>
              </w:rPr>
            </w:pPr>
            <w:r w:rsidRPr="00AC375F">
              <w:rPr>
                <w:rFonts w:cstheme="minorHAnsi"/>
                <w:sz w:val="18"/>
                <w:szCs w:val="18"/>
              </w:rPr>
              <w:t>virutalno</w:t>
            </w:r>
          </w:p>
        </w:tc>
        <w:tc>
          <w:tcPr>
            <w:tcW w:w="992" w:type="dxa"/>
            <w:shd w:val="clear" w:color="auto" w:fill="auto"/>
            <w:noWrap/>
          </w:tcPr>
          <w:p w14:paraId="2C4DD596" w14:textId="77777777" w:rsidR="00AC375F" w:rsidRPr="00AC375F" w:rsidRDefault="00AC375F" w:rsidP="00AC375F">
            <w:pPr>
              <w:jc w:val="center"/>
              <w:rPr>
                <w:rFonts w:cstheme="minorHAnsi"/>
                <w:sz w:val="18"/>
                <w:szCs w:val="18"/>
              </w:rPr>
            </w:pPr>
            <w:r w:rsidRPr="00AC375F">
              <w:rPr>
                <w:rFonts w:cstheme="minorHAnsi"/>
                <w:sz w:val="18"/>
                <w:szCs w:val="18"/>
              </w:rPr>
              <w:t>2</w:t>
            </w:r>
          </w:p>
        </w:tc>
        <w:tc>
          <w:tcPr>
            <w:tcW w:w="1276" w:type="dxa"/>
            <w:shd w:val="clear" w:color="auto" w:fill="auto"/>
            <w:noWrap/>
          </w:tcPr>
          <w:p w14:paraId="4107970F" w14:textId="77777777" w:rsidR="00AC375F" w:rsidRPr="00AC375F" w:rsidRDefault="00AC375F" w:rsidP="00AC375F">
            <w:pPr>
              <w:jc w:val="center"/>
              <w:rPr>
                <w:rFonts w:cstheme="minorHAnsi"/>
                <w:sz w:val="18"/>
                <w:szCs w:val="18"/>
              </w:rPr>
            </w:pPr>
            <w:r w:rsidRPr="00AC375F">
              <w:rPr>
                <w:rFonts w:cstheme="minorHAnsi"/>
                <w:sz w:val="18"/>
                <w:szCs w:val="18"/>
              </w:rPr>
              <w:t>ožujak</w:t>
            </w:r>
          </w:p>
        </w:tc>
        <w:tc>
          <w:tcPr>
            <w:tcW w:w="1134" w:type="dxa"/>
            <w:shd w:val="clear" w:color="auto" w:fill="auto"/>
            <w:noWrap/>
          </w:tcPr>
          <w:p w14:paraId="5B3B03CC" w14:textId="77777777" w:rsidR="00AC375F" w:rsidRPr="00AC375F" w:rsidRDefault="00AC375F" w:rsidP="00AC375F">
            <w:pPr>
              <w:jc w:val="center"/>
              <w:rPr>
                <w:rFonts w:cstheme="minorHAnsi"/>
                <w:sz w:val="18"/>
                <w:szCs w:val="18"/>
              </w:rPr>
            </w:pPr>
            <w:r w:rsidRPr="00AC375F">
              <w:rPr>
                <w:rFonts w:cstheme="minorHAnsi"/>
                <w:sz w:val="18"/>
                <w:szCs w:val="18"/>
              </w:rPr>
              <w:t>0,5</w:t>
            </w:r>
          </w:p>
        </w:tc>
      </w:tr>
      <w:tr w:rsidR="00AC375F" w:rsidRPr="00AC375F" w14:paraId="2C5A0ECF" w14:textId="77777777" w:rsidTr="00991955">
        <w:trPr>
          <w:trHeight w:val="314"/>
        </w:trPr>
        <w:tc>
          <w:tcPr>
            <w:tcW w:w="4424" w:type="dxa"/>
            <w:shd w:val="clear" w:color="auto" w:fill="auto"/>
            <w:noWrap/>
          </w:tcPr>
          <w:p w14:paraId="5D9E9C57" w14:textId="77777777" w:rsidR="00AC375F" w:rsidRPr="00AC375F" w:rsidRDefault="00AC375F" w:rsidP="00AC375F">
            <w:pPr>
              <w:rPr>
                <w:rFonts w:cstheme="minorHAnsi"/>
                <w:sz w:val="18"/>
                <w:szCs w:val="18"/>
              </w:rPr>
            </w:pPr>
            <w:r w:rsidRPr="00AC375F">
              <w:rPr>
                <w:rFonts w:cstheme="minorHAnsi"/>
                <w:sz w:val="18"/>
                <w:szCs w:val="18"/>
              </w:rPr>
              <w:t>UNICOM Task D8.8 - Meeting</w:t>
            </w:r>
          </w:p>
        </w:tc>
        <w:tc>
          <w:tcPr>
            <w:tcW w:w="1559" w:type="dxa"/>
            <w:shd w:val="clear" w:color="auto" w:fill="auto"/>
            <w:noWrap/>
          </w:tcPr>
          <w:p w14:paraId="28E0AB06" w14:textId="77777777" w:rsidR="00AC375F" w:rsidRPr="00AC375F" w:rsidRDefault="00AC375F" w:rsidP="00AC375F">
            <w:pPr>
              <w:jc w:val="center"/>
              <w:rPr>
                <w:rFonts w:cstheme="minorHAnsi"/>
                <w:sz w:val="18"/>
                <w:szCs w:val="18"/>
              </w:rPr>
            </w:pPr>
            <w:r w:rsidRPr="00AC375F">
              <w:rPr>
                <w:rFonts w:cstheme="minorHAnsi"/>
                <w:sz w:val="18"/>
                <w:szCs w:val="18"/>
              </w:rPr>
              <w:t>virtualno</w:t>
            </w:r>
          </w:p>
        </w:tc>
        <w:tc>
          <w:tcPr>
            <w:tcW w:w="992" w:type="dxa"/>
            <w:shd w:val="clear" w:color="auto" w:fill="auto"/>
            <w:noWrap/>
          </w:tcPr>
          <w:p w14:paraId="4E0DC17F" w14:textId="77777777" w:rsidR="00AC375F" w:rsidRPr="00AC375F" w:rsidRDefault="00AC375F" w:rsidP="00AC375F">
            <w:pPr>
              <w:jc w:val="center"/>
              <w:rPr>
                <w:rFonts w:cstheme="minorHAnsi"/>
                <w:sz w:val="18"/>
                <w:szCs w:val="18"/>
              </w:rPr>
            </w:pPr>
            <w:r w:rsidRPr="00AC375F">
              <w:rPr>
                <w:rFonts w:cstheme="minorHAnsi"/>
                <w:sz w:val="18"/>
                <w:szCs w:val="18"/>
              </w:rPr>
              <w:t>1</w:t>
            </w:r>
          </w:p>
        </w:tc>
        <w:tc>
          <w:tcPr>
            <w:tcW w:w="1276" w:type="dxa"/>
            <w:shd w:val="clear" w:color="auto" w:fill="auto"/>
            <w:noWrap/>
          </w:tcPr>
          <w:p w14:paraId="00C50772" w14:textId="77777777" w:rsidR="00AC375F" w:rsidRPr="00AC375F" w:rsidRDefault="00AC375F" w:rsidP="00AC375F">
            <w:pPr>
              <w:jc w:val="center"/>
              <w:rPr>
                <w:rFonts w:cstheme="minorHAnsi"/>
                <w:sz w:val="18"/>
                <w:szCs w:val="18"/>
              </w:rPr>
            </w:pPr>
            <w:r w:rsidRPr="00AC375F">
              <w:rPr>
                <w:rFonts w:cstheme="minorHAnsi"/>
                <w:sz w:val="18"/>
                <w:szCs w:val="18"/>
              </w:rPr>
              <w:t>ožujak</w:t>
            </w:r>
          </w:p>
        </w:tc>
        <w:tc>
          <w:tcPr>
            <w:tcW w:w="1134" w:type="dxa"/>
            <w:shd w:val="clear" w:color="auto" w:fill="auto"/>
            <w:noWrap/>
          </w:tcPr>
          <w:p w14:paraId="21BB5FE1" w14:textId="77777777" w:rsidR="00AC375F" w:rsidRPr="00AC375F" w:rsidRDefault="00AC375F" w:rsidP="00AC375F">
            <w:pPr>
              <w:jc w:val="center"/>
              <w:rPr>
                <w:rFonts w:cstheme="minorHAnsi"/>
                <w:sz w:val="18"/>
                <w:szCs w:val="18"/>
              </w:rPr>
            </w:pPr>
            <w:r w:rsidRPr="00AC375F">
              <w:rPr>
                <w:rFonts w:cstheme="minorHAnsi"/>
                <w:sz w:val="18"/>
                <w:szCs w:val="18"/>
              </w:rPr>
              <w:t>0,125</w:t>
            </w:r>
          </w:p>
        </w:tc>
      </w:tr>
      <w:tr w:rsidR="00AC375F" w:rsidRPr="00AC375F" w14:paraId="6D71D1E3" w14:textId="77777777" w:rsidTr="00991955">
        <w:trPr>
          <w:trHeight w:val="314"/>
        </w:trPr>
        <w:tc>
          <w:tcPr>
            <w:tcW w:w="4424" w:type="dxa"/>
            <w:shd w:val="clear" w:color="auto" w:fill="auto"/>
            <w:noWrap/>
          </w:tcPr>
          <w:p w14:paraId="15F6F8E6" w14:textId="77777777" w:rsidR="00AC375F" w:rsidRPr="00AC375F" w:rsidRDefault="00AC375F" w:rsidP="00AC375F">
            <w:pPr>
              <w:rPr>
                <w:rFonts w:cstheme="minorHAnsi"/>
                <w:sz w:val="18"/>
                <w:szCs w:val="18"/>
              </w:rPr>
            </w:pPr>
            <w:r w:rsidRPr="00AC375F">
              <w:rPr>
                <w:rFonts w:cstheme="minorHAnsi"/>
                <w:sz w:val="18"/>
                <w:szCs w:val="18"/>
              </w:rPr>
              <w:t>Basic Training IDMP &amp; FHIR for NCAs staff</w:t>
            </w:r>
          </w:p>
        </w:tc>
        <w:tc>
          <w:tcPr>
            <w:tcW w:w="1559" w:type="dxa"/>
            <w:shd w:val="clear" w:color="auto" w:fill="auto"/>
            <w:noWrap/>
          </w:tcPr>
          <w:p w14:paraId="3EB75BA5" w14:textId="77777777" w:rsidR="00AC375F" w:rsidRPr="00AC375F" w:rsidRDefault="00AC375F" w:rsidP="00AC375F">
            <w:pPr>
              <w:jc w:val="center"/>
              <w:rPr>
                <w:rFonts w:cstheme="minorHAnsi"/>
                <w:sz w:val="18"/>
                <w:szCs w:val="18"/>
              </w:rPr>
            </w:pPr>
            <w:r w:rsidRPr="00AC375F">
              <w:rPr>
                <w:rFonts w:cstheme="minorHAnsi"/>
                <w:sz w:val="18"/>
                <w:szCs w:val="18"/>
              </w:rPr>
              <w:t>virtualno</w:t>
            </w:r>
          </w:p>
        </w:tc>
        <w:tc>
          <w:tcPr>
            <w:tcW w:w="992" w:type="dxa"/>
            <w:shd w:val="clear" w:color="auto" w:fill="auto"/>
            <w:noWrap/>
          </w:tcPr>
          <w:p w14:paraId="1B43A119" w14:textId="77777777" w:rsidR="00AC375F" w:rsidRPr="00AC375F" w:rsidRDefault="00AC375F" w:rsidP="00AC375F">
            <w:pPr>
              <w:jc w:val="center"/>
              <w:rPr>
                <w:rFonts w:cstheme="minorHAnsi"/>
                <w:sz w:val="18"/>
                <w:szCs w:val="18"/>
              </w:rPr>
            </w:pPr>
            <w:r w:rsidRPr="00AC375F">
              <w:rPr>
                <w:rFonts w:cstheme="minorHAnsi"/>
                <w:sz w:val="18"/>
                <w:szCs w:val="18"/>
              </w:rPr>
              <w:t>4</w:t>
            </w:r>
          </w:p>
        </w:tc>
        <w:tc>
          <w:tcPr>
            <w:tcW w:w="1276" w:type="dxa"/>
            <w:shd w:val="clear" w:color="auto" w:fill="auto"/>
            <w:noWrap/>
          </w:tcPr>
          <w:p w14:paraId="0C87F747" w14:textId="77777777" w:rsidR="00AC375F" w:rsidRPr="00AC375F" w:rsidRDefault="00AC375F" w:rsidP="00AC375F">
            <w:pPr>
              <w:jc w:val="center"/>
              <w:rPr>
                <w:rFonts w:cstheme="minorHAnsi"/>
                <w:sz w:val="18"/>
                <w:szCs w:val="18"/>
              </w:rPr>
            </w:pPr>
            <w:r w:rsidRPr="00AC375F">
              <w:rPr>
                <w:rFonts w:cstheme="minorHAnsi"/>
                <w:sz w:val="18"/>
                <w:szCs w:val="18"/>
              </w:rPr>
              <w:t>ožujak</w:t>
            </w:r>
          </w:p>
        </w:tc>
        <w:tc>
          <w:tcPr>
            <w:tcW w:w="1134" w:type="dxa"/>
            <w:shd w:val="clear" w:color="auto" w:fill="auto"/>
            <w:noWrap/>
          </w:tcPr>
          <w:p w14:paraId="5726254D" w14:textId="77777777" w:rsidR="00AC375F" w:rsidRPr="00AC375F" w:rsidRDefault="00AC375F" w:rsidP="00AC375F">
            <w:pPr>
              <w:jc w:val="center"/>
              <w:rPr>
                <w:rFonts w:cstheme="minorHAnsi"/>
                <w:sz w:val="18"/>
                <w:szCs w:val="18"/>
              </w:rPr>
            </w:pPr>
            <w:r w:rsidRPr="00AC375F">
              <w:rPr>
                <w:rFonts w:cstheme="minorHAnsi"/>
                <w:sz w:val="18"/>
                <w:szCs w:val="18"/>
              </w:rPr>
              <w:t>1</w:t>
            </w:r>
          </w:p>
        </w:tc>
      </w:tr>
      <w:tr w:rsidR="00AC375F" w:rsidRPr="00AC375F" w14:paraId="6F6161E7" w14:textId="77777777" w:rsidTr="00991955">
        <w:trPr>
          <w:trHeight w:val="288"/>
        </w:trPr>
        <w:tc>
          <w:tcPr>
            <w:tcW w:w="4424" w:type="dxa"/>
            <w:shd w:val="clear" w:color="auto" w:fill="auto"/>
            <w:noWrap/>
          </w:tcPr>
          <w:p w14:paraId="428DE647" w14:textId="77777777" w:rsidR="00AC375F" w:rsidRPr="00AC375F" w:rsidRDefault="00AC375F" w:rsidP="00AC375F">
            <w:pPr>
              <w:rPr>
                <w:rFonts w:cstheme="minorHAnsi"/>
                <w:sz w:val="18"/>
                <w:szCs w:val="18"/>
              </w:rPr>
            </w:pPr>
            <w:r w:rsidRPr="00AC375F">
              <w:rPr>
                <w:rFonts w:cstheme="minorHAnsi"/>
                <w:sz w:val="18"/>
                <w:szCs w:val="18"/>
              </w:rPr>
              <w:t>NCA Knowledge Transfer Webinar: Croatia implementation progress and demo</w:t>
            </w:r>
          </w:p>
        </w:tc>
        <w:tc>
          <w:tcPr>
            <w:tcW w:w="1559" w:type="dxa"/>
            <w:shd w:val="clear" w:color="auto" w:fill="auto"/>
            <w:noWrap/>
          </w:tcPr>
          <w:p w14:paraId="58C81286" w14:textId="77777777" w:rsidR="00AC375F" w:rsidRPr="00AC375F" w:rsidRDefault="00AC375F" w:rsidP="00AC375F">
            <w:pPr>
              <w:jc w:val="center"/>
              <w:rPr>
                <w:rFonts w:cstheme="minorHAnsi"/>
                <w:sz w:val="18"/>
                <w:szCs w:val="18"/>
              </w:rPr>
            </w:pPr>
            <w:r w:rsidRPr="00AC375F">
              <w:rPr>
                <w:rFonts w:cstheme="minorHAnsi"/>
                <w:sz w:val="18"/>
                <w:szCs w:val="18"/>
              </w:rPr>
              <w:t>virtualno</w:t>
            </w:r>
          </w:p>
        </w:tc>
        <w:tc>
          <w:tcPr>
            <w:tcW w:w="992" w:type="dxa"/>
            <w:shd w:val="clear" w:color="auto" w:fill="auto"/>
            <w:noWrap/>
          </w:tcPr>
          <w:p w14:paraId="0E7B8BA1" w14:textId="77777777" w:rsidR="00AC375F" w:rsidRPr="00AC375F" w:rsidRDefault="00AC375F" w:rsidP="00AC375F">
            <w:pPr>
              <w:jc w:val="center"/>
              <w:rPr>
                <w:rFonts w:cstheme="minorHAnsi"/>
                <w:sz w:val="18"/>
                <w:szCs w:val="18"/>
              </w:rPr>
            </w:pPr>
            <w:r w:rsidRPr="00AC375F">
              <w:rPr>
                <w:rFonts w:cstheme="minorHAnsi"/>
                <w:sz w:val="18"/>
                <w:szCs w:val="18"/>
              </w:rPr>
              <w:t>9</w:t>
            </w:r>
          </w:p>
        </w:tc>
        <w:tc>
          <w:tcPr>
            <w:tcW w:w="1276" w:type="dxa"/>
            <w:shd w:val="clear" w:color="auto" w:fill="auto"/>
            <w:noWrap/>
          </w:tcPr>
          <w:p w14:paraId="34A85703" w14:textId="77777777" w:rsidR="00AC375F" w:rsidRPr="00AC375F" w:rsidRDefault="00AC375F" w:rsidP="00AC375F">
            <w:pPr>
              <w:jc w:val="center"/>
              <w:rPr>
                <w:rFonts w:cstheme="minorHAnsi"/>
                <w:sz w:val="18"/>
                <w:szCs w:val="18"/>
              </w:rPr>
            </w:pPr>
            <w:r w:rsidRPr="00AC375F">
              <w:rPr>
                <w:rFonts w:cstheme="minorHAnsi"/>
                <w:sz w:val="18"/>
                <w:szCs w:val="18"/>
              </w:rPr>
              <w:t>ožujak</w:t>
            </w:r>
          </w:p>
        </w:tc>
        <w:tc>
          <w:tcPr>
            <w:tcW w:w="1134" w:type="dxa"/>
            <w:shd w:val="clear" w:color="auto" w:fill="auto"/>
            <w:noWrap/>
          </w:tcPr>
          <w:p w14:paraId="391ED86B" w14:textId="77777777" w:rsidR="00AC375F" w:rsidRPr="00AC375F" w:rsidRDefault="00AC375F" w:rsidP="00AC375F">
            <w:pPr>
              <w:jc w:val="center"/>
              <w:rPr>
                <w:rFonts w:cstheme="minorHAnsi"/>
                <w:sz w:val="18"/>
                <w:szCs w:val="18"/>
              </w:rPr>
            </w:pPr>
            <w:r w:rsidRPr="00AC375F">
              <w:rPr>
                <w:rFonts w:cstheme="minorHAnsi"/>
                <w:sz w:val="18"/>
                <w:szCs w:val="18"/>
              </w:rPr>
              <w:t>1,6875</w:t>
            </w:r>
          </w:p>
        </w:tc>
      </w:tr>
      <w:tr w:rsidR="00AC375F" w:rsidRPr="00AC375F" w14:paraId="03A08197" w14:textId="77777777" w:rsidTr="00991955">
        <w:trPr>
          <w:trHeight w:val="314"/>
        </w:trPr>
        <w:tc>
          <w:tcPr>
            <w:tcW w:w="4424" w:type="dxa"/>
            <w:shd w:val="clear" w:color="auto" w:fill="auto"/>
            <w:noWrap/>
          </w:tcPr>
          <w:p w14:paraId="05F5BD61" w14:textId="77777777" w:rsidR="00AC375F" w:rsidRPr="00AC375F" w:rsidRDefault="00AC375F" w:rsidP="00AC375F">
            <w:pPr>
              <w:rPr>
                <w:rFonts w:cstheme="minorHAnsi"/>
                <w:b/>
                <w:sz w:val="18"/>
                <w:szCs w:val="18"/>
              </w:rPr>
            </w:pPr>
            <w:r w:rsidRPr="00AC375F">
              <w:rPr>
                <w:rFonts w:cstheme="minorHAnsi"/>
                <w:sz w:val="18"/>
                <w:szCs w:val="18"/>
              </w:rPr>
              <w:t>UNICOM WP4 status meeting (monthly)</w:t>
            </w:r>
          </w:p>
        </w:tc>
        <w:tc>
          <w:tcPr>
            <w:tcW w:w="1559" w:type="dxa"/>
            <w:shd w:val="clear" w:color="auto" w:fill="auto"/>
            <w:noWrap/>
          </w:tcPr>
          <w:p w14:paraId="3F6ED96D" w14:textId="77777777" w:rsidR="00AC375F" w:rsidRPr="00AC375F" w:rsidRDefault="00AC375F" w:rsidP="00AC375F">
            <w:pPr>
              <w:jc w:val="center"/>
              <w:rPr>
                <w:rFonts w:cstheme="minorHAnsi"/>
                <w:sz w:val="18"/>
                <w:szCs w:val="18"/>
              </w:rPr>
            </w:pPr>
            <w:r w:rsidRPr="00AC375F">
              <w:rPr>
                <w:rFonts w:cstheme="minorHAnsi"/>
                <w:sz w:val="18"/>
                <w:szCs w:val="18"/>
              </w:rPr>
              <w:t>virutalno</w:t>
            </w:r>
          </w:p>
        </w:tc>
        <w:tc>
          <w:tcPr>
            <w:tcW w:w="992" w:type="dxa"/>
            <w:shd w:val="clear" w:color="auto" w:fill="auto"/>
            <w:noWrap/>
          </w:tcPr>
          <w:p w14:paraId="1A98045D" w14:textId="77777777" w:rsidR="00AC375F" w:rsidRPr="00AC375F" w:rsidRDefault="00AC375F" w:rsidP="00AC375F">
            <w:pPr>
              <w:jc w:val="center"/>
              <w:rPr>
                <w:rFonts w:cstheme="minorHAnsi"/>
                <w:sz w:val="18"/>
                <w:szCs w:val="18"/>
              </w:rPr>
            </w:pPr>
            <w:r w:rsidRPr="00AC375F">
              <w:rPr>
                <w:rFonts w:cstheme="minorHAnsi"/>
                <w:sz w:val="18"/>
                <w:szCs w:val="18"/>
              </w:rPr>
              <w:t>1</w:t>
            </w:r>
          </w:p>
        </w:tc>
        <w:tc>
          <w:tcPr>
            <w:tcW w:w="1276" w:type="dxa"/>
            <w:shd w:val="clear" w:color="auto" w:fill="auto"/>
            <w:noWrap/>
          </w:tcPr>
          <w:p w14:paraId="54EC2E7D" w14:textId="77777777" w:rsidR="00AC375F" w:rsidRPr="00AC375F" w:rsidRDefault="00AC375F" w:rsidP="00AC375F">
            <w:pPr>
              <w:jc w:val="center"/>
              <w:rPr>
                <w:rFonts w:cstheme="minorHAnsi"/>
                <w:sz w:val="18"/>
                <w:szCs w:val="18"/>
              </w:rPr>
            </w:pPr>
            <w:r w:rsidRPr="00AC375F">
              <w:rPr>
                <w:rFonts w:cstheme="minorHAnsi"/>
                <w:sz w:val="18"/>
                <w:szCs w:val="18"/>
              </w:rPr>
              <w:t>travanj</w:t>
            </w:r>
          </w:p>
        </w:tc>
        <w:tc>
          <w:tcPr>
            <w:tcW w:w="1134" w:type="dxa"/>
            <w:shd w:val="clear" w:color="auto" w:fill="auto"/>
            <w:noWrap/>
          </w:tcPr>
          <w:p w14:paraId="03C04EED" w14:textId="77777777" w:rsidR="00AC375F" w:rsidRPr="00AC375F" w:rsidRDefault="00AC375F" w:rsidP="00AC375F">
            <w:pPr>
              <w:jc w:val="center"/>
              <w:rPr>
                <w:rFonts w:cstheme="minorHAnsi"/>
                <w:sz w:val="18"/>
                <w:szCs w:val="18"/>
              </w:rPr>
            </w:pPr>
            <w:r w:rsidRPr="00AC375F">
              <w:rPr>
                <w:rFonts w:cstheme="minorHAnsi"/>
                <w:sz w:val="18"/>
                <w:szCs w:val="18"/>
              </w:rPr>
              <w:t>0,1875</w:t>
            </w:r>
          </w:p>
        </w:tc>
      </w:tr>
      <w:tr w:rsidR="00AC375F" w:rsidRPr="00AC375F" w14:paraId="3DEF32E3" w14:textId="77777777" w:rsidTr="00991955">
        <w:trPr>
          <w:trHeight w:val="314"/>
        </w:trPr>
        <w:tc>
          <w:tcPr>
            <w:tcW w:w="4424" w:type="dxa"/>
            <w:shd w:val="clear" w:color="auto" w:fill="auto"/>
            <w:noWrap/>
          </w:tcPr>
          <w:p w14:paraId="3F9826C4" w14:textId="77777777" w:rsidR="00AC375F" w:rsidRPr="00AC375F" w:rsidRDefault="00AC375F" w:rsidP="00AC375F">
            <w:pPr>
              <w:rPr>
                <w:rFonts w:cstheme="minorHAnsi"/>
                <w:sz w:val="18"/>
                <w:szCs w:val="18"/>
              </w:rPr>
            </w:pPr>
            <w:r w:rsidRPr="00AC375F">
              <w:rPr>
                <w:rFonts w:cstheme="minorHAnsi"/>
                <w:sz w:val="18"/>
                <w:szCs w:val="18"/>
              </w:rPr>
              <w:lastRenderedPageBreak/>
              <w:t>UNICOM Knowledge Transfer Webinar: BELGIUM (FAMMPH) in FOCUS</w:t>
            </w:r>
          </w:p>
        </w:tc>
        <w:tc>
          <w:tcPr>
            <w:tcW w:w="1559" w:type="dxa"/>
            <w:shd w:val="clear" w:color="auto" w:fill="auto"/>
            <w:noWrap/>
          </w:tcPr>
          <w:p w14:paraId="4B140DC9" w14:textId="77777777" w:rsidR="00AC375F" w:rsidRPr="00AC375F" w:rsidRDefault="00AC375F" w:rsidP="00AC375F">
            <w:pPr>
              <w:jc w:val="center"/>
              <w:rPr>
                <w:rFonts w:cstheme="minorHAnsi"/>
                <w:sz w:val="18"/>
                <w:szCs w:val="18"/>
              </w:rPr>
            </w:pPr>
            <w:r w:rsidRPr="00AC375F">
              <w:rPr>
                <w:rFonts w:cstheme="minorHAnsi"/>
                <w:sz w:val="18"/>
                <w:szCs w:val="18"/>
              </w:rPr>
              <w:t>virtualno</w:t>
            </w:r>
          </w:p>
        </w:tc>
        <w:tc>
          <w:tcPr>
            <w:tcW w:w="992" w:type="dxa"/>
            <w:shd w:val="clear" w:color="auto" w:fill="auto"/>
            <w:noWrap/>
          </w:tcPr>
          <w:p w14:paraId="5B61B707" w14:textId="77777777" w:rsidR="00AC375F" w:rsidRPr="00AC375F" w:rsidRDefault="00AC375F" w:rsidP="00AC375F">
            <w:pPr>
              <w:jc w:val="center"/>
              <w:rPr>
                <w:rFonts w:cstheme="minorHAnsi"/>
                <w:sz w:val="18"/>
                <w:szCs w:val="18"/>
              </w:rPr>
            </w:pPr>
            <w:r w:rsidRPr="00AC375F">
              <w:rPr>
                <w:rFonts w:cstheme="minorHAnsi"/>
                <w:sz w:val="18"/>
                <w:szCs w:val="18"/>
              </w:rPr>
              <w:t>2</w:t>
            </w:r>
          </w:p>
        </w:tc>
        <w:tc>
          <w:tcPr>
            <w:tcW w:w="1276" w:type="dxa"/>
            <w:shd w:val="clear" w:color="auto" w:fill="auto"/>
            <w:noWrap/>
          </w:tcPr>
          <w:p w14:paraId="4EB76DAB" w14:textId="77777777" w:rsidR="00AC375F" w:rsidRPr="00AC375F" w:rsidRDefault="00AC375F" w:rsidP="00AC375F">
            <w:pPr>
              <w:jc w:val="center"/>
              <w:rPr>
                <w:rFonts w:cstheme="minorHAnsi"/>
                <w:sz w:val="18"/>
                <w:szCs w:val="18"/>
              </w:rPr>
            </w:pPr>
            <w:r w:rsidRPr="00AC375F">
              <w:rPr>
                <w:rFonts w:cstheme="minorHAnsi"/>
                <w:sz w:val="18"/>
                <w:szCs w:val="18"/>
              </w:rPr>
              <w:t>travanj</w:t>
            </w:r>
          </w:p>
        </w:tc>
        <w:tc>
          <w:tcPr>
            <w:tcW w:w="1134" w:type="dxa"/>
            <w:shd w:val="clear" w:color="auto" w:fill="auto"/>
            <w:noWrap/>
          </w:tcPr>
          <w:p w14:paraId="6DF72910" w14:textId="77777777" w:rsidR="00AC375F" w:rsidRPr="00AC375F" w:rsidRDefault="00AC375F" w:rsidP="00AC375F">
            <w:pPr>
              <w:jc w:val="center"/>
              <w:rPr>
                <w:rFonts w:cstheme="minorHAnsi"/>
                <w:sz w:val="18"/>
                <w:szCs w:val="18"/>
              </w:rPr>
            </w:pPr>
            <w:r w:rsidRPr="00AC375F">
              <w:rPr>
                <w:rFonts w:cstheme="minorHAnsi"/>
                <w:sz w:val="18"/>
                <w:szCs w:val="18"/>
              </w:rPr>
              <w:t>0,375</w:t>
            </w:r>
          </w:p>
        </w:tc>
      </w:tr>
      <w:tr w:rsidR="00AC375F" w:rsidRPr="00AC375F" w14:paraId="34CB96B3" w14:textId="77777777" w:rsidTr="00991955">
        <w:trPr>
          <w:trHeight w:val="314"/>
        </w:trPr>
        <w:tc>
          <w:tcPr>
            <w:tcW w:w="4424" w:type="dxa"/>
            <w:shd w:val="clear" w:color="auto" w:fill="auto"/>
            <w:noWrap/>
          </w:tcPr>
          <w:p w14:paraId="1C8013D8" w14:textId="77777777" w:rsidR="00AC375F" w:rsidRPr="00AC375F" w:rsidRDefault="00AC375F" w:rsidP="00AC375F">
            <w:pPr>
              <w:rPr>
                <w:rFonts w:cstheme="minorHAnsi"/>
                <w:sz w:val="18"/>
                <w:szCs w:val="18"/>
              </w:rPr>
            </w:pPr>
            <w:r w:rsidRPr="00AC375F">
              <w:rPr>
                <w:rFonts w:cstheme="minorHAnsi"/>
                <w:sz w:val="18"/>
                <w:szCs w:val="18"/>
              </w:rPr>
              <w:t>UNICOM - IDMP data: from source to final use</w:t>
            </w:r>
          </w:p>
        </w:tc>
        <w:tc>
          <w:tcPr>
            <w:tcW w:w="1559" w:type="dxa"/>
            <w:shd w:val="clear" w:color="auto" w:fill="auto"/>
            <w:noWrap/>
          </w:tcPr>
          <w:p w14:paraId="78861617" w14:textId="77777777" w:rsidR="00AC375F" w:rsidRPr="00AC375F" w:rsidRDefault="00AC375F" w:rsidP="00AC375F">
            <w:pPr>
              <w:jc w:val="center"/>
              <w:rPr>
                <w:rFonts w:cstheme="minorHAnsi"/>
                <w:sz w:val="18"/>
                <w:szCs w:val="18"/>
              </w:rPr>
            </w:pPr>
            <w:r w:rsidRPr="00AC375F">
              <w:rPr>
                <w:rFonts w:cstheme="minorHAnsi"/>
                <w:sz w:val="18"/>
                <w:szCs w:val="18"/>
              </w:rPr>
              <w:t>virtualno</w:t>
            </w:r>
          </w:p>
        </w:tc>
        <w:tc>
          <w:tcPr>
            <w:tcW w:w="992" w:type="dxa"/>
            <w:shd w:val="clear" w:color="auto" w:fill="auto"/>
            <w:noWrap/>
          </w:tcPr>
          <w:p w14:paraId="4B0A5B47" w14:textId="77777777" w:rsidR="00AC375F" w:rsidRPr="00AC375F" w:rsidRDefault="00AC375F" w:rsidP="00AC375F">
            <w:pPr>
              <w:jc w:val="center"/>
              <w:rPr>
                <w:rFonts w:cstheme="minorHAnsi"/>
                <w:sz w:val="18"/>
                <w:szCs w:val="18"/>
              </w:rPr>
            </w:pPr>
            <w:r w:rsidRPr="00AC375F">
              <w:rPr>
                <w:rFonts w:cstheme="minorHAnsi"/>
                <w:sz w:val="18"/>
                <w:szCs w:val="18"/>
              </w:rPr>
              <w:t>3</w:t>
            </w:r>
          </w:p>
        </w:tc>
        <w:tc>
          <w:tcPr>
            <w:tcW w:w="1276" w:type="dxa"/>
            <w:shd w:val="clear" w:color="auto" w:fill="auto"/>
            <w:noWrap/>
          </w:tcPr>
          <w:p w14:paraId="675C946C" w14:textId="77777777" w:rsidR="00AC375F" w:rsidRPr="00AC375F" w:rsidRDefault="00AC375F" w:rsidP="00AC375F">
            <w:pPr>
              <w:jc w:val="center"/>
              <w:rPr>
                <w:rFonts w:cstheme="minorHAnsi"/>
                <w:sz w:val="18"/>
                <w:szCs w:val="18"/>
              </w:rPr>
            </w:pPr>
            <w:r w:rsidRPr="00AC375F">
              <w:rPr>
                <w:rFonts w:cstheme="minorHAnsi"/>
                <w:sz w:val="18"/>
                <w:szCs w:val="18"/>
              </w:rPr>
              <w:t>travanj</w:t>
            </w:r>
          </w:p>
        </w:tc>
        <w:tc>
          <w:tcPr>
            <w:tcW w:w="1134" w:type="dxa"/>
            <w:shd w:val="clear" w:color="auto" w:fill="auto"/>
            <w:noWrap/>
          </w:tcPr>
          <w:p w14:paraId="65B6E712" w14:textId="77777777" w:rsidR="00AC375F" w:rsidRPr="00AC375F" w:rsidRDefault="00AC375F" w:rsidP="00AC375F">
            <w:pPr>
              <w:jc w:val="center"/>
              <w:rPr>
                <w:rFonts w:cstheme="minorHAnsi"/>
                <w:sz w:val="18"/>
                <w:szCs w:val="18"/>
              </w:rPr>
            </w:pPr>
            <w:r w:rsidRPr="00AC375F">
              <w:rPr>
                <w:rFonts w:cstheme="minorHAnsi"/>
                <w:sz w:val="18"/>
                <w:szCs w:val="18"/>
              </w:rPr>
              <w:t>0,375</w:t>
            </w:r>
          </w:p>
        </w:tc>
      </w:tr>
      <w:tr w:rsidR="00AC375F" w:rsidRPr="00AC375F" w14:paraId="064ACEE8" w14:textId="77777777" w:rsidTr="00991955">
        <w:trPr>
          <w:trHeight w:val="314"/>
        </w:trPr>
        <w:tc>
          <w:tcPr>
            <w:tcW w:w="4424" w:type="dxa"/>
            <w:shd w:val="clear" w:color="auto" w:fill="auto"/>
            <w:noWrap/>
          </w:tcPr>
          <w:p w14:paraId="01611FDB" w14:textId="77777777" w:rsidR="00AC375F" w:rsidRPr="00AC375F" w:rsidRDefault="00AC375F" w:rsidP="00AC375F">
            <w:pPr>
              <w:rPr>
                <w:rFonts w:cstheme="minorHAnsi"/>
                <w:sz w:val="18"/>
                <w:szCs w:val="18"/>
              </w:rPr>
            </w:pPr>
            <w:r w:rsidRPr="00AC375F">
              <w:rPr>
                <w:rFonts w:cstheme="minorHAnsi"/>
                <w:sz w:val="18"/>
                <w:szCs w:val="18"/>
              </w:rPr>
              <w:t>Product Management Services - XEVMPD</w:t>
            </w:r>
          </w:p>
        </w:tc>
        <w:tc>
          <w:tcPr>
            <w:tcW w:w="1559" w:type="dxa"/>
            <w:shd w:val="clear" w:color="auto" w:fill="auto"/>
            <w:noWrap/>
          </w:tcPr>
          <w:p w14:paraId="060FCB56" w14:textId="77777777" w:rsidR="00AC375F" w:rsidRPr="00AC375F" w:rsidRDefault="00AC375F" w:rsidP="00AC375F">
            <w:pPr>
              <w:jc w:val="center"/>
              <w:rPr>
                <w:rFonts w:cstheme="minorHAnsi"/>
                <w:sz w:val="18"/>
                <w:szCs w:val="18"/>
              </w:rPr>
            </w:pPr>
            <w:r w:rsidRPr="00AC375F">
              <w:rPr>
                <w:rFonts w:cstheme="minorHAnsi"/>
                <w:sz w:val="18"/>
                <w:szCs w:val="18"/>
              </w:rPr>
              <w:t>virtualno</w:t>
            </w:r>
          </w:p>
        </w:tc>
        <w:tc>
          <w:tcPr>
            <w:tcW w:w="992" w:type="dxa"/>
            <w:shd w:val="clear" w:color="auto" w:fill="auto"/>
            <w:noWrap/>
          </w:tcPr>
          <w:p w14:paraId="26F84D41" w14:textId="77777777" w:rsidR="00AC375F" w:rsidRPr="00AC375F" w:rsidRDefault="00AC375F" w:rsidP="00AC375F">
            <w:pPr>
              <w:jc w:val="center"/>
              <w:rPr>
                <w:rFonts w:cstheme="minorHAnsi"/>
                <w:sz w:val="18"/>
                <w:szCs w:val="18"/>
              </w:rPr>
            </w:pPr>
            <w:r w:rsidRPr="00AC375F">
              <w:rPr>
                <w:rFonts w:cstheme="minorHAnsi"/>
                <w:sz w:val="18"/>
                <w:szCs w:val="18"/>
              </w:rPr>
              <w:t>2</w:t>
            </w:r>
          </w:p>
        </w:tc>
        <w:tc>
          <w:tcPr>
            <w:tcW w:w="1276" w:type="dxa"/>
            <w:shd w:val="clear" w:color="auto" w:fill="auto"/>
            <w:noWrap/>
          </w:tcPr>
          <w:p w14:paraId="1EB87FA1" w14:textId="77777777" w:rsidR="00AC375F" w:rsidRPr="00AC375F" w:rsidRDefault="00AC375F" w:rsidP="00AC375F">
            <w:pPr>
              <w:jc w:val="center"/>
              <w:rPr>
                <w:rFonts w:cstheme="minorHAnsi"/>
                <w:sz w:val="18"/>
                <w:szCs w:val="18"/>
              </w:rPr>
            </w:pPr>
            <w:r w:rsidRPr="00AC375F">
              <w:rPr>
                <w:rFonts w:cstheme="minorHAnsi"/>
                <w:sz w:val="18"/>
                <w:szCs w:val="18"/>
              </w:rPr>
              <w:t>travanj</w:t>
            </w:r>
          </w:p>
        </w:tc>
        <w:tc>
          <w:tcPr>
            <w:tcW w:w="1134" w:type="dxa"/>
            <w:shd w:val="clear" w:color="auto" w:fill="auto"/>
            <w:noWrap/>
          </w:tcPr>
          <w:p w14:paraId="270502D8" w14:textId="77777777" w:rsidR="00AC375F" w:rsidRPr="00AC375F" w:rsidRDefault="00AC375F" w:rsidP="00AC375F">
            <w:pPr>
              <w:jc w:val="center"/>
              <w:rPr>
                <w:rFonts w:cstheme="minorHAnsi"/>
                <w:sz w:val="18"/>
                <w:szCs w:val="18"/>
              </w:rPr>
            </w:pPr>
            <w:r w:rsidRPr="00AC375F">
              <w:rPr>
                <w:rFonts w:cstheme="minorHAnsi"/>
                <w:sz w:val="18"/>
                <w:szCs w:val="18"/>
              </w:rPr>
              <w:t>0,5</w:t>
            </w:r>
          </w:p>
        </w:tc>
      </w:tr>
      <w:tr w:rsidR="00AC375F" w:rsidRPr="00AC375F" w14:paraId="1E35B149" w14:textId="77777777" w:rsidTr="00991955">
        <w:trPr>
          <w:trHeight w:val="314"/>
        </w:trPr>
        <w:tc>
          <w:tcPr>
            <w:tcW w:w="4424" w:type="dxa"/>
            <w:shd w:val="clear" w:color="auto" w:fill="auto"/>
            <w:noWrap/>
          </w:tcPr>
          <w:p w14:paraId="7EF05F79" w14:textId="77777777" w:rsidR="00AC375F" w:rsidRPr="00AC375F" w:rsidRDefault="00AC375F" w:rsidP="00AC375F">
            <w:pPr>
              <w:rPr>
                <w:rFonts w:cstheme="minorHAnsi"/>
                <w:sz w:val="18"/>
                <w:szCs w:val="18"/>
              </w:rPr>
            </w:pPr>
            <w:r w:rsidRPr="00AC375F">
              <w:rPr>
                <w:rFonts w:cstheme="minorHAnsi"/>
                <w:sz w:val="18"/>
                <w:szCs w:val="18"/>
              </w:rPr>
              <w:t>Service Desk for SPOR and XEVMPD</w:t>
            </w:r>
          </w:p>
        </w:tc>
        <w:tc>
          <w:tcPr>
            <w:tcW w:w="1559" w:type="dxa"/>
            <w:shd w:val="clear" w:color="auto" w:fill="auto"/>
            <w:noWrap/>
          </w:tcPr>
          <w:p w14:paraId="668BAE90" w14:textId="77777777" w:rsidR="00AC375F" w:rsidRPr="00AC375F" w:rsidRDefault="00AC375F" w:rsidP="00AC375F">
            <w:pPr>
              <w:jc w:val="center"/>
              <w:rPr>
                <w:rFonts w:cstheme="minorHAnsi"/>
                <w:sz w:val="18"/>
                <w:szCs w:val="18"/>
              </w:rPr>
            </w:pPr>
            <w:r w:rsidRPr="00AC375F">
              <w:rPr>
                <w:rFonts w:cstheme="minorHAnsi"/>
                <w:sz w:val="18"/>
                <w:szCs w:val="18"/>
              </w:rPr>
              <w:t>virtualno</w:t>
            </w:r>
          </w:p>
        </w:tc>
        <w:tc>
          <w:tcPr>
            <w:tcW w:w="992" w:type="dxa"/>
            <w:shd w:val="clear" w:color="auto" w:fill="auto"/>
            <w:noWrap/>
          </w:tcPr>
          <w:p w14:paraId="17B4A773" w14:textId="77777777" w:rsidR="00AC375F" w:rsidRPr="00AC375F" w:rsidRDefault="00AC375F" w:rsidP="00AC375F">
            <w:pPr>
              <w:jc w:val="center"/>
              <w:rPr>
                <w:rFonts w:cstheme="minorHAnsi"/>
                <w:sz w:val="18"/>
                <w:szCs w:val="18"/>
              </w:rPr>
            </w:pPr>
            <w:r w:rsidRPr="00AC375F">
              <w:rPr>
                <w:rFonts w:cstheme="minorHAnsi"/>
                <w:sz w:val="18"/>
                <w:szCs w:val="18"/>
              </w:rPr>
              <w:t>1</w:t>
            </w:r>
          </w:p>
        </w:tc>
        <w:tc>
          <w:tcPr>
            <w:tcW w:w="1276" w:type="dxa"/>
            <w:shd w:val="clear" w:color="auto" w:fill="auto"/>
            <w:noWrap/>
          </w:tcPr>
          <w:p w14:paraId="0888B827" w14:textId="77777777" w:rsidR="00AC375F" w:rsidRPr="00AC375F" w:rsidRDefault="00AC375F" w:rsidP="00AC375F">
            <w:pPr>
              <w:jc w:val="center"/>
              <w:rPr>
                <w:rFonts w:cstheme="minorHAnsi"/>
                <w:sz w:val="18"/>
                <w:szCs w:val="18"/>
              </w:rPr>
            </w:pPr>
            <w:r w:rsidRPr="00AC375F">
              <w:rPr>
                <w:rFonts w:cstheme="minorHAnsi"/>
                <w:sz w:val="18"/>
                <w:szCs w:val="18"/>
              </w:rPr>
              <w:t>travanj</w:t>
            </w:r>
          </w:p>
        </w:tc>
        <w:tc>
          <w:tcPr>
            <w:tcW w:w="1134" w:type="dxa"/>
            <w:shd w:val="clear" w:color="auto" w:fill="auto"/>
            <w:noWrap/>
          </w:tcPr>
          <w:p w14:paraId="000D6DB0" w14:textId="77777777" w:rsidR="00AC375F" w:rsidRPr="00AC375F" w:rsidRDefault="00AC375F" w:rsidP="00AC375F">
            <w:pPr>
              <w:jc w:val="center"/>
              <w:rPr>
                <w:rFonts w:cstheme="minorHAnsi"/>
                <w:sz w:val="18"/>
                <w:szCs w:val="18"/>
              </w:rPr>
            </w:pPr>
            <w:r w:rsidRPr="00AC375F">
              <w:rPr>
                <w:rFonts w:cstheme="minorHAnsi"/>
                <w:sz w:val="18"/>
                <w:szCs w:val="18"/>
              </w:rPr>
              <w:t>0,25</w:t>
            </w:r>
          </w:p>
        </w:tc>
      </w:tr>
      <w:tr w:rsidR="00AC375F" w:rsidRPr="00AC375F" w14:paraId="3CD6E5CB" w14:textId="77777777" w:rsidTr="00991955">
        <w:trPr>
          <w:trHeight w:val="314"/>
        </w:trPr>
        <w:tc>
          <w:tcPr>
            <w:tcW w:w="4424" w:type="dxa"/>
            <w:shd w:val="clear" w:color="auto" w:fill="auto"/>
            <w:noWrap/>
          </w:tcPr>
          <w:p w14:paraId="0CDF07C7" w14:textId="77777777" w:rsidR="00AC375F" w:rsidRPr="00AC375F" w:rsidRDefault="00AC375F" w:rsidP="00AC375F">
            <w:pPr>
              <w:rPr>
                <w:rFonts w:cstheme="minorHAnsi"/>
                <w:sz w:val="18"/>
                <w:szCs w:val="18"/>
              </w:rPr>
            </w:pPr>
            <w:r w:rsidRPr="00AC375F">
              <w:rPr>
                <w:rFonts w:cstheme="minorHAnsi"/>
                <w:sz w:val="18"/>
                <w:szCs w:val="18"/>
              </w:rPr>
              <w:t>Organisation Management Services (OMS)</w:t>
            </w:r>
          </w:p>
        </w:tc>
        <w:tc>
          <w:tcPr>
            <w:tcW w:w="1559" w:type="dxa"/>
            <w:shd w:val="clear" w:color="auto" w:fill="auto"/>
            <w:noWrap/>
          </w:tcPr>
          <w:p w14:paraId="633A1EA1" w14:textId="77777777" w:rsidR="00AC375F" w:rsidRPr="00AC375F" w:rsidRDefault="00AC375F" w:rsidP="00AC375F">
            <w:pPr>
              <w:jc w:val="center"/>
              <w:rPr>
                <w:rFonts w:cstheme="minorHAnsi"/>
                <w:sz w:val="18"/>
                <w:szCs w:val="18"/>
              </w:rPr>
            </w:pPr>
            <w:r w:rsidRPr="00AC375F">
              <w:rPr>
                <w:rFonts w:cstheme="minorHAnsi"/>
                <w:sz w:val="18"/>
                <w:szCs w:val="18"/>
              </w:rPr>
              <w:t>virtualno</w:t>
            </w:r>
          </w:p>
        </w:tc>
        <w:tc>
          <w:tcPr>
            <w:tcW w:w="992" w:type="dxa"/>
            <w:shd w:val="clear" w:color="auto" w:fill="auto"/>
            <w:noWrap/>
          </w:tcPr>
          <w:p w14:paraId="47B5EF50" w14:textId="77777777" w:rsidR="00AC375F" w:rsidRPr="00AC375F" w:rsidRDefault="00AC375F" w:rsidP="00AC375F">
            <w:pPr>
              <w:jc w:val="center"/>
              <w:rPr>
                <w:rFonts w:cstheme="minorHAnsi"/>
                <w:sz w:val="18"/>
                <w:szCs w:val="18"/>
              </w:rPr>
            </w:pPr>
            <w:r w:rsidRPr="00AC375F">
              <w:rPr>
                <w:rFonts w:cstheme="minorHAnsi"/>
                <w:sz w:val="18"/>
                <w:szCs w:val="18"/>
              </w:rPr>
              <w:t>1</w:t>
            </w:r>
          </w:p>
        </w:tc>
        <w:tc>
          <w:tcPr>
            <w:tcW w:w="1276" w:type="dxa"/>
            <w:shd w:val="clear" w:color="auto" w:fill="auto"/>
            <w:noWrap/>
          </w:tcPr>
          <w:p w14:paraId="29AAAE53" w14:textId="77777777" w:rsidR="00AC375F" w:rsidRPr="00AC375F" w:rsidRDefault="00AC375F" w:rsidP="00AC375F">
            <w:pPr>
              <w:jc w:val="center"/>
              <w:rPr>
                <w:rFonts w:cstheme="minorHAnsi"/>
                <w:sz w:val="18"/>
                <w:szCs w:val="18"/>
              </w:rPr>
            </w:pPr>
            <w:r w:rsidRPr="00AC375F">
              <w:rPr>
                <w:rFonts w:cstheme="minorHAnsi"/>
                <w:sz w:val="18"/>
                <w:szCs w:val="18"/>
              </w:rPr>
              <w:t>travanj</w:t>
            </w:r>
          </w:p>
        </w:tc>
        <w:tc>
          <w:tcPr>
            <w:tcW w:w="1134" w:type="dxa"/>
            <w:shd w:val="clear" w:color="auto" w:fill="auto"/>
            <w:noWrap/>
          </w:tcPr>
          <w:p w14:paraId="13EE6CF6" w14:textId="77777777" w:rsidR="00AC375F" w:rsidRPr="00AC375F" w:rsidRDefault="00AC375F" w:rsidP="00AC375F">
            <w:pPr>
              <w:jc w:val="center"/>
              <w:rPr>
                <w:rFonts w:cstheme="minorHAnsi"/>
                <w:sz w:val="18"/>
                <w:szCs w:val="18"/>
              </w:rPr>
            </w:pPr>
            <w:r w:rsidRPr="00AC375F">
              <w:rPr>
                <w:rFonts w:cstheme="minorHAnsi"/>
                <w:sz w:val="18"/>
                <w:szCs w:val="18"/>
              </w:rPr>
              <w:t>0,25</w:t>
            </w:r>
          </w:p>
        </w:tc>
      </w:tr>
      <w:tr w:rsidR="00AC375F" w:rsidRPr="00AC375F" w14:paraId="49727CC6" w14:textId="77777777" w:rsidTr="00991955">
        <w:trPr>
          <w:trHeight w:val="314"/>
        </w:trPr>
        <w:tc>
          <w:tcPr>
            <w:tcW w:w="4424" w:type="dxa"/>
            <w:shd w:val="clear" w:color="auto" w:fill="auto"/>
            <w:noWrap/>
          </w:tcPr>
          <w:p w14:paraId="1B3A8114" w14:textId="77777777" w:rsidR="00AC375F" w:rsidRPr="00AC375F" w:rsidRDefault="00AC375F" w:rsidP="00AC375F">
            <w:pPr>
              <w:rPr>
                <w:rFonts w:cstheme="minorHAnsi"/>
                <w:sz w:val="18"/>
                <w:szCs w:val="18"/>
              </w:rPr>
            </w:pPr>
            <w:r w:rsidRPr="00AC375F">
              <w:rPr>
                <w:rFonts w:cstheme="minorHAnsi"/>
                <w:sz w:val="18"/>
                <w:szCs w:val="18"/>
              </w:rPr>
              <w:t>Substance Management Service (SMS)</w:t>
            </w:r>
          </w:p>
        </w:tc>
        <w:tc>
          <w:tcPr>
            <w:tcW w:w="1559" w:type="dxa"/>
            <w:shd w:val="clear" w:color="auto" w:fill="auto"/>
            <w:noWrap/>
          </w:tcPr>
          <w:p w14:paraId="2E76980F" w14:textId="77777777" w:rsidR="00AC375F" w:rsidRPr="00AC375F" w:rsidRDefault="00AC375F" w:rsidP="00AC375F">
            <w:pPr>
              <w:jc w:val="center"/>
              <w:rPr>
                <w:rFonts w:cstheme="minorHAnsi"/>
                <w:sz w:val="18"/>
                <w:szCs w:val="18"/>
              </w:rPr>
            </w:pPr>
            <w:r w:rsidRPr="00AC375F">
              <w:rPr>
                <w:rFonts w:cstheme="minorHAnsi"/>
                <w:sz w:val="18"/>
                <w:szCs w:val="18"/>
              </w:rPr>
              <w:t>virtualno</w:t>
            </w:r>
          </w:p>
        </w:tc>
        <w:tc>
          <w:tcPr>
            <w:tcW w:w="992" w:type="dxa"/>
            <w:shd w:val="clear" w:color="auto" w:fill="auto"/>
            <w:noWrap/>
          </w:tcPr>
          <w:p w14:paraId="16B44F58" w14:textId="77777777" w:rsidR="00AC375F" w:rsidRPr="00AC375F" w:rsidRDefault="00AC375F" w:rsidP="00AC375F">
            <w:pPr>
              <w:jc w:val="center"/>
              <w:rPr>
                <w:rFonts w:cstheme="minorHAnsi"/>
                <w:sz w:val="18"/>
                <w:szCs w:val="18"/>
              </w:rPr>
            </w:pPr>
            <w:r w:rsidRPr="00AC375F">
              <w:rPr>
                <w:rFonts w:cstheme="minorHAnsi"/>
                <w:sz w:val="18"/>
                <w:szCs w:val="18"/>
              </w:rPr>
              <w:t>1</w:t>
            </w:r>
          </w:p>
        </w:tc>
        <w:tc>
          <w:tcPr>
            <w:tcW w:w="1276" w:type="dxa"/>
            <w:shd w:val="clear" w:color="auto" w:fill="auto"/>
            <w:noWrap/>
          </w:tcPr>
          <w:p w14:paraId="1E5498EB" w14:textId="77777777" w:rsidR="00AC375F" w:rsidRPr="00AC375F" w:rsidRDefault="00AC375F" w:rsidP="00AC375F">
            <w:pPr>
              <w:jc w:val="center"/>
              <w:rPr>
                <w:rFonts w:cstheme="minorHAnsi"/>
                <w:sz w:val="18"/>
                <w:szCs w:val="18"/>
              </w:rPr>
            </w:pPr>
            <w:r w:rsidRPr="00AC375F">
              <w:rPr>
                <w:rFonts w:cstheme="minorHAnsi"/>
                <w:sz w:val="18"/>
                <w:szCs w:val="18"/>
              </w:rPr>
              <w:t>travanj</w:t>
            </w:r>
          </w:p>
        </w:tc>
        <w:tc>
          <w:tcPr>
            <w:tcW w:w="1134" w:type="dxa"/>
            <w:shd w:val="clear" w:color="auto" w:fill="auto"/>
            <w:noWrap/>
          </w:tcPr>
          <w:p w14:paraId="2E7B40D2" w14:textId="77777777" w:rsidR="00AC375F" w:rsidRPr="00AC375F" w:rsidRDefault="00AC375F" w:rsidP="00AC375F">
            <w:pPr>
              <w:jc w:val="center"/>
              <w:rPr>
                <w:rFonts w:cstheme="minorHAnsi"/>
                <w:sz w:val="18"/>
                <w:szCs w:val="18"/>
              </w:rPr>
            </w:pPr>
            <w:r w:rsidRPr="00AC375F">
              <w:rPr>
                <w:rFonts w:cstheme="minorHAnsi"/>
                <w:sz w:val="18"/>
                <w:szCs w:val="18"/>
              </w:rPr>
              <w:t>0,25</w:t>
            </w:r>
          </w:p>
        </w:tc>
      </w:tr>
      <w:tr w:rsidR="00AC375F" w:rsidRPr="00AC375F" w14:paraId="0E0F9B58" w14:textId="77777777" w:rsidTr="00991955">
        <w:trPr>
          <w:trHeight w:val="314"/>
        </w:trPr>
        <w:tc>
          <w:tcPr>
            <w:tcW w:w="4424" w:type="dxa"/>
            <w:shd w:val="clear" w:color="auto" w:fill="auto"/>
            <w:noWrap/>
          </w:tcPr>
          <w:p w14:paraId="48299285" w14:textId="77777777" w:rsidR="00AC375F" w:rsidRPr="00AC375F" w:rsidRDefault="00AC375F" w:rsidP="00AC375F">
            <w:pPr>
              <w:rPr>
                <w:rFonts w:cstheme="minorHAnsi"/>
                <w:sz w:val="18"/>
                <w:szCs w:val="18"/>
              </w:rPr>
            </w:pPr>
            <w:r w:rsidRPr="00AC375F">
              <w:rPr>
                <w:rFonts w:cstheme="minorHAnsi"/>
                <w:sz w:val="18"/>
                <w:szCs w:val="18"/>
              </w:rPr>
              <w:t>Referentials Management Service (RMS)</w:t>
            </w:r>
          </w:p>
        </w:tc>
        <w:tc>
          <w:tcPr>
            <w:tcW w:w="1559" w:type="dxa"/>
            <w:shd w:val="clear" w:color="auto" w:fill="auto"/>
            <w:noWrap/>
          </w:tcPr>
          <w:p w14:paraId="7DE6C2F1" w14:textId="77777777" w:rsidR="00AC375F" w:rsidRPr="00AC375F" w:rsidRDefault="00AC375F" w:rsidP="00AC375F">
            <w:pPr>
              <w:jc w:val="center"/>
              <w:rPr>
                <w:rFonts w:cstheme="minorHAnsi"/>
                <w:sz w:val="18"/>
                <w:szCs w:val="18"/>
              </w:rPr>
            </w:pPr>
            <w:r w:rsidRPr="00AC375F">
              <w:rPr>
                <w:rFonts w:cstheme="minorHAnsi"/>
                <w:sz w:val="18"/>
                <w:szCs w:val="18"/>
              </w:rPr>
              <w:t>virtualno</w:t>
            </w:r>
          </w:p>
        </w:tc>
        <w:tc>
          <w:tcPr>
            <w:tcW w:w="992" w:type="dxa"/>
            <w:shd w:val="clear" w:color="auto" w:fill="auto"/>
            <w:noWrap/>
          </w:tcPr>
          <w:p w14:paraId="18D19475" w14:textId="77777777" w:rsidR="00AC375F" w:rsidRPr="00AC375F" w:rsidRDefault="00AC375F" w:rsidP="00AC375F">
            <w:pPr>
              <w:jc w:val="center"/>
              <w:rPr>
                <w:rFonts w:cstheme="minorHAnsi"/>
                <w:sz w:val="18"/>
                <w:szCs w:val="18"/>
              </w:rPr>
            </w:pPr>
            <w:r w:rsidRPr="00AC375F">
              <w:rPr>
                <w:rFonts w:cstheme="minorHAnsi"/>
                <w:sz w:val="18"/>
                <w:szCs w:val="18"/>
              </w:rPr>
              <w:t>1</w:t>
            </w:r>
          </w:p>
        </w:tc>
        <w:tc>
          <w:tcPr>
            <w:tcW w:w="1276" w:type="dxa"/>
            <w:shd w:val="clear" w:color="auto" w:fill="auto"/>
            <w:noWrap/>
          </w:tcPr>
          <w:p w14:paraId="3B391E8D" w14:textId="77777777" w:rsidR="00AC375F" w:rsidRPr="00AC375F" w:rsidRDefault="00AC375F" w:rsidP="00AC375F">
            <w:pPr>
              <w:jc w:val="center"/>
              <w:rPr>
                <w:rFonts w:cstheme="minorHAnsi"/>
                <w:sz w:val="18"/>
                <w:szCs w:val="18"/>
              </w:rPr>
            </w:pPr>
            <w:r w:rsidRPr="00AC375F">
              <w:rPr>
                <w:rFonts w:cstheme="minorHAnsi"/>
                <w:sz w:val="18"/>
                <w:szCs w:val="18"/>
              </w:rPr>
              <w:t>travanj</w:t>
            </w:r>
          </w:p>
        </w:tc>
        <w:tc>
          <w:tcPr>
            <w:tcW w:w="1134" w:type="dxa"/>
            <w:shd w:val="clear" w:color="auto" w:fill="auto"/>
            <w:noWrap/>
          </w:tcPr>
          <w:p w14:paraId="1955DD18" w14:textId="77777777" w:rsidR="00AC375F" w:rsidRPr="00AC375F" w:rsidRDefault="00AC375F" w:rsidP="00AC375F">
            <w:pPr>
              <w:jc w:val="center"/>
              <w:rPr>
                <w:rFonts w:cstheme="minorHAnsi"/>
                <w:sz w:val="18"/>
                <w:szCs w:val="18"/>
              </w:rPr>
            </w:pPr>
            <w:r w:rsidRPr="00AC375F">
              <w:rPr>
                <w:rFonts w:cstheme="minorHAnsi"/>
                <w:sz w:val="18"/>
                <w:szCs w:val="18"/>
              </w:rPr>
              <w:t>0,25</w:t>
            </w:r>
          </w:p>
        </w:tc>
      </w:tr>
      <w:tr w:rsidR="00AC375F" w:rsidRPr="00AC375F" w14:paraId="58BD9AB9" w14:textId="77777777" w:rsidTr="00991955">
        <w:trPr>
          <w:trHeight w:val="314"/>
        </w:trPr>
        <w:tc>
          <w:tcPr>
            <w:tcW w:w="4424" w:type="dxa"/>
            <w:shd w:val="clear" w:color="auto" w:fill="auto"/>
            <w:noWrap/>
          </w:tcPr>
          <w:p w14:paraId="07C7263C" w14:textId="77777777" w:rsidR="00AC375F" w:rsidRPr="00AC375F" w:rsidRDefault="00AC375F" w:rsidP="00AC375F">
            <w:pPr>
              <w:rPr>
                <w:rFonts w:cstheme="minorHAnsi"/>
                <w:sz w:val="18"/>
                <w:szCs w:val="18"/>
              </w:rPr>
            </w:pPr>
            <w:r w:rsidRPr="00AC375F">
              <w:rPr>
                <w:rFonts w:cstheme="minorHAnsi"/>
                <w:sz w:val="18"/>
                <w:szCs w:val="18"/>
              </w:rPr>
              <w:t xml:space="preserve">UNICOM 6th Consortium meeting </w:t>
            </w:r>
          </w:p>
        </w:tc>
        <w:tc>
          <w:tcPr>
            <w:tcW w:w="1559" w:type="dxa"/>
            <w:shd w:val="clear" w:color="auto" w:fill="auto"/>
            <w:noWrap/>
          </w:tcPr>
          <w:p w14:paraId="7E12862A" w14:textId="77777777" w:rsidR="00AC375F" w:rsidRPr="00AC375F" w:rsidRDefault="00AC375F" w:rsidP="00AC375F">
            <w:pPr>
              <w:jc w:val="center"/>
              <w:rPr>
                <w:rFonts w:cstheme="minorHAnsi"/>
                <w:sz w:val="18"/>
                <w:szCs w:val="18"/>
              </w:rPr>
            </w:pPr>
            <w:r w:rsidRPr="00AC375F">
              <w:rPr>
                <w:rFonts w:cstheme="minorHAnsi"/>
                <w:sz w:val="18"/>
                <w:szCs w:val="18"/>
              </w:rPr>
              <w:t>Lisabon</w:t>
            </w:r>
          </w:p>
        </w:tc>
        <w:tc>
          <w:tcPr>
            <w:tcW w:w="992" w:type="dxa"/>
            <w:shd w:val="clear" w:color="auto" w:fill="auto"/>
            <w:noWrap/>
          </w:tcPr>
          <w:p w14:paraId="27B1E635" w14:textId="77777777" w:rsidR="00AC375F" w:rsidRPr="00AC375F" w:rsidRDefault="00AC375F" w:rsidP="00AC375F">
            <w:pPr>
              <w:jc w:val="center"/>
              <w:rPr>
                <w:rFonts w:cstheme="minorHAnsi"/>
                <w:sz w:val="18"/>
                <w:szCs w:val="18"/>
              </w:rPr>
            </w:pPr>
            <w:r w:rsidRPr="00AC375F">
              <w:rPr>
                <w:rFonts w:cstheme="minorHAnsi"/>
                <w:sz w:val="18"/>
                <w:szCs w:val="18"/>
              </w:rPr>
              <w:t>2</w:t>
            </w:r>
          </w:p>
        </w:tc>
        <w:tc>
          <w:tcPr>
            <w:tcW w:w="1276" w:type="dxa"/>
            <w:shd w:val="clear" w:color="auto" w:fill="auto"/>
            <w:noWrap/>
          </w:tcPr>
          <w:p w14:paraId="6ED936EC" w14:textId="77777777" w:rsidR="00AC375F" w:rsidRPr="00AC375F" w:rsidRDefault="00AC375F" w:rsidP="00AC375F">
            <w:pPr>
              <w:jc w:val="center"/>
              <w:rPr>
                <w:rFonts w:cstheme="minorHAnsi"/>
                <w:sz w:val="18"/>
                <w:szCs w:val="18"/>
              </w:rPr>
            </w:pPr>
            <w:r w:rsidRPr="00AC375F">
              <w:rPr>
                <w:rFonts w:cstheme="minorHAnsi"/>
                <w:sz w:val="18"/>
                <w:szCs w:val="18"/>
              </w:rPr>
              <w:t>travanj</w:t>
            </w:r>
          </w:p>
        </w:tc>
        <w:tc>
          <w:tcPr>
            <w:tcW w:w="1134" w:type="dxa"/>
            <w:shd w:val="clear" w:color="auto" w:fill="auto"/>
            <w:noWrap/>
          </w:tcPr>
          <w:p w14:paraId="1E1CFA5E" w14:textId="77777777" w:rsidR="00AC375F" w:rsidRPr="00AC375F" w:rsidRDefault="00AC375F" w:rsidP="00AC375F">
            <w:pPr>
              <w:jc w:val="center"/>
              <w:rPr>
                <w:rFonts w:cstheme="minorHAnsi"/>
                <w:sz w:val="18"/>
                <w:szCs w:val="18"/>
              </w:rPr>
            </w:pPr>
            <w:r w:rsidRPr="00AC375F">
              <w:rPr>
                <w:rFonts w:cstheme="minorHAnsi"/>
                <w:sz w:val="18"/>
                <w:szCs w:val="18"/>
              </w:rPr>
              <w:t>3,5</w:t>
            </w:r>
          </w:p>
        </w:tc>
      </w:tr>
      <w:tr w:rsidR="00AC375F" w:rsidRPr="00AC375F" w14:paraId="7D3C8937" w14:textId="77777777" w:rsidTr="00991955">
        <w:trPr>
          <w:trHeight w:val="314"/>
        </w:trPr>
        <w:tc>
          <w:tcPr>
            <w:tcW w:w="4424" w:type="dxa"/>
            <w:tcBorders>
              <w:top w:val="single" w:sz="4" w:space="0" w:color="auto"/>
              <w:left w:val="single" w:sz="4" w:space="0" w:color="auto"/>
              <w:bottom w:val="single" w:sz="4" w:space="0" w:color="auto"/>
              <w:right w:val="single" w:sz="4" w:space="0" w:color="auto"/>
            </w:tcBorders>
            <w:shd w:val="clear" w:color="auto" w:fill="auto"/>
            <w:noWrap/>
          </w:tcPr>
          <w:p w14:paraId="7CE59C58" w14:textId="77777777" w:rsidR="00AC375F" w:rsidRPr="00AC375F" w:rsidRDefault="00AC375F" w:rsidP="00AC375F">
            <w:pPr>
              <w:rPr>
                <w:rFonts w:cstheme="minorHAnsi"/>
                <w:sz w:val="18"/>
                <w:szCs w:val="18"/>
              </w:rPr>
            </w:pPr>
            <w:r w:rsidRPr="00AC375F">
              <w:rPr>
                <w:rFonts w:cstheme="minorHAnsi"/>
                <w:sz w:val="18"/>
                <w:szCs w:val="18"/>
              </w:rPr>
              <w:t xml:space="preserve">UNICOM WP3 and WP4: NCA's meeting </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0FABE6D0" w14:textId="77777777" w:rsidR="00AC375F" w:rsidRPr="00AC375F" w:rsidRDefault="00AC375F" w:rsidP="00AC375F">
            <w:pPr>
              <w:jc w:val="center"/>
              <w:rPr>
                <w:rFonts w:cstheme="minorHAnsi"/>
                <w:sz w:val="18"/>
                <w:szCs w:val="18"/>
              </w:rPr>
            </w:pPr>
            <w:r w:rsidRPr="00AC375F">
              <w:rPr>
                <w:rFonts w:cstheme="minorHAnsi"/>
                <w:sz w:val="18"/>
                <w:szCs w:val="18"/>
              </w:rPr>
              <w:t>Zagreb</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0C2835E" w14:textId="77777777" w:rsidR="00AC375F" w:rsidRPr="00AC375F" w:rsidRDefault="00AC375F" w:rsidP="00AC375F">
            <w:pPr>
              <w:jc w:val="center"/>
              <w:rPr>
                <w:rFonts w:cstheme="minorHAnsi"/>
                <w:sz w:val="18"/>
                <w:szCs w:val="18"/>
              </w:rPr>
            </w:pPr>
            <w:r w:rsidRPr="00AC375F">
              <w:rPr>
                <w:rFonts w:cstheme="minorHAnsi"/>
                <w:sz w:val="18"/>
                <w:szCs w:val="18"/>
              </w:rPr>
              <w:t>3</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13683C4" w14:textId="77777777" w:rsidR="00AC375F" w:rsidRPr="00AC375F" w:rsidRDefault="00AC375F" w:rsidP="00AC375F">
            <w:pPr>
              <w:jc w:val="center"/>
              <w:rPr>
                <w:rFonts w:cstheme="minorHAnsi"/>
                <w:sz w:val="18"/>
                <w:szCs w:val="18"/>
              </w:rPr>
            </w:pPr>
            <w:r w:rsidRPr="00AC375F">
              <w:rPr>
                <w:rFonts w:cstheme="minorHAnsi"/>
                <w:sz w:val="18"/>
                <w:szCs w:val="18"/>
              </w:rPr>
              <w:t>lipanj</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369CF25" w14:textId="77777777" w:rsidR="00AC375F" w:rsidRPr="00AC375F" w:rsidRDefault="00AC375F" w:rsidP="00AC375F">
            <w:pPr>
              <w:jc w:val="center"/>
              <w:rPr>
                <w:rFonts w:cstheme="minorHAnsi"/>
                <w:sz w:val="18"/>
                <w:szCs w:val="18"/>
              </w:rPr>
            </w:pPr>
            <w:r w:rsidRPr="00AC375F">
              <w:rPr>
                <w:rFonts w:cstheme="minorHAnsi"/>
                <w:sz w:val="18"/>
                <w:szCs w:val="18"/>
              </w:rPr>
              <w:t>6</w:t>
            </w:r>
          </w:p>
        </w:tc>
      </w:tr>
      <w:tr w:rsidR="00AC375F" w:rsidRPr="00AC375F" w14:paraId="03393F7A" w14:textId="77777777" w:rsidTr="00991955">
        <w:trPr>
          <w:trHeight w:val="314"/>
        </w:trPr>
        <w:tc>
          <w:tcPr>
            <w:tcW w:w="4424" w:type="dxa"/>
            <w:tcBorders>
              <w:top w:val="single" w:sz="4" w:space="0" w:color="auto"/>
              <w:left w:val="single" w:sz="4" w:space="0" w:color="auto"/>
              <w:bottom w:val="single" w:sz="4" w:space="0" w:color="auto"/>
              <w:right w:val="single" w:sz="4" w:space="0" w:color="auto"/>
            </w:tcBorders>
            <w:shd w:val="clear" w:color="auto" w:fill="auto"/>
            <w:noWrap/>
          </w:tcPr>
          <w:p w14:paraId="16690DD3" w14:textId="77777777" w:rsidR="00AC375F" w:rsidRPr="00AC375F" w:rsidRDefault="00AC375F" w:rsidP="00AC375F">
            <w:pPr>
              <w:rPr>
                <w:rFonts w:cstheme="minorHAnsi"/>
                <w:sz w:val="18"/>
                <w:szCs w:val="18"/>
              </w:rPr>
            </w:pPr>
            <w:r w:rsidRPr="00AC375F">
              <w:rPr>
                <w:rFonts w:cstheme="minorHAnsi"/>
                <w:sz w:val="18"/>
                <w:szCs w:val="18"/>
              </w:rPr>
              <w:t>UNICOM NCAs knowledge transfer Webinar: Spain in focus</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57442175" w14:textId="77777777" w:rsidR="00AC375F" w:rsidRPr="00AC375F" w:rsidRDefault="00AC375F" w:rsidP="00AC375F">
            <w:pPr>
              <w:jc w:val="center"/>
              <w:rPr>
                <w:rFonts w:cstheme="minorHAnsi"/>
                <w:sz w:val="18"/>
                <w:szCs w:val="18"/>
              </w:rPr>
            </w:pPr>
            <w:r w:rsidRPr="00AC375F">
              <w:rPr>
                <w:rFonts w:cstheme="minorHAnsi"/>
                <w:sz w:val="18"/>
                <w:szCs w:val="18"/>
              </w:rPr>
              <w:t>virtualno</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BC45C1E" w14:textId="77777777" w:rsidR="00AC375F" w:rsidRPr="00AC375F" w:rsidRDefault="00AC375F" w:rsidP="00AC375F">
            <w:pPr>
              <w:jc w:val="center"/>
              <w:rPr>
                <w:rFonts w:cstheme="minorHAnsi"/>
                <w:sz w:val="18"/>
                <w:szCs w:val="18"/>
              </w:rPr>
            </w:pPr>
            <w:r w:rsidRPr="00AC375F">
              <w:rPr>
                <w:rFonts w:cstheme="minorHAnsi"/>
                <w:sz w:val="18"/>
                <w:szCs w:val="18"/>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70EEA33" w14:textId="77777777" w:rsidR="00AC375F" w:rsidRPr="00AC375F" w:rsidRDefault="00AC375F" w:rsidP="00AC375F">
            <w:pPr>
              <w:jc w:val="center"/>
              <w:rPr>
                <w:rFonts w:cstheme="minorHAnsi"/>
                <w:sz w:val="18"/>
                <w:szCs w:val="18"/>
              </w:rPr>
            </w:pPr>
            <w:r w:rsidRPr="00AC375F">
              <w:rPr>
                <w:rFonts w:cstheme="minorHAnsi"/>
                <w:sz w:val="18"/>
                <w:szCs w:val="18"/>
              </w:rPr>
              <w:t>lipanj</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23B97BF" w14:textId="77777777" w:rsidR="00AC375F" w:rsidRPr="00AC375F" w:rsidRDefault="00AC375F" w:rsidP="00AC375F">
            <w:pPr>
              <w:jc w:val="center"/>
              <w:rPr>
                <w:rFonts w:cstheme="minorHAnsi"/>
                <w:sz w:val="18"/>
                <w:szCs w:val="18"/>
              </w:rPr>
            </w:pPr>
            <w:r w:rsidRPr="00AC375F">
              <w:rPr>
                <w:rFonts w:cstheme="minorHAnsi"/>
                <w:sz w:val="18"/>
                <w:szCs w:val="18"/>
              </w:rPr>
              <w:t>0,1875</w:t>
            </w:r>
          </w:p>
        </w:tc>
      </w:tr>
      <w:tr w:rsidR="00AC375F" w:rsidRPr="00AC375F" w14:paraId="520DA560" w14:textId="77777777" w:rsidTr="00991955">
        <w:trPr>
          <w:trHeight w:val="314"/>
        </w:trPr>
        <w:tc>
          <w:tcPr>
            <w:tcW w:w="4424" w:type="dxa"/>
            <w:tcBorders>
              <w:top w:val="single" w:sz="4" w:space="0" w:color="auto"/>
              <w:left w:val="single" w:sz="4" w:space="0" w:color="auto"/>
              <w:bottom w:val="single" w:sz="4" w:space="0" w:color="auto"/>
              <w:right w:val="single" w:sz="4" w:space="0" w:color="auto"/>
            </w:tcBorders>
            <w:shd w:val="clear" w:color="auto" w:fill="auto"/>
            <w:noWrap/>
          </w:tcPr>
          <w:p w14:paraId="4644CA91" w14:textId="77777777" w:rsidR="00AC375F" w:rsidRPr="00AC375F" w:rsidRDefault="00AC375F" w:rsidP="00AC375F">
            <w:pPr>
              <w:rPr>
                <w:rFonts w:cstheme="minorHAnsi"/>
                <w:sz w:val="18"/>
                <w:szCs w:val="18"/>
              </w:rPr>
            </w:pPr>
            <w:r w:rsidRPr="00AC375F">
              <w:rPr>
                <w:rFonts w:cstheme="minorHAnsi"/>
                <w:sz w:val="18"/>
                <w:szCs w:val="18"/>
              </w:rPr>
              <w:t xml:space="preserve">UNICOM IHE Test Lab  Kick-Off Meeting </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581BECB3" w14:textId="77777777" w:rsidR="00AC375F" w:rsidRPr="00AC375F" w:rsidRDefault="00AC375F" w:rsidP="00AC375F">
            <w:pPr>
              <w:jc w:val="center"/>
              <w:rPr>
                <w:rFonts w:cstheme="minorHAnsi"/>
                <w:sz w:val="18"/>
                <w:szCs w:val="18"/>
              </w:rPr>
            </w:pPr>
            <w:r w:rsidRPr="00AC375F">
              <w:rPr>
                <w:rFonts w:cstheme="minorHAnsi"/>
                <w:sz w:val="18"/>
                <w:szCs w:val="18"/>
              </w:rPr>
              <w:t>virtualno</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2547F92" w14:textId="77777777" w:rsidR="00AC375F" w:rsidRPr="00AC375F" w:rsidRDefault="00AC375F" w:rsidP="00AC375F">
            <w:pPr>
              <w:jc w:val="center"/>
              <w:rPr>
                <w:rFonts w:cstheme="minorHAnsi"/>
                <w:sz w:val="18"/>
                <w:szCs w:val="18"/>
              </w:rPr>
            </w:pPr>
            <w:r w:rsidRPr="00AC375F">
              <w:rPr>
                <w:rFonts w:cstheme="minorHAnsi"/>
                <w:sz w:val="18"/>
                <w:szCs w:val="18"/>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3EAED723" w14:textId="77777777" w:rsidR="00AC375F" w:rsidRPr="00AC375F" w:rsidRDefault="00AC375F" w:rsidP="00AC375F">
            <w:pPr>
              <w:jc w:val="center"/>
              <w:rPr>
                <w:rFonts w:cstheme="minorHAnsi"/>
                <w:sz w:val="18"/>
                <w:szCs w:val="18"/>
              </w:rPr>
            </w:pPr>
            <w:r w:rsidRPr="00AC375F">
              <w:rPr>
                <w:rFonts w:cstheme="minorHAnsi"/>
                <w:sz w:val="18"/>
                <w:szCs w:val="18"/>
              </w:rPr>
              <w:t>lipanj</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4801E0C" w14:textId="77777777" w:rsidR="00AC375F" w:rsidRPr="00AC375F" w:rsidRDefault="00AC375F" w:rsidP="00AC375F">
            <w:pPr>
              <w:jc w:val="center"/>
              <w:rPr>
                <w:rFonts w:cstheme="minorHAnsi"/>
                <w:sz w:val="18"/>
                <w:szCs w:val="18"/>
              </w:rPr>
            </w:pPr>
            <w:r w:rsidRPr="00AC375F">
              <w:rPr>
                <w:rFonts w:cstheme="minorHAnsi"/>
                <w:sz w:val="18"/>
                <w:szCs w:val="18"/>
              </w:rPr>
              <w:t>0,25</w:t>
            </w:r>
          </w:p>
        </w:tc>
      </w:tr>
      <w:tr w:rsidR="00AC375F" w:rsidRPr="00AC375F" w14:paraId="3A16AD54" w14:textId="77777777" w:rsidTr="00991955">
        <w:trPr>
          <w:trHeight w:val="314"/>
        </w:trPr>
        <w:tc>
          <w:tcPr>
            <w:tcW w:w="4424" w:type="dxa"/>
            <w:tcBorders>
              <w:top w:val="single" w:sz="4" w:space="0" w:color="auto"/>
              <w:left w:val="single" w:sz="4" w:space="0" w:color="auto"/>
              <w:bottom w:val="single" w:sz="4" w:space="0" w:color="auto"/>
              <w:right w:val="single" w:sz="4" w:space="0" w:color="auto"/>
            </w:tcBorders>
            <w:shd w:val="clear" w:color="auto" w:fill="auto"/>
            <w:noWrap/>
          </w:tcPr>
          <w:p w14:paraId="708E26BE" w14:textId="77777777" w:rsidR="00AC375F" w:rsidRPr="00AC375F" w:rsidRDefault="00AC375F" w:rsidP="00AC375F">
            <w:pPr>
              <w:rPr>
                <w:rFonts w:cstheme="minorHAnsi"/>
                <w:sz w:val="18"/>
                <w:szCs w:val="18"/>
              </w:rPr>
            </w:pPr>
            <w:r w:rsidRPr="00AC375F">
              <w:rPr>
                <w:rFonts w:cstheme="minorHAnsi"/>
                <w:sz w:val="18"/>
                <w:szCs w:val="18"/>
              </w:rPr>
              <w:t>UNICOM IHE Test Lab Meeting – Cross Border</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1871432F" w14:textId="77777777" w:rsidR="00AC375F" w:rsidRPr="00AC375F" w:rsidRDefault="00AC375F" w:rsidP="00AC375F">
            <w:pPr>
              <w:jc w:val="center"/>
              <w:rPr>
                <w:rFonts w:cstheme="minorHAnsi"/>
                <w:sz w:val="18"/>
                <w:szCs w:val="18"/>
              </w:rPr>
            </w:pPr>
            <w:r w:rsidRPr="00AC375F">
              <w:rPr>
                <w:rFonts w:cstheme="minorHAnsi"/>
                <w:sz w:val="18"/>
                <w:szCs w:val="18"/>
              </w:rPr>
              <w:t>virtualno</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C2B14CD" w14:textId="77777777" w:rsidR="00AC375F" w:rsidRPr="00AC375F" w:rsidRDefault="00AC375F" w:rsidP="00AC375F">
            <w:pPr>
              <w:jc w:val="center"/>
              <w:rPr>
                <w:rFonts w:cstheme="minorHAnsi"/>
                <w:sz w:val="18"/>
                <w:szCs w:val="18"/>
              </w:rPr>
            </w:pPr>
            <w:r w:rsidRPr="00AC375F">
              <w:rPr>
                <w:rFonts w:cstheme="minorHAnsi"/>
                <w:sz w:val="18"/>
                <w:szCs w:val="18"/>
              </w:rPr>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BC9D530" w14:textId="77777777" w:rsidR="00AC375F" w:rsidRPr="00AC375F" w:rsidRDefault="00AC375F" w:rsidP="00AC375F">
            <w:pPr>
              <w:jc w:val="center"/>
              <w:rPr>
                <w:rFonts w:cstheme="minorHAnsi"/>
                <w:sz w:val="18"/>
                <w:szCs w:val="18"/>
              </w:rPr>
            </w:pPr>
            <w:r w:rsidRPr="00AC375F">
              <w:rPr>
                <w:rFonts w:cstheme="minorHAnsi"/>
                <w:sz w:val="18"/>
                <w:szCs w:val="18"/>
              </w:rPr>
              <w:t>srpanj</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9046EAC" w14:textId="77777777" w:rsidR="00AC375F" w:rsidRPr="00AC375F" w:rsidRDefault="00AC375F" w:rsidP="00AC375F">
            <w:pPr>
              <w:jc w:val="center"/>
              <w:rPr>
                <w:rFonts w:cstheme="minorHAnsi"/>
                <w:sz w:val="18"/>
                <w:szCs w:val="18"/>
              </w:rPr>
            </w:pPr>
            <w:r w:rsidRPr="00AC375F">
              <w:rPr>
                <w:rFonts w:cstheme="minorHAnsi"/>
                <w:sz w:val="18"/>
                <w:szCs w:val="18"/>
              </w:rPr>
              <w:t>0,25</w:t>
            </w:r>
          </w:p>
        </w:tc>
      </w:tr>
      <w:tr w:rsidR="00AC375F" w:rsidRPr="00AC375F" w14:paraId="19F91B96" w14:textId="77777777" w:rsidTr="00991955">
        <w:trPr>
          <w:trHeight w:val="314"/>
        </w:trPr>
        <w:tc>
          <w:tcPr>
            <w:tcW w:w="4424" w:type="dxa"/>
            <w:tcBorders>
              <w:top w:val="single" w:sz="4" w:space="0" w:color="auto"/>
              <w:left w:val="single" w:sz="4" w:space="0" w:color="auto"/>
              <w:bottom w:val="single" w:sz="4" w:space="0" w:color="auto"/>
              <w:right w:val="single" w:sz="4" w:space="0" w:color="auto"/>
            </w:tcBorders>
            <w:shd w:val="clear" w:color="auto" w:fill="auto"/>
            <w:noWrap/>
          </w:tcPr>
          <w:p w14:paraId="13043846" w14:textId="77777777" w:rsidR="00AC375F" w:rsidRPr="00AC375F" w:rsidRDefault="00AC375F" w:rsidP="00AC375F">
            <w:pPr>
              <w:rPr>
                <w:rFonts w:cstheme="minorHAnsi"/>
                <w:sz w:val="18"/>
                <w:szCs w:val="18"/>
              </w:rPr>
            </w:pPr>
            <w:r w:rsidRPr="00AC375F">
              <w:rPr>
                <w:rFonts w:cstheme="minorHAnsi"/>
                <w:sz w:val="18"/>
                <w:szCs w:val="18"/>
              </w:rPr>
              <w:t>UNICOM IHE Test Lab Meeting – Extended Work Group</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23EF9738" w14:textId="77777777" w:rsidR="00AC375F" w:rsidRPr="00AC375F" w:rsidRDefault="00AC375F" w:rsidP="00AC375F">
            <w:pPr>
              <w:jc w:val="center"/>
              <w:rPr>
                <w:rFonts w:cstheme="minorHAnsi"/>
                <w:sz w:val="18"/>
                <w:szCs w:val="18"/>
              </w:rPr>
            </w:pPr>
            <w:r w:rsidRPr="00AC375F">
              <w:rPr>
                <w:rFonts w:cstheme="minorHAnsi"/>
                <w:sz w:val="18"/>
                <w:szCs w:val="18"/>
              </w:rPr>
              <w:t>virtualno</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9890541" w14:textId="77777777" w:rsidR="00AC375F" w:rsidRPr="00AC375F" w:rsidRDefault="00AC375F" w:rsidP="00AC375F">
            <w:pPr>
              <w:jc w:val="center"/>
              <w:rPr>
                <w:rFonts w:cstheme="minorHAnsi"/>
                <w:sz w:val="18"/>
                <w:szCs w:val="18"/>
              </w:rPr>
            </w:pPr>
            <w:r w:rsidRPr="00AC375F">
              <w:rPr>
                <w:rFonts w:cstheme="minorHAnsi"/>
                <w:sz w:val="18"/>
                <w:szCs w:val="18"/>
              </w:rPr>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89B5425" w14:textId="77777777" w:rsidR="00AC375F" w:rsidRPr="00AC375F" w:rsidRDefault="00AC375F" w:rsidP="00AC375F">
            <w:pPr>
              <w:jc w:val="center"/>
              <w:rPr>
                <w:rFonts w:cstheme="minorHAnsi"/>
                <w:sz w:val="18"/>
                <w:szCs w:val="18"/>
              </w:rPr>
            </w:pPr>
            <w:r w:rsidRPr="00AC375F">
              <w:rPr>
                <w:rFonts w:cstheme="minorHAnsi"/>
                <w:sz w:val="18"/>
                <w:szCs w:val="18"/>
              </w:rPr>
              <w:t>srpanj</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9F7FEDC" w14:textId="77777777" w:rsidR="00AC375F" w:rsidRPr="00AC375F" w:rsidRDefault="00AC375F" w:rsidP="00AC375F">
            <w:pPr>
              <w:jc w:val="center"/>
              <w:rPr>
                <w:rFonts w:cstheme="minorHAnsi"/>
                <w:sz w:val="18"/>
                <w:szCs w:val="18"/>
              </w:rPr>
            </w:pPr>
            <w:r w:rsidRPr="00AC375F">
              <w:rPr>
                <w:rFonts w:cstheme="minorHAnsi"/>
                <w:sz w:val="18"/>
                <w:szCs w:val="18"/>
              </w:rPr>
              <w:t>0,5</w:t>
            </w:r>
          </w:p>
        </w:tc>
      </w:tr>
      <w:tr w:rsidR="00AC375F" w:rsidRPr="00AC375F" w14:paraId="59E6122A" w14:textId="77777777" w:rsidTr="00991955">
        <w:trPr>
          <w:trHeight w:val="314"/>
        </w:trPr>
        <w:tc>
          <w:tcPr>
            <w:tcW w:w="4424" w:type="dxa"/>
            <w:tcBorders>
              <w:top w:val="single" w:sz="4" w:space="0" w:color="auto"/>
              <w:left w:val="single" w:sz="4" w:space="0" w:color="auto"/>
              <w:bottom w:val="single" w:sz="4" w:space="0" w:color="auto"/>
              <w:right w:val="single" w:sz="4" w:space="0" w:color="auto"/>
            </w:tcBorders>
            <w:shd w:val="clear" w:color="auto" w:fill="auto"/>
            <w:noWrap/>
          </w:tcPr>
          <w:p w14:paraId="04A3FEEC" w14:textId="77777777" w:rsidR="00AC375F" w:rsidRPr="00AC375F" w:rsidRDefault="00AC375F" w:rsidP="00AC375F">
            <w:pPr>
              <w:rPr>
                <w:rFonts w:cstheme="minorHAnsi"/>
                <w:sz w:val="18"/>
                <w:szCs w:val="18"/>
              </w:rPr>
            </w:pPr>
            <w:r w:rsidRPr="00AC375F">
              <w:rPr>
                <w:rFonts w:cstheme="minorHAnsi"/>
                <w:sz w:val="18"/>
                <w:szCs w:val="18"/>
              </w:rPr>
              <w:t>Harmonisation Forum</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22774468" w14:textId="77777777" w:rsidR="00AC375F" w:rsidRPr="00AC375F" w:rsidRDefault="00AC375F" w:rsidP="00AC375F">
            <w:pPr>
              <w:jc w:val="center"/>
              <w:rPr>
                <w:rFonts w:cstheme="minorHAnsi"/>
                <w:sz w:val="18"/>
                <w:szCs w:val="18"/>
              </w:rPr>
            </w:pPr>
            <w:r w:rsidRPr="00AC375F">
              <w:rPr>
                <w:rFonts w:cstheme="minorHAnsi"/>
                <w:sz w:val="18"/>
                <w:szCs w:val="18"/>
              </w:rPr>
              <w:t>virtualno</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48804C0" w14:textId="77777777" w:rsidR="00AC375F" w:rsidRPr="00AC375F" w:rsidRDefault="00AC375F" w:rsidP="00AC375F">
            <w:pPr>
              <w:jc w:val="center"/>
              <w:rPr>
                <w:rFonts w:cstheme="minorHAnsi"/>
                <w:sz w:val="18"/>
                <w:szCs w:val="18"/>
              </w:rPr>
            </w:pPr>
            <w:r w:rsidRPr="00AC375F">
              <w:rPr>
                <w:rFonts w:cstheme="minorHAnsi"/>
                <w:sz w:val="18"/>
                <w:szCs w:val="18"/>
              </w:rPr>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12B11B8" w14:textId="77777777" w:rsidR="00AC375F" w:rsidRPr="00AC375F" w:rsidRDefault="00AC375F" w:rsidP="00AC375F">
            <w:pPr>
              <w:jc w:val="center"/>
              <w:rPr>
                <w:rFonts w:cstheme="minorHAnsi"/>
                <w:sz w:val="18"/>
                <w:szCs w:val="18"/>
              </w:rPr>
            </w:pPr>
            <w:r w:rsidRPr="00AC375F">
              <w:rPr>
                <w:rFonts w:cstheme="minorHAnsi"/>
                <w:sz w:val="18"/>
                <w:szCs w:val="18"/>
              </w:rPr>
              <w:t>kolovoz</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C537CC2" w14:textId="77777777" w:rsidR="00AC375F" w:rsidRPr="00AC375F" w:rsidRDefault="00AC375F" w:rsidP="00AC375F">
            <w:pPr>
              <w:jc w:val="center"/>
              <w:rPr>
                <w:rFonts w:cstheme="minorHAnsi"/>
                <w:sz w:val="18"/>
                <w:szCs w:val="18"/>
              </w:rPr>
            </w:pPr>
            <w:r w:rsidRPr="00AC375F">
              <w:rPr>
                <w:rFonts w:cstheme="minorHAnsi"/>
                <w:sz w:val="18"/>
                <w:szCs w:val="18"/>
              </w:rPr>
              <w:t>0,875</w:t>
            </w:r>
          </w:p>
        </w:tc>
      </w:tr>
      <w:tr w:rsidR="00AC375F" w:rsidRPr="00AC375F" w14:paraId="479A5880" w14:textId="77777777" w:rsidTr="00991955">
        <w:trPr>
          <w:trHeight w:val="314"/>
        </w:trPr>
        <w:tc>
          <w:tcPr>
            <w:tcW w:w="4424" w:type="dxa"/>
            <w:tcBorders>
              <w:top w:val="single" w:sz="4" w:space="0" w:color="auto"/>
              <w:left w:val="single" w:sz="4" w:space="0" w:color="auto"/>
              <w:bottom w:val="single" w:sz="4" w:space="0" w:color="auto"/>
              <w:right w:val="single" w:sz="4" w:space="0" w:color="auto"/>
            </w:tcBorders>
            <w:shd w:val="clear" w:color="auto" w:fill="auto"/>
            <w:noWrap/>
          </w:tcPr>
          <w:p w14:paraId="6A53CC04" w14:textId="77777777" w:rsidR="00AC375F" w:rsidRPr="00AC375F" w:rsidRDefault="00AC375F" w:rsidP="00AC375F">
            <w:pPr>
              <w:rPr>
                <w:rFonts w:cstheme="minorHAnsi"/>
                <w:sz w:val="18"/>
                <w:szCs w:val="18"/>
              </w:rPr>
            </w:pPr>
            <w:r w:rsidRPr="00AC375F">
              <w:rPr>
                <w:rFonts w:cstheme="minorHAnsi"/>
                <w:sz w:val="18"/>
                <w:szCs w:val="18"/>
              </w:rPr>
              <w:t>UNICOM WP3 and WP4: NCA's meeting</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2BC6B1D6" w14:textId="77777777" w:rsidR="00AC375F" w:rsidRPr="00AC375F" w:rsidRDefault="00AC375F" w:rsidP="00AC375F">
            <w:pPr>
              <w:jc w:val="center"/>
              <w:rPr>
                <w:rFonts w:cstheme="minorHAnsi"/>
                <w:sz w:val="18"/>
                <w:szCs w:val="18"/>
              </w:rPr>
            </w:pPr>
            <w:r w:rsidRPr="00AC375F">
              <w:rPr>
                <w:rFonts w:cstheme="minorHAnsi"/>
                <w:sz w:val="18"/>
                <w:szCs w:val="18"/>
              </w:rPr>
              <w:t>Dublin</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0A1264E" w14:textId="77777777" w:rsidR="00AC375F" w:rsidRPr="00AC375F" w:rsidRDefault="00AC375F" w:rsidP="00AC375F">
            <w:pPr>
              <w:jc w:val="center"/>
              <w:rPr>
                <w:rFonts w:cstheme="minorHAnsi"/>
                <w:sz w:val="18"/>
                <w:szCs w:val="18"/>
              </w:rPr>
            </w:pPr>
            <w:r w:rsidRPr="00AC375F">
              <w:rPr>
                <w:rFonts w:cstheme="minorHAnsi"/>
                <w:sz w:val="18"/>
                <w:szCs w:val="18"/>
              </w:rPr>
              <w:t>3</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1471D5B" w14:textId="77777777" w:rsidR="00AC375F" w:rsidRPr="00AC375F" w:rsidRDefault="00AC375F" w:rsidP="00AC375F">
            <w:pPr>
              <w:jc w:val="center"/>
              <w:rPr>
                <w:rFonts w:cstheme="minorHAnsi"/>
                <w:sz w:val="18"/>
                <w:szCs w:val="18"/>
              </w:rPr>
            </w:pPr>
            <w:r w:rsidRPr="00AC375F">
              <w:rPr>
                <w:rFonts w:cstheme="minorHAnsi"/>
                <w:sz w:val="18"/>
                <w:szCs w:val="18"/>
              </w:rPr>
              <w:t>listopad</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03E0D8A" w14:textId="77777777" w:rsidR="00AC375F" w:rsidRPr="00AC375F" w:rsidRDefault="00AC375F" w:rsidP="00AC375F">
            <w:pPr>
              <w:jc w:val="center"/>
              <w:rPr>
                <w:rFonts w:cstheme="minorHAnsi"/>
                <w:sz w:val="18"/>
                <w:szCs w:val="18"/>
              </w:rPr>
            </w:pPr>
            <w:r w:rsidRPr="00AC375F">
              <w:rPr>
                <w:rFonts w:cstheme="minorHAnsi"/>
                <w:sz w:val="18"/>
                <w:szCs w:val="18"/>
              </w:rPr>
              <w:t>6</w:t>
            </w:r>
          </w:p>
        </w:tc>
      </w:tr>
      <w:tr w:rsidR="00AC375F" w:rsidRPr="00AC375F" w14:paraId="237E6110" w14:textId="77777777" w:rsidTr="00991955">
        <w:trPr>
          <w:trHeight w:val="314"/>
        </w:trPr>
        <w:tc>
          <w:tcPr>
            <w:tcW w:w="4424" w:type="dxa"/>
            <w:tcBorders>
              <w:top w:val="single" w:sz="4" w:space="0" w:color="auto"/>
              <w:left w:val="single" w:sz="4" w:space="0" w:color="auto"/>
              <w:bottom w:val="single" w:sz="4" w:space="0" w:color="auto"/>
              <w:right w:val="single" w:sz="4" w:space="0" w:color="auto"/>
            </w:tcBorders>
            <w:shd w:val="clear" w:color="auto" w:fill="auto"/>
            <w:noWrap/>
          </w:tcPr>
          <w:p w14:paraId="0741F986" w14:textId="77777777" w:rsidR="00AC375F" w:rsidRPr="00AC375F" w:rsidRDefault="00AC375F" w:rsidP="00AC375F">
            <w:pPr>
              <w:rPr>
                <w:rFonts w:cstheme="minorHAnsi"/>
                <w:sz w:val="18"/>
                <w:szCs w:val="18"/>
              </w:rPr>
            </w:pPr>
            <w:r w:rsidRPr="00AC375F">
              <w:rPr>
                <w:rFonts w:cstheme="minorHAnsi"/>
                <w:sz w:val="18"/>
                <w:szCs w:val="18"/>
              </w:rPr>
              <w:t>UNICOM Knowledge transfer webinar: FINLAND IDMP implementation in focus</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090E470D" w14:textId="77777777" w:rsidR="00AC375F" w:rsidRPr="00AC375F" w:rsidRDefault="00AC375F" w:rsidP="00AC375F">
            <w:pPr>
              <w:jc w:val="center"/>
              <w:rPr>
                <w:rFonts w:cstheme="minorHAnsi"/>
                <w:sz w:val="18"/>
                <w:szCs w:val="18"/>
              </w:rPr>
            </w:pPr>
            <w:r w:rsidRPr="00AC375F">
              <w:rPr>
                <w:rFonts w:cstheme="minorHAnsi"/>
                <w:sz w:val="18"/>
                <w:szCs w:val="18"/>
              </w:rPr>
              <w:t>virtualno</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3C86823" w14:textId="77777777" w:rsidR="00AC375F" w:rsidRPr="00AC375F" w:rsidRDefault="00AC375F" w:rsidP="00AC375F">
            <w:pPr>
              <w:jc w:val="center"/>
              <w:rPr>
                <w:rFonts w:cstheme="minorHAnsi"/>
                <w:sz w:val="18"/>
                <w:szCs w:val="18"/>
              </w:rPr>
            </w:pPr>
            <w:r w:rsidRPr="00AC375F">
              <w:rPr>
                <w:rFonts w:cstheme="minorHAnsi"/>
                <w:sz w:val="18"/>
                <w:szCs w:val="18"/>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3A4FB2D9" w14:textId="77777777" w:rsidR="00AC375F" w:rsidRPr="00AC375F" w:rsidRDefault="00AC375F" w:rsidP="00AC375F">
            <w:pPr>
              <w:jc w:val="center"/>
              <w:rPr>
                <w:rFonts w:cstheme="minorHAnsi"/>
                <w:sz w:val="18"/>
                <w:szCs w:val="18"/>
              </w:rPr>
            </w:pPr>
            <w:r w:rsidRPr="00AC375F">
              <w:rPr>
                <w:rFonts w:cstheme="minorHAnsi"/>
                <w:sz w:val="18"/>
                <w:szCs w:val="18"/>
              </w:rPr>
              <w:t>listopad</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E8D0826" w14:textId="77777777" w:rsidR="00AC375F" w:rsidRPr="00AC375F" w:rsidRDefault="00AC375F" w:rsidP="00AC375F">
            <w:pPr>
              <w:jc w:val="center"/>
              <w:rPr>
                <w:rFonts w:cstheme="minorHAnsi"/>
                <w:sz w:val="18"/>
                <w:szCs w:val="18"/>
              </w:rPr>
            </w:pPr>
            <w:r w:rsidRPr="00AC375F">
              <w:rPr>
                <w:rFonts w:cstheme="minorHAnsi"/>
                <w:sz w:val="18"/>
                <w:szCs w:val="18"/>
              </w:rPr>
              <w:t>0,1875</w:t>
            </w:r>
          </w:p>
        </w:tc>
      </w:tr>
      <w:tr w:rsidR="00AC375F" w:rsidRPr="00AC375F" w14:paraId="35C13D0E" w14:textId="77777777" w:rsidTr="00991955">
        <w:trPr>
          <w:trHeight w:val="314"/>
        </w:trPr>
        <w:tc>
          <w:tcPr>
            <w:tcW w:w="4424" w:type="dxa"/>
            <w:shd w:val="clear" w:color="auto" w:fill="auto"/>
            <w:noWrap/>
          </w:tcPr>
          <w:p w14:paraId="425E72B0" w14:textId="77777777" w:rsidR="00AC375F" w:rsidRPr="00AC375F" w:rsidRDefault="00AC375F" w:rsidP="00AC375F">
            <w:pPr>
              <w:rPr>
                <w:rFonts w:cstheme="minorHAnsi"/>
                <w:sz w:val="18"/>
                <w:szCs w:val="18"/>
              </w:rPr>
            </w:pPr>
            <w:r w:rsidRPr="00AC375F">
              <w:rPr>
                <w:rFonts w:cstheme="minorHAnsi"/>
                <w:sz w:val="18"/>
                <w:szCs w:val="18"/>
              </w:rPr>
              <w:t>UNICOM WP4 status meeting (monthly)</w:t>
            </w:r>
          </w:p>
        </w:tc>
        <w:tc>
          <w:tcPr>
            <w:tcW w:w="1559" w:type="dxa"/>
            <w:shd w:val="clear" w:color="auto" w:fill="auto"/>
            <w:noWrap/>
          </w:tcPr>
          <w:p w14:paraId="3C62958A" w14:textId="77777777" w:rsidR="00AC375F" w:rsidRPr="00AC375F" w:rsidRDefault="00AC375F" w:rsidP="00AC375F">
            <w:pPr>
              <w:jc w:val="center"/>
              <w:rPr>
                <w:rFonts w:cstheme="minorHAnsi"/>
                <w:sz w:val="18"/>
                <w:szCs w:val="18"/>
              </w:rPr>
            </w:pPr>
            <w:r w:rsidRPr="00AC375F">
              <w:rPr>
                <w:rFonts w:cstheme="minorHAnsi"/>
                <w:sz w:val="18"/>
                <w:szCs w:val="18"/>
              </w:rPr>
              <w:t>virutalno</w:t>
            </w:r>
          </w:p>
        </w:tc>
        <w:tc>
          <w:tcPr>
            <w:tcW w:w="992" w:type="dxa"/>
            <w:shd w:val="clear" w:color="auto" w:fill="auto"/>
            <w:noWrap/>
          </w:tcPr>
          <w:p w14:paraId="2D0FB38A" w14:textId="77777777" w:rsidR="00AC375F" w:rsidRPr="00AC375F" w:rsidRDefault="00AC375F" w:rsidP="00AC375F">
            <w:pPr>
              <w:jc w:val="center"/>
              <w:rPr>
                <w:rFonts w:cstheme="minorHAnsi"/>
                <w:sz w:val="18"/>
                <w:szCs w:val="18"/>
              </w:rPr>
            </w:pPr>
            <w:r w:rsidRPr="00AC375F">
              <w:rPr>
                <w:rFonts w:cstheme="minorHAnsi"/>
                <w:sz w:val="18"/>
                <w:szCs w:val="18"/>
              </w:rPr>
              <w:t>1</w:t>
            </w:r>
          </w:p>
        </w:tc>
        <w:tc>
          <w:tcPr>
            <w:tcW w:w="1276" w:type="dxa"/>
            <w:shd w:val="clear" w:color="auto" w:fill="auto"/>
            <w:noWrap/>
          </w:tcPr>
          <w:p w14:paraId="4E6777E5" w14:textId="77777777" w:rsidR="00AC375F" w:rsidRPr="00AC375F" w:rsidRDefault="00AC375F" w:rsidP="00AC375F">
            <w:pPr>
              <w:jc w:val="center"/>
              <w:rPr>
                <w:rFonts w:cstheme="minorHAnsi"/>
                <w:sz w:val="18"/>
                <w:szCs w:val="18"/>
              </w:rPr>
            </w:pPr>
            <w:r w:rsidRPr="00AC375F">
              <w:rPr>
                <w:rFonts w:cstheme="minorHAnsi"/>
                <w:sz w:val="18"/>
                <w:szCs w:val="18"/>
              </w:rPr>
              <w:t>studeni</w:t>
            </w:r>
          </w:p>
        </w:tc>
        <w:tc>
          <w:tcPr>
            <w:tcW w:w="1134" w:type="dxa"/>
            <w:shd w:val="clear" w:color="auto" w:fill="auto"/>
            <w:noWrap/>
          </w:tcPr>
          <w:p w14:paraId="726F5FF5" w14:textId="77777777" w:rsidR="00AC375F" w:rsidRPr="00AC375F" w:rsidRDefault="00AC375F" w:rsidP="00AC375F">
            <w:pPr>
              <w:jc w:val="center"/>
              <w:rPr>
                <w:rFonts w:cstheme="minorHAnsi"/>
                <w:sz w:val="18"/>
                <w:szCs w:val="18"/>
              </w:rPr>
            </w:pPr>
            <w:r w:rsidRPr="00AC375F">
              <w:rPr>
                <w:rFonts w:cstheme="minorHAnsi"/>
                <w:sz w:val="18"/>
                <w:szCs w:val="18"/>
              </w:rPr>
              <w:t>0,1875</w:t>
            </w:r>
          </w:p>
        </w:tc>
      </w:tr>
      <w:tr w:rsidR="00AC375F" w:rsidRPr="00AC375F" w14:paraId="72009032" w14:textId="77777777" w:rsidTr="00991955">
        <w:trPr>
          <w:trHeight w:val="314"/>
        </w:trPr>
        <w:tc>
          <w:tcPr>
            <w:tcW w:w="4424" w:type="dxa"/>
            <w:tcBorders>
              <w:top w:val="single" w:sz="4" w:space="0" w:color="auto"/>
              <w:left w:val="single" w:sz="4" w:space="0" w:color="auto"/>
              <w:bottom w:val="single" w:sz="4" w:space="0" w:color="auto"/>
              <w:right w:val="single" w:sz="4" w:space="0" w:color="auto"/>
            </w:tcBorders>
            <w:shd w:val="clear" w:color="auto" w:fill="auto"/>
            <w:noWrap/>
          </w:tcPr>
          <w:p w14:paraId="51501016" w14:textId="77777777" w:rsidR="00AC375F" w:rsidRPr="00AC375F" w:rsidRDefault="00AC375F" w:rsidP="00AC375F">
            <w:pPr>
              <w:rPr>
                <w:rFonts w:cstheme="minorHAnsi"/>
                <w:sz w:val="18"/>
                <w:szCs w:val="18"/>
              </w:rPr>
            </w:pPr>
            <w:r w:rsidRPr="00AC375F">
              <w:rPr>
                <w:rFonts w:cstheme="minorHAnsi"/>
                <w:sz w:val="18"/>
                <w:szCs w:val="18"/>
              </w:rPr>
              <w:t>UNICOM Consortium Meeting</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0785F935" w14:textId="77777777" w:rsidR="00AC375F" w:rsidRPr="00AC375F" w:rsidRDefault="00AC375F" w:rsidP="00AC375F">
            <w:pPr>
              <w:jc w:val="center"/>
              <w:rPr>
                <w:rFonts w:cstheme="minorHAnsi"/>
                <w:sz w:val="18"/>
                <w:szCs w:val="18"/>
              </w:rPr>
            </w:pPr>
            <w:r w:rsidRPr="00AC375F">
              <w:rPr>
                <w:rFonts w:cstheme="minorHAnsi"/>
                <w:sz w:val="18"/>
                <w:szCs w:val="18"/>
              </w:rPr>
              <w:t>Ghent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9B6183B" w14:textId="77777777" w:rsidR="00AC375F" w:rsidRPr="00AC375F" w:rsidRDefault="00AC375F" w:rsidP="00AC375F">
            <w:pPr>
              <w:jc w:val="center"/>
              <w:rPr>
                <w:rFonts w:cstheme="minorHAnsi"/>
                <w:sz w:val="18"/>
                <w:szCs w:val="18"/>
              </w:rPr>
            </w:pPr>
            <w:r w:rsidRPr="00AC375F">
              <w:rPr>
                <w:rFonts w:cstheme="minorHAnsi"/>
                <w:sz w:val="18"/>
                <w:szCs w:val="18"/>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9CC6F32" w14:textId="77777777" w:rsidR="00AC375F" w:rsidRPr="00AC375F" w:rsidRDefault="00AC375F" w:rsidP="00AC375F">
            <w:pPr>
              <w:jc w:val="center"/>
              <w:rPr>
                <w:rFonts w:cstheme="minorHAnsi"/>
                <w:sz w:val="18"/>
                <w:szCs w:val="18"/>
              </w:rPr>
            </w:pPr>
            <w:r w:rsidRPr="00AC375F">
              <w:rPr>
                <w:rFonts w:cstheme="minorHAnsi"/>
                <w:sz w:val="18"/>
                <w:szCs w:val="18"/>
              </w:rPr>
              <w:t>studeni</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2D289E2" w14:textId="77777777" w:rsidR="00AC375F" w:rsidRPr="00AC375F" w:rsidRDefault="00AC375F" w:rsidP="00AC375F">
            <w:pPr>
              <w:jc w:val="center"/>
              <w:rPr>
                <w:rFonts w:cstheme="minorHAnsi"/>
                <w:sz w:val="18"/>
                <w:szCs w:val="18"/>
              </w:rPr>
            </w:pPr>
            <w:r w:rsidRPr="00AC375F">
              <w:rPr>
                <w:rFonts w:cstheme="minorHAnsi"/>
                <w:sz w:val="18"/>
                <w:szCs w:val="18"/>
              </w:rPr>
              <w:t>3</w:t>
            </w:r>
          </w:p>
        </w:tc>
      </w:tr>
      <w:tr w:rsidR="00AC375F" w:rsidRPr="00AC375F" w14:paraId="3F0DCAD8" w14:textId="77777777" w:rsidTr="00991955">
        <w:trPr>
          <w:trHeight w:val="314"/>
        </w:trPr>
        <w:tc>
          <w:tcPr>
            <w:tcW w:w="4424" w:type="dxa"/>
            <w:tcBorders>
              <w:top w:val="single" w:sz="4" w:space="0" w:color="auto"/>
              <w:left w:val="single" w:sz="4" w:space="0" w:color="auto"/>
              <w:bottom w:val="single" w:sz="4" w:space="0" w:color="auto"/>
              <w:right w:val="single" w:sz="4" w:space="0" w:color="auto"/>
            </w:tcBorders>
            <w:shd w:val="clear" w:color="auto" w:fill="auto"/>
            <w:noWrap/>
          </w:tcPr>
          <w:p w14:paraId="1AA8B9FD" w14:textId="77777777" w:rsidR="00AC375F" w:rsidRPr="00AC375F" w:rsidRDefault="00AC375F" w:rsidP="00AC375F">
            <w:pPr>
              <w:rPr>
                <w:rFonts w:cstheme="minorHAnsi"/>
                <w:sz w:val="18"/>
                <w:szCs w:val="18"/>
              </w:rPr>
            </w:pPr>
            <w:r w:rsidRPr="00AC375F">
              <w:rPr>
                <w:rFonts w:cstheme="minorHAnsi"/>
                <w:sz w:val="18"/>
                <w:szCs w:val="18"/>
              </w:rPr>
              <w:t xml:space="preserve">Knowledge transfer webinar: Germany (BfARM) in focus  </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55F3E112" w14:textId="77777777" w:rsidR="00AC375F" w:rsidRPr="00AC375F" w:rsidRDefault="00AC375F" w:rsidP="00AC375F">
            <w:pPr>
              <w:jc w:val="center"/>
              <w:rPr>
                <w:rFonts w:cstheme="minorHAnsi"/>
                <w:sz w:val="18"/>
                <w:szCs w:val="18"/>
              </w:rPr>
            </w:pPr>
            <w:r w:rsidRPr="00AC375F">
              <w:rPr>
                <w:rFonts w:cstheme="minorHAnsi"/>
                <w:sz w:val="18"/>
                <w:szCs w:val="18"/>
              </w:rPr>
              <w:t>virtualno</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80E584B" w14:textId="77777777" w:rsidR="00AC375F" w:rsidRPr="00AC375F" w:rsidRDefault="00AC375F" w:rsidP="00AC375F">
            <w:pPr>
              <w:jc w:val="center"/>
              <w:rPr>
                <w:rFonts w:cstheme="minorHAnsi"/>
                <w:sz w:val="18"/>
                <w:szCs w:val="18"/>
              </w:rPr>
            </w:pPr>
            <w:r w:rsidRPr="00AC375F">
              <w:rPr>
                <w:rFonts w:cstheme="minorHAnsi"/>
                <w:sz w:val="18"/>
                <w:szCs w:val="18"/>
              </w:rPr>
              <w:t>4</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95DE62D" w14:textId="77777777" w:rsidR="00AC375F" w:rsidRPr="00AC375F" w:rsidRDefault="00AC375F" w:rsidP="00AC375F">
            <w:pPr>
              <w:jc w:val="center"/>
              <w:rPr>
                <w:rFonts w:cstheme="minorHAnsi"/>
                <w:sz w:val="18"/>
                <w:szCs w:val="18"/>
              </w:rPr>
            </w:pPr>
            <w:r w:rsidRPr="00AC375F">
              <w:rPr>
                <w:rFonts w:cstheme="minorHAnsi"/>
                <w:sz w:val="18"/>
                <w:szCs w:val="18"/>
              </w:rPr>
              <w:t>prosinac</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2541747" w14:textId="77777777" w:rsidR="00AC375F" w:rsidRPr="00AC375F" w:rsidRDefault="00AC375F" w:rsidP="00AC375F">
            <w:pPr>
              <w:jc w:val="center"/>
              <w:rPr>
                <w:rFonts w:cstheme="minorHAnsi"/>
                <w:sz w:val="18"/>
                <w:szCs w:val="18"/>
              </w:rPr>
            </w:pPr>
            <w:r w:rsidRPr="00AC375F">
              <w:rPr>
                <w:rFonts w:cstheme="minorHAnsi"/>
                <w:sz w:val="18"/>
                <w:szCs w:val="18"/>
              </w:rPr>
              <w:t>0,75</w:t>
            </w:r>
          </w:p>
        </w:tc>
      </w:tr>
    </w:tbl>
    <w:p w14:paraId="0F2BA853" w14:textId="77777777" w:rsidR="00AC375F" w:rsidRPr="00AC375F" w:rsidRDefault="00AC375F" w:rsidP="001B7BE6">
      <w:pPr>
        <w:spacing w:line="276" w:lineRule="auto"/>
        <w:rPr>
          <w:rFonts w:eastAsia="Times New Roman" w:cstheme="minorHAnsi"/>
          <w:sz w:val="18"/>
          <w:szCs w:val="18"/>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4"/>
        <w:gridCol w:w="1529"/>
        <w:gridCol w:w="1022"/>
        <w:gridCol w:w="1276"/>
        <w:gridCol w:w="1134"/>
      </w:tblGrid>
      <w:tr w:rsidR="00AC375F" w:rsidRPr="00AC375F" w14:paraId="1BAE6696" w14:textId="77777777" w:rsidTr="00991955">
        <w:trPr>
          <w:trHeight w:val="314"/>
        </w:trPr>
        <w:tc>
          <w:tcPr>
            <w:tcW w:w="4424" w:type="dxa"/>
            <w:shd w:val="clear" w:color="auto" w:fill="A3E7FF"/>
            <w:noWrap/>
            <w:vAlign w:val="center"/>
          </w:tcPr>
          <w:p w14:paraId="18E52231" w14:textId="77777777" w:rsidR="00AC375F" w:rsidRPr="00AC375F" w:rsidRDefault="00AC375F" w:rsidP="00AC375F">
            <w:pPr>
              <w:rPr>
                <w:rFonts w:cstheme="minorHAnsi"/>
                <w:b/>
                <w:bCs/>
                <w:i/>
                <w:iCs/>
                <w:sz w:val="18"/>
                <w:szCs w:val="18"/>
              </w:rPr>
            </w:pPr>
            <w:r w:rsidRPr="00AC375F">
              <w:rPr>
                <w:rFonts w:cstheme="minorHAnsi"/>
                <w:b/>
                <w:bCs/>
                <w:i/>
                <w:iCs/>
                <w:sz w:val="18"/>
                <w:szCs w:val="18"/>
              </w:rPr>
              <w:t>Projekt eLijekovi</w:t>
            </w:r>
          </w:p>
        </w:tc>
        <w:tc>
          <w:tcPr>
            <w:tcW w:w="1529" w:type="dxa"/>
            <w:shd w:val="clear" w:color="auto" w:fill="A3E7FF"/>
            <w:noWrap/>
            <w:vAlign w:val="center"/>
          </w:tcPr>
          <w:p w14:paraId="295D6175" w14:textId="77777777" w:rsidR="00AC375F" w:rsidRPr="00AC375F" w:rsidRDefault="00AC375F" w:rsidP="00AC375F">
            <w:pPr>
              <w:rPr>
                <w:rFonts w:cstheme="minorHAnsi"/>
                <w:b/>
                <w:bCs/>
                <w:i/>
                <w:iCs/>
                <w:sz w:val="18"/>
                <w:szCs w:val="18"/>
              </w:rPr>
            </w:pPr>
          </w:p>
        </w:tc>
        <w:tc>
          <w:tcPr>
            <w:tcW w:w="1022" w:type="dxa"/>
            <w:shd w:val="clear" w:color="auto" w:fill="A3E7FF"/>
            <w:noWrap/>
            <w:vAlign w:val="center"/>
          </w:tcPr>
          <w:p w14:paraId="7E708D0F" w14:textId="77777777" w:rsidR="00AC375F" w:rsidRPr="00AC375F" w:rsidRDefault="00AC375F" w:rsidP="00AC375F">
            <w:pPr>
              <w:rPr>
                <w:rFonts w:cstheme="minorHAnsi"/>
                <w:b/>
                <w:bCs/>
                <w:i/>
                <w:iCs/>
                <w:sz w:val="18"/>
                <w:szCs w:val="18"/>
              </w:rPr>
            </w:pPr>
          </w:p>
        </w:tc>
        <w:tc>
          <w:tcPr>
            <w:tcW w:w="1276" w:type="dxa"/>
            <w:shd w:val="clear" w:color="auto" w:fill="A3E7FF"/>
            <w:noWrap/>
            <w:vAlign w:val="center"/>
          </w:tcPr>
          <w:p w14:paraId="3EE06432" w14:textId="77777777" w:rsidR="00AC375F" w:rsidRPr="00AC375F" w:rsidRDefault="00AC375F" w:rsidP="00AC375F">
            <w:pPr>
              <w:jc w:val="center"/>
              <w:rPr>
                <w:rFonts w:cstheme="minorHAnsi"/>
                <w:b/>
                <w:bCs/>
                <w:i/>
                <w:iCs/>
                <w:sz w:val="18"/>
                <w:szCs w:val="18"/>
              </w:rPr>
            </w:pPr>
          </w:p>
        </w:tc>
        <w:tc>
          <w:tcPr>
            <w:tcW w:w="1134" w:type="dxa"/>
            <w:shd w:val="clear" w:color="auto" w:fill="A3E7FF"/>
            <w:noWrap/>
            <w:vAlign w:val="center"/>
          </w:tcPr>
          <w:p w14:paraId="4170B3CC" w14:textId="77777777" w:rsidR="00AC375F" w:rsidRPr="00AC375F" w:rsidRDefault="00AC375F" w:rsidP="00AC375F">
            <w:pPr>
              <w:rPr>
                <w:rFonts w:cstheme="minorHAnsi"/>
                <w:b/>
                <w:bCs/>
                <w:i/>
                <w:iCs/>
                <w:sz w:val="18"/>
                <w:szCs w:val="18"/>
              </w:rPr>
            </w:pPr>
          </w:p>
        </w:tc>
      </w:tr>
      <w:tr w:rsidR="00AC375F" w:rsidRPr="00AC375F" w14:paraId="2520D87E" w14:textId="77777777" w:rsidTr="00991955">
        <w:trPr>
          <w:trHeight w:val="314"/>
        </w:trPr>
        <w:tc>
          <w:tcPr>
            <w:tcW w:w="4424" w:type="dxa"/>
            <w:shd w:val="clear" w:color="auto" w:fill="auto"/>
            <w:noWrap/>
            <w:vAlign w:val="center"/>
          </w:tcPr>
          <w:p w14:paraId="0CA25B4B" w14:textId="77777777" w:rsidR="00AC375F" w:rsidRPr="00AC375F" w:rsidRDefault="00AC375F" w:rsidP="00AC375F">
            <w:pPr>
              <w:rPr>
                <w:rFonts w:cstheme="minorHAnsi"/>
                <w:i/>
                <w:sz w:val="18"/>
                <w:szCs w:val="18"/>
              </w:rPr>
            </w:pPr>
            <w:r w:rsidRPr="00AC375F">
              <w:rPr>
                <w:rFonts w:cstheme="minorHAnsi"/>
                <w:i/>
                <w:sz w:val="18"/>
                <w:szCs w:val="18"/>
              </w:rPr>
              <w:t>Naziv skupine</w:t>
            </w:r>
          </w:p>
        </w:tc>
        <w:tc>
          <w:tcPr>
            <w:tcW w:w="1529" w:type="dxa"/>
            <w:shd w:val="clear" w:color="auto" w:fill="FFFFFF" w:themeFill="background1"/>
            <w:noWrap/>
            <w:vAlign w:val="center"/>
          </w:tcPr>
          <w:p w14:paraId="4B94F4B5" w14:textId="77777777" w:rsidR="00AC375F" w:rsidRPr="00AC375F" w:rsidRDefault="00AC375F" w:rsidP="00AC375F">
            <w:pPr>
              <w:jc w:val="center"/>
              <w:rPr>
                <w:rFonts w:cstheme="minorHAnsi"/>
                <w:i/>
                <w:sz w:val="18"/>
                <w:szCs w:val="18"/>
              </w:rPr>
            </w:pPr>
            <w:r w:rsidRPr="00AC375F">
              <w:rPr>
                <w:rFonts w:cstheme="minorHAnsi"/>
                <w:i/>
                <w:sz w:val="18"/>
                <w:szCs w:val="18"/>
              </w:rPr>
              <w:t>Mjesto</w:t>
            </w:r>
          </w:p>
        </w:tc>
        <w:tc>
          <w:tcPr>
            <w:tcW w:w="1022" w:type="dxa"/>
            <w:shd w:val="clear" w:color="auto" w:fill="auto"/>
            <w:noWrap/>
            <w:vAlign w:val="center"/>
          </w:tcPr>
          <w:p w14:paraId="2C7CA0E4" w14:textId="77777777" w:rsidR="00AC375F" w:rsidRPr="00AC375F" w:rsidRDefault="00AC375F" w:rsidP="00AC375F">
            <w:pPr>
              <w:jc w:val="center"/>
              <w:rPr>
                <w:rFonts w:cstheme="minorHAnsi"/>
                <w:i/>
                <w:sz w:val="18"/>
                <w:szCs w:val="18"/>
              </w:rPr>
            </w:pPr>
            <w:r w:rsidRPr="00AC375F">
              <w:rPr>
                <w:rFonts w:cstheme="minorHAnsi"/>
                <w:i/>
                <w:sz w:val="18"/>
                <w:szCs w:val="18"/>
              </w:rPr>
              <w:t>broj djelatnika</w:t>
            </w:r>
          </w:p>
        </w:tc>
        <w:tc>
          <w:tcPr>
            <w:tcW w:w="1276" w:type="dxa"/>
            <w:shd w:val="clear" w:color="auto" w:fill="auto"/>
            <w:noWrap/>
            <w:vAlign w:val="center"/>
          </w:tcPr>
          <w:p w14:paraId="44351C33" w14:textId="77777777" w:rsidR="00AC375F" w:rsidRPr="00AC375F" w:rsidRDefault="00AC375F" w:rsidP="00AC375F">
            <w:pPr>
              <w:jc w:val="center"/>
              <w:rPr>
                <w:rFonts w:cstheme="minorHAnsi"/>
                <w:i/>
                <w:sz w:val="18"/>
                <w:szCs w:val="18"/>
              </w:rPr>
            </w:pPr>
            <w:r w:rsidRPr="00AC375F">
              <w:rPr>
                <w:rFonts w:cstheme="minorHAnsi"/>
                <w:i/>
                <w:sz w:val="18"/>
                <w:szCs w:val="18"/>
              </w:rPr>
              <w:t>mjesec</w:t>
            </w:r>
          </w:p>
        </w:tc>
        <w:tc>
          <w:tcPr>
            <w:tcW w:w="1134" w:type="dxa"/>
            <w:shd w:val="clear" w:color="auto" w:fill="auto"/>
            <w:noWrap/>
            <w:vAlign w:val="center"/>
          </w:tcPr>
          <w:p w14:paraId="4487B468" w14:textId="77777777" w:rsidR="00AC375F" w:rsidRPr="00AC375F" w:rsidRDefault="00AC375F" w:rsidP="00AC375F">
            <w:pPr>
              <w:jc w:val="center"/>
              <w:rPr>
                <w:rFonts w:cstheme="minorHAnsi"/>
                <w:i/>
                <w:sz w:val="18"/>
                <w:szCs w:val="18"/>
              </w:rPr>
            </w:pPr>
            <w:r w:rsidRPr="00AC375F">
              <w:rPr>
                <w:rFonts w:cstheme="minorHAnsi"/>
                <w:i/>
                <w:sz w:val="18"/>
                <w:szCs w:val="18"/>
              </w:rPr>
              <w:t>broj dana/ sastanku</w:t>
            </w:r>
          </w:p>
        </w:tc>
      </w:tr>
      <w:tr w:rsidR="00AC375F" w:rsidRPr="00AC375F" w14:paraId="64770D08" w14:textId="77777777" w:rsidTr="00991955">
        <w:trPr>
          <w:trHeight w:val="314"/>
        </w:trPr>
        <w:tc>
          <w:tcPr>
            <w:tcW w:w="4424" w:type="dxa"/>
            <w:shd w:val="clear" w:color="auto" w:fill="auto"/>
            <w:noWrap/>
            <w:vAlign w:val="center"/>
          </w:tcPr>
          <w:p w14:paraId="781E2406" w14:textId="77777777" w:rsidR="00AC375F" w:rsidRPr="00AC375F" w:rsidRDefault="00AC375F" w:rsidP="00AC375F">
            <w:pPr>
              <w:rPr>
                <w:rFonts w:cstheme="minorHAnsi"/>
                <w:sz w:val="18"/>
                <w:szCs w:val="18"/>
              </w:rPr>
            </w:pPr>
            <w:r w:rsidRPr="00AC375F">
              <w:rPr>
                <w:sz w:val="18"/>
                <w:szCs w:val="18"/>
              </w:rPr>
              <w:t>Sastanak partnera (HZZO, MZ, HALMED)</w:t>
            </w:r>
          </w:p>
        </w:tc>
        <w:tc>
          <w:tcPr>
            <w:tcW w:w="1529" w:type="dxa"/>
            <w:shd w:val="clear" w:color="auto" w:fill="auto"/>
            <w:noWrap/>
            <w:vAlign w:val="center"/>
          </w:tcPr>
          <w:p w14:paraId="3758FA9C" w14:textId="77777777" w:rsidR="00AC375F" w:rsidRPr="00AC375F" w:rsidRDefault="00AC375F" w:rsidP="00AC375F">
            <w:pPr>
              <w:jc w:val="center"/>
              <w:rPr>
                <w:rFonts w:cstheme="minorHAnsi"/>
                <w:sz w:val="18"/>
                <w:szCs w:val="18"/>
              </w:rPr>
            </w:pPr>
            <w:r w:rsidRPr="00AC375F">
              <w:rPr>
                <w:rFonts w:cstheme="minorHAnsi"/>
                <w:sz w:val="18"/>
                <w:szCs w:val="18"/>
              </w:rPr>
              <w:t>Zagreb/HZZO</w:t>
            </w:r>
          </w:p>
        </w:tc>
        <w:tc>
          <w:tcPr>
            <w:tcW w:w="1022" w:type="dxa"/>
            <w:shd w:val="clear" w:color="auto" w:fill="auto"/>
            <w:noWrap/>
          </w:tcPr>
          <w:p w14:paraId="6B92F308" w14:textId="77777777" w:rsidR="00AC375F" w:rsidRPr="00AC375F" w:rsidRDefault="00AC375F" w:rsidP="00AC375F">
            <w:pPr>
              <w:jc w:val="center"/>
              <w:rPr>
                <w:rFonts w:cstheme="minorHAnsi"/>
                <w:sz w:val="18"/>
                <w:szCs w:val="18"/>
              </w:rPr>
            </w:pPr>
            <w:r w:rsidRPr="00AC375F">
              <w:rPr>
                <w:rFonts w:cstheme="minorHAnsi"/>
                <w:sz w:val="18"/>
                <w:szCs w:val="18"/>
              </w:rPr>
              <w:t>5</w:t>
            </w:r>
          </w:p>
        </w:tc>
        <w:tc>
          <w:tcPr>
            <w:tcW w:w="1276" w:type="dxa"/>
            <w:shd w:val="clear" w:color="auto" w:fill="auto"/>
            <w:noWrap/>
          </w:tcPr>
          <w:p w14:paraId="7F827B3B" w14:textId="77777777" w:rsidR="00AC375F" w:rsidRPr="00AC375F" w:rsidRDefault="00AC375F" w:rsidP="00AC375F">
            <w:pPr>
              <w:jc w:val="center"/>
              <w:rPr>
                <w:rFonts w:cstheme="minorHAnsi"/>
                <w:sz w:val="18"/>
                <w:szCs w:val="18"/>
              </w:rPr>
            </w:pPr>
            <w:r w:rsidRPr="00AC375F">
              <w:rPr>
                <w:rFonts w:cstheme="minorHAnsi"/>
                <w:sz w:val="18"/>
                <w:szCs w:val="18"/>
              </w:rPr>
              <w:t>svibanj</w:t>
            </w:r>
          </w:p>
        </w:tc>
        <w:tc>
          <w:tcPr>
            <w:tcW w:w="1134" w:type="dxa"/>
            <w:shd w:val="clear" w:color="auto" w:fill="auto"/>
            <w:noWrap/>
          </w:tcPr>
          <w:p w14:paraId="4BBE740E" w14:textId="77777777" w:rsidR="00AC375F" w:rsidRPr="00AC375F" w:rsidRDefault="00AC375F" w:rsidP="00AC375F">
            <w:pPr>
              <w:jc w:val="center"/>
              <w:rPr>
                <w:rFonts w:cstheme="minorHAnsi"/>
                <w:sz w:val="18"/>
                <w:szCs w:val="18"/>
              </w:rPr>
            </w:pPr>
            <w:r w:rsidRPr="00AC375F">
              <w:rPr>
                <w:rFonts w:cstheme="minorHAnsi"/>
                <w:sz w:val="18"/>
                <w:szCs w:val="18"/>
              </w:rPr>
              <w:t>0,62</w:t>
            </w:r>
          </w:p>
        </w:tc>
      </w:tr>
      <w:tr w:rsidR="00AC375F" w:rsidRPr="00AC375F" w:rsidDel="00514968" w14:paraId="0FF5394D" w14:textId="77777777" w:rsidTr="00991955">
        <w:trPr>
          <w:trHeight w:val="314"/>
        </w:trPr>
        <w:tc>
          <w:tcPr>
            <w:tcW w:w="4424" w:type="dxa"/>
            <w:shd w:val="clear" w:color="auto" w:fill="auto"/>
            <w:noWrap/>
            <w:vAlign w:val="center"/>
          </w:tcPr>
          <w:p w14:paraId="463BE4D7" w14:textId="77777777" w:rsidR="00AC375F" w:rsidRPr="00AC375F" w:rsidDel="00514968" w:rsidRDefault="00AC375F" w:rsidP="00AC375F">
            <w:pPr>
              <w:rPr>
                <w:rFonts w:cstheme="minorHAnsi"/>
                <w:sz w:val="18"/>
                <w:szCs w:val="18"/>
              </w:rPr>
            </w:pPr>
          </w:p>
        </w:tc>
        <w:tc>
          <w:tcPr>
            <w:tcW w:w="1529" w:type="dxa"/>
            <w:shd w:val="clear" w:color="auto" w:fill="auto"/>
            <w:noWrap/>
          </w:tcPr>
          <w:p w14:paraId="02C6EC64" w14:textId="77777777" w:rsidR="00AC375F" w:rsidRPr="00AC375F" w:rsidDel="00514968" w:rsidRDefault="00AC375F" w:rsidP="00AC375F">
            <w:pPr>
              <w:jc w:val="center"/>
              <w:rPr>
                <w:rFonts w:cstheme="minorHAnsi"/>
                <w:sz w:val="18"/>
                <w:szCs w:val="18"/>
              </w:rPr>
            </w:pPr>
            <w:r w:rsidRPr="00AC375F">
              <w:rPr>
                <w:rFonts w:cstheme="minorHAnsi"/>
                <w:sz w:val="18"/>
                <w:szCs w:val="18"/>
              </w:rPr>
              <w:t>Virtualno</w:t>
            </w:r>
          </w:p>
        </w:tc>
        <w:tc>
          <w:tcPr>
            <w:tcW w:w="1022" w:type="dxa"/>
            <w:shd w:val="clear" w:color="auto" w:fill="auto"/>
            <w:noWrap/>
          </w:tcPr>
          <w:p w14:paraId="24677B77" w14:textId="77777777" w:rsidR="00AC375F" w:rsidRPr="00AC375F" w:rsidDel="00514968" w:rsidRDefault="00AC375F" w:rsidP="00AC375F">
            <w:pPr>
              <w:jc w:val="center"/>
              <w:rPr>
                <w:rFonts w:cstheme="minorHAnsi"/>
                <w:sz w:val="18"/>
                <w:szCs w:val="18"/>
              </w:rPr>
            </w:pPr>
            <w:r w:rsidRPr="00AC375F">
              <w:rPr>
                <w:rFonts w:cstheme="minorHAnsi"/>
                <w:sz w:val="18"/>
                <w:szCs w:val="18"/>
              </w:rPr>
              <w:t>4</w:t>
            </w:r>
          </w:p>
        </w:tc>
        <w:tc>
          <w:tcPr>
            <w:tcW w:w="1276" w:type="dxa"/>
            <w:shd w:val="clear" w:color="auto" w:fill="auto"/>
            <w:noWrap/>
          </w:tcPr>
          <w:p w14:paraId="30F8547B" w14:textId="77777777" w:rsidR="00AC375F" w:rsidRPr="00AC375F" w:rsidDel="00514968" w:rsidRDefault="00AC375F" w:rsidP="00AC375F">
            <w:pPr>
              <w:jc w:val="center"/>
              <w:rPr>
                <w:rFonts w:cstheme="minorHAnsi"/>
                <w:sz w:val="18"/>
                <w:szCs w:val="18"/>
              </w:rPr>
            </w:pPr>
            <w:r w:rsidRPr="00AC375F">
              <w:rPr>
                <w:rFonts w:cstheme="minorHAnsi"/>
                <w:sz w:val="18"/>
                <w:szCs w:val="18"/>
              </w:rPr>
              <w:t>lipanj</w:t>
            </w:r>
          </w:p>
        </w:tc>
        <w:tc>
          <w:tcPr>
            <w:tcW w:w="1134" w:type="dxa"/>
            <w:shd w:val="clear" w:color="auto" w:fill="auto"/>
            <w:noWrap/>
          </w:tcPr>
          <w:p w14:paraId="41CDD1C5" w14:textId="77777777" w:rsidR="00AC375F" w:rsidRPr="00AC375F" w:rsidDel="00514968" w:rsidRDefault="00AC375F" w:rsidP="00AC375F">
            <w:pPr>
              <w:jc w:val="center"/>
              <w:rPr>
                <w:rFonts w:cstheme="minorHAnsi"/>
                <w:sz w:val="18"/>
                <w:szCs w:val="18"/>
              </w:rPr>
            </w:pPr>
            <w:r w:rsidRPr="00AC375F">
              <w:rPr>
                <w:rFonts w:cstheme="minorHAnsi"/>
                <w:sz w:val="18"/>
                <w:szCs w:val="18"/>
              </w:rPr>
              <w:t>0,75</w:t>
            </w:r>
          </w:p>
        </w:tc>
      </w:tr>
      <w:tr w:rsidR="00AC375F" w:rsidRPr="00AC375F" w:rsidDel="00514968" w14:paraId="01389705" w14:textId="77777777" w:rsidTr="00991955">
        <w:trPr>
          <w:trHeight w:val="314"/>
        </w:trPr>
        <w:tc>
          <w:tcPr>
            <w:tcW w:w="4424" w:type="dxa"/>
            <w:shd w:val="clear" w:color="auto" w:fill="auto"/>
            <w:noWrap/>
            <w:vAlign w:val="center"/>
          </w:tcPr>
          <w:p w14:paraId="4DA4046E" w14:textId="77777777" w:rsidR="00AC375F" w:rsidRPr="00AC375F" w:rsidDel="00514968" w:rsidRDefault="00AC375F" w:rsidP="00AC375F">
            <w:pPr>
              <w:rPr>
                <w:rFonts w:cstheme="minorHAnsi"/>
                <w:sz w:val="18"/>
                <w:szCs w:val="18"/>
              </w:rPr>
            </w:pPr>
          </w:p>
        </w:tc>
        <w:tc>
          <w:tcPr>
            <w:tcW w:w="1529" w:type="dxa"/>
            <w:shd w:val="clear" w:color="auto" w:fill="auto"/>
            <w:noWrap/>
          </w:tcPr>
          <w:p w14:paraId="284AD86A" w14:textId="77777777" w:rsidR="00AC375F" w:rsidRPr="00AC375F" w:rsidRDefault="00AC375F" w:rsidP="00AC375F">
            <w:pPr>
              <w:jc w:val="center"/>
              <w:rPr>
                <w:rFonts w:cstheme="minorHAnsi"/>
                <w:sz w:val="18"/>
                <w:szCs w:val="18"/>
              </w:rPr>
            </w:pPr>
            <w:r w:rsidRPr="00AC375F">
              <w:rPr>
                <w:rFonts w:cstheme="minorHAnsi"/>
                <w:sz w:val="18"/>
                <w:szCs w:val="18"/>
              </w:rPr>
              <w:t>Virtualno</w:t>
            </w:r>
          </w:p>
        </w:tc>
        <w:tc>
          <w:tcPr>
            <w:tcW w:w="1022" w:type="dxa"/>
            <w:shd w:val="clear" w:color="auto" w:fill="auto"/>
            <w:noWrap/>
          </w:tcPr>
          <w:p w14:paraId="5A5D15ED" w14:textId="77777777" w:rsidR="00AC375F" w:rsidRPr="00AC375F" w:rsidRDefault="00AC375F" w:rsidP="00AC375F">
            <w:pPr>
              <w:jc w:val="center"/>
              <w:rPr>
                <w:rFonts w:cstheme="minorHAnsi"/>
                <w:sz w:val="18"/>
                <w:szCs w:val="18"/>
              </w:rPr>
            </w:pPr>
            <w:r w:rsidRPr="00AC375F">
              <w:rPr>
                <w:rFonts w:cstheme="minorHAnsi"/>
                <w:sz w:val="18"/>
                <w:szCs w:val="18"/>
              </w:rPr>
              <w:t>3</w:t>
            </w:r>
          </w:p>
        </w:tc>
        <w:tc>
          <w:tcPr>
            <w:tcW w:w="1276" w:type="dxa"/>
            <w:shd w:val="clear" w:color="auto" w:fill="auto"/>
            <w:noWrap/>
          </w:tcPr>
          <w:p w14:paraId="401F0083" w14:textId="77777777" w:rsidR="00AC375F" w:rsidRPr="00AC375F" w:rsidRDefault="00AC375F" w:rsidP="00AC375F">
            <w:pPr>
              <w:jc w:val="center"/>
              <w:rPr>
                <w:rFonts w:cstheme="minorHAnsi"/>
                <w:sz w:val="18"/>
                <w:szCs w:val="18"/>
              </w:rPr>
            </w:pPr>
            <w:r w:rsidRPr="00AC375F">
              <w:rPr>
                <w:rFonts w:cstheme="minorHAnsi"/>
                <w:sz w:val="18"/>
                <w:szCs w:val="18"/>
              </w:rPr>
              <w:t>lipanj</w:t>
            </w:r>
          </w:p>
        </w:tc>
        <w:tc>
          <w:tcPr>
            <w:tcW w:w="1134" w:type="dxa"/>
            <w:shd w:val="clear" w:color="auto" w:fill="auto"/>
            <w:noWrap/>
          </w:tcPr>
          <w:p w14:paraId="00636C26" w14:textId="77777777" w:rsidR="00AC375F" w:rsidRPr="00AC375F" w:rsidRDefault="00AC375F" w:rsidP="00AC375F">
            <w:pPr>
              <w:jc w:val="center"/>
              <w:rPr>
                <w:rFonts w:cstheme="minorHAnsi"/>
                <w:sz w:val="18"/>
                <w:szCs w:val="18"/>
              </w:rPr>
            </w:pPr>
            <w:r w:rsidRPr="00AC375F">
              <w:rPr>
                <w:rFonts w:cstheme="minorHAnsi"/>
                <w:sz w:val="18"/>
                <w:szCs w:val="18"/>
              </w:rPr>
              <w:t>0,75</w:t>
            </w:r>
          </w:p>
        </w:tc>
      </w:tr>
      <w:tr w:rsidR="00AC375F" w:rsidRPr="00AC375F" w:rsidDel="00514968" w14:paraId="59BBC419" w14:textId="77777777" w:rsidTr="00991955">
        <w:trPr>
          <w:trHeight w:val="314"/>
        </w:trPr>
        <w:tc>
          <w:tcPr>
            <w:tcW w:w="4424" w:type="dxa"/>
            <w:shd w:val="clear" w:color="auto" w:fill="auto"/>
            <w:noWrap/>
            <w:vAlign w:val="center"/>
          </w:tcPr>
          <w:p w14:paraId="73064A8B" w14:textId="77777777" w:rsidR="00AC375F" w:rsidRPr="00AC375F" w:rsidDel="00514968" w:rsidRDefault="00AC375F" w:rsidP="00AC375F">
            <w:pPr>
              <w:rPr>
                <w:rFonts w:cstheme="minorHAnsi"/>
                <w:sz w:val="18"/>
                <w:szCs w:val="18"/>
              </w:rPr>
            </w:pPr>
          </w:p>
        </w:tc>
        <w:tc>
          <w:tcPr>
            <w:tcW w:w="1529" w:type="dxa"/>
            <w:shd w:val="clear" w:color="auto" w:fill="auto"/>
            <w:noWrap/>
          </w:tcPr>
          <w:p w14:paraId="5366B9C2" w14:textId="77777777" w:rsidR="00AC375F" w:rsidRPr="00AC375F" w:rsidRDefault="00AC375F" w:rsidP="00AC375F">
            <w:pPr>
              <w:jc w:val="center"/>
              <w:rPr>
                <w:rFonts w:cstheme="minorHAnsi"/>
                <w:sz w:val="18"/>
                <w:szCs w:val="18"/>
              </w:rPr>
            </w:pPr>
            <w:r w:rsidRPr="00AC375F">
              <w:rPr>
                <w:rFonts w:cstheme="minorHAnsi"/>
                <w:sz w:val="18"/>
                <w:szCs w:val="18"/>
              </w:rPr>
              <w:t>Virtualno</w:t>
            </w:r>
          </w:p>
        </w:tc>
        <w:tc>
          <w:tcPr>
            <w:tcW w:w="1022" w:type="dxa"/>
            <w:shd w:val="clear" w:color="auto" w:fill="auto"/>
            <w:noWrap/>
          </w:tcPr>
          <w:p w14:paraId="26F11F12" w14:textId="77777777" w:rsidR="00AC375F" w:rsidRPr="00AC375F" w:rsidRDefault="00AC375F" w:rsidP="00AC375F">
            <w:pPr>
              <w:jc w:val="center"/>
              <w:rPr>
                <w:rFonts w:cstheme="minorHAnsi"/>
                <w:sz w:val="18"/>
                <w:szCs w:val="18"/>
              </w:rPr>
            </w:pPr>
            <w:r w:rsidRPr="00AC375F">
              <w:rPr>
                <w:rFonts w:cstheme="minorHAnsi"/>
                <w:sz w:val="18"/>
                <w:szCs w:val="18"/>
              </w:rPr>
              <w:t>6</w:t>
            </w:r>
          </w:p>
        </w:tc>
        <w:tc>
          <w:tcPr>
            <w:tcW w:w="1276" w:type="dxa"/>
            <w:shd w:val="clear" w:color="auto" w:fill="auto"/>
            <w:noWrap/>
          </w:tcPr>
          <w:p w14:paraId="0B41B5FB" w14:textId="77777777" w:rsidR="00AC375F" w:rsidRPr="00AC375F" w:rsidRDefault="00AC375F" w:rsidP="00AC375F">
            <w:pPr>
              <w:jc w:val="center"/>
              <w:rPr>
                <w:rFonts w:cstheme="minorHAnsi"/>
                <w:sz w:val="18"/>
                <w:szCs w:val="18"/>
              </w:rPr>
            </w:pPr>
            <w:r w:rsidRPr="00AC375F">
              <w:rPr>
                <w:rFonts w:cstheme="minorHAnsi"/>
                <w:sz w:val="18"/>
                <w:szCs w:val="18"/>
              </w:rPr>
              <w:t>lipanj</w:t>
            </w:r>
          </w:p>
        </w:tc>
        <w:tc>
          <w:tcPr>
            <w:tcW w:w="1134" w:type="dxa"/>
            <w:shd w:val="clear" w:color="auto" w:fill="auto"/>
            <w:noWrap/>
          </w:tcPr>
          <w:p w14:paraId="72EF19C0" w14:textId="77777777" w:rsidR="00AC375F" w:rsidRPr="00AC375F" w:rsidRDefault="00AC375F" w:rsidP="00AC375F">
            <w:pPr>
              <w:jc w:val="center"/>
              <w:rPr>
                <w:rFonts w:cstheme="minorHAnsi"/>
                <w:sz w:val="18"/>
                <w:szCs w:val="18"/>
              </w:rPr>
            </w:pPr>
            <w:r w:rsidRPr="00AC375F">
              <w:rPr>
                <w:rFonts w:cstheme="minorHAnsi"/>
                <w:sz w:val="18"/>
                <w:szCs w:val="18"/>
              </w:rPr>
              <w:t>1,5</w:t>
            </w:r>
          </w:p>
        </w:tc>
      </w:tr>
      <w:tr w:rsidR="00AC375F" w:rsidRPr="00AC375F" w:rsidDel="00514968" w14:paraId="2EE940C7" w14:textId="77777777" w:rsidTr="00991955">
        <w:trPr>
          <w:trHeight w:val="314"/>
        </w:trPr>
        <w:tc>
          <w:tcPr>
            <w:tcW w:w="4424" w:type="dxa"/>
            <w:shd w:val="clear" w:color="auto" w:fill="auto"/>
            <w:noWrap/>
            <w:vAlign w:val="center"/>
          </w:tcPr>
          <w:p w14:paraId="135EDBE9" w14:textId="77777777" w:rsidR="00AC375F" w:rsidRPr="00AC375F" w:rsidDel="00514968" w:rsidRDefault="00AC375F" w:rsidP="00AC375F">
            <w:pPr>
              <w:rPr>
                <w:rFonts w:cstheme="minorHAnsi"/>
                <w:sz w:val="18"/>
                <w:szCs w:val="18"/>
              </w:rPr>
            </w:pPr>
          </w:p>
        </w:tc>
        <w:tc>
          <w:tcPr>
            <w:tcW w:w="1529" w:type="dxa"/>
            <w:shd w:val="clear" w:color="auto" w:fill="auto"/>
            <w:noWrap/>
          </w:tcPr>
          <w:p w14:paraId="3927318B" w14:textId="77777777" w:rsidR="00AC375F" w:rsidRPr="00AC375F" w:rsidRDefault="00AC375F" w:rsidP="00AC375F">
            <w:pPr>
              <w:jc w:val="center"/>
              <w:rPr>
                <w:rFonts w:cstheme="minorHAnsi"/>
                <w:sz w:val="18"/>
                <w:szCs w:val="18"/>
              </w:rPr>
            </w:pPr>
            <w:r w:rsidRPr="00AC375F">
              <w:rPr>
                <w:rFonts w:cstheme="minorHAnsi"/>
                <w:sz w:val="18"/>
                <w:szCs w:val="18"/>
              </w:rPr>
              <w:t>Virtualno</w:t>
            </w:r>
          </w:p>
        </w:tc>
        <w:tc>
          <w:tcPr>
            <w:tcW w:w="1022" w:type="dxa"/>
            <w:shd w:val="clear" w:color="auto" w:fill="auto"/>
            <w:noWrap/>
          </w:tcPr>
          <w:p w14:paraId="2FA4684E" w14:textId="77777777" w:rsidR="00AC375F" w:rsidRPr="00AC375F" w:rsidRDefault="00AC375F" w:rsidP="00AC375F">
            <w:pPr>
              <w:jc w:val="center"/>
              <w:rPr>
                <w:rFonts w:cstheme="minorHAnsi"/>
                <w:sz w:val="18"/>
                <w:szCs w:val="18"/>
              </w:rPr>
            </w:pPr>
            <w:r w:rsidRPr="00AC375F">
              <w:rPr>
                <w:rFonts w:cstheme="minorHAnsi"/>
                <w:sz w:val="18"/>
                <w:szCs w:val="18"/>
              </w:rPr>
              <w:t>5</w:t>
            </w:r>
          </w:p>
        </w:tc>
        <w:tc>
          <w:tcPr>
            <w:tcW w:w="1276" w:type="dxa"/>
            <w:shd w:val="clear" w:color="auto" w:fill="auto"/>
            <w:noWrap/>
          </w:tcPr>
          <w:p w14:paraId="514244C3" w14:textId="77777777" w:rsidR="00AC375F" w:rsidRPr="00AC375F" w:rsidRDefault="00AC375F" w:rsidP="00AC375F">
            <w:pPr>
              <w:jc w:val="center"/>
              <w:rPr>
                <w:rFonts w:cstheme="minorHAnsi"/>
                <w:sz w:val="18"/>
                <w:szCs w:val="18"/>
              </w:rPr>
            </w:pPr>
            <w:r w:rsidRPr="00AC375F">
              <w:rPr>
                <w:rFonts w:cstheme="minorHAnsi"/>
                <w:sz w:val="18"/>
                <w:szCs w:val="18"/>
              </w:rPr>
              <w:t>srpanj</w:t>
            </w:r>
          </w:p>
        </w:tc>
        <w:tc>
          <w:tcPr>
            <w:tcW w:w="1134" w:type="dxa"/>
            <w:shd w:val="clear" w:color="auto" w:fill="auto"/>
            <w:noWrap/>
          </w:tcPr>
          <w:p w14:paraId="7654D12A" w14:textId="77777777" w:rsidR="00AC375F" w:rsidRPr="00AC375F" w:rsidRDefault="00AC375F" w:rsidP="00AC375F">
            <w:pPr>
              <w:jc w:val="center"/>
              <w:rPr>
                <w:rFonts w:cstheme="minorHAnsi"/>
                <w:sz w:val="18"/>
                <w:szCs w:val="18"/>
              </w:rPr>
            </w:pPr>
            <w:r w:rsidRPr="00AC375F">
              <w:rPr>
                <w:rFonts w:cstheme="minorHAnsi"/>
                <w:sz w:val="18"/>
                <w:szCs w:val="18"/>
              </w:rPr>
              <w:t>1,25</w:t>
            </w:r>
          </w:p>
        </w:tc>
      </w:tr>
      <w:tr w:rsidR="00AC375F" w:rsidRPr="00AC375F" w:rsidDel="00514968" w14:paraId="0A9342BC" w14:textId="77777777" w:rsidTr="00991955">
        <w:trPr>
          <w:trHeight w:val="314"/>
        </w:trPr>
        <w:tc>
          <w:tcPr>
            <w:tcW w:w="4424" w:type="dxa"/>
            <w:shd w:val="clear" w:color="auto" w:fill="auto"/>
            <w:noWrap/>
            <w:vAlign w:val="center"/>
          </w:tcPr>
          <w:p w14:paraId="4566EA55" w14:textId="77777777" w:rsidR="00AC375F" w:rsidRPr="00AC375F" w:rsidDel="00514968" w:rsidRDefault="00AC375F" w:rsidP="00AC375F">
            <w:pPr>
              <w:rPr>
                <w:rFonts w:cstheme="minorHAnsi"/>
                <w:sz w:val="18"/>
                <w:szCs w:val="18"/>
              </w:rPr>
            </w:pPr>
          </w:p>
        </w:tc>
        <w:tc>
          <w:tcPr>
            <w:tcW w:w="1529" w:type="dxa"/>
            <w:shd w:val="clear" w:color="auto" w:fill="auto"/>
            <w:noWrap/>
          </w:tcPr>
          <w:p w14:paraId="1838A921" w14:textId="77777777" w:rsidR="00AC375F" w:rsidRPr="00AC375F" w:rsidRDefault="00AC375F" w:rsidP="00AC375F">
            <w:pPr>
              <w:jc w:val="center"/>
              <w:rPr>
                <w:rFonts w:cstheme="minorHAnsi"/>
                <w:sz w:val="18"/>
                <w:szCs w:val="18"/>
              </w:rPr>
            </w:pPr>
            <w:r w:rsidRPr="00AC375F">
              <w:rPr>
                <w:rFonts w:cstheme="minorHAnsi"/>
                <w:sz w:val="18"/>
                <w:szCs w:val="18"/>
              </w:rPr>
              <w:t>Virtualno</w:t>
            </w:r>
          </w:p>
        </w:tc>
        <w:tc>
          <w:tcPr>
            <w:tcW w:w="1022" w:type="dxa"/>
            <w:shd w:val="clear" w:color="auto" w:fill="auto"/>
            <w:noWrap/>
          </w:tcPr>
          <w:p w14:paraId="50BD2031" w14:textId="77777777" w:rsidR="00AC375F" w:rsidRPr="00AC375F" w:rsidRDefault="00AC375F" w:rsidP="00AC375F">
            <w:pPr>
              <w:jc w:val="center"/>
              <w:rPr>
                <w:rFonts w:cstheme="minorHAnsi"/>
                <w:sz w:val="18"/>
                <w:szCs w:val="18"/>
              </w:rPr>
            </w:pPr>
            <w:r w:rsidRPr="00AC375F">
              <w:rPr>
                <w:rFonts w:cstheme="minorHAnsi"/>
                <w:sz w:val="18"/>
                <w:szCs w:val="18"/>
              </w:rPr>
              <w:t>8</w:t>
            </w:r>
          </w:p>
        </w:tc>
        <w:tc>
          <w:tcPr>
            <w:tcW w:w="1276" w:type="dxa"/>
            <w:shd w:val="clear" w:color="auto" w:fill="auto"/>
            <w:noWrap/>
          </w:tcPr>
          <w:p w14:paraId="0288E367" w14:textId="77777777" w:rsidR="00AC375F" w:rsidRPr="00AC375F" w:rsidRDefault="00AC375F" w:rsidP="00AC375F">
            <w:pPr>
              <w:jc w:val="center"/>
              <w:rPr>
                <w:rFonts w:cstheme="minorHAnsi"/>
                <w:sz w:val="18"/>
                <w:szCs w:val="18"/>
              </w:rPr>
            </w:pPr>
            <w:r w:rsidRPr="00AC375F">
              <w:rPr>
                <w:rFonts w:cstheme="minorHAnsi"/>
                <w:sz w:val="18"/>
                <w:szCs w:val="18"/>
              </w:rPr>
              <w:t>srpanj</w:t>
            </w:r>
          </w:p>
        </w:tc>
        <w:tc>
          <w:tcPr>
            <w:tcW w:w="1134" w:type="dxa"/>
            <w:shd w:val="clear" w:color="auto" w:fill="auto"/>
            <w:noWrap/>
          </w:tcPr>
          <w:p w14:paraId="58889399" w14:textId="77777777" w:rsidR="00AC375F" w:rsidRPr="00AC375F" w:rsidRDefault="00AC375F" w:rsidP="00AC375F">
            <w:pPr>
              <w:jc w:val="center"/>
              <w:rPr>
                <w:rFonts w:cstheme="minorHAnsi"/>
                <w:sz w:val="18"/>
                <w:szCs w:val="18"/>
              </w:rPr>
            </w:pPr>
            <w:r w:rsidRPr="00AC375F">
              <w:rPr>
                <w:rFonts w:cstheme="minorHAnsi"/>
                <w:sz w:val="18"/>
                <w:szCs w:val="18"/>
              </w:rPr>
              <w:t>0,75</w:t>
            </w:r>
          </w:p>
        </w:tc>
      </w:tr>
      <w:tr w:rsidR="00AC375F" w:rsidRPr="00AC375F" w:rsidDel="00514968" w14:paraId="159FF6EE" w14:textId="77777777" w:rsidTr="00991955">
        <w:trPr>
          <w:trHeight w:val="314"/>
        </w:trPr>
        <w:tc>
          <w:tcPr>
            <w:tcW w:w="4424" w:type="dxa"/>
            <w:shd w:val="clear" w:color="auto" w:fill="auto"/>
            <w:noWrap/>
            <w:vAlign w:val="center"/>
          </w:tcPr>
          <w:p w14:paraId="4E73CADD" w14:textId="77777777" w:rsidR="00AC375F" w:rsidRPr="00AC375F" w:rsidDel="00514968" w:rsidRDefault="00AC375F" w:rsidP="00AC375F">
            <w:pPr>
              <w:rPr>
                <w:rFonts w:cstheme="minorHAnsi"/>
                <w:sz w:val="18"/>
                <w:szCs w:val="18"/>
              </w:rPr>
            </w:pPr>
          </w:p>
        </w:tc>
        <w:tc>
          <w:tcPr>
            <w:tcW w:w="1529" w:type="dxa"/>
            <w:shd w:val="clear" w:color="auto" w:fill="auto"/>
            <w:noWrap/>
          </w:tcPr>
          <w:p w14:paraId="4B3A4C56" w14:textId="77777777" w:rsidR="00AC375F" w:rsidRPr="00AC375F" w:rsidRDefault="00AC375F" w:rsidP="00AC375F">
            <w:pPr>
              <w:jc w:val="center"/>
              <w:rPr>
                <w:rFonts w:cstheme="minorHAnsi"/>
                <w:sz w:val="18"/>
                <w:szCs w:val="18"/>
              </w:rPr>
            </w:pPr>
            <w:r w:rsidRPr="00AC375F">
              <w:rPr>
                <w:rFonts w:cstheme="minorHAnsi"/>
                <w:sz w:val="18"/>
                <w:szCs w:val="18"/>
              </w:rPr>
              <w:t>Virtualno</w:t>
            </w:r>
          </w:p>
        </w:tc>
        <w:tc>
          <w:tcPr>
            <w:tcW w:w="1022" w:type="dxa"/>
            <w:shd w:val="clear" w:color="auto" w:fill="auto"/>
            <w:noWrap/>
          </w:tcPr>
          <w:p w14:paraId="168F6718" w14:textId="77777777" w:rsidR="00AC375F" w:rsidRPr="00AC375F" w:rsidRDefault="00AC375F" w:rsidP="00AC375F">
            <w:pPr>
              <w:jc w:val="center"/>
              <w:rPr>
                <w:rFonts w:cstheme="minorHAnsi"/>
                <w:sz w:val="18"/>
                <w:szCs w:val="18"/>
              </w:rPr>
            </w:pPr>
            <w:r w:rsidRPr="00AC375F">
              <w:rPr>
                <w:rFonts w:cstheme="minorHAnsi"/>
                <w:sz w:val="18"/>
                <w:szCs w:val="18"/>
              </w:rPr>
              <w:t>6</w:t>
            </w:r>
          </w:p>
        </w:tc>
        <w:tc>
          <w:tcPr>
            <w:tcW w:w="1276" w:type="dxa"/>
            <w:shd w:val="clear" w:color="auto" w:fill="auto"/>
            <w:noWrap/>
          </w:tcPr>
          <w:p w14:paraId="1672D41F" w14:textId="77777777" w:rsidR="00AC375F" w:rsidRPr="00AC375F" w:rsidRDefault="00AC375F" w:rsidP="00AC375F">
            <w:pPr>
              <w:jc w:val="center"/>
              <w:rPr>
                <w:rFonts w:cstheme="minorHAnsi"/>
                <w:sz w:val="18"/>
                <w:szCs w:val="18"/>
              </w:rPr>
            </w:pPr>
            <w:r w:rsidRPr="00AC375F">
              <w:rPr>
                <w:rFonts w:cstheme="minorHAnsi"/>
                <w:sz w:val="18"/>
                <w:szCs w:val="18"/>
              </w:rPr>
              <w:t>srpanj</w:t>
            </w:r>
          </w:p>
        </w:tc>
        <w:tc>
          <w:tcPr>
            <w:tcW w:w="1134" w:type="dxa"/>
            <w:shd w:val="clear" w:color="auto" w:fill="auto"/>
            <w:noWrap/>
          </w:tcPr>
          <w:p w14:paraId="4E4058EA" w14:textId="77777777" w:rsidR="00AC375F" w:rsidRPr="00AC375F" w:rsidRDefault="00AC375F" w:rsidP="00AC375F">
            <w:pPr>
              <w:jc w:val="center"/>
              <w:rPr>
                <w:rFonts w:cstheme="minorHAnsi"/>
                <w:sz w:val="18"/>
                <w:szCs w:val="18"/>
              </w:rPr>
            </w:pPr>
            <w:r w:rsidRPr="00AC375F">
              <w:rPr>
                <w:rFonts w:cstheme="minorHAnsi"/>
                <w:sz w:val="18"/>
                <w:szCs w:val="18"/>
              </w:rPr>
              <w:t>1,12</w:t>
            </w:r>
          </w:p>
        </w:tc>
      </w:tr>
      <w:tr w:rsidR="00AC375F" w:rsidRPr="00AC375F" w:rsidDel="00514968" w14:paraId="5136A8D5" w14:textId="77777777" w:rsidTr="00991955">
        <w:trPr>
          <w:trHeight w:val="314"/>
        </w:trPr>
        <w:tc>
          <w:tcPr>
            <w:tcW w:w="4424" w:type="dxa"/>
            <w:shd w:val="clear" w:color="auto" w:fill="auto"/>
            <w:noWrap/>
            <w:vAlign w:val="center"/>
          </w:tcPr>
          <w:p w14:paraId="34D0CDD8" w14:textId="77777777" w:rsidR="00AC375F" w:rsidRPr="00AC375F" w:rsidDel="00514968" w:rsidRDefault="00AC375F" w:rsidP="00AC375F">
            <w:pPr>
              <w:rPr>
                <w:rFonts w:cstheme="minorHAnsi"/>
                <w:sz w:val="18"/>
                <w:szCs w:val="18"/>
              </w:rPr>
            </w:pPr>
          </w:p>
        </w:tc>
        <w:tc>
          <w:tcPr>
            <w:tcW w:w="1529" w:type="dxa"/>
            <w:shd w:val="clear" w:color="auto" w:fill="auto"/>
            <w:noWrap/>
          </w:tcPr>
          <w:p w14:paraId="4975B8F3" w14:textId="77777777" w:rsidR="00AC375F" w:rsidRPr="00AC375F" w:rsidRDefault="00AC375F" w:rsidP="00AC375F">
            <w:pPr>
              <w:jc w:val="center"/>
              <w:rPr>
                <w:rFonts w:cstheme="minorHAnsi"/>
                <w:sz w:val="18"/>
                <w:szCs w:val="18"/>
              </w:rPr>
            </w:pPr>
            <w:r w:rsidRPr="00AC375F">
              <w:rPr>
                <w:rFonts w:cstheme="minorHAnsi"/>
                <w:sz w:val="18"/>
                <w:szCs w:val="18"/>
              </w:rPr>
              <w:t>Zagreb/HZZO</w:t>
            </w:r>
          </w:p>
        </w:tc>
        <w:tc>
          <w:tcPr>
            <w:tcW w:w="1022" w:type="dxa"/>
            <w:shd w:val="clear" w:color="auto" w:fill="auto"/>
            <w:noWrap/>
          </w:tcPr>
          <w:p w14:paraId="4445282E" w14:textId="77777777" w:rsidR="00AC375F" w:rsidRPr="00AC375F" w:rsidRDefault="00AC375F" w:rsidP="00AC375F">
            <w:pPr>
              <w:jc w:val="center"/>
              <w:rPr>
                <w:rFonts w:cstheme="minorHAnsi"/>
                <w:sz w:val="18"/>
                <w:szCs w:val="18"/>
              </w:rPr>
            </w:pPr>
            <w:r w:rsidRPr="00AC375F">
              <w:rPr>
                <w:rFonts w:cstheme="minorHAnsi"/>
                <w:sz w:val="18"/>
                <w:szCs w:val="18"/>
              </w:rPr>
              <w:t>1</w:t>
            </w:r>
          </w:p>
        </w:tc>
        <w:tc>
          <w:tcPr>
            <w:tcW w:w="1276" w:type="dxa"/>
            <w:shd w:val="clear" w:color="auto" w:fill="auto"/>
            <w:noWrap/>
          </w:tcPr>
          <w:p w14:paraId="2C2347C0" w14:textId="77777777" w:rsidR="00AC375F" w:rsidRPr="00AC375F" w:rsidRDefault="00AC375F" w:rsidP="00AC375F">
            <w:pPr>
              <w:jc w:val="center"/>
              <w:rPr>
                <w:rFonts w:cstheme="minorHAnsi"/>
                <w:sz w:val="18"/>
                <w:szCs w:val="18"/>
              </w:rPr>
            </w:pPr>
            <w:r w:rsidRPr="00AC375F">
              <w:rPr>
                <w:rFonts w:cstheme="minorHAnsi"/>
                <w:sz w:val="18"/>
                <w:szCs w:val="18"/>
              </w:rPr>
              <w:t>rujan</w:t>
            </w:r>
          </w:p>
        </w:tc>
        <w:tc>
          <w:tcPr>
            <w:tcW w:w="1134" w:type="dxa"/>
            <w:shd w:val="clear" w:color="auto" w:fill="auto"/>
            <w:noWrap/>
          </w:tcPr>
          <w:p w14:paraId="60845ED3" w14:textId="77777777" w:rsidR="00AC375F" w:rsidRPr="00AC375F" w:rsidRDefault="00AC375F" w:rsidP="00AC375F">
            <w:pPr>
              <w:jc w:val="center"/>
              <w:rPr>
                <w:rFonts w:cstheme="minorHAnsi"/>
                <w:sz w:val="18"/>
                <w:szCs w:val="18"/>
              </w:rPr>
            </w:pPr>
            <w:r w:rsidRPr="00AC375F">
              <w:rPr>
                <w:rFonts w:cstheme="minorHAnsi"/>
                <w:sz w:val="18"/>
                <w:szCs w:val="18"/>
              </w:rPr>
              <w:t>0,12</w:t>
            </w:r>
          </w:p>
        </w:tc>
      </w:tr>
      <w:tr w:rsidR="00AC375F" w:rsidRPr="00AC375F" w:rsidDel="00514968" w14:paraId="139477DE" w14:textId="77777777" w:rsidTr="00991955">
        <w:trPr>
          <w:trHeight w:val="314"/>
        </w:trPr>
        <w:tc>
          <w:tcPr>
            <w:tcW w:w="4424" w:type="dxa"/>
            <w:shd w:val="clear" w:color="auto" w:fill="auto"/>
            <w:noWrap/>
            <w:vAlign w:val="center"/>
          </w:tcPr>
          <w:p w14:paraId="38F7C799" w14:textId="77777777" w:rsidR="00AC375F" w:rsidRPr="00AC375F" w:rsidRDefault="00AC375F" w:rsidP="00AC375F">
            <w:pPr>
              <w:rPr>
                <w:rFonts w:cstheme="minorHAnsi"/>
                <w:sz w:val="18"/>
                <w:szCs w:val="18"/>
              </w:rPr>
            </w:pPr>
            <w:r w:rsidRPr="00AC375F">
              <w:rPr>
                <w:sz w:val="18"/>
                <w:szCs w:val="18"/>
              </w:rPr>
              <w:t>Sastanak HZZO, HALMED</w:t>
            </w:r>
          </w:p>
        </w:tc>
        <w:tc>
          <w:tcPr>
            <w:tcW w:w="1529" w:type="dxa"/>
            <w:shd w:val="clear" w:color="auto" w:fill="auto"/>
            <w:noWrap/>
          </w:tcPr>
          <w:p w14:paraId="14B118B8" w14:textId="77777777" w:rsidR="00AC375F" w:rsidRPr="00AC375F" w:rsidRDefault="00AC375F" w:rsidP="00AC375F">
            <w:pPr>
              <w:jc w:val="center"/>
              <w:rPr>
                <w:rFonts w:cstheme="minorHAnsi"/>
                <w:sz w:val="18"/>
                <w:szCs w:val="18"/>
              </w:rPr>
            </w:pPr>
            <w:r w:rsidRPr="00AC375F">
              <w:rPr>
                <w:rFonts w:cstheme="minorHAnsi"/>
                <w:sz w:val="18"/>
                <w:szCs w:val="18"/>
              </w:rPr>
              <w:t>Zagreb/HZZO</w:t>
            </w:r>
          </w:p>
        </w:tc>
        <w:tc>
          <w:tcPr>
            <w:tcW w:w="1022" w:type="dxa"/>
            <w:shd w:val="clear" w:color="auto" w:fill="auto"/>
            <w:noWrap/>
          </w:tcPr>
          <w:p w14:paraId="690E000A" w14:textId="77777777" w:rsidR="00AC375F" w:rsidRPr="00AC375F" w:rsidRDefault="00AC375F" w:rsidP="00AC375F">
            <w:pPr>
              <w:jc w:val="center"/>
              <w:rPr>
                <w:rFonts w:cstheme="minorHAnsi"/>
                <w:sz w:val="18"/>
                <w:szCs w:val="18"/>
              </w:rPr>
            </w:pPr>
            <w:r w:rsidRPr="00AC375F">
              <w:rPr>
                <w:rFonts w:cstheme="minorHAnsi"/>
                <w:sz w:val="18"/>
                <w:szCs w:val="18"/>
              </w:rPr>
              <w:t>2</w:t>
            </w:r>
          </w:p>
        </w:tc>
        <w:tc>
          <w:tcPr>
            <w:tcW w:w="1276" w:type="dxa"/>
            <w:shd w:val="clear" w:color="auto" w:fill="auto"/>
            <w:noWrap/>
          </w:tcPr>
          <w:p w14:paraId="59247E7C" w14:textId="77777777" w:rsidR="00AC375F" w:rsidRPr="00AC375F" w:rsidRDefault="00AC375F" w:rsidP="00AC375F">
            <w:pPr>
              <w:jc w:val="center"/>
              <w:rPr>
                <w:rFonts w:cstheme="minorHAnsi"/>
                <w:sz w:val="18"/>
                <w:szCs w:val="18"/>
              </w:rPr>
            </w:pPr>
            <w:r w:rsidRPr="00AC375F">
              <w:rPr>
                <w:rFonts w:cstheme="minorHAnsi"/>
                <w:sz w:val="18"/>
                <w:szCs w:val="18"/>
              </w:rPr>
              <w:t>svibanj</w:t>
            </w:r>
          </w:p>
        </w:tc>
        <w:tc>
          <w:tcPr>
            <w:tcW w:w="1134" w:type="dxa"/>
            <w:shd w:val="clear" w:color="auto" w:fill="auto"/>
            <w:noWrap/>
          </w:tcPr>
          <w:p w14:paraId="681548BD" w14:textId="77777777" w:rsidR="00AC375F" w:rsidRPr="00AC375F" w:rsidRDefault="00AC375F" w:rsidP="00AC375F">
            <w:pPr>
              <w:jc w:val="center"/>
              <w:rPr>
                <w:rFonts w:cstheme="minorHAnsi"/>
                <w:sz w:val="18"/>
                <w:szCs w:val="18"/>
              </w:rPr>
            </w:pPr>
            <w:r w:rsidRPr="00AC375F">
              <w:rPr>
                <w:rFonts w:cstheme="minorHAnsi"/>
                <w:sz w:val="18"/>
                <w:szCs w:val="18"/>
              </w:rPr>
              <w:t>0,5</w:t>
            </w:r>
          </w:p>
        </w:tc>
      </w:tr>
      <w:tr w:rsidR="00AC375F" w:rsidRPr="00AC375F" w:rsidDel="00514968" w14:paraId="6EB991A6" w14:textId="77777777" w:rsidTr="00991955">
        <w:trPr>
          <w:trHeight w:val="314"/>
        </w:trPr>
        <w:tc>
          <w:tcPr>
            <w:tcW w:w="4424" w:type="dxa"/>
            <w:shd w:val="clear" w:color="auto" w:fill="auto"/>
            <w:noWrap/>
            <w:vAlign w:val="center"/>
          </w:tcPr>
          <w:p w14:paraId="41C74721" w14:textId="77777777" w:rsidR="00AC375F" w:rsidRPr="00AC375F" w:rsidRDefault="00AC375F" w:rsidP="00AC375F">
            <w:pPr>
              <w:rPr>
                <w:rFonts w:cstheme="minorHAnsi"/>
                <w:sz w:val="18"/>
                <w:szCs w:val="18"/>
              </w:rPr>
            </w:pPr>
          </w:p>
        </w:tc>
        <w:tc>
          <w:tcPr>
            <w:tcW w:w="1529" w:type="dxa"/>
            <w:shd w:val="clear" w:color="auto" w:fill="auto"/>
            <w:noWrap/>
          </w:tcPr>
          <w:p w14:paraId="1500A1C5" w14:textId="77777777" w:rsidR="00AC375F" w:rsidRPr="00AC375F" w:rsidRDefault="00AC375F" w:rsidP="00AC375F">
            <w:pPr>
              <w:jc w:val="center"/>
              <w:rPr>
                <w:rFonts w:cstheme="minorHAnsi"/>
                <w:sz w:val="18"/>
                <w:szCs w:val="18"/>
              </w:rPr>
            </w:pPr>
            <w:r w:rsidRPr="00AC375F">
              <w:rPr>
                <w:rFonts w:cstheme="minorHAnsi"/>
                <w:sz w:val="18"/>
                <w:szCs w:val="18"/>
              </w:rPr>
              <w:t>Zagreb/HZZO</w:t>
            </w:r>
          </w:p>
        </w:tc>
        <w:tc>
          <w:tcPr>
            <w:tcW w:w="1022" w:type="dxa"/>
            <w:shd w:val="clear" w:color="auto" w:fill="auto"/>
            <w:noWrap/>
          </w:tcPr>
          <w:p w14:paraId="544AC1CE" w14:textId="77777777" w:rsidR="00AC375F" w:rsidRPr="00AC375F" w:rsidRDefault="00AC375F" w:rsidP="00AC375F">
            <w:pPr>
              <w:jc w:val="center"/>
              <w:rPr>
                <w:rFonts w:cstheme="minorHAnsi"/>
                <w:sz w:val="18"/>
                <w:szCs w:val="18"/>
              </w:rPr>
            </w:pPr>
            <w:r w:rsidRPr="00AC375F">
              <w:rPr>
                <w:rFonts w:cstheme="minorHAnsi"/>
                <w:sz w:val="18"/>
                <w:szCs w:val="18"/>
              </w:rPr>
              <w:t>4</w:t>
            </w:r>
          </w:p>
        </w:tc>
        <w:tc>
          <w:tcPr>
            <w:tcW w:w="1276" w:type="dxa"/>
            <w:shd w:val="clear" w:color="auto" w:fill="auto"/>
            <w:noWrap/>
          </w:tcPr>
          <w:p w14:paraId="52F9E15D" w14:textId="77777777" w:rsidR="00AC375F" w:rsidRPr="00AC375F" w:rsidRDefault="00AC375F" w:rsidP="00AC375F">
            <w:pPr>
              <w:jc w:val="center"/>
              <w:rPr>
                <w:rFonts w:cstheme="minorHAnsi"/>
                <w:sz w:val="18"/>
                <w:szCs w:val="18"/>
              </w:rPr>
            </w:pPr>
            <w:r w:rsidRPr="00AC375F">
              <w:rPr>
                <w:rFonts w:cstheme="minorHAnsi"/>
                <w:sz w:val="18"/>
                <w:szCs w:val="18"/>
              </w:rPr>
              <w:t>svibanj</w:t>
            </w:r>
          </w:p>
        </w:tc>
        <w:tc>
          <w:tcPr>
            <w:tcW w:w="1134" w:type="dxa"/>
            <w:shd w:val="clear" w:color="auto" w:fill="auto"/>
            <w:noWrap/>
          </w:tcPr>
          <w:p w14:paraId="57478B58" w14:textId="77777777" w:rsidR="00AC375F" w:rsidRPr="00AC375F" w:rsidRDefault="00AC375F" w:rsidP="00AC375F">
            <w:pPr>
              <w:jc w:val="center"/>
              <w:rPr>
                <w:rFonts w:cstheme="minorHAnsi"/>
                <w:sz w:val="18"/>
                <w:szCs w:val="18"/>
              </w:rPr>
            </w:pPr>
            <w:r w:rsidRPr="00AC375F">
              <w:rPr>
                <w:rFonts w:cstheme="minorHAnsi"/>
                <w:sz w:val="18"/>
                <w:szCs w:val="18"/>
              </w:rPr>
              <w:t>0,5</w:t>
            </w:r>
          </w:p>
        </w:tc>
      </w:tr>
      <w:tr w:rsidR="00AC375F" w:rsidRPr="00AC375F" w:rsidDel="00514968" w14:paraId="7E38068E" w14:textId="77777777" w:rsidTr="00991955">
        <w:trPr>
          <w:trHeight w:val="314"/>
        </w:trPr>
        <w:tc>
          <w:tcPr>
            <w:tcW w:w="4424" w:type="dxa"/>
            <w:shd w:val="clear" w:color="auto" w:fill="auto"/>
            <w:noWrap/>
            <w:vAlign w:val="center"/>
          </w:tcPr>
          <w:p w14:paraId="60156F9C" w14:textId="77777777" w:rsidR="00AC375F" w:rsidRPr="00AC375F" w:rsidRDefault="00AC375F" w:rsidP="00AC375F">
            <w:pPr>
              <w:rPr>
                <w:rFonts w:cstheme="minorHAnsi"/>
                <w:sz w:val="18"/>
                <w:szCs w:val="18"/>
              </w:rPr>
            </w:pPr>
          </w:p>
        </w:tc>
        <w:tc>
          <w:tcPr>
            <w:tcW w:w="1529" w:type="dxa"/>
            <w:shd w:val="clear" w:color="auto" w:fill="auto"/>
            <w:noWrap/>
          </w:tcPr>
          <w:p w14:paraId="31679980" w14:textId="77777777" w:rsidR="00AC375F" w:rsidRPr="00AC375F" w:rsidRDefault="00AC375F" w:rsidP="00AC375F">
            <w:pPr>
              <w:jc w:val="center"/>
              <w:rPr>
                <w:rFonts w:cstheme="minorHAnsi"/>
                <w:sz w:val="18"/>
                <w:szCs w:val="18"/>
              </w:rPr>
            </w:pPr>
            <w:r w:rsidRPr="00AC375F">
              <w:rPr>
                <w:rFonts w:cstheme="minorHAnsi"/>
                <w:sz w:val="18"/>
                <w:szCs w:val="18"/>
              </w:rPr>
              <w:t>Zagreb/HALMED</w:t>
            </w:r>
          </w:p>
        </w:tc>
        <w:tc>
          <w:tcPr>
            <w:tcW w:w="1022" w:type="dxa"/>
            <w:shd w:val="clear" w:color="auto" w:fill="auto"/>
            <w:noWrap/>
          </w:tcPr>
          <w:p w14:paraId="6E789791" w14:textId="77777777" w:rsidR="00AC375F" w:rsidRPr="00AC375F" w:rsidRDefault="00AC375F" w:rsidP="00AC375F">
            <w:pPr>
              <w:jc w:val="center"/>
              <w:rPr>
                <w:rFonts w:cstheme="minorHAnsi"/>
                <w:sz w:val="18"/>
                <w:szCs w:val="18"/>
              </w:rPr>
            </w:pPr>
            <w:r w:rsidRPr="00AC375F">
              <w:rPr>
                <w:rFonts w:cstheme="minorHAnsi"/>
                <w:sz w:val="18"/>
                <w:szCs w:val="18"/>
              </w:rPr>
              <w:t>5</w:t>
            </w:r>
          </w:p>
        </w:tc>
        <w:tc>
          <w:tcPr>
            <w:tcW w:w="1276" w:type="dxa"/>
            <w:shd w:val="clear" w:color="auto" w:fill="auto"/>
            <w:noWrap/>
          </w:tcPr>
          <w:p w14:paraId="235B8E3D" w14:textId="77777777" w:rsidR="00AC375F" w:rsidRPr="00AC375F" w:rsidRDefault="00AC375F" w:rsidP="00AC375F">
            <w:pPr>
              <w:jc w:val="center"/>
              <w:rPr>
                <w:rFonts w:cstheme="minorHAnsi"/>
                <w:sz w:val="18"/>
                <w:szCs w:val="18"/>
              </w:rPr>
            </w:pPr>
            <w:r w:rsidRPr="00AC375F">
              <w:rPr>
                <w:rFonts w:cstheme="minorHAnsi"/>
                <w:sz w:val="18"/>
                <w:szCs w:val="18"/>
              </w:rPr>
              <w:t>svibanj</w:t>
            </w:r>
          </w:p>
        </w:tc>
        <w:tc>
          <w:tcPr>
            <w:tcW w:w="1134" w:type="dxa"/>
            <w:shd w:val="clear" w:color="auto" w:fill="auto"/>
            <w:noWrap/>
          </w:tcPr>
          <w:p w14:paraId="0A6C77AE" w14:textId="77777777" w:rsidR="00AC375F" w:rsidRPr="00AC375F" w:rsidRDefault="00AC375F" w:rsidP="00AC375F">
            <w:pPr>
              <w:jc w:val="center"/>
              <w:rPr>
                <w:rFonts w:cstheme="minorHAnsi"/>
                <w:sz w:val="18"/>
                <w:szCs w:val="18"/>
              </w:rPr>
            </w:pPr>
            <w:r w:rsidRPr="00AC375F">
              <w:rPr>
                <w:rFonts w:cstheme="minorHAnsi"/>
                <w:sz w:val="18"/>
                <w:szCs w:val="18"/>
              </w:rPr>
              <w:t>1</w:t>
            </w:r>
          </w:p>
        </w:tc>
      </w:tr>
      <w:tr w:rsidR="00AC375F" w:rsidRPr="00AC375F" w:rsidDel="00514968" w14:paraId="448CA7A0" w14:textId="77777777" w:rsidTr="00991955">
        <w:trPr>
          <w:trHeight w:val="314"/>
        </w:trPr>
        <w:tc>
          <w:tcPr>
            <w:tcW w:w="4424" w:type="dxa"/>
            <w:shd w:val="clear" w:color="auto" w:fill="auto"/>
            <w:noWrap/>
            <w:vAlign w:val="center"/>
          </w:tcPr>
          <w:p w14:paraId="46606634" w14:textId="77777777" w:rsidR="00AC375F" w:rsidRPr="00AC375F" w:rsidRDefault="00AC375F" w:rsidP="00AC375F">
            <w:pPr>
              <w:rPr>
                <w:rFonts w:cstheme="minorHAnsi"/>
                <w:sz w:val="18"/>
                <w:szCs w:val="18"/>
              </w:rPr>
            </w:pPr>
          </w:p>
        </w:tc>
        <w:tc>
          <w:tcPr>
            <w:tcW w:w="1529" w:type="dxa"/>
            <w:shd w:val="clear" w:color="auto" w:fill="auto"/>
            <w:noWrap/>
          </w:tcPr>
          <w:p w14:paraId="7B3DB307" w14:textId="77777777" w:rsidR="00AC375F" w:rsidRPr="00AC375F" w:rsidRDefault="00AC375F" w:rsidP="00AC375F">
            <w:pPr>
              <w:jc w:val="center"/>
              <w:rPr>
                <w:rFonts w:cstheme="minorHAnsi"/>
                <w:sz w:val="18"/>
                <w:szCs w:val="18"/>
              </w:rPr>
            </w:pPr>
            <w:r w:rsidRPr="00AC375F">
              <w:rPr>
                <w:rFonts w:cstheme="minorHAnsi"/>
                <w:sz w:val="18"/>
                <w:szCs w:val="18"/>
              </w:rPr>
              <w:t>Virtualno</w:t>
            </w:r>
          </w:p>
        </w:tc>
        <w:tc>
          <w:tcPr>
            <w:tcW w:w="1022" w:type="dxa"/>
            <w:shd w:val="clear" w:color="auto" w:fill="auto"/>
            <w:noWrap/>
          </w:tcPr>
          <w:p w14:paraId="090A0118" w14:textId="77777777" w:rsidR="00AC375F" w:rsidRPr="00AC375F" w:rsidRDefault="00AC375F" w:rsidP="00AC375F">
            <w:pPr>
              <w:jc w:val="center"/>
              <w:rPr>
                <w:rFonts w:cstheme="minorHAnsi"/>
                <w:sz w:val="18"/>
                <w:szCs w:val="18"/>
              </w:rPr>
            </w:pPr>
            <w:r w:rsidRPr="00AC375F">
              <w:rPr>
                <w:rFonts w:cstheme="minorHAnsi"/>
                <w:sz w:val="18"/>
                <w:szCs w:val="18"/>
              </w:rPr>
              <w:t>2</w:t>
            </w:r>
          </w:p>
        </w:tc>
        <w:tc>
          <w:tcPr>
            <w:tcW w:w="1276" w:type="dxa"/>
            <w:shd w:val="clear" w:color="auto" w:fill="auto"/>
            <w:noWrap/>
          </w:tcPr>
          <w:p w14:paraId="5FD89869" w14:textId="77777777" w:rsidR="00AC375F" w:rsidRPr="00AC375F" w:rsidRDefault="00AC375F" w:rsidP="00AC375F">
            <w:pPr>
              <w:jc w:val="center"/>
              <w:rPr>
                <w:rFonts w:cstheme="minorHAnsi"/>
                <w:sz w:val="18"/>
                <w:szCs w:val="18"/>
              </w:rPr>
            </w:pPr>
            <w:r w:rsidRPr="00AC375F">
              <w:rPr>
                <w:rFonts w:cstheme="minorHAnsi"/>
                <w:sz w:val="18"/>
                <w:szCs w:val="18"/>
              </w:rPr>
              <w:t>svibanj</w:t>
            </w:r>
          </w:p>
        </w:tc>
        <w:tc>
          <w:tcPr>
            <w:tcW w:w="1134" w:type="dxa"/>
            <w:shd w:val="clear" w:color="auto" w:fill="auto"/>
            <w:noWrap/>
          </w:tcPr>
          <w:p w14:paraId="135BD1CF" w14:textId="77777777" w:rsidR="00AC375F" w:rsidRPr="00AC375F" w:rsidRDefault="00AC375F" w:rsidP="00AC375F">
            <w:pPr>
              <w:jc w:val="center"/>
              <w:rPr>
                <w:rFonts w:cstheme="minorHAnsi"/>
                <w:sz w:val="18"/>
                <w:szCs w:val="18"/>
              </w:rPr>
            </w:pPr>
            <w:r w:rsidRPr="00AC375F">
              <w:rPr>
                <w:rFonts w:cstheme="minorHAnsi"/>
                <w:sz w:val="18"/>
                <w:szCs w:val="18"/>
              </w:rPr>
              <w:t>0,25</w:t>
            </w:r>
          </w:p>
        </w:tc>
      </w:tr>
      <w:tr w:rsidR="00AC375F" w:rsidRPr="00AC375F" w:rsidDel="00514968" w14:paraId="13284A29" w14:textId="77777777" w:rsidTr="00991955">
        <w:trPr>
          <w:trHeight w:val="314"/>
        </w:trPr>
        <w:tc>
          <w:tcPr>
            <w:tcW w:w="4424" w:type="dxa"/>
            <w:shd w:val="clear" w:color="auto" w:fill="auto"/>
            <w:noWrap/>
            <w:vAlign w:val="center"/>
          </w:tcPr>
          <w:p w14:paraId="63076C28" w14:textId="77777777" w:rsidR="00AC375F" w:rsidRPr="00AC375F" w:rsidRDefault="00AC375F" w:rsidP="00AC375F">
            <w:pPr>
              <w:rPr>
                <w:rFonts w:cstheme="minorHAnsi"/>
                <w:sz w:val="18"/>
                <w:szCs w:val="18"/>
              </w:rPr>
            </w:pPr>
          </w:p>
        </w:tc>
        <w:tc>
          <w:tcPr>
            <w:tcW w:w="1529" w:type="dxa"/>
            <w:shd w:val="clear" w:color="auto" w:fill="auto"/>
            <w:noWrap/>
          </w:tcPr>
          <w:p w14:paraId="2ECD1BDD" w14:textId="77777777" w:rsidR="00AC375F" w:rsidRPr="00AC375F" w:rsidRDefault="00AC375F" w:rsidP="00AC375F">
            <w:pPr>
              <w:jc w:val="center"/>
              <w:rPr>
                <w:rFonts w:cstheme="minorHAnsi"/>
                <w:sz w:val="18"/>
                <w:szCs w:val="18"/>
              </w:rPr>
            </w:pPr>
            <w:r w:rsidRPr="00AC375F">
              <w:rPr>
                <w:rFonts w:cstheme="minorHAnsi"/>
                <w:sz w:val="18"/>
                <w:szCs w:val="18"/>
              </w:rPr>
              <w:t>Virtualno</w:t>
            </w:r>
          </w:p>
        </w:tc>
        <w:tc>
          <w:tcPr>
            <w:tcW w:w="1022" w:type="dxa"/>
            <w:shd w:val="clear" w:color="auto" w:fill="auto"/>
            <w:noWrap/>
          </w:tcPr>
          <w:p w14:paraId="0DB2C541" w14:textId="77777777" w:rsidR="00AC375F" w:rsidRPr="00AC375F" w:rsidRDefault="00AC375F" w:rsidP="00AC375F">
            <w:pPr>
              <w:jc w:val="center"/>
              <w:rPr>
                <w:rFonts w:cstheme="minorHAnsi"/>
                <w:sz w:val="18"/>
                <w:szCs w:val="18"/>
              </w:rPr>
            </w:pPr>
            <w:r w:rsidRPr="00AC375F">
              <w:rPr>
                <w:rFonts w:cstheme="minorHAnsi"/>
                <w:sz w:val="18"/>
                <w:szCs w:val="18"/>
              </w:rPr>
              <w:t>4</w:t>
            </w:r>
          </w:p>
        </w:tc>
        <w:tc>
          <w:tcPr>
            <w:tcW w:w="1276" w:type="dxa"/>
            <w:shd w:val="clear" w:color="auto" w:fill="auto"/>
            <w:noWrap/>
          </w:tcPr>
          <w:p w14:paraId="1E460B88" w14:textId="77777777" w:rsidR="00AC375F" w:rsidRPr="00AC375F" w:rsidRDefault="00AC375F" w:rsidP="00AC375F">
            <w:pPr>
              <w:jc w:val="center"/>
              <w:rPr>
                <w:rFonts w:cstheme="minorHAnsi"/>
                <w:sz w:val="18"/>
                <w:szCs w:val="18"/>
              </w:rPr>
            </w:pPr>
            <w:r w:rsidRPr="00AC375F">
              <w:rPr>
                <w:rFonts w:cstheme="minorHAnsi"/>
                <w:sz w:val="18"/>
                <w:szCs w:val="18"/>
              </w:rPr>
              <w:t>lipanj</w:t>
            </w:r>
          </w:p>
        </w:tc>
        <w:tc>
          <w:tcPr>
            <w:tcW w:w="1134" w:type="dxa"/>
            <w:shd w:val="clear" w:color="auto" w:fill="auto"/>
            <w:noWrap/>
          </w:tcPr>
          <w:p w14:paraId="00352DBD" w14:textId="77777777" w:rsidR="00AC375F" w:rsidRPr="00AC375F" w:rsidRDefault="00AC375F" w:rsidP="00AC375F">
            <w:pPr>
              <w:jc w:val="center"/>
              <w:rPr>
                <w:rFonts w:cstheme="minorHAnsi"/>
                <w:sz w:val="18"/>
                <w:szCs w:val="18"/>
              </w:rPr>
            </w:pPr>
            <w:r w:rsidRPr="00AC375F">
              <w:rPr>
                <w:rFonts w:cstheme="minorHAnsi"/>
                <w:sz w:val="18"/>
                <w:szCs w:val="18"/>
              </w:rPr>
              <w:t>0,5</w:t>
            </w:r>
          </w:p>
        </w:tc>
      </w:tr>
      <w:tr w:rsidR="00AC375F" w:rsidRPr="00AC375F" w:rsidDel="00514968" w14:paraId="5D1882E4" w14:textId="77777777" w:rsidTr="00991955">
        <w:trPr>
          <w:trHeight w:val="314"/>
        </w:trPr>
        <w:tc>
          <w:tcPr>
            <w:tcW w:w="4424" w:type="dxa"/>
            <w:shd w:val="clear" w:color="auto" w:fill="auto"/>
            <w:noWrap/>
            <w:vAlign w:val="center"/>
          </w:tcPr>
          <w:p w14:paraId="0BB1B79A" w14:textId="77777777" w:rsidR="00AC375F" w:rsidRPr="00AC375F" w:rsidRDefault="00AC375F" w:rsidP="00AC375F">
            <w:pPr>
              <w:rPr>
                <w:rFonts w:cstheme="minorHAnsi"/>
                <w:sz w:val="18"/>
                <w:szCs w:val="18"/>
              </w:rPr>
            </w:pPr>
          </w:p>
        </w:tc>
        <w:tc>
          <w:tcPr>
            <w:tcW w:w="1529" w:type="dxa"/>
            <w:shd w:val="clear" w:color="auto" w:fill="auto"/>
            <w:noWrap/>
          </w:tcPr>
          <w:p w14:paraId="3BDD5356" w14:textId="77777777" w:rsidR="00AC375F" w:rsidRPr="00AC375F" w:rsidRDefault="00AC375F" w:rsidP="00AC375F">
            <w:pPr>
              <w:jc w:val="center"/>
              <w:rPr>
                <w:rFonts w:cstheme="minorHAnsi"/>
                <w:sz w:val="18"/>
                <w:szCs w:val="18"/>
              </w:rPr>
            </w:pPr>
            <w:r w:rsidRPr="00AC375F">
              <w:rPr>
                <w:rFonts w:cstheme="minorHAnsi"/>
                <w:sz w:val="18"/>
                <w:szCs w:val="18"/>
              </w:rPr>
              <w:t>Zagreb/HZZO</w:t>
            </w:r>
          </w:p>
        </w:tc>
        <w:tc>
          <w:tcPr>
            <w:tcW w:w="1022" w:type="dxa"/>
            <w:shd w:val="clear" w:color="auto" w:fill="auto"/>
            <w:noWrap/>
          </w:tcPr>
          <w:p w14:paraId="34D2E5B6" w14:textId="77777777" w:rsidR="00AC375F" w:rsidRPr="00AC375F" w:rsidRDefault="00AC375F" w:rsidP="00AC375F">
            <w:pPr>
              <w:jc w:val="center"/>
              <w:rPr>
                <w:rFonts w:cstheme="minorHAnsi"/>
                <w:sz w:val="18"/>
                <w:szCs w:val="18"/>
              </w:rPr>
            </w:pPr>
            <w:r w:rsidRPr="00AC375F">
              <w:rPr>
                <w:rFonts w:cstheme="minorHAnsi"/>
                <w:sz w:val="18"/>
                <w:szCs w:val="18"/>
              </w:rPr>
              <w:t>1</w:t>
            </w:r>
          </w:p>
        </w:tc>
        <w:tc>
          <w:tcPr>
            <w:tcW w:w="1276" w:type="dxa"/>
            <w:shd w:val="clear" w:color="auto" w:fill="auto"/>
            <w:noWrap/>
          </w:tcPr>
          <w:p w14:paraId="19C35082" w14:textId="77777777" w:rsidR="00AC375F" w:rsidRPr="00AC375F" w:rsidRDefault="00AC375F" w:rsidP="00AC375F">
            <w:pPr>
              <w:jc w:val="center"/>
              <w:rPr>
                <w:rFonts w:cstheme="minorHAnsi"/>
                <w:sz w:val="18"/>
                <w:szCs w:val="18"/>
              </w:rPr>
            </w:pPr>
            <w:r w:rsidRPr="00AC375F">
              <w:rPr>
                <w:rFonts w:cstheme="minorHAnsi"/>
                <w:sz w:val="18"/>
                <w:szCs w:val="18"/>
              </w:rPr>
              <w:t>srpanj</w:t>
            </w:r>
          </w:p>
        </w:tc>
        <w:tc>
          <w:tcPr>
            <w:tcW w:w="1134" w:type="dxa"/>
            <w:shd w:val="clear" w:color="auto" w:fill="auto"/>
            <w:noWrap/>
          </w:tcPr>
          <w:p w14:paraId="74F45973" w14:textId="77777777" w:rsidR="00AC375F" w:rsidRPr="00AC375F" w:rsidRDefault="00AC375F" w:rsidP="00AC375F">
            <w:pPr>
              <w:jc w:val="center"/>
              <w:rPr>
                <w:rFonts w:cstheme="minorHAnsi"/>
                <w:sz w:val="18"/>
                <w:szCs w:val="18"/>
              </w:rPr>
            </w:pPr>
            <w:r w:rsidRPr="00AC375F">
              <w:rPr>
                <w:rFonts w:cstheme="minorHAnsi"/>
                <w:sz w:val="18"/>
                <w:szCs w:val="18"/>
              </w:rPr>
              <w:t>0,12</w:t>
            </w:r>
          </w:p>
        </w:tc>
      </w:tr>
      <w:tr w:rsidR="00AC375F" w:rsidRPr="00AC375F" w:rsidDel="00514968" w14:paraId="7495469F" w14:textId="77777777" w:rsidTr="00991955">
        <w:trPr>
          <w:trHeight w:val="314"/>
        </w:trPr>
        <w:tc>
          <w:tcPr>
            <w:tcW w:w="4424" w:type="dxa"/>
            <w:shd w:val="clear" w:color="auto" w:fill="auto"/>
            <w:noWrap/>
            <w:vAlign w:val="center"/>
          </w:tcPr>
          <w:p w14:paraId="1062573F" w14:textId="77777777" w:rsidR="00AC375F" w:rsidRPr="00AC375F" w:rsidRDefault="00AC375F" w:rsidP="00AC375F">
            <w:pPr>
              <w:rPr>
                <w:rFonts w:cstheme="minorHAnsi"/>
                <w:sz w:val="18"/>
                <w:szCs w:val="18"/>
              </w:rPr>
            </w:pPr>
          </w:p>
        </w:tc>
        <w:tc>
          <w:tcPr>
            <w:tcW w:w="1529" w:type="dxa"/>
            <w:shd w:val="clear" w:color="auto" w:fill="auto"/>
            <w:noWrap/>
          </w:tcPr>
          <w:p w14:paraId="27B9CD60" w14:textId="77777777" w:rsidR="00AC375F" w:rsidRPr="00AC375F" w:rsidRDefault="00AC375F" w:rsidP="00AC375F">
            <w:pPr>
              <w:jc w:val="center"/>
              <w:rPr>
                <w:rFonts w:cstheme="minorHAnsi"/>
                <w:sz w:val="18"/>
                <w:szCs w:val="18"/>
              </w:rPr>
            </w:pPr>
            <w:r w:rsidRPr="00AC375F">
              <w:rPr>
                <w:rFonts w:cstheme="minorHAnsi"/>
                <w:sz w:val="18"/>
                <w:szCs w:val="18"/>
              </w:rPr>
              <w:t>Virtualno</w:t>
            </w:r>
          </w:p>
        </w:tc>
        <w:tc>
          <w:tcPr>
            <w:tcW w:w="1022" w:type="dxa"/>
            <w:shd w:val="clear" w:color="auto" w:fill="auto"/>
            <w:noWrap/>
          </w:tcPr>
          <w:p w14:paraId="1E08AC47" w14:textId="77777777" w:rsidR="00AC375F" w:rsidRPr="00AC375F" w:rsidRDefault="00AC375F" w:rsidP="00AC375F">
            <w:pPr>
              <w:jc w:val="center"/>
              <w:rPr>
                <w:rFonts w:cstheme="minorHAnsi"/>
                <w:sz w:val="18"/>
                <w:szCs w:val="18"/>
              </w:rPr>
            </w:pPr>
            <w:r w:rsidRPr="00AC375F">
              <w:rPr>
                <w:rFonts w:cstheme="minorHAnsi"/>
                <w:sz w:val="18"/>
                <w:szCs w:val="18"/>
              </w:rPr>
              <w:t>8</w:t>
            </w:r>
          </w:p>
        </w:tc>
        <w:tc>
          <w:tcPr>
            <w:tcW w:w="1276" w:type="dxa"/>
            <w:shd w:val="clear" w:color="auto" w:fill="auto"/>
            <w:noWrap/>
          </w:tcPr>
          <w:p w14:paraId="4DC5CF72" w14:textId="77777777" w:rsidR="00AC375F" w:rsidRPr="00AC375F" w:rsidRDefault="00AC375F" w:rsidP="00AC375F">
            <w:pPr>
              <w:jc w:val="center"/>
              <w:rPr>
                <w:rFonts w:cstheme="minorHAnsi"/>
                <w:sz w:val="18"/>
                <w:szCs w:val="18"/>
              </w:rPr>
            </w:pPr>
            <w:r w:rsidRPr="00AC375F">
              <w:rPr>
                <w:rFonts w:cstheme="minorHAnsi"/>
                <w:sz w:val="18"/>
                <w:szCs w:val="18"/>
              </w:rPr>
              <w:t>kolovoz</w:t>
            </w:r>
          </w:p>
        </w:tc>
        <w:tc>
          <w:tcPr>
            <w:tcW w:w="1134" w:type="dxa"/>
            <w:shd w:val="clear" w:color="auto" w:fill="auto"/>
            <w:noWrap/>
          </w:tcPr>
          <w:p w14:paraId="38B43656" w14:textId="77777777" w:rsidR="00AC375F" w:rsidRPr="00AC375F" w:rsidRDefault="00AC375F" w:rsidP="00AC375F">
            <w:pPr>
              <w:jc w:val="center"/>
              <w:rPr>
                <w:rFonts w:cstheme="minorHAnsi"/>
                <w:sz w:val="18"/>
                <w:szCs w:val="18"/>
              </w:rPr>
            </w:pPr>
            <w:r w:rsidRPr="00AC375F">
              <w:rPr>
                <w:rFonts w:cstheme="minorHAnsi"/>
                <w:sz w:val="18"/>
                <w:szCs w:val="18"/>
              </w:rPr>
              <w:t>1,5</w:t>
            </w:r>
          </w:p>
        </w:tc>
      </w:tr>
      <w:tr w:rsidR="00AC375F" w:rsidRPr="00AC375F" w:rsidDel="00514968" w14:paraId="3BD2EA80" w14:textId="77777777" w:rsidTr="00991955">
        <w:trPr>
          <w:trHeight w:val="314"/>
        </w:trPr>
        <w:tc>
          <w:tcPr>
            <w:tcW w:w="4424" w:type="dxa"/>
            <w:shd w:val="clear" w:color="auto" w:fill="auto"/>
            <w:noWrap/>
            <w:vAlign w:val="center"/>
          </w:tcPr>
          <w:p w14:paraId="1DC3499C" w14:textId="77777777" w:rsidR="00AC375F" w:rsidRPr="00AC375F" w:rsidRDefault="00AC375F" w:rsidP="00AC375F">
            <w:pPr>
              <w:rPr>
                <w:rFonts w:cstheme="minorHAnsi"/>
                <w:sz w:val="18"/>
                <w:szCs w:val="18"/>
              </w:rPr>
            </w:pPr>
          </w:p>
        </w:tc>
        <w:tc>
          <w:tcPr>
            <w:tcW w:w="1529" w:type="dxa"/>
            <w:shd w:val="clear" w:color="auto" w:fill="auto"/>
            <w:noWrap/>
          </w:tcPr>
          <w:p w14:paraId="67EBA549" w14:textId="77777777" w:rsidR="00AC375F" w:rsidRPr="00AC375F" w:rsidRDefault="00AC375F" w:rsidP="00AC375F">
            <w:pPr>
              <w:jc w:val="center"/>
              <w:rPr>
                <w:rFonts w:cstheme="minorHAnsi"/>
                <w:sz w:val="18"/>
                <w:szCs w:val="18"/>
              </w:rPr>
            </w:pPr>
            <w:r w:rsidRPr="00AC375F">
              <w:rPr>
                <w:rFonts w:cstheme="minorHAnsi"/>
                <w:sz w:val="18"/>
                <w:szCs w:val="18"/>
              </w:rPr>
              <w:t>Virtualno</w:t>
            </w:r>
          </w:p>
        </w:tc>
        <w:tc>
          <w:tcPr>
            <w:tcW w:w="1022" w:type="dxa"/>
            <w:shd w:val="clear" w:color="auto" w:fill="auto"/>
            <w:noWrap/>
          </w:tcPr>
          <w:p w14:paraId="5630C386" w14:textId="77777777" w:rsidR="00AC375F" w:rsidRPr="00AC375F" w:rsidRDefault="00AC375F" w:rsidP="00AC375F">
            <w:pPr>
              <w:jc w:val="center"/>
              <w:rPr>
                <w:rFonts w:cstheme="minorHAnsi"/>
                <w:sz w:val="18"/>
                <w:szCs w:val="18"/>
              </w:rPr>
            </w:pPr>
            <w:r w:rsidRPr="00AC375F">
              <w:rPr>
                <w:rFonts w:cstheme="minorHAnsi"/>
                <w:sz w:val="18"/>
                <w:szCs w:val="18"/>
              </w:rPr>
              <w:t>6</w:t>
            </w:r>
          </w:p>
        </w:tc>
        <w:tc>
          <w:tcPr>
            <w:tcW w:w="1276" w:type="dxa"/>
            <w:shd w:val="clear" w:color="auto" w:fill="auto"/>
            <w:noWrap/>
          </w:tcPr>
          <w:p w14:paraId="27C9DC00" w14:textId="77777777" w:rsidR="00AC375F" w:rsidRPr="00AC375F" w:rsidRDefault="00AC375F" w:rsidP="00AC375F">
            <w:pPr>
              <w:jc w:val="center"/>
              <w:rPr>
                <w:rFonts w:cstheme="minorHAnsi"/>
                <w:sz w:val="18"/>
                <w:szCs w:val="18"/>
              </w:rPr>
            </w:pPr>
            <w:r w:rsidRPr="00AC375F">
              <w:rPr>
                <w:rFonts w:cstheme="minorHAnsi"/>
                <w:sz w:val="18"/>
                <w:szCs w:val="18"/>
              </w:rPr>
              <w:t>kolovoz</w:t>
            </w:r>
          </w:p>
        </w:tc>
        <w:tc>
          <w:tcPr>
            <w:tcW w:w="1134" w:type="dxa"/>
            <w:shd w:val="clear" w:color="auto" w:fill="auto"/>
            <w:noWrap/>
          </w:tcPr>
          <w:p w14:paraId="0609AA32" w14:textId="77777777" w:rsidR="00AC375F" w:rsidRPr="00AC375F" w:rsidRDefault="00AC375F" w:rsidP="00AC375F">
            <w:pPr>
              <w:jc w:val="center"/>
              <w:rPr>
                <w:rFonts w:cstheme="minorHAnsi"/>
                <w:sz w:val="18"/>
                <w:szCs w:val="18"/>
              </w:rPr>
            </w:pPr>
            <w:r w:rsidRPr="00AC375F">
              <w:rPr>
                <w:rFonts w:cstheme="minorHAnsi"/>
                <w:sz w:val="18"/>
                <w:szCs w:val="18"/>
              </w:rPr>
              <w:t>1,12</w:t>
            </w:r>
          </w:p>
        </w:tc>
      </w:tr>
      <w:tr w:rsidR="00AC375F" w:rsidRPr="00AC375F" w:rsidDel="00514968" w14:paraId="623F5432" w14:textId="77777777" w:rsidTr="00991955">
        <w:trPr>
          <w:trHeight w:val="314"/>
        </w:trPr>
        <w:tc>
          <w:tcPr>
            <w:tcW w:w="4424" w:type="dxa"/>
            <w:shd w:val="clear" w:color="auto" w:fill="auto"/>
            <w:noWrap/>
            <w:vAlign w:val="center"/>
          </w:tcPr>
          <w:p w14:paraId="257AFC08" w14:textId="77777777" w:rsidR="00AC375F" w:rsidRPr="00AC375F" w:rsidRDefault="00AC375F" w:rsidP="00AC375F">
            <w:pPr>
              <w:rPr>
                <w:rFonts w:cstheme="minorHAnsi"/>
                <w:sz w:val="18"/>
                <w:szCs w:val="18"/>
              </w:rPr>
            </w:pPr>
          </w:p>
        </w:tc>
        <w:tc>
          <w:tcPr>
            <w:tcW w:w="1529" w:type="dxa"/>
            <w:shd w:val="clear" w:color="auto" w:fill="auto"/>
            <w:noWrap/>
          </w:tcPr>
          <w:p w14:paraId="7A2375FA" w14:textId="77777777" w:rsidR="00AC375F" w:rsidRPr="00AC375F" w:rsidRDefault="00AC375F" w:rsidP="00AC375F">
            <w:pPr>
              <w:jc w:val="center"/>
              <w:rPr>
                <w:rFonts w:cstheme="minorHAnsi"/>
                <w:sz w:val="18"/>
                <w:szCs w:val="18"/>
              </w:rPr>
            </w:pPr>
            <w:r w:rsidRPr="00AC375F">
              <w:rPr>
                <w:rFonts w:cstheme="minorHAnsi"/>
                <w:sz w:val="18"/>
                <w:szCs w:val="18"/>
              </w:rPr>
              <w:t>Zagreb/HZZO</w:t>
            </w:r>
          </w:p>
        </w:tc>
        <w:tc>
          <w:tcPr>
            <w:tcW w:w="1022" w:type="dxa"/>
            <w:shd w:val="clear" w:color="auto" w:fill="auto"/>
            <w:noWrap/>
          </w:tcPr>
          <w:p w14:paraId="3D71E511" w14:textId="77777777" w:rsidR="00AC375F" w:rsidRPr="00AC375F" w:rsidRDefault="00AC375F" w:rsidP="00AC375F">
            <w:pPr>
              <w:jc w:val="center"/>
              <w:rPr>
                <w:rFonts w:cstheme="minorHAnsi"/>
                <w:sz w:val="18"/>
                <w:szCs w:val="18"/>
              </w:rPr>
            </w:pPr>
            <w:r w:rsidRPr="00AC375F">
              <w:rPr>
                <w:rFonts w:cstheme="minorHAnsi"/>
                <w:sz w:val="18"/>
                <w:szCs w:val="18"/>
              </w:rPr>
              <w:t>4</w:t>
            </w:r>
          </w:p>
        </w:tc>
        <w:tc>
          <w:tcPr>
            <w:tcW w:w="1276" w:type="dxa"/>
            <w:shd w:val="clear" w:color="auto" w:fill="auto"/>
            <w:noWrap/>
          </w:tcPr>
          <w:p w14:paraId="556D90B8" w14:textId="77777777" w:rsidR="00AC375F" w:rsidRPr="00AC375F" w:rsidRDefault="00AC375F" w:rsidP="00AC375F">
            <w:pPr>
              <w:jc w:val="center"/>
              <w:rPr>
                <w:rFonts w:cstheme="minorHAnsi"/>
                <w:sz w:val="18"/>
                <w:szCs w:val="18"/>
              </w:rPr>
            </w:pPr>
            <w:r w:rsidRPr="00AC375F">
              <w:rPr>
                <w:rFonts w:cstheme="minorHAnsi"/>
                <w:sz w:val="18"/>
                <w:szCs w:val="18"/>
              </w:rPr>
              <w:t>kolovoz</w:t>
            </w:r>
          </w:p>
        </w:tc>
        <w:tc>
          <w:tcPr>
            <w:tcW w:w="1134" w:type="dxa"/>
            <w:shd w:val="clear" w:color="auto" w:fill="auto"/>
            <w:noWrap/>
          </w:tcPr>
          <w:p w14:paraId="6755D0FC" w14:textId="77777777" w:rsidR="00AC375F" w:rsidRPr="00AC375F" w:rsidRDefault="00AC375F" w:rsidP="00AC375F">
            <w:pPr>
              <w:jc w:val="center"/>
              <w:rPr>
                <w:rFonts w:cstheme="minorHAnsi"/>
                <w:sz w:val="18"/>
                <w:szCs w:val="18"/>
              </w:rPr>
            </w:pPr>
            <w:r w:rsidRPr="00AC375F">
              <w:rPr>
                <w:rFonts w:cstheme="minorHAnsi"/>
                <w:sz w:val="18"/>
                <w:szCs w:val="18"/>
              </w:rPr>
              <w:t>1,25</w:t>
            </w:r>
          </w:p>
        </w:tc>
      </w:tr>
      <w:tr w:rsidR="00AC375F" w:rsidRPr="00AC375F" w:rsidDel="00514968" w14:paraId="1D4AB6ED" w14:textId="77777777" w:rsidTr="00991955">
        <w:trPr>
          <w:trHeight w:val="314"/>
        </w:trPr>
        <w:tc>
          <w:tcPr>
            <w:tcW w:w="4424" w:type="dxa"/>
            <w:shd w:val="clear" w:color="auto" w:fill="auto"/>
            <w:noWrap/>
            <w:vAlign w:val="center"/>
          </w:tcPr>
          <w:p w14:paraId="328DFDA6" w14:textId="77777777" w:rsidR="00AC375F" w:rsidRPr="00AC375F" w:rsidRDefault="00AC375F" w:rsidP="00AC375F">
            <w:pPr>
              <w:rPr>
                <w:rFonts w:cstheme="minorHAnsi"/>
                <w:sz w:val="18"/>
                <w:szCs w:val="18"/>
              </w:rPr>
            </w:pPr>
            <w:r w:rsidRPr="00AC375F">
              <w:rPr>
                <w:sz w:val="18"/>
                <w:szCs w:val="18"/>
              </w:rPr>
              <w:t>Interni sastanak HALMED</w:t>
            </w:r>
          </w:p>
        </w:tc>
        <w:tc>
          <w:tcPr>
            <w:tcW w:w="1529" w:type="dxa"/>
            <w:shd w:val="clear" w:color="auto" w:fill="auto"/>
            <w:noWrap/>
          </w:tcPr>
          <w:p w14:paraId="0C4889F9" w14:textId="77777777" w:rsidR="00AC375F" w:rsidRPr="00AC375F" w:rsidRDefault="00AC375F" w:rsidP="00AC375F">
            <w:pPr>
              <w:jc w:val="center"/>
              <w:rPr>
                <w:rFonts w:cstheme="minorHAnsi"/>
                <w:sz w:val="18"/>
                <w:szCs w:val="18"/>
              </w:rPr>
            </w:pPr>
            <w:r w:rsidRPr="00AC375F">
              <w:rPr>
                <w:rFonts w:cstheme="minorHAnsi"/>
                <w:sz w:val="18"/>
                <w:szCs w:val="18"/>
              </w:rPr>
              <w:t>Virtualno</w:t>
            </w:r>
          </w:p>
        </w:tc>
        <w:tc>
          <w:tcPr>
            <w:tcW w:w="1022" w:type="dxa"/>
            <w:shd w:val="clear" w:color="auto" w:fill="auto"/>
            <w:noWrap/>
          </w:tcPr>
          <w:p w14:paraId="55E1BF91" w14:textId="77777777" w:rsidR="00AC375F" w:rsidRPr="00AC375F" w:rsidRDefault="00AC375F" w:rsidP="00AC375F">
            <w:pPr>
              <w:jc w:val="center"/>
              <w:rPr>
                <w:rFonts w:cstheme="minorHAnsi"/>
                <w:sz w:val="18"/>
                <w:szCs w:val="18"/>
              </w:rPr>
            </w:pPr>
            <w:r w:rsidRPr="00AC375F">
              <w:rPr>
                <w:rFonts w:cstheme="minorHAnsi"/>
                <w:sz w:val="18"/>
                <w:szCs w:val="18"/>
              </w:rPr>
              <w:t>5</w:t>
            </w:r>
          </w:p>
        </w:tc>
        <w:tc>
          <w:tcPr>
            <w:tcW w:w="1276" w:type="dxa"/>
            <w:shd w:val="clear" w:color="auto" w:fill="auto"/>
            <w:noWrap/>
          </w:tcPr>
          <w:p w14:paraId="507EFAA9" w14:textId="77777777" w:rsidR="00AC375F" w:rsidRPr="00AC375F" w:rsidRDefault="00AC375F" w:rsidP="00AC375F">
            <w:pPr>
              <w:jc w:val="center"/>
              <w:rPr>
                <w:rFonts w:cstheme="minorHAnsi"/>
                <w:sz w:val="18"/>
                <w:szCs w:val="18"/>
              </w:rPr>
            </w:pPr>
            <w:r w:rsidRPr="00AC375F">
              <w:rPr>
                <w:rFonts w:cstheme="minorHAnsi"/>
                <w:sz w:val="18"/>
                <w:szCs w:val="18"/>
              </w:rPr>
              <w:t>travanj</w:t>
            </w:r>
          </w:p>
        </w:tc>
        <w:tc>
          <w:tcPr>
            <w:tcW w:w="1134" w:type="dxa"/>
            <w:shd w:val="clear" w:color="auto" w:fill="auto"/>
            <w:noWrap/>
          </w:tcPr>
          <w:p w14:paraId="32630F32" w14:textId="77777777" w:rsidR="00AC375F" w:rsidRPr="00AC375F" w:rsidRDefault="00AC375F" w:rsidP="00AC375F">
            <w:pPr>
              <w:jc w:val="center"/>
              <w:rPr>
                <w:rFonts w:cstheme="minorHAnsi"/>
                <w:sz w:val="18"/>
                <w:szCs w:val="18"/>
              </w:rPr>
            </w:pPr>
            <w:r w:rsidRPr="00AC375F">
              <w:rPr>
                <w:rFonts w:cstheme="minorHAnsi"/>
                <w:sz w:val="18"/>
                <w:szCs w:val="18"/>
              </w:rPr>
              <w:t>0,62</w:t>
            </w:r>
          </w:p>
        </w:tc>
      </w:tr>
      <w:tr w:rsidR="00AC375F" w:rsidRPr="00AC375F" w:rsidDel="00514968" w14:paraId="36DD81F3" w14:textId="77777777" w:rsidTr="00991955">
        <w:trPr>
          <w:trHeight w:val="314"/>
        </w:trPr>
        <w:tc>
          <w:tcPr>
            <w:tcW w:w="4424" w:type="dxa"/>
            <w:shd w:val="clear" w:color="auto" w:fill="auto"/>
            <w:noWrap/>
            <w:vAlign w:val="center"/>
          </w:tcPr>
          <w:p w14:paraId="565859B2" w14:textId="77777777" w:rsidR="00AC375F" w:rsidRPr="00AC375F" w:rsidRDefault="00AC375F" w:rsidP="00AC375F">
            <w:pPr>
              <w:rPr>
                <w:sz w:val="18"/>
                <w:szCs w:val="18"/>
              </w:rPr>
            </w:pPr>
          </w:p>
        </w:tc>
        <w:tc>
          <w:tcPr>
            <w:tcW w:w="1529" w:type="dxa"/>
            <w:shd w:val="clear" w:color="auto" w:fill="auto"/>
            <w:noWrap/>
          </w:tcPr>
          <w:p w14:paraId="1675D2F7" w14:textId="77777777" w:rsidR="00AC375F" w:rsidRPr="00AC375F" w:rsidRDefault="00AC375F" w:rsidP="00AC375F">
            <w:pPr>
              <w:jc w:val="center"/>
              <w:rPr>
                <w:rFonts w:cstheme="minorHAnsi"/>
                <w:sz w:val="18"/>
                <w:szCs w:val="18"/>
              </w:rPr>
            </w:pPr>
            <w:r w:rsidRPr="00AC375F">
              <w:rPr>
                <w:rFonts w:cstheme="minorHAnsi"/>
                <w:sz w:val="18"/>
                <w:szCs w:val="18"/>
              </w:rPr>
              <w:t>Zagreb/HALMED</w:t>
            </w:r>
          </w:p>
        </w:tc>
        <w:tc>
          <w:tcPr>
            <w:tcW w:w="1022" w:type="dxa"/>
            <w:shd w:val="clear" w:color="auto" w:fill="auto"/>
            <w:noWrap/>
          </w:tcPr>
          <w:p w14:paraId="412B0447" w14:textId="77777777" w:rsidR="00AC375F" w:rsidRPr="00AC375F" w:rsidRDefault="00AC375F" w:rsidP="00AC375F">
            <w:pPr>
              <w:jc w:val="center"/>
              <w:rPr>
                <w:rFonts w:cstheme="minorHAnsi"/>
                <w:sz w:val="18"/>
                <w:szCs w:val="18"/>
              </w:rPr>
            </w:pPr>
            <w:r w:rsidRPr="00AC375F">
              <w:rPr>
                <w:rFonts w:cstheme="minorHAnsi"/>
                <w:sz w:val="18"/>
                <w:szCs w:val="18"/>
              </w:rPr>
              <w:t>4</w:t>
            </w:r>
          </w:p>
        </w:tc>
        <w:tc>
          <w:tcPr>
            <w:tcW w:w="1276" w:type="dxa"/>
            <w:shd w:val="clear" w:color="auto" w:fill="auto"/>
            <w:noWrap/>
          </w:tcPr>
          <w:p w14:paraId="2A4FFAA0" w14:textId="77777777" w:rsidR="00AC375F" w:rsidRPr="00AC375F" w:rsidRDefault="00AC375F" w:rsidP="00AC375F">
            <w:pPr>
              <w:jc w:val="center"/>
              <w:rPr>
                <w:rFonts w:cstheme="minorHAnsi"/>
                <w:sz w:val="18"/>
                <w:szCs w:val="18"/>
              </w:rPr>
            </w:pPr>
            <w:r w:rsidRPr="00AC375F">
              <w:rPr>
                <w:rFonts w:cstheme="minorHAnsi"/>
                <w:sz w:val="18"/>
                <w:szCs w:val="18"/>
              </w:rPr>
              <w:t>svibanj</w:t>
            </w:r>
          </w:p>
        </w:tc>
        <w:tc>
          <w:tcPr>
            <w:tcW w:w="1134" w:type="dxa"/>
            <w:shd w:val="clear" w:color="auto" w:fill="auto"/>
            <w:noWrap/>
          </w:tcPr>
          <w:p w14:paraId="594E9601" w14:textId="77777777" w:rsidR="00AC375F" w:rsidRPr="00AC375F" w:rsidRDefault="00AC375F" w:rsidP="00AC375F">
            <w:pPr>
              <w:jc w:val="center"/>
              <w:rPr>
                <w:rFonts w:cstheme="minorHAnsi"/>
                <w:sz w:val="18"/>
                <w:szCs w:val="18"/>
              </w:rPr>
            </w:pPr>
            <w:r w:rsidRPr="00AC375F">
              <w:rPr>
                <w:rFonts w:cstheme="minorHAnsi"/>
                <w:sz w:val="18"/>
                <w:szCs w:val="18"/>
              </w:rPr>
              <w:t>0,25</w:t>
            </w:r>
          </w:p>
        </w:tc>
      </w:tr>
      <w:tr w:rsidR="00AC375F" w:rsidRPr="00AC375F" w:rsidDel="00514968" w14:paraId="0C5C7341" w14:textId="77777777" w:rsidTr="00991955">
        <w:trPr>
          <w:trHeight w:val="314"/>
        </w:trPr>
        <w:tc>
          <w:tcPr>
            <w:tcW w:w="4424" w:type="dxa"/>
            <w:shd w:val="clear" w:color="auto" w:fill="auto"/>
            <w:noWrap/>
            <w:vAlign w:val="center"/>
          </w:tcPr>
          <w:p w14:paraId="6ACF1C18" w14:textId="77777777" w:rsidR="00AC375F" w:rsidRPr="00AC375F" w:rsidRDefault="00AC375F" w:rsidP="00AC375F">
            <w:pPr>
              <w:rPr>
                <w:sz w:val="18"/>
                <w:szCs w:val="18"/>
              </w:rPr>
            </w:pPr>
          </w:p>
        </w:tc>
        <w:tc>
          <w:tcPr>
            <w:tcW w:w="1529" w:type="dxa"/>
            <w:shd w:val="clear" w:color="auto" w:fill="auto"/>
            <w:noWrap/>
          </w:tcPr>
          <w:p w14:paraId="2675B63D" w14:textId="77777777" w:rsidR="00AC375F" w:rsidRPr="00AC375F" w:rsidRDefault="00AC375F" w:rsidP="00AC375F">
            <w:pPr>
              <w:jc w:val="center"/>
              <w:rPr>
                <w:rFonts w:cstheme="minorHAnsi"/>
                <w:sz w:val="18"/>
                <w:szCs w:val="18"/>
              </w:rPr>
            </w:pPr>
            <w:r w:rsidRPr="00AC375F">
              <w:rPr>
                <w:rFonts w:cstheme="minorHAnsi"/>
                <w:sz w:val="18"/>
                <w:szCs w:val="18"/>
              </w:rPr>
              <w:t>Zagreb/HALMED</w:t>
            </w:r>
          </w:p>
        </w:tc>
        <w:tc>
          <w:tcPr>
            <w:tcW w:w="1022" w:type="dxa"/>
            <w:shd w:val="clear" w:color="auto" w:fill="auto"/>
            <w:noWrap/>
          </w:tcPr>
          <w:p w14:paraId="0CDCFCD5" w14:textId="77777777" w:rsidR="00AC375F" w:rsidRPr="00AC375F" w:rsidRDefault="00AC375F" w:rsidP="00AC375F">
            <w:pPr>
              <w:jc w:val="center"/>
              <w:rPr>
                <w:rFonts w:cstheme="minorHAnsi"/>
                <w:sz w:val="18"/>
                <w:szCs w:val="18"/>
              </w:rPr>
            </w:pPr>
            <w:r w:rsidRPr="00AC375F">
              <w:rPr>
                <w:rFonts w:cstheme="minorHAnsi"/>
                <w:sz w:val="18"/>
                <w:szCs w:val="18"/>
              </w:rPr>
              <w:t>10</w:t>
            </w:r>
          </w:p>
        </w:tc>
        <w:tc>
          <w:tcPr>
            <w:tcW w:w="1276" w:type="dxa"/>
            <w:shd w:val="clear" w:color="auto" w:fill="auto"/>
            <w:noWrap/>
          </w:tcPr>
          <w:p w14:paraId="14DC3379" w14:textId="77777777" w:rsidR="00AC375F" w:rsidRPr="00AC375F" w:rsidRDefault="00AC375F" w:rsidP="00AC375F">
            <w:pPr>
              <w:jc w:val="center"/>
              <w:rPr>
                <w:rFonts w:cstheme="minorHAnsi"/>
                <w:sz w:val="18"/>
                <w:szCs w:val="18"/>
              </w:rPr>
            </w:pPr>
            <w:r w:rsidRPr="00AC375F">
              <w:rPr>
                <w:rFonts w:cstheme="minorHAnsi"/>
                <w:sz w:val="18"/>
                <w:szCs w:val="18"/>
              </w:rPr>
              <w:t>svibanj</w:t>
            </w:r>
          </w:p>
        </w:tc>
        <w:tc>
          <w:tcPr>
            <w:tcW w:w="1134" w:type="dxa"/>
            <w:shd w:val="clear" w:color="auto" w:fill="auto"/>
            <w:noWrap/>
          </w:tcPr>
          <w:p w14:paraId="5EAF765B" w14:textId="77777777" w:rsidR="00AC375F" w:rsidRPr="00AC375F" w:rsidRDefault="00AC375F" w:rsidP="00AC375F">
            <w:pPr>
              <w:jc w:val="center"/>
              <w:rPr>
                <w:rFonts w:cstheme="minorHAnsi"/>
                <w:sz w:val="18"/>
                <w:szCs w:val="18"/>
              </w:rPr>
            </w:pPr>
            <w:r w:rsidRPr="00AC375F">
              <w:rPr>
                <w:rFonts w:cstheme="minorHAnsi"/>
                <w:sz w:val="18"/>
                <w:szCs w:val="18"/>
              </w:rPr>
              <w:t>1,25</w:t>
            </w:r>
          </w:p>
        </w:tc>
      </w:tr>
      <w:tr w:rsidR="00AC375F" w:rsidRPr="00AC375F" w:rsidDel="00514968" w14:paraId="2D88BAE8" w14:textId="77777777" w:rsidTr="00991955">
        <w:trPr>
          <w:trHeight w:val="314"/>
        </w:trPr>
        <w:tc>
          <w:tcPr>
            <w:tcW w:w="4424" w:type="dxa"/>
            <w:shd w:val="clear" w:color="auto" w:fill="auto"/>
            <w:noWrap/>
            <w:vAlign w:val="center"/>
          </w:tcPr>
          <w:p w14:paraId="51BE3132" w14:textId="77777777" w:rsidR="00AC375F" w:rsidRPr="00AC375F" w:rsidRDefault="00AC375F" w:rsidP="00AC375F">
            <w:pPr>
              <w:rPr>
                <w:sz w:val="18"/>
                <w:szCs w:val="18"/>
              </w:rPr>
            </w:pPr>
          </w:p>
        </w:tc>
        <w:tc>
          <w:tcPr>
            <w:tcW w:w="1529" w:type="dxa"/>
            <w:shd w:val="clear" w:color="auto" w:fill="auto"/>
            <w:noWrap/>
          </w:tcPr>
          <w:p w14:paraId="087227EE" w14:textId="77777777" w:rsidR="00AC375F" w:rsidRPr="00AC375F" w:rsidRDefault="00AC375F" w:rsidP="00AC375F">
            <w:pPr>
              <w:jc w:val="center"/>
              <w:rPr>
                <w:rFonts w:cstheme="minorHAnsi"/>
                <w:sz w:val="18"/>
                <w:szCs w:val="18"/>
              </w:rPr>
            </w:pPr>
            <w:r w:rsidRPr="00AC375F">
              <w:rPr>
                <w:rFonts w:cstheme="minorHAnsi"/>
                <w:sz w:val="18"/>
                <w:szCs w:val="18"/>
              </w:rPr>
              <w:t>Virtualno</w:t>
            </w:r>
          </w:p>
        </w:tc>
        <w:tc>
          <w:tcPr>
            <w:tcW w:w="1022" w:type="dxa"/>
            <w:shd w:val="clear" w:color="auto" w:fill="auto"/>
            <w:noWrap/>
          </w:tcPr>
          <w:p w14:paraId="1E7283FE" w14:textId="77777777" w:rsidR="00AC375F" w:rsidRPr="00AC375F" w:rsidRDefault="00AC375F" w:rsidP="00AC375F">
            <w:pPr>
              <w:jc w:val="center"/>
              <w:rPr>
                <w:rFonts w:cstheme="minorHAnsi"/>
                <w:sz w:val="18"/>
                <w:szCs w:val="18"/>
              </w:rPr>
            </w:pPr>
            <w:r w:rsidRPr="00AC375F">
              <w:rPr>
                <w:rFonts w:cstheme="minorHAnsi"/>
                <w:sz w:val="18"/>
                <w:szCs w:val="18"/>
              </w:rPr>
              <w:t>7</w:t>
            </w:r>
          </w:p>
        </w:tc>
        <w:tc>
          <w:tcPr>
            <w:tcW w:w="1276" w:type="dxa"/>
            <w:shd w:val="clear" w:color="auto" w:fill="auto"/>
            <w:noWrap/>
          </w:tcPr>
          <w:p w14:paraId="2A3E7966" w14:textId="77777777" w:rsidR="00AC375F" w:rsidRPr="00AC375F" w:rsidRDefault="00AC375F" w:rsidP="00AC375F">
            <w:pPr>
              <w:jc w:val="center"/>
              <w:rPr>
                <w:rFonts w:cstheme="minorHAnsi"/>
                <w:sz w:val="18"/>
                <w:szCs w:val="18"/>
              </w:rPr>
            </w:pPr>
            <w:r w:rsidRPr="00AC375F">
              <w:rPr>
                <w:rFonts w:cstheme="minorHAnsi"/>
                <w:sz w:val="18"/>
                <w:szCs w:val="18"/>
              </w:rPr>
              <w:t>svibanj</w:t>
            </w:r>
          </w:p>
        </w:tc>
        <w:tc>
          <w:tcPr>
            <w:tcW w:w="1134" w:type="dxa"/>
            <w:shd w:val="clear" w:color="auto" w:fill="auto"/>
            <w:noWrap/>
          </w:tcPr>
          <w:p w14:paraId="39C3F487" w14:textId="77777777" w:rsidR="00AC375F" w:rsidRPr="00AC375F" w:rsidRDefault="00AC375F" w:rsidP="00AC375F">
            <w:pPr>
              <w:jc w:val="center"/>
              <w:rPr>
                <w:rFonts w:cstheme="minorHAnsi"/>
                <w:sz w:val="18"/>
                <w:szCs w:val="18"/>
              </w:rPr>
            </w:pPr>
            <w:r w:rsidRPr="00AC375F">
              <w:rPr>
                <w:rFonts w:cstheme="minorHAnsi"/>
                <w:sz w:val="18"/>
                <w:szCs w:val="18"/>
              </w:rPr>
              <w:t>0,87</w:t>
            </w:r>
          </w:p>
        </w:tc>
      </w:tr>
      <w:tr w:rsidR="00AC375F" w:rsidRPr="00AC375F" w:rsidDel="00514968" w14:paraId="587172C8" w14:textId="77777777" w:rsidTr="00991955">
        <w:trPr>
          <w:trHeight w:val="314"/>
        </w:trPr>
        <w:tc>
          <w:tcPr>
            <w:tcW w:w="4424" w:type="dxa"/>
            <w:shd w:val="clear" w:color="auto" w:fill="auto"/>
            <w:noWrap/>
            <w:vAlign w:val="center"/>
          </w:tcPr>
          <w:p w14:paraId="71772447" w14:textId="77777777" w:rsidR="00AC375F" w:rsidRPr="00AC375F" w:rsidRDefault="00AC375F" w:rsidP="00AC375F">
            <w:pPr>
              <w:rPr>
                <w:sz w:val="18"/>
                <w:szCs w:val="18"/>
              </w:rPr>
            </w:pPr>
          </w:p>
        </w:tc>
        <w:tc>
          <w:tcPr>
            <w:tcW w:w="1529" w:type="dxa"/>
            <w:shd w:val="clear" w:color="auto" w:fill="auto"/>
            <w:noWrap/>
          </w:tcPr>
          <w:p w14:paraId="02B7BB5F" w14:textId="77777777" w:rsidR="00AC375F" w:rsidRPr="00AC375F" w:rsidRDefault="00AC375F" w:rsidP="00AC375F">
            <w:pPr>
              <w:jc w:val="center"/>
              <w:rPr>
                <w:rFonts w:cstheme="minorHAnsi"/>
                <w:sz w:val="18"/>
                <w:szCs w:val="18"/>
              </w:rPr>
            </w:pPr>
            <w:r w:rsidRPr="00AC375F">
              <w:rPr>
                <w:rFonts w:cstheme="minorHAnsi"/>
                <w:sz w:val="18"/>
                <w:szCs w:val="18"/>
              </w:rPr>
              <w:t>Virtualno</w:t>
            </w:r>
          </w:p>
        </w:tc>
        <w:tc>
          <w:tcPr>
            <w:tcW w:w="1022" w:type="dxa"/>
            <w:shd w:val="clear" w:color="auto" w:fill="auto"/>
            <w:noWrap/>
          </w:tcPr>
          <w:p w14:paraId="5D9BDD7D" w14:textId="77777777" w:rsidR="00AC375F" w:rsidRPr="00AC375F" w:rsidRDefault="00AC375F" w:rsidP="00AC375F">
            <w:pPr>
              <w:jc w:val="center"/>
              <w:rPr>
                <w:rFonts w:cstheme="minorHAnsi"/>
                <w:sz w:val="18"/>
                <w:szCs w:val="18"/>
              </w:rPr>
            </w:pPr>
            <w:r w:rsidRPr="00AC375F">
              <w:rPr>
                <w:rFonts w:cstheme="minorHAnsi"/>
                <w:sz w:val="18"/>
                <w:szCs w:val="18"/>
              </w:rPr>
              <w:t>7</w:t>
            </w:r>
          </w:p>
        </w:tc>
        <w:tc>
          <w:tcPr>
            <w:tcW w:w="1276" w:type="dxa"/>
            <w:shd w:val="clear" w:color="auto" w:fill="auto"/>
            <w:noWrap/>
          </w:tcPr>
          <w:p w14:paraId="3F8CE42C" w14:textId="77777777" w:rsidR="00AC375F" w:rsidRPr="00AC375F" w:rsidRDefault="00AC375F" w:rsidP="00AC375F">
            <w:pPr>
              <w:jc w:val="center"/>
              <w:rPr>
                <w:rFonts w:cstheme="minorHAnsi"/>
                <w:sz w:val="18"/>
                <w:szCs w:val="18"/>
              </w:rPr>
            </w:pPr>
            <w:r w:rsidRPr="00AC375F">
              <w:rPr>
                <w:rFonts w:cstheme="minorHAnsi"/>
                <w:sz w:val="18"/>
                <w:szCs w:val="18"/>
              </w:rPr>
              <w:t>svibanj</w:t>
            </w:r>
          </w:p>
        </w:tc>
        <w:tc>
          <w:tcPr>
            <w:tcW w:w="1134" w:type="dxa"/>
            <w:shd w:val="clear" w:color="auto" w:fill="auto"/>
            <w:noWrap/>
          </w:tcPr>
          <w:p w14:paraId="1B1A3BB6" w14:textId="77777777" w:rsidR="00AC375F" w:rsidRPr="00AC375F" w:rsidRDefault="00AC375F" w:rsidP="00AC375F">
            <w:pPr>
              <w:jc w:val="center"/>
              <w:rPr>
                <w:rFonts w:cstheme="minorHAnsi"/>
                <w:sz w:val="18"/>
                <w:szCs w:val="18"/>
              </w:rPr>
            </w:pPr>
            <w:r w:rsidRPr="00AC375F">
              <w:rPr>
                <w:rFonts w:cstheme="minorHAnsi"/>
                <w:sz w:val="18"/>
                <w:szCs w:val="18"/>
              </w:rPr>
              <w:t>0,87</w:t>
            </w:r>
          </w:p>
        </w:tc>
      </w:tr>
      <w:tr w:rsidR="00AC375F" w:rsidRPr="00AC375F" w:rsidDel="00514968" w14:paraId="4DDFD418" w14:textId="77777777" w:rsidTr="00991955">
        <w:trPr>
          <w:trHeight w:val="314"/>
        </w:trPr>
        <w:tc>
          <w:tcPr>
            <w:tcW w:w="4424" w:type="dxa"/>
            <w:shd w:val="clear" w:color="auto" w:fill="auto"/>
            <w:noWrap/>
            <w:vAlign w:val="center"/>
          </w:tcPr>
          <w:p w14:paraId="134D4F4E" w14:textId="77777777" w:rsidR="00AC375F" w:rsidRPr="00AC375F" w:rsidRDefault="00AC375F" w:rsidP="00AC375F">
            <w:pPr>
              <w:rPr>
                <w:sz w:val="18"/>
                <w:szCs w:val="18"/>
              </w:rPr>
            </w:pPr>
          </w:p>
        </w:tc>
        <w:tc>
          <w:tcPr>
            <w:tcW w:w="1529" w:type="dxa"/>
            <w:shd w:val="clear" w:color="auto" w:fill="auto"/>
            <w:noWrap/>
          </w:tcPr>
          <w:p w14:paraId="17E8255A" w14:textId="77777777" w:rsidR="00AC375F" w:rsidRPr="00AC375F" w:rsidRDefault="00AC375F" w:rsidP="00AC375F">
            <w:pPr>
              <w:jc w:val="center"/>
              <w:rPr>
                <w:rFonts w:cstheme="minorHAnsi"/>
                <w:sz w:val="18"/>
                <w:szCs w:val="18"/>
              </w:rPr>
            </w:pPr>
            <w:r w:rsidRPr="00AC375F">
              <w:rPr>
                <w:rFonts w:cstheme="minorHAnsi"/>
                <w:sz w:val="18"/>
                <w:szCs w:val="18"/>
              </w:rPr>
              <w:t>Zagreb/HALMED</w:t>
            </w:r>
          </w:p>
        </w:tc>
        <w:tc>
          <w:tcPr>
            <w:tcW w:w="1022" w:type="dxa"/>
            <w:shd w:val="clear" w:color="auto" w:fill="auto"/>
            <w:noWrap/>
          </w:tcPr>
          <w:p w14:paraId="3FEDA225" w14:textId="77777777" w:rsidR="00AC375F" w:rsidRPr="00AC375F" w:rsidRDefault="00AC375F" w:rsidP="00AC375F">
            <w:pPr>
              <w:jc w:val="center"/>
              <w:rPr>
                <w:rFonts w:cstheme="minorHAnsi"/>
                <w:sz w:val="18"/>
                <w:szCs w:val="18"/>
              </w:rPr>
            </w:pPr>
            <w:r w:rsidRPr="00AC375F">
              <w:rPr>
                <w:rFonts w:cstheme="minorHAnsi"/>
                <w:sz w:val="18"/>
                <w:szCs w:val="18"/>
              </w:rPr>
              <w:t>7</w:t>
            </w:r>
          </w:p>
        </w:tc>
        <w:tc>
          <w:tcPr>
            <w:tcW w:w="1276" w:type="dxa"/>
            <w:shd w:val="clear" w:color="auto" w:fill="auto"/>
            <w:noWrap/>
          </w:tcPr>
          <w:p w14:paraId="1A7244FA" w14:textId="77777777" w:rsidR="00AC375F" w:rsidRPr="00AC375F" w:rsidRDefault="00AC375F" w:rsidP="00AC375F">
            <w:pPr>
              <w:jc w:val="center"/>
              <w:rPr>
                <w:rFonts w:cstheme="minorHAnsi"/>
                <w:sz w:val="18"/>
                <w:szCs w:val="18"/>
              </w:rPr>
            </w:pPr>
            <w:r w:rsidRPr="00AC375F">
              <w:rPr>
                <w:rFonts w:cstheme="minorHAnsi"/>
                <w:sz w:val="18"/>
                <w:szCs w:val="18"/>
              </w:rPr>
              <w:t>svibanj</w:t>
            </w:r>
          </w:p>
        </w:tc>
        <w:tc>
          <w:tcPr>
            <w:tcW w:w="1134" w:type="dxa"/>
            <w:shd w:val="clear" w:color="auto" w:fill="auto"/>
            <w:noWrap/>
          </w:tcPr>
          <w:p w14:paraId="2CCCF500" w14:textId="77777777" w:rsidR="00AC375F" w:rsidRPr="00AC375F" w:rsidRDefault="00AC375F" w:rsidP="00AC375F">
            <w:pPr>
              <w:jc w:val="center"/>
              <w:rPr>
                <w:rFonts w:cstheme="minorHAnsi"/>
                <w:sz w:val="18"/>
                <w:szCs w:val="18"/>
              </w:rPr>
            </w:pPr>
            <w:r w:rsidRPr="00AC375F">
              <w:rPr>
                <w:rFonts w:cstheme="minorHAnsi"/>
                <w:sz w:val="18"/>
                <w:szCs w:val="18"/>
              </w:rPr>
              <w:t>1,75</w:t>
            </w:r>
          </w:p>
        </w:tc>
      </w:tr>
      <w:tr w:rsidR="00AC375F" w:rsidRPr="00AC375F" w:rsidDel="00514968" w14:paraId="45725D1F" w14:textId="77777777" w:rsidTr="00991955">
        <w:trPr>
          <w:trHeight w:val="314"/>
        </w:trPr>
        <w:tc>
          <w:tcPr>
            <w:tcW w:w="4424" w:type="dxa"/>
            <w:shd w:val="clear" w:color="auto" w:fill="auto"/>
            <w:noWrap/>
            <w:vAlign w:val="center"/>
          </w:tcPr>
          <w:p w14:paraId="1ED8876B" w14:textId="77777777" w:rsidR="00AC375F" w:rsidRPr="00AC375F" w:rsidRDefault="00AC375F" w:rsidP="00AC375F">
            <w:pPr>
              <w:rPr>
                <w:sz w:val="18"/>
                <w:szCs w:val="18"/>
              </w:rPr>
            </w:pPr>
          </w:p>
        </w:tc>
        <w:tc>
          <w:tcPr>
            <w:tcW w:w="1529" w:type="dxa"/>
            <w:shd w:val="clear" w:color="auto" w:fill="auto"/>
            <w:noWrap/>
          </w:tcPr>
          <w:p w14:paraId="73CFE085" w14:textId="77777777" w:rsidR="00AC375F" w:rsidRPr="00AC375F" w:rsidRDefault="00AC375F" w:rsidP="00AC375F">
            <w:pPr>
              <w:jc w:val="center"/>
              <w:rPr>
                <w:rFonts w:cstheme="minorHAnsi"/>
                <w:sz w:val="18"/>
                <w:szCs w:val="18"/>
              </w:rPr>
            </w:pPr>
            <w:r w:rsidRPr="00AC375F">
              <w:rPr>
                <w:rFonts w:cstheme="minorHAnsi"/>
                <w:sz w:val="18"/>
                <w:szCs w:val="18"/>
              </w:rPr>
              <w:t>Zagreb/HALMED</w:t>
            </w:r>
          </w:p>
        </w:tc>
        <w:tc>
          <w:tcPr>
            <w:tcW w:w="1022" w:type="dxa"/>
            <w:shd w:val="clear" w:color="auto" w:fill="auto"/>
            <w:noWrap/>
          </w:tcPr>
          <w:p w14:paraId="08E5478E" w14:textId="77777777" w:rsidR="00AC375F" w:rsidRPr="00AC375F" w:rsidRDefault="00AC375F" w:rsidP="00AC375F">
            <w:pPr>
              <w:jc w:val="center"/>
              <w:rPr>
                <w:rFonts w:cstheme="minorHAnsi"/>
                <w:sz w:val="18"/>
                <w:szCs w:val="18"/>
              </w:rPr>
            </w:pPr>
            <w:r w:rsidRPr="00AC375F">
              <w:rPr>
                <w:rFonts w:cstheme="minorHAnsi"/>
                <w:sz w:val="18"/>
                <w:szCs w:val="18"/>
              </w:rPr>
              <w:t>17</w:t>
            </w:r>
          </w:p>
        </w:tc>
        <w:tc>
          <w:tcPr>
            <w:tcW w:w="1276" w:type="dxa"/>
            <w:shd w:val="clear" w:color="auto" w:fill="auto"/>
            <w:noWrap/>
          </w:tcPr>
          <w:p w14:paraId="5EF6C22A" w14:textId="77777777" w:rsidR="00AC375F" w:rsidRPr="00AC375F" w:rsidRDefault="00AC375F" w:rsidP="00AC375F">
            <w:pPr>
              <w:jc w:val="center"/>
              <w:rPr>
                <w:rFonts w:cstheme="minorHAnsi"/>
                <w:sz w:val="18"/>
                <w:szCs w:val="18"/>
              </w:rPr>
            </w:pPr>
            <w:r w:rsidRPr="00AC375F">
              <w:rPr>
                <w:rFonts w:cstheme="minorHAnsi"/>
                <w:sz w:val="18"/>
                <w:szCs w:val="18"/>
              </w:rPr>
              <w:t>svibanj</w:t>
            </w:r>
          </w:p>
        </w:tc>
        <w:tc>
          <w:tcPr>
            <w:tcW w:w="1134" w:type="dxa"/>
            <w:shd w:val="clear" w:color="auto" w:fill="auto"/>
            <w:noWrap/>
          </w:tcPr>
          <w:p w14:paraId="3B83AC36" w14:textId="77777777" w:rsidR="00AC375F" w:rsidRPr="00AC375F" w:rsidRDefault="00AC375F" w:rsidP="00AC375F">
            <w:pPr>
              <w:jc w:val="center"/>
              <w:rPr>
                <w:rFonts w:cstheme="minorHAnsi"/>
                <w:sz w:val="18"/>
                <w:szCs w:val="18"/>
              </w:rPr>
            </w:pPr>
            <w:r w:rsidRPr="00AC375F">
              <w:rPr>
                <w:rFonts w:cstheme="minorHAnsi"/>
                <w:sz w:val="18"/>
                <w:szCs w:val="18"/>
              </w:rPr>
              <w:t>7,43</w:t>
            </w:r>
          </w:p>
        </w:tc>
      </w:tr>
      <w:tr w:rsidR="00AC375F" w:rsidRPr="00AC375F" w:rsidDel="00514968" w14:paraId="370F06DF" w14:textId="77777777" w:rsidTr="00991955">
        <w:trPr>
          <w:trHeight w:val="314"/>
        </w:trPr>
        <w:tc>
          <w:tcPr>
            <w:tcW w:w="4424" w:type="dxa"/>
            <w:shd w:val="clear" w:color="auto" w:fill="auto"/>
            <w:noWrap/>
            <w:vAlign w:val="center"/>
          </w:tcPr>
          <w:p w14:paraId="4F6B4F5E" w14:textId="77777777" w:rsidR="00AC375F" w:rsidRPr="00AC375F" w:rsidRDefault="00AC375F" w:rsidP="00AC375F">
            <w:pPr>
              <w:rPr>
                <w:sz w:val="18"/>
                <w:szCs w:val="18"/>
              </w:rPr>
            </w:pPr>
          </w:p>
        </w:tc>
        <w:tc>
          <w:tcPr>
            <w:tcW w:w="1529" w:type="dxa"/>
            <w:shd w:val="clear" w:color="auto" w:fill="auto"/>
            <w:noWrap/>
          </w:tcPr>
          <w:p w14:paraId="62D0B292" w14:textId="77777777" w:rsidR="00AC375F" w:rsidRPr="00AC375F" w:rsidRDefault="00AC375F" w:rsidP="00AC375F">
            <w:pPr>
              <w:jc w:val="center"/>
              <w:rPr>
                <w:rFonts w:cstheme="minorHAnsi"/>
                <w:sz w:val="18"/>
                <w:szCs w:val="18"/>
              </w:rPr>
            </w:pPr>
            <w:r w:rsidRPr="00AC375F">
              <w:rPr>
                <w:rFonts w:cstheme="minorHAnsi"/>
                <w:sz w:val="18"/>
                <w:szCs w:val="18"/>
              </w:rPr>
              <w:t>Zagreb/HALMED</w:t>
            </w:r>
          </w:p>
        </w:tc>
        <w:tc>
          <w:tcPr>
            <w:tcW w:w="1022" w:type="dxa"/>
            <w:shd w:val="clear" w:color="auto" w:fill="auto"/>
            <w:noWrap/>
          </w:tcPr>
          <w:p w14:paraId="7B5F7AAE" w14:textId="77777777" w:rsidR="00AC375F" w:rsidRPr="00AC375F" w:rsidRDefault="00AC375F" w:rsidP="00AC375F">
            <w:pPr>
              <w:jc w:val="center"/>
              <w:rPr>
                <w:rFonts w:cstheme="minorHAnsi"/>
                <w:sz w:val="18"/>
                <w:szCs w:val="18"/>
              </w:rPr>
            </w:pPr>
            <w:r w:rsidRPr="00AC375F">
              <w:rPr>
                <w:rFonts w:cstheme="minorHAnsi"/>
                <w:sz w:val="18"/>
                <w:szCs w:val="18"/>
              </w:rPr>
              <w:t>10</w:t>
            </w:r>
          </w:p>
        </w:tc>
        <w:tc>
          <w:tcPr>
            <w:tcW w:w="1276" w:type="dxa"/>
            <w:shd w:val="clear" w:color="auto" w:fill="auto"/>
            <w:noWrap/>
          </w:tcPr>
          <w:p w14:paraId="18F257C7" w14:textId="77777777" w:rsidR="00AC375F" w:rsidRPr="00AC375F" w:rsidRDefault="00AC375F" w:rsidP="00AC375F">
            <w:pPr>
              <w:jc w:val="center"/>
              <w:rPr>
                <w:rFonts w:cstheme="minorHAnsi"/>
                <w:sz w:val="18"/>
                <w:szCs w:val="18"/>
              </w:rPr>
            </w:pPr>
            <w:r w:rsidRPr="00AC375F">
              <w:rPr>
                <w:rFonts w:cstheme="minorHAnsi"/>
                <w:sz w:val="18"/>
                <w:szCs w:val="18"/>
              </w:rPr>
              <w:t>svibanj</w:t>
            </w:r>
          </w:p>
        </w:tc>
        <w:tc>
          <w:tcPr>
            <w:tcW w:w="1134" w:type="dxa"/>
            <w:shd w:val="clear" w:color="auto" w:fill="auto"/>
            <w:noWrap/>
          </w:tcPr>
          <w:p w14:paraId="241E3CCB" w14:textId="77777777" w:rsidR="00AC375F" w:rsidRPr="00AC375F" w:rsidRDefault="00AC375F" w:rsidP="00AC375F">
            <w:pPr>
              <w:jc w:val="center"/>
              <w:rPr>
                <w:rFonts w:cstheme="minorHAnsi"/>
                <w:sz w:val="18"/>
                <w:szCs w:val="18"/>
              </w:rPr>
            </w:pPr>
            <w:r w:rsidRPr="00AC375F">
              <w:rPr>
                <w:rFonts w:cstheme="minorHAnsi"/>
                <w:sz w:val="18"/>
                <w:szCs w:val="18"/>
              </w:rPr>
              <w:t>8,12</w:t>
            </w:r>
          </w:p>
        </w:tc>
      </w:tr>
      <w:tr w:rsidR="00AC375F" w:rsidRPr="00AC375F" w:rsidDel="00514968" w14:paraId="34EC49E2" w14:textId="77777777" w:rsidTr="00991955">
        <w:trPr>
          <w:trHeight w:val="314"/>
        </w:trPr>
        <w:tc>
          <w:tcPr>
            <w:tcW w:w="4424" w:type="dxa"/>
            <w:shd w:val="clear" w:color="auto" w:fill="auto"/>
            <w:noWrap/>
            <w:vAlign w:val="center"/>
          </w:tcPr>
          <w:p w14:paraId="56876BA8" w14:textId="77777777" w:rsidR="00AC375F" w:rsidRPr="00AC375F" w:rsidRDefault="00AC375F" w:rsidP="00AC375F">
            <w:pPr>
              <w:rPr>
                <w:sz w:val="18"/>
                <w:szCs w:val="18"/>
              </w:rPr>
            </w:pPr>
          </w:p>
        </w:tc>
        <w:tc>
          <w:tcPr>
            <w:tcW w:w="1529" w:type="dxa"/>
            <w:shd w:val="clear" w:color="auto" w:fill="auto"/>
            <w:noWrap/>
          </w:tcPr>
          <w:p w14:paraId="2439F349" w14:textId="77777777" w:rsidR="00AC375F" w:rsidRPr="00AC375F" w:rsidRDefault="00AC375F" w:rsidP="00AC375F">
            <w:pPr>
              <w:jc w:val="center"/>
              <w:rPr>
                <w:rFonts w:cstheme="minorHAnsi"/>
                <w:sz w:val="18"/>
                <w:szCs w:val="18"/>
              </w:rPr>
            </w:pPr>
            <w:r w:rsidRPr="00AC375F">
              <w:rPr>
                <w:rFonts w:cstheme="minorHAnsi"/>
                <w:sz w:val="18"/>
                <w:szCs w:val="18"/>
              </w:rPr>
              <w:t>Zagreb/HALMED</w:t>
            </w:r>
          </w:p>
        </w:tc>
        <w:tc>
          <w:tcPr>
            <w:tcW w:w="1022" w:type="dxa"/>
            <w:shd w:val="clear" w:color="auto" w:fill="auto"/>
            <w:noWrap/>
          </w:tcPr>
          <w:p w14:paraId="5E36F688" w14:textId="77777777" w:rsidR="00AC375F" w:rsidRPr="00AC375F" w:rsidRDefault="00AC375F" w:rsidP="00AC375F">
            <w:pPr>
              <w:jc w:val="center"/>
              <w:rPr>
                <w:rFonts w:cstheme="minorHAnsi"/>
                <w:sz w:val="18"/>
                <w:szCs w:val="18"/>
              </w:rPr>
            </w:pPr>
            <w:r w:rsidRPr="00AC375F">
              <w:rPr>
                <w:rFonts w:cstheme="minorHAnsi"/>
                <w:sz w:val="18"/>
                <w:szCs w:val="18"/>
              </w:rPr>
              <w:t>7</w:t>
            </w:r>
          </w:p>
        </w:tc>
        <w:tc>
          <w:tcPr>
            <w:tcW w:w="1276" w:type="dxa"/>
            <w:shd w:val="clear" w:color="auto" w:fill="auto"/>
            <w:noWrap/>
          </w:tcPr>
          <w:p w14:paraId="7D9CB664" w14:textId="77777777" w:rsidR="00AC375F" w:rsidRPr="00AC375F" w:rsidRDefault="00AC375F" w:rsidP="00AC375F">
            <w:pPr>
              <w:jc w:val="center"/>
              <w:rPr>
                <w:rFonts w:cstheme="minorHAnsi"/>
                <w:sz w:val="18"/>
                <w:szCs w:val="18"/>
              </w:rPr>
            </w:pPr>
            <w:r w:rsidRPr="00AC375F">
              <w:rPr>
                <w:rFonts w:cstheme="minorHAnsi"/>
                <w:sz w:val="18"/>
                <w:szCs w:val="18"/>
              </w:rPr>
              <w:t>lipanj</w:t>
            </w:r>
          </w:p>
        </w:tc>
        <w:tc>
          <w:tcPr>
            <w:tcW w:w="1134" w:type="dxa"/>
            <w:shd w:val="clear" w:color="auto" w:fill="auto"/>
            <w:noWrap/>
          </w:tcPr>
          <w:p w14:paraId="000E0541" w14:textId="77777777" w:rsidR="00AC375F" w:rsidRPr="00AC375F" w:rsidRDefault="00AC375F" w:rsidP="00AC375F">
            <w:pPr>
              <w:jc w:val="center"/>
              <w:rPr>
                <w:rFonts w:cstheme="minorHAnsi"/>
                <w:sz w:val="18"/>
                <w:szCs w:val="18"/>
              </w:rPr>
            </w:pPr>
            <w:r w:rsidRPr="00AC375F">
              <w:rPr>
                <w:rFonts w:cstheme="minorHAnsi"/>
                <w:sz w:val="18"/>
                <w:szCs w:val="18"/>
              </w:rPr>
              <w:t>3,5</w:t>
            </w:r>
          </w:p>
        </w:tc>
      </w:tr>
      <w:tr w:rsidR="00AC375F" w:rsidRPr="00AC375F" w:rsidDel="00514968" w14:paraId="2D5259B7" w14:textId="77777777" w:rsidTr="00991955">
        <w:trPr>
          <w:trHeight w:val="314"/>
        </w:trPr>
        <w:tc>
          <w:tcPr>
            <w:tcW w:w="4424" w:type="dxa"/>
            <w:shd w:val="clear" w:color="auto" w:fill="auto"/>
            <w:noWrap/>
            <w:vAlign w:val="center"/>
          </w:tcPr>
          <w:p w14:paraId="67DB3094" w14:textId="77777777" w:rsidR="00AC375F" w:rsidRPr="00AC375F" w:rsidRDefault="00AC375F" w:rsidP="00AC375F">
            <w:pPr>
              <w:rPr>
                <w:sz w:val="18"/>
                <w:szCs w:val="18"/>
              </w:rPr>
            </w:pPr>
          </w:p>
        </w:tc>
        <w:tc>
          <w:tcPr>
            <w:tcW w:w="1529" w:type="dxa"/>
            <w:shd w:val="clear" w:color="auto" w:fill="auto"/>
            <w:noWrap/>
          </w:tcPr>
          <w:p w14:paraId="5EE37E32" w14:textId="77777777" w:rsidR="00AC375F" w:rsidRPr="00AC375F" w:rsidRDefault="00AC375F" w:rsidP="00AC375F">
            <w:pPr>
              <w:jc w:val="center"/>
              <w:rPr>
                <w:rFonts w:cstheme="minorHAnsi"/>
                <w:sz w:val="18"/>
                <w:szCs w:val="18"/>
              </w:rPr>
            </w:pPr>
            <w:r w:rsidRPr="00AC375F">
              <w:rPr>
                <w:rFonts w:cstheme="minorHAnsi"/>
                <w:sz w:val="18"/>
                <w:szCs w:val="18"/>
              </w:rPr>
              <w:t>Zagreb/HALMED</w:t>
            </w:r>
          </w:p>
        </w:tc>
        <w:tc>
          <w:tcPr>
            <w:tcW w:w="1022" w:type="dxa"/>
            <w:shd w:val="clear" w:color="auto" w:fill="auto"/>
            <w:noWrap/>
          </w:tcPr>
          <w:p w14:paraId="586D3B99" w14:textId="77777777" w:rsidR="00AC375F" w:rsidRPr="00AC375F" w:rsidRDefault="00AC375F" w:rsidP="00AC375F">
            <w:pPr>
              <w:jc w:val="center"/>
              <w:rPr>
                <w:rFonts w:cstheme="minorHAnsi"/>
                <w:sz w:val="18"/>
                <w:szCs w:val="18"/>
              </w:rPr>
            </w:pPr>
            <w:r w:rsidRPr="00AC375F">
              <w:rPr>
                <w:rFonts w:cstheme="minorHAnsi"/>
                <w:sz w:val="18"/>
                <w:szCs w:val="18"/>
              </w:rPr>
              <w:t>6</w:t>
            </w:r>
          </w:p>
        </w:tc>
        <w:tc>
          <w:tcPr>
            <w:tcW w:w="1276" w:type="dxa"/>
            <w:shd w:val="clear" w:color="auto" w:fill="auto"/>
            <w:noWrap/>
          </w:tcPr>
          <w:p w14:paraId="71944AF3" w14:textId="77777777" w:rsidR="00AC375F" w:rsidRPr="00AC375F" w:rsidRDefault="00AC375F" w:rsidP="00AC375F">
            <w:pPr>
              <w:jc w:val="center"/>
              <w:rPr>
                <w:rFonts w:cstheme="minorHAnsi"/>
                <w:sz w:val="18"/>
                <w:szCs w:val="18"/>
              </w:rPr>
            </w:pPr>
            <w:r w:rsidRPr="00AC375F">
              <w:rPr>
                <w:rFonts w:cstheme="minorHAnsi"/>
                <w:sz w:val="18"/>
                <w:szCs w:val="18"/>
              </w:rPr>
              <w:t>lipanj</w:t>
            </w:r>
          </w:p>
        </w:tc>
        <w:tc>
          <w:tcPr>
            <w:tcW w:w="1134" w:type="dxa"/>
            <w:shd w:val="clear" w:color="auto" w:fill="auto"/>
            <w:noWrap/>
          </w:tcPr>
          <w:p w14:paraId="610C3B78" w14:textId="77777777" w:rsidR="00AC375F" w:rsidRPr="00AC375F" w:rsidRDefault="00AC375F" w:rsidP="00AC375F">
            <w:pPr>
              <w:jc w:val="center"/>
              <w:rPr>
                <w:rFonts w:cstheme="minorHAnsi"/>
                <w:sz w:val="18"/>
                <w:szCs w:val="18"/>
              </w:rPr>
            </w:pPr>
            <w:r w:rsidRPr="00AC375F">
              <w:rPr>
                <w:rFonts w:cstheme="minorHAnsi"/>
                <w:sz w:val="18"/>
                <w:szCs w:val="18"/>
              </w:rPr>
              <w:t>1,5</w:t>
            </w:r>
          </w:p>
        </w:tc>
      </w:tr>
      <w:tr w:rsidR="00AC375F" w:rsidRPr="00AC375F" w:rsidDel="00514968" w14:paraId="7D2612F3" w14:textId="77777777" w:rsidTr="00991955">
        <w:trPr>
          <w:trHeight w:val="314"/>
        </w:trPr>
        <w:tc>
          <w:tcPr>
            <w:tcW w:w="4424" w:type="dxa"/>
            <w:shd w:val="clear" w:color="auto" w:fill="auto"/>
            <w:noWrap/>
            <w:vAlign w:val="center"/>
          </w:tcPr>
          <w:p w14:paraId="4B488344" w14:textId="77777777" w:rsidR="00AC375F" w:rsidRPr="00AC375F" w:rsidRDefault="00AC375F" w:rsidP="00AC375F">
            <w:pPr>
              <w:rPr>
                <w:sz w:val="18"/>
                <w:szCs w:val="18"/>
              </w:rPr>
            </w:pPr>
          </w:p>
        </w:tc>
        <w:tc>
          <w:tcPr>
            <w:tcW w:w="1529" w:type="dxa"/>
            <w:shd w:val="clear" w:color="auto" w:fill="auto"/>
            <w:noWrap/>
          </w:tcPr>
          <w:p w14:paraId="37E0B3FA" w14:textId="77777777" w:rsidR="00AC375F" w:rsidRPr="00AC375F" w:rsidRDefault="00AC375F" w:rsidP="00AC375F">
            <w:pPr>
              <w:jc w:val="center"/>
              <w:rPr>
                <w:rFonts w:cstheme="minorHAnsi"/>
                <w:sz w:val="18"/>
                <w:szCs w:val="18"/>
              </w:rPr>
            </w:pPr>
            <w:r w:rsidRPr="00AC375F">
              <w:rPr>
                <w:rFonts w:cstheme="minorHAnsi"/>
                <w:sz w:val="18"/>
                <w:szCs w:val="18"/>
              </w:rPr>
              <w:t>Zagreb/HALMED</w:t>
            </w:r>
          </w:p>
        </w:tc>
        <w:tc>
          <w:tcPr>
            <w:tcW w:w="1022" w:type="dxa"/>
            <w:shd w:val="clear" w:color="auto" w:fill="auto"/>
            <w:noWrap/>
          </w:tcPr>
          <w:p w14:paraId="4265435B" w14:textId="77777777" w:rsidR="00AC375F" w:rsidRPr="00AC375F" w:rsidRDefault="00AC375F" w:rsidP="00AC375F">
            <w:pPr>
              <w:jc w:val="center"/>
              <w:rPr>
                <w:rFonts w:cstheme="minorHAnsi"/>
                <w:sz w:val="18"/>
                <w:szCs w:val="18"/>
              </w:rPr>
            </w:pPr>
            <w:r w:rsidRPr="00AC375F">
              <w:rPr>
                <w:rFonts w:cstheme="minorHAnsi"/>
                <w:sz w:val="18"/>
                <w:szCs w:val="18"/>
              </w:rPr>
              <w:t>7</w:t>
            </w:r>
          </w:p>
        </w:tc>
        <w:tc>
          <w:tcPr>
            <w:tcW w:w="1276" w:type="dxa"/>
            <w:shd w:val="clear" w:color="auto" w:fill="auto"/>
            <w:noWrap/>
          </w:tcPr>
          <w:p w14:paraId="41D5C31D" w14:textId="77777777" w:rsidR="00AC375F" w:rsidRPr="00AC375F" w:rsidRDefault="00AC375F" w:rsidP="00AC375F">
            <w:pPr>
              <w:jc w:val="center"/>
              <w:rPr>
                <w:rFonts w:cstheme="minorHAnsi"/>
                <w:sz w:val="18"/>
                <w:szCs w:val="18"/>
              </w:rPr>
            </w:pPr>
            <w:r w:rsidRPr="00AC375F">
              <w:rPr>
                <w:rFonts w:cstheme="minorHAnsi"/>
                <w:sz w:val="18"/>
                <w:szCs w:val="18"/>
              </w:rPr>
              <w:t>lipanj</w:t>
            </w:r>
          </w:p>
        </w:tc>
        <w:tc>
          <w:tcPr>
            <w:tcW w:w="1134" w:type="dxa"/>
            <w:shd w:val="clear" w:color="auto" w:fill="auto"/>
            <w:noWrap/>
          </w:tcPr>
          <w:p w14:paraId="40AB0D32" w14:textId="77777777" w:rsidR="00AC375F" w:rsidRPr="00AC375F" w:rsidRDefault="00AC375F" w:rsidP="00AC375F">
            <w:pPr>
              <w:jc w:val="center"/>
              <w:rPr>
                <w:rFonts w:cstheme="minorHAnsi"/>
                <w:sz w:val="18"/>
                <w:szCs w:val="18"/>
              </w:rPr>
            </w:pPr>
            <w:r w:rsidRPr="00AC375F">
              <w:rPr>
                <w:rFonts w:cstheme="minorHAnsi"/>
                <w:sz w:val="18"/>
                <w:szCs w:val="18"/>
              </w:rPr>
              <w:t>1,75</w:t>
            </w:r>
          </w:p>
        </w:tc>
      </w:tr>
      <w:tr w:rsidR="00AC375F" w:rsidRPr="00AC375F" w:rsidDel="00514968" w14:paraId="73FEE53B" w14:textId="77777777" w:rsidTr="00991955">
        <w:trPr>
          <w:trHeight w:val="314"/>
        </w:trPr>
        <w:tc>
          <w:tcPr>
            <w:tcW w:w="4424" w:type="dxa"/>
            <w:shd w:val="clear" w:color="auto" w:fill="auto"/>
            <w:noWrap/>
            <w:vAlign w:val="center"/>
          </w:tcPr>
          <w:p w14:paraId="38B1E1AC" w14:textId="77777777" w:rsidR="00AC375F" w:rsidRPr="00AC375F" w:rsidRDefault="00AC375F" w:rsidP="00AC375F">
            <w:pPr>
              <w:rPr>
                <w:sz w:val="18"/>
                <w:szCs w:val="18"/>
              </w:rPr>
            </w:pPr>
          </w:p>
        </w:tc>
        <w:tc>
          <w:tcPr>
            <w:tcW w:w="1529" w:type="dxa"/>
            <w:shd w:val="clear" w:color="auto" w:fill="auto"/>
            <w:noWrap/>
          </w:tcPr>
          <w:p w14:paraId="1B2B64D2" w14:textId="77777777" w:rsidR="00AC375F" w:rsidRPr="00AC375F" w:rsidRDefault="00AC375F" w:rsidP="00AC375F">
            <w:pPr>
              <w:jc w:val="center"/>
              <w:rPr>
                <w:rFonts w:cstheme="minorHAnsi"/>
                <w:sz w:val="18"/>
                <w:szCs w:val="18"/>
              </w:rPr>
            </w:pPr>
            <w:r w:rsidRPr="00AC375F">
              <w:rPr>
                <w:rFonts w:cstheme="minorHAnsi"/>
                <w:sz w:val="18"/>
                <w:szCs w:val="18"/>
              </w:rPr>
              <w:t>Zagreb/HALMED</w:t>
            </w:r>
          </w:p>
        </w:tc>
        <w:tc>
          <w:tcPr>
            <w:tcW w:w="1022" w:type="dxa"/>
            <w:shd w:val="clear" w:color="auto" w:fill="auto"/>
            <w:noWrap/>
          </w:tcPr>
          <w:p w14:paraId="6AC77DE4" w14:textId="77777777" w:rsidR="00AC375F" w:rsidRPr="00AC375F" w:rsidRDefault="00AC375F" w:rsidP="00AC375F">
            <w:pPr>
              <w:jc w:val="center"/>
              <w:rPr>
                <w:rFonts w:cstheme="minorHAnsi"/>
                <w:sz w:val="18"/>
                <w:szCs w:val="18"/>
              </w:rPr>
            </w:pPr>
            <w:r w:rsidRPr="00AC375F">
              <w:rPr>
                <w:rFonts w:cstheme="minorHAnsi"/>
                <w:sz w:val="18"/>
                <w:szCs w:val="18"/>
              </w:rPr>
              <w:t>8</w:t>
            </w:r>
          </w:p>
        </w:tc>
        <w:tc>
          <w:tcPr>
            <w:tcW w:w="1276" w:type="dxa"/>
            <w:shd w:val="clear" w:color="auto" w:fill="auto"/>
            <w:noWrap/>
          </w:tcPr>
          <w:p w14:paraId="0235771D" w14:textId="77777777" w:rsidR="00AC375F" w:rsidRPr="00AC375F" w:rsidRDefault="00AC375F" w:rsidP="00AC375F">
            <w:pPr>
              <w:jc w:val="center"/>
              <w:rPr>
                <w:rFonts w:cstheme="minorHAnsi"/>
                <w:sz w:val="18"/>
                <w:szCs w:val="18"/>
              </w:rPr>
            </w:pPr>
            <w:r w:rsidRPr="00AC375F">
              <w:rPr>
                <w:rFonts w:cstheme="minorHAnsi"/>
                <w:sz w:val="18"/>
                <w:szCs w:val="18"/>
              </w:rPr>
              <w:t>lipanj</w:t>
            </w:r>
          </w:p>
        </w:tc>
        <w:tc>
          <w:tcPr>
            <w:tcW w:w="1134" w:type="dxa"/>
            <w:shd w:val="clear" w:color="auto" w:fill="auto"/>
            <w:noWrap/>
          </w:tcPr>
          <w:p w14:paraId="58273A92" w14:textId="77777777" w:rsidR="00AC375F" w:rsidRPr="00AC375F" w:rsidRDefault="00AC375F" w:rsidP="00AC375F">
            <w:pPr>
              <w:jc w:val="center"/>
              <w:rPr>
                <w:rFonts w:cstheme="minorHAnsi"/>
                <w:sz w:val="18"/>
                <w:szCs w:val="18"/>
              </w:rPr>
            </w:pPr>
            <w:r w:rsidRPr="00AC375F">
              <w:rPr>
                <w:rFonts w:cstheme="minorHAnsi"/>
                <w:sz w:val="18"/>
                <w:szCs w:val="18"/>
              </w:rPr>
              <w:t>3</w:t>
            </w:r>
          </w:p>
        </w:tc>
      </w:tr>
      <w:tr w:rsidR="00AC375F" w:rsidRPr="00AC375F" w:rsidDel="00514968" w14:paraId="644CCE6F" w14:textId="77777777" w:rsidTr="00991955">
        <w:trPr>
          <w:trHeight w:val="314"/>
        </w:trPr>
        <w:tc>
          <w:tcPr>
            <w:tcW w:w="4424" w:type="dxa"/>
            <w:shd w:val="clear" w:color="auto" w:fill="auto"/>
            <w:noWrap/>
            <w:vAlign w:val="center"/>
          </w:tcPr>
          <w:p w14:paraId="14ACF263" w14:textId="77777777" w:rsidR="00AC375F" w:rsidRPr="00AC375F" w:rsidRDefault="00AC375F" w:rsidP="00AC375F">
            <w:pPr>
              <w:rPr>
                <w:sz w:val="18"/>
                <w:szCs w:val="18"/>
              </w:rPr>
            </w:pPr>
          </w:p>
        </w:tc>
        <w:tc>
          <w:tcPr>
            <w:tcW w:w="1529" w:type="dxa"/>
            <w:shd w:val="clear" w:color="auto" w:fill="auto"/>
            <w:noWrap/>
          </w:tcPr>
          <w:p w14:paraId="49DB6D72" w14:textId="77777777" w:rsidR="00AC375F" w:rsidRPr="00AC375F" w:rsidRDefault="00AC375F" w:rsidP="00AC375F">
            <w:pPr>
              <w:jc w:val="center"/>
              <w:rPr>
                <w:rFonts w:cstheme="minorHAnsi"/>
                <w:sz w:val="18"/>
                <w:szCs w:val="18"/>
              </w:rPr>
            </w:pPr>
            <w:r w:rsidRPr="00AC375F">
              <w:rPr>
                <w:rFonts w:cstheme="minorHAnsi"/>
                <w:sz w:val="18"/>
                <w:szCs w:val="18"/>
              </w:rPr>
              <w:t>Zagreb/HALMED</w:t>
            </w:r>
          </w:p>
        </w:tc>
        <w:tc>
          <w:tcPr>
            <w:tcW w:w="1022" w:type="dxa"/>
            <w:shd w:val="clear" w:color="auto" w:fill="auto"/>
            <w:noWrap/>
          </w:tcPr>
          <w:p w14:paraId="02029213" w14:textId="77777777" w:rsidR="00AC375F" w:rsidRPr="00AC375F" w:rsidRDefault="00AC375F" w:rsidP="00AC375F">
            <w:pPr>
              <w:jc w:val="center"/>
              <w:rPr>
                <w:rFonts w:cstheme="minorHAnsi"/>
                <w:sz w:val="18"/>
                <w:szCs w:val="18"/>
              </w:rPr>
            </w:pPr>
            <w:r w:rsidRPr="00AC375F">
              <w:rPr>
                <w:rFonts w:cstheme="minorHAnsi"/>
                <w:sz w:val="18"/>
                <w:szCs w:val="18"/>
              </w:rPr>
              <w:t>8</w:t>
            </w:r>
          </w:p>
        </w:tc>
        <w:tc>
          <w:tcPr>
            <w:tcW w:w="1276" w:type="dxa"/>
            <w:shd w:val="clear" w:color="auto" w:fill="auto"/>
            <w:noWrap/>
          </w:tcPr>
          <w:p w14:paraId="37AA8658" w14:textId="77777777" w:rsidR="00AC375F" w:rsidRPr="00AC375F" w:rsidRDefault="00AC375F" w:rsidP="00AC375F">
            <w:pPr>
              <w:jc w:val="center"/>
              <w:rPr>
                <w:rFonts w:cstheme="minorHAnsi"/>
                <w:sz w:val="18"/>
                <w:szCs w:val="18"/>
              </w:rPr>
            </w:pPr>
            <w:r w:rsidRPr="00AC375F">
              <w:rPr>
                <w:rFonts w:cstheme="minorHAnsi"/>
                <w:sz w:val="18"/>
                <w:szCs w:val="18"/>
              </w:rPr>
              <w:t>lipanj</w:t>
            </w:r>
          </w:p>
        </w:tc>
        <w:tc>
          <w:tcPr>
            <w:tcW w:w="1134" w:type="dxa"/>
            <w:shd w:val="clear" w:color="auto" w:fill="auto"/>
            <w:noWrap/>
          </w:tcPr>
          <w:p w14:paraId="23F0B497" w14:textId="77777777" w:rsidR="00AC375F" w:rsidRPr="00AC375F" w:rsidRDefault="00AC375F" w:rsidP="00AC375F">
            <w:pPr>
              <w:jc w:val="center"/>
              <w:rPr>
                <w:rFonts w:cstheme="minorHAnsi"/>
                <w:sz w:val="18"/>
                <w:szCs w:val="18"/>
              </w:rPr>
            </w:pPr>
            <w:r w:rsidRPr="00AC375F">
              <w:rPr>
                <w:rFonts w:cstheme="minorHAnsi"/>
                <w:sz w:val="18"/>
                <w:szCs w:val="18"/>
              </w:rPr>
              <w:t>3</w:t>
            </w:r>
          </w:p>
        </w:tc>
      </w:tr>
      <w:tr w:rsidR="00AC375F" w:rsidRPr="00AC375F" w:rsidDel="00514968" w14:paraId="1071CFE0" w14:textId="77777777" w:rsidTr="00991955">
        <w:trPr>
          <w:trHeight w:val="314"/>
        </w:trPr>
        <w:tc>
          <w:tcPr>
            <w:tcW w:w="4424" w:type="dxa"/>
            <w:shd w:val="clear" w:color="auto" w:fill="auto"/>
            <w:noWrap/>
            <w:vAlign w:val="center"/>
          </w:tcPr>
          <w:p w14:paraId="71986066" w14:textId="77777777" w:rsidR="00AC375F" w:rsidRPr="00AC375F" w:rsidRDefault="00AC375F" w:rsidP="00AC375F">
            <w:pPr>
              <w:rPr>
                <w:sz w:val="18"/>
                <w:szCs w:val="18"/>
              </w:rPr>
            </w:pPr>
          </w:p>
        </w:tc>
        <w:tc>
          <w:tcPr>
            <w:tcW w:w="1529" w:type="dxa"/>
            <w:shd w:val="clear" w:color="auto" w:fill="auto"/>
            <w:noWrap/>
          </w:tcPr>
          <w:p w14:paraId="7DB70E5B" w14:textId="77777777" w:rsidR="00AC375F" w:rsidRPr="00AC375F" w:rsidRDefault="00AC375F" w:rsidP="00AC375F">
            <w:pPr>
              <w:jc w:val="center"/>
              <w:rPr>
                <w:rFonts w:cstheme="minorHAnsi"/>
                <w:sz w:val="18"/>
                <w:szCs w:val="18"/>
              </w:rPr>
            </w:pPr>
            <w:r w:rsidRPr="00AC375F">
              <w:rPr>
                <w:rFonts w:cstheme="minorHAnsi"/>
                <w:sz w:val="18"/>
                <w:szCs w:val="18"/>
              </w:rPr>
              <w:t>Virtualno</w:t>
            </w:r>
          </w:p>
        </w:tc>
        <w:tc>
          <w:tcPr>
            <w:tcW w:w="1022" w:type="dxa"/>
            <w:shd w:val="clear" w:color="auto" w:fill="auto"/>
            <w:noWrap/>
          </w:tcPr>
          <w:p w14:paraId="72AEA913" w14:textId="77777777" w:rsidR="00AC375F" w:rsidRPr="00AC375F" w:rsidRDefault="00AC375F" w:rsidP="00AC375F">
            <w:pPr>
              <w:jc w:val="center"/>
              <w:rPr>
                <w:rFonts w:cstheme="minorHAnsi"/>
                <w:sz w:val="18"/>
                <w:szCs w:val="18"/>
              </w:rPr>
            </w:pPr>
            <w:r w:rsidRPr="00AC375F">
              <w:rPr>
                <w:rFonts w:cstheme="minorHAnsi"/>
                <w:sz w:val="18"/>
                <w:szCs w:val="18"/>
              </w:rPr>
              <w:t>7</w:t>
            </w:r>
          </w:p>
        </w:tc>
        <w:tc>
          <w:tcPr>
            <w:tcW w:w="1276" w:type="dxa"/>
            <w:shd w:val="clear" w:color="auto" w:fill="auto"/>
            <w:noWrap/>
          </w:tcPr>
          <w:p w14:paraId="31992D06" w14:textId="77777777" w:rsidR="00AC375F" w:rsidRPr="00AC375F" w:rsidRDefault="00AC375F" w:rsidP="00AC375F">
            <w:pPr>
              <w:jc w:val="center"/>
              <w:rPr>
                <w:rFonts w:cstheme="minorHAnsi"/>
                <w:sz w:val="18"/>
                <w:szCs w:val="18"/>
              </w:rPr>
            </w:pPr>
            <w:r w:rsidRPr="00AC375F">
              <w:rPr>
                <w:rFonts w:cstheme="minorHAnsi"/>
                <w:sz w:val="18"/>
                <w:szCs w:val="18"/>
              </w:rPr>
              <w:t>lipanj</w:t>
            </w:r>
          </w:p>
        </w:tc>
        <w:tc>
          <w:tcPr>
            <w:tcW w:w="1134" w:type="dxa"/>
            <w:shd w:val="clear" w:color="auto" w:fill="auto"/>
            <w:noWrap/>
          </w:tcPr>
          <w:p w14:paraId="5C61010A" w14:textId="77777777" w:rsidR="00AC375F" w:rsidRPr="00AC375F" w:rsidRDefault="00AC375F" w:rsidP="00AC375F">
            <w:pPr>
              <w:jc w:val="center"/>
              <w:rPr>
                <w:rFonts w:cstheme="minorHAnsi"/>
                <w:sz w:val="18"/>
                <w:szCs w:val="18"/>
              </w:rPr>
            </w:pPr>
            <w:r w:rsidRPr="00AC375F">
              <w:rPr>
                <w:rFonts w:cstheme="minorHAnsi"/>
                <w:sz w:val="18"/>
                <w:szCs w:val="18"/>
              </w:rPr>
              <w:t>0,87</w:t>
            </w:r>
          </w:p>
        </w:tc>
      </w:tr>
      <w:tr w:rsidR="00AC375F" w:rsidRPr="00AC375F" w:rsidDel="00514968" w14:paraId="608D5E3D" w14:textId="77777777" w:rsidTr="00991955">
        <w:trPr>
          <w:trHeight w:val="314"/>
        </w:trPr>
        <w:tc>
          <w:tcPr>
            <w:tcW w:w="4424" w:type="dxa"/>
            <w:shd w:val="clear" w:color="auto" w:fill="auto"/>
            <w:noWrap/>
            <w:vAlign w:val="center"/>
          </w:tcPr>
          <w:p w14:paraId="794085C9" w14:textId="77777777" w:rsidR="00AC375F" w:rsidRPr="00AC375F" w:rsidRDefault="00AC375F" w:rsidP="00AC375F">
            <w:pPr>
              <w:rPr>
                <w:sz w:val="18"/>
                <w:szCs w:val="18"/>
              </w:rPr>
            </w:pPr>
          </w:p>
        </w:tc>
        <w:tc>
          <w:tcPr>
            <w:tcW w:w="1529" w:type="dxa"/>
            <w:shd w:val="clear" w:color="auto" w:fill="auto"/>
            <w:noWrap/>
          </w:tcPr>
          <w:p w14:paraId="3B595FD0" w14:textId="77777777" w:rsidR="00AC375F" w:rsidRPr="00AC375F" w:rsidRDefault="00AC375F" w:rsidP="00AC375F">
            <w:pPr>
              <w:jc w:val="center"/>
              <w:rPr>
                <w:rFonts w:cstheme="minorHAnsi"/>
                <w:sz w:val="18"/>
                <w:szCs w:val="18"/>
              </w:rPr>
            </w:pPr>
            <w:r w:rsidRPr="00AC375F">
              <w:rPr>
                <w:rFonts w:cstheme="minorHAnsi"/>
                <w:sz w:val="18"/>
                <w:szCs w:val="18"/>
              </w:rPr>
              <w:t>Virtualno</w:t>
            </w:r>
          </w:p>
        </w:tc>
        <w:tc>
          <w:tcPr>
            <w:tcW w:w="1022" w:type="dxa"/>
            <w:shd w:val="clear" w:color="auto" w:fill="auto"/>
            <w:noWrap/>
          </w:tcPr>
          <w:p w14:paraId="6EBD88B3" w14:textId="77777777" w:rsidR="00AC375F" w:rsidRPr="00AC375F" w:rsidRDefault="00AC375F" w:rsidP="00AC375F">
            <w:pPr>
              <w:jc w:val="center"/>
              <w:rPr>
                <w:rFonts w:cstheme="minorHAnsi"/>
                <w:sz w:val="18"/>
                <w:szCs w:val="18"/>
              </w:rPr>
            </w:pPr>
            <w:r w:rsidRPr="00AC375F">
              <w:rPr>
                <w:rFonts w:cstheme="minorHAnsi"/>
                <w:sz w:val="18"/>
                <w:szCs w:val="18"/>
              </w:rPr>
              <w:t>8</w:t>
            </w:r>
          </w:p>
        </w:tc>
        <w:tc>
          <w:tcPr>
            <w:tcW w:w="1276" w:type="dxa"/>
            <w:shd w:val="clear" w:color="auto" w:fill="auto"/>
            <w:noWrap/>
          </w:tcPr>
          <w:p w14:paraId="78322892" w14:textId="77777777" w:rsidR="00AC375F" w:rsidRPr="00AC375F" w:rsidRDefault="00AC375F" w:rsidP="00AC375F">
            <w:pPr>
              <w:jc w:val="center"/>
              <w:rPr>
                <w:rFonts w:cstheme="minorHAnsi"/>
                <w:sz w:val="18"/>
                <w:szCs w:val="18"/>
              </w:rPr>
            </w:pPr>
            <w:r w:rsidRPr="00AC375F">
              <w:rPr>
                <w:rFonts w:cstheme="minorHAnsi"/>
                <w:sz w:val="18"/>
                <w:szCs w:val="18"/>
              </w:rPr>
              <w:t>lipanj</w:t>
            </w:r>
          </w:p>
        </w:tc>
        <w:tc>
          <w:tcPr>
            <w:tcW w:w="1134" w:type="dxa"/>
            <w:shd w:val="clear" w:color="auto" w:fill="auto"/>
            <w:noWrap/>
          </w:tcPr>
          <w:p w14:paraId="374B5875" w14:textId="77777777" w:rsidR="00AC375F" w:rsidRPr="00AC375F" w:rsidRDefault="00AC375F" w:rsidP="00AC375F">
            <w:pPr>
              <w:jc w:val="center"/>
              <w:rPr>
                <w:rFonts w:cstheme="minorHAnsi"/>
                <w:sz w:val="18"/>
                <w:szCs w:val="18"/>
              </w:rPr>
            </w:pPr>
            <w:r w:rsidRPr="00AC375F">
              <w:rPr>
                <w:rFonts w:cstheme="minorHAnsi"/>
                <w:sz w:val="18"/>
                <w:szCs w:val="18"/>
              </w:rPr>
              <w:t>2</w:t>
            </w:r>
          </w:p>
        </w:tc>
      </w:tr>
      <w:tr w:rsidR="00AC375F" w:rsidRPr="00AC375F" w:rsidDel="00514968" w14:paraId="02F762E0" w14:textId="77777777" w:rsidTr="00991955">
        <w:trPr>
          <w:trHeight w:val="314"/>
        </w:trPr>
        <w:tc>
          <w:tcPr>
            <w:tcW w:w="4424" w:type="dxa"/>
            <w:shd w:val="clear" w:color="auto" w:fill="auto"/>
            <w:noWrap/>
            <w:vAlign w:val="center"/>
          </w:tcPr>
          <w:p w14:paraId="2A652CEB" w14:textId="77777777" w:rsidR="00AC375F" w:rsidRPr="00AC375F" w:rsidRDefault="00AC375F" w:rsidP="00AC375F">
            <w:pPr>
              <w:rPr>
                <w:sz w:val="18"/>
                <w:szCs w:val="18"/>
              </w:rPr>
            </w:pPr>
          </w:p>
        </w:tc>
        <w:tc>
          <w:tcPr>
            <w:tcW w:w="1529" w:type="dxa"/>
            <w:shd w:val="clear" w:color="auto" w:fill="auto"/>
            <w:noWrap/>
          </w:tcPr>
          <w:p w14:paraId="0678F649" w14:textId="77777777" w:rsidR="00AC375F" w:rsidRPr="00AC375F" w:rsidRDefault="00AC375F" w:rsidP="00AC375F">
            <w:pPr>
              <w:jc w:val="center"/>
              <w:rPr>
                <w:rFonts w:cstheme="minorHAnsi"/>
                <w:sz w:val="18"/>
                <w:szCs w:val="18"/>
              </w:rPr>
            </w:pPr>
            <w:r w:rsidRPr="00AC375F">
              <w:rPr>
                <w:rFonts w:cstheme="minorHAnsi"/>
                <w:sz w:val="18"/>
                <w:szCs w:val="18"/>
              </w:rPr>
              <w:t>Virtualno</w:t>
            </w:r>
          </w:p>
        </w:tc>
        <w:tc>
          <w:tcPr>
            <w:tcW w:w="1022" w:type="dxa"/>
            <w:shd w:val="clear" w:color="auto" w:fill="auto"/>
            <w:noWrap/>
          </w:tcPr>
          <w:p w14:paraId="698D09DC" w14:textId="77777777" w:rsidR="00AC375F" w:rsidRPr="00AC375F" w:rsidRDefault="00AC375F" w:rsidP="00AC375F">
            <w:pPr>
              <w:jc w:val="center"/>
              <w:rPr>
                <w:rFonts w:cstheme="minorHAnsi"/>
                <w:sz w:val="18"/>
                <w:szCs w:val="18"/>
              </w:rPr>
            </w:pPr>
            <w:r w:rsidRPr="00AC375F">
              <w:rPr>
                <w:rFonts w:cstheme="minorHAnsi"/>
                <w:sz w:val="18"/>
                <w:szCs w:val="18"/>
              </w:rPr>
              <w:t>8</w:t>
            </w:r>
          </w:p>
        </w:tc>
        <w:tc>
          <w:tcPr>
            <w:tcW w:w="1276" w:type="dxa"/>
            <w:shd w:val="clear" w:color="auto" w:fill="auto"/>
            <w:noWrap/>
          </w:tcPr>
          <w:p w14:paraId="62C037BA" w14:textId="77777777" w:rsidR="00AC375F" w:rsidRPr="00AC375F" w:rsidRDefault="00AC375F" w:rsidP="00AC375F">
            <w:pPr>
              <w:jc w:val="center"/>
              <w:rPr>
                <w:rFonts w:cstheme="minorHAnsi"/>
                <w:sz w:val="18"/>
                <w:szCs w:val="18"/>
              </w:rPr>
            </w:pPr>
            <w:r w:rsidRPr="00AC375F">
              <w:rPr>
                <w:rFonts w:cstheme="minorHAnsi"/>
                <w:sz w:val="18"/>
                <w:szCs w:val="18"/>
              </w:rPr>
              <w:t>lipanj</w:t>
            </w:r>
          </w:p>
        </w:tc>
        <w:tc>
          <w:tcPr>
            <w:tcW w:w="1134" w:type="dxa"/>
            <w:shd w:val="clear" w:color="auto" w:fill="auto"/>
            <w:noWrap/>
          </w:tcPr>
          <w:p w14:paraId="0326CF9D" w14:textId="77777777" w:rsidR="00AC375F" w:rsidRPr="00AC375F" w:rsidRDefault="00AC375F" w:rsidP="00AC375F">
            <w:pPr>
              <w:jc w:val="center"/>
              <w:rPr>
                <w:rFonts w:cstheme="minorHAnsi"/>
                <w:sz w:val="18"/>
                <w:szCs w:val="18"/>
              </w:rPr>
            </w:pPr>
            <w:r w:rsidRPr="00AC375F">
              <w:rPr>
                <w:rFonts w:cstheme="minorHAnsi"/>
                <w:sz w:val="18"/>
                <w:szCs w:val="18"/>
              </w:rPr>
              <w:t>1</w:t>
            </w:r>
          </w:p>
        </w:tc>
      </w:tr>
      <w:tr w:rsidR="00AC375F" w:rsidRPr="00AC375F" w:rsidDel="00514968" w14:paraId="7AA3E7C7" w14:textId="77777777" w:rsidTr="00991955">
        <w:trPr>
          <w:trHeight w:val="314"/>
        </w:trPr>
        <w:tc>
          <w:tcPr>
            <w:tcW w:w="4424" w:type="dxa"/>
            <w:shd w:val="clear" w:color="auto" w:fill="auto"/>
            <w:noWrap/>
            <w:vAlign w:val="center"/>
          </w:tcPr>
          <w:p w14:paraId="6798DEA0" w14:textId="77777777" w:rsidR="00AC375F" w:rsidRPr="00AC375F" w:rsidRDefault="00AC375F" w:rsidP="00AC375F">
            <w:pPr>
              <w:rPr>
                <w:sz w:val="18"/>
                <w:szCs w:val="18"/>
              </w:rPr>
            </w:pPr>
          </w:p>
        </w:tc>
        <w:tc>
          <w:tcPr>
            <w:tcW w:w="1529" w:type="dxa"/>
            <w:shd w:val="clear" w:color="auto" w:fill="auto"/>
            <w:noWrap/>
          </w:tcPr>
          <w:p w14:paraId="6EA19A40" w14:textId="77777777" w:rsidR="00AC375F" w:rsidRPr="00AC375F" w:rsidRDefault="00AC375F" w:rsidP="00AC375F">
            <w:pPr>
              <w:jc w:val="center"/>
              <w:rPr>
                <w:rFonts w:cstheme="minorHAnsi"/>
                <w:sz w:val="18"/>
                <w:szCs w:val="18"/>
              </w:rPr>
            </w:pPr>
            <w:r w:rsidRPr="00AC375F">
              <w:rPr>
                <w:rFonts w:cstheme="minorHAnsi"/>
                <w:sz w:val="18"/>
                <w:szCs w:val="18"/>
              </w:rPr>
              <w:t>Virtualno</w:t>
            </w:r>
          </w:p>
        </w:tc>
        <w:tc>
          <w:tcPr>
            <w:tcW w:w="1022" w:type="dxa"/>
            <w:shd w:val="clear" w:color="auto" w:fill="auto"/>
            <w:noWrap/>
          </w:tcPr>
          <w:p w14:paraId="48A784A8" w14:textId="77777777" w:rsidR="00AC375F" w:rsidRPr="00AC375F" w:rsidRDefault="00AC375F" w:rsidP="00AC375F">
            <w:pPr>
              <w:jc w:val="center"/>
              <w:rPr>
                <w:rFonts w:cstheme="minorHAnsi"/>
                <w:sz w:val="18"/>
                <w:szCs w:val="18"/>
              </w:rPr>
            </w:pPr>
            <w:r w:rsidRPr="00AC375F">
              <w:rPr>
                <w:rFonts w:cstheme="minorHAnsi"/>
                <w:sz w:val="18"/>
                <w:szCs w:val="18"/>
              </w:rPr>
              <w:t>8</w:t>
            </w:r>
          </w:p>
        </w:tc>
        <w:tc>
          <w:tcPr>
            <w:tcW w:w="1276" w:type="dxa"/>
            <w:shd w:val="clear" w:color="auto" w:fill="auto"/>
            <w:noWrap/>
          </w:tcPr>
          <w:p w14:paraId="5D99012A" w14:textId="77777777" w:rsidR="00AC375F" w:rsidRPr="00AC375F" w:rsidRDefault="00AC375F" w:rsidP="00AC375F">
            <w:pPr>
              <w:jc w:val="center"/>
              <w:rPr>
                <w:rFonts w:cstheme="minorHAnsi"/>
                <w:sz w:val="18"/>
                <w:szCs w:val="18"/>
              </w:rPr>
            </w:pPr>
            <w:r w:rsidRPr="00AC375F">
              <w:rPr>
                <w:rFonts w:cstheme="minorHAnsi"/>
                <w:sz w:val="18"/>
                <w:szCs w:val="18"/>
              </w:rPr>
              <w:t>lipanj</w:t>
            </w:r>
          </w:p>
        </w:tc>
        <w:tc>
          <w:tcPr>
            <w:tcW w:w="1134" w:type="dxa"/>
            <w:shd w:val="clear" w:color="auto" w:fill="auto"/>
            <w:noWrap/>
          </w:tcPr>
          <w:p w14:paraId="51CE83D2" w14:textId="77777777" w:rsidR="00AC375F" w:rsidRPr="00AC375F" w:rsidRDefault="00AC375F" w:rsidP="00AC375F">
            <w:pPr>
              <w:jc w:val="center"/>
              <w:rPr>
                <w:rFonts w:cstheme="minorHAnsi"/>
                <w:sz w:val="18"/>
                <w:szCs w:val="18"/>
              </w:rPr>
            </w:pPr>
            <w:r w:rsidRPr="00AC375F">
              <w:rPr>
                <w:rFonts w:cstheme="minorHAnsi"/>
                <w:sz w:val="18"/>
                <w:szCs w:val="18"/>
              </w:rPr>
              <w:t>3</w:t>
            </w:r>
          </w:p>
        </w:tc>
      </w:tr>
      <w:tr w:rsidR="00AC375F" w:rsidRPr="00AC375F" w:rsidDel="00514968" w14:paraId="0781D3C9" w14:textId="77777777" w:rsidTr="00991955">
        <w:trPr>
          <w:trHeight w:val="314"/>
        </w:trPr>
        <w:tc>
          <w:tcPr>
            <w:tcW w:w="4424" w:type="dxa"/>
            <w:shd w:val="clear" w:color="auto" w:fill="auto"/>
            <w:noWrap/>
            <w:vAlign w:val="center"/>
          </w:tcPr>
          <w:p w14:paraId="7CFFAAFC" w14:textId="77777777" w:rsidR="00AC375F" w:rsidRPr="00AC375F" w:rsidRDefault="00AC375F" w:rsidP="00AC375F">
            <w:pPr>
              <w:rPr>
                <w:sz w:val="18"/>
                <w:szCs w:val="18"/>
              </w:rPr>
            </w:pPr>
          </w:p>
        </w:tc>
        <w:tc>
          <w:tcPr>
            <w:tcW w:w="1529" w:type="dxa"/>
            <w:shd w:val="clear" w:color="auto" w:fill="auto"/>
            <w:noWrap/>
          </w:tcPr>
          <w:p w14:paraId="774F82C0" w14:textId="77777777" w:rsidR="00AC375F" w:rsidRPr="00AC375F" w:rsidRDefault="00AC375F" w:rsidP="00AC375F">
            <w:pPr>
              <w:jc w:val="center"/>
              <w:rPr>
                <w:rFonts w:cstheme="minorHAnsi"/>
                <w:sz w:val="18"/>
                <w:szCs w:val="18"/>
              </w:rPr>
            </w:pPr>
            <w:r w:rsidRPr="00AC375F">
              <w:rPr>
                <w:rFonts w:cstheme="minorHAnsi"/>
                <w:sz w:val="18"/>
                <w:szCs w:val="18"/>
              </w:rPr>
              <w:t>Virtualno</w:t>
            </w:r>
          </w:p>
        </w:tc>
        <w:tc>
          <w:tcPr>
            <w:tcW w:w="1022" w:type="dxa"/>
            <w:shd w:val="clear" w:color="auto" w:fill="auto"/>
            <w:noWrap/>
          </w:tcPr>
          <w:p w14:paraId="4057EDAC" w14:textId="77777777" w:rsidR="00AC375F" w:rsidRPr="00AC375F" w:rsidRDefault="00AC375F" w:rsidP="00AC375F">
            <w:pPr>
              <w:jc w:val="center"/>
              <w:rPr>
                <w:rFonts w:cstheme="minorHAnsi"/>
                <w:sz w:val="18"/>
                <w:szCs w:val="18"/>
              </w:rPr>
            </w:pPr>
            <w:r w:rsidRPr="00AC375F">
              <w:rPr>
                <w:rFonts w:cstheme="minorHAnsi"/>
                <w:sz w:val="18"/>
                <w:szCs w:val="18"/>
              </w:rPr>
              <w:t>6</w:t>
            </w:r>
          </w:p>
        </w:tc>
        <w:tc>
          <w:tcPr>
            <w:tcW w:w="1276" w:type="dxa"/>
            <w:shd w:val="clear" w:color="auto" w:fill="auto"/>
            <w:noWrap/>
          </w:tcPr>
          <w:p w14:paraId="0845A4F2" w14:textId="77777777" w:rsidR="00AC375F" w:rsidRPr="00AC375F" w:rsidRDefault="00AC375F" w:rsidP="00AC375F">
            <w:pPr>
              <w:jc w:val="center"/>
              <w:rPr>
                <w:rFonts w:cstheme="minorHAnsi"/>
                <w:sz w:val="18"/>
                <w:szCs w:val="18"/>
              </w:rPr>
            </w:pPr>
            <w:r w:rsidRPr="00AC375F">
              <w:rPr>
                <w:rFonts w:cstheme="minorHAnsi"/>
                <w:sz w:val="18"/>
                <w:szCs w:val="18"/>
              </w:rPr>
              <w:t>lipanj</w:t>
            </w:r>
          </w:p>
        </w:tc>
        <w:tc>
          <w:tcPr>
            <w:tcW w:w="1134" w:type="dxa"/>
            <w:shd w:val="clear" w:color="auto" w:fill="auto"/>
            <w:noWrap/>
          </w:tcPr>
          <w:p w14:paraId="72D599FF" w14:textId="77777777" w:rsidR="00AC375F" w:rsidRPr="00AC375F" w:rsidRDefault="00AC375F" w:rsidP="00AC375F">
            <w:pPr>
              <w:jc w:val="center"/>
              <w:rPr>
                <w:rFonts w:cstheme="minorHAnsi"/>
                <w:sz w:val="18"/>
                <w:szCs w:val="18"/>
              </w:rPr>
            </w:pPr>
            <w:r w:rsidRPr="00AC375F">
              <w:rPr>
                <w:rFonts w:cstheme="minorHAnsi"/>
                <w:sz w:val="18"/>
                <w:szCs w:val="18"/>
              </w:rPr>
              <w:t>0,75</w:t>
            </w:r>
          </w:p>
        </w:tc>
      </w:tr>
      <w:tr w:rsidR="00AC375F" w:rsidRPr="00AC375F" w:rsidDel="00514968" w14:paraId="4515DD69" w14:textId="77777777" w:rsidTr="00991955">
        <w:trPr>
          <w:trHeight w:val="314"/>
        </w:trPr>
        <w:tc>
          <w:tcPr>
            <w:tcW w:w="4424" w:type="dxa"/>
            <w:shd w:val="clear" w:color="auto" w:fill="auto"/>
            <w:noWrap/>
            <w:vAlign w:val="center"/>
          </w:tcPr>
          <w:p w14:paraId="1AA67B25" w14:textId="77777777" w:rsidR="00AC375F" w:rsidRPr="00AC375F" w:rsidRDefault="00AC375F" w:rsidP="00AC375F">
            <w:pPr>
              <w:rPr>
                <w:sz w:val="18"/>
                <w:szCs w:val="18"/>
              </w:rPr>
            </w:pPr>
          </w:p>
        </w:tc>
        <w:tc>
          <w:tcPr>
            <w:tcW w:w="1529" w:type="dxa"/>
            <w:shd w:val="clear" w:color="auto" w:fill="auto"/>
            <w:noWrap/>
          </w:tcPr>
          <w:p w14:paraId="7FCF0BF6" w14:textId="77777777" w:rsidR="00AC375F" w:rsidRPr="00AC375F" w:rsidRDefault="00AC375F" w:rsidP="00AC375F">
            <w:pPr>
              <w:jc w:val="center"/>
              <w:rPr>
                <w:rFonts w:cstheme="minorHAnsi"/>
                <w:sz w:val="18"/>
                <w:szCs w:val="18"/>
              </w:rPr>
            </w:pPr>
            <w:r w:rsidRPr="00AC375F">
              <w:rPr>
                <w:rFonts w:cstheme="minorHAnsi"/>
                <w:sz w:val="18"/>
                <w:szCs w:val="18"/>
              </w:rPr>
              <w:t>Virtualno</w:t>
            </w:r>
          </w:p>
        </w:tc>
        <w:tc>
          <w:tcPr>
            <w:tcW w:w="1022" w:type="dxa"/>
            <w:shd w:val="clear" w:color="auto" w:fill="auto"/>
            <w:noWrap/>
          </w:tcPr>
          <w:p w14:paraId="450ACE2F" w14:textId="77777777" w:rsidR="00AC375F" w:rsidRPr="00AC375F" w:rsidRDefault="00AC375F" w:rsidP="00AC375F">
            <w:pPr>
              <w:jc w:val="center"/>
              <w:rPr>
                <w:rFonts w:cstheme="minorHAnsi"/>
                <w:sz w:val="18"/>
                <w:szCs w:val="18"/>
              </w:rPr>
            </w:pPr>
            <w:r w:rsidRPr="00AC375F">
              <w:rPr>
                <w:rFonts w:cstheme="minorHAnsi"/>
                <w:sz w:val="18"/>
                <w:szCs w:val="18"/>
              </w:rPr>
              <w:t>7</w:t>
            </w:r>
          </w:p>
        </w:tc>
        <w:tc>
          <w:tcPr>
            <w:tcW w:w="1276" w:type="dxa"/>
            <w:shd w:val="clear" w:color="auto" w:fill="auto"/>
            <w:noWrap/>
          </w:tcPr>
          <w:p w14:paraId="4A94B79E" w14:textId="77777777" w:rsidR="00AC375F" w:rsidRPr="00AC375F" w:rsidRDefault="00AC375F" w:rsidP="00AC375F">
            <w:pPr>
              <w:jc w:val="center"/>
              <w:rPr>
                <w:rFonts w:cstheme="minorHAnsi"/>
                <w:sz w:val="18"/>
                <w:szCs w:val="18"/>
              </w:rPr>
            </w:pPr>
            <w:r w:rsidRPr="00AC375F">
              <w:rPr>
                <w:rFonts w:cstheme="minorHAnsi"/>
                <w:sz w:val="18"/>
                <w:szCs w:val="18"/>
              </w:rPr>
              <w:t>lipanj</w:t>
            </w:r>
          </w:p>
        </w:tc>
        <w:tc>
          <w:tcPr>
            <w:tcW w:w="1134" w:type="dxa"/>
            <w:shd w:val="clear" w:color="auto" w:fill="auto"/>
            <w:noWrap/>
          </w:tcPr>
          <w:p w14:paraId="4654FA5F" w14:textId="77777777" w:rsidR="00AC375F" w:rsidRPr="00AC375F" w:rsidRDefault="00AC375F" w:rsidP="00AC375F">
            <w:pPr>
              <w:jc w:val="center"/>
              <w:rPr>
                <w:rFonts w:cstheme="minorHAnsi"/>
                <w:sz w:val="18"/>
                <w:szCs w:val="18"/>
              </w:rPr>
            </w:pPr>
            <w:r w:rsidRPr="00AC375F">
              <w:rPr>
                <w:rFonts w:cstheme="minorHAnsi"/>
                <w:sz w:val="18"/>
                <w:szCs w:val="18"/>
              </w:rPr>
              <w:t>3,5</w:t>
            </w:r>
          </w:p>
        </w:tc>
      </w:tr>
      <w:tr w:rsidR="00AC375F" w:rsidRPr="00AC375F" w:rsidDel="00514968" w14:paraId="663EFC93" w14:textId="77777777" w:rsidTr="00991955">
        <w:trPr>
          <w:trHeight w:val="314"/>
        </w:trPr>
        <w:tc>
          <w:tcPr>
            <w:tcW w:w="4424" w:type="dxa"/>
            <w:shd w:val="clear" w:color="auto" w:fill="auto"/>
            <w:noWrap/>
            <w:vAlign w:val="center"/>
          </w:tcPr>
          <w:p w14:paraId="72DBE93F" w14:textId="77777777" w:rsidR="00AC375F" w:rsidRPr="00AC375F" w:rsidRDefault="00AC375F" w:rsidP="00AC375F">
            <w:pPr>
              <w:rPr>
                <w:sz w:val="18"/>
                <w:szCs w:val="18"/>
              </w:rPr>
            </w:pPr>
          </w:p>
        </w:tc>
        <w:tc>
          <w:tcPr>
            <w:tcW w:w="1529" w:type="dxa"/>
            <w:shd w:val="clear" w:color="auto" w:fill="auto"/>
            <w:noWrap/>
          </w:tcPr>
          <w:p w14:paraId="7990097F" w14:textId="77777777" w:rsidR="00AC375F" w:rsidRPr="00AC375F" w:rsidRDefault="00AC375F" w:rsidP="00AC375F">
            <w:pPr>
              <w:jc w:val="center"/>
              <w:rPr>
                <w:rFonts w:cstheme="minorHAnsi"/>
                <w:sz w:val="18"/>
                <w:szCs w:val="18"/>
              </w:rPr>
            </w:pPr>
            <w:r w:rsidRPr="00AC375F">
              <w:rPr>
                <w:rFonts w:cstheme="minorHAnsi"/>
                <w:sz w:val="18"/>
                <w:szCs w:val="18"/>
              </w:rPr>
              <w:t>Virtualno</w:t>
            </w:r>
          </w:p>
        </w:tc>
        <w:tc>
          <w:tcPr>
            <w:tcW w:w="1022" w:type="dxa"/>
            <w:shd w:val="clear" w:color="auto" w:fill="auto"/>
            <w:noWrap/>
          </w:tcPr>
          <w:p w14:paraId="25C957D5" w14:textId="77777777" w:rsidR="00AC375F" w:rsidRPr="00AC375F" w:rsidRDefault="00AC375F" w:rsidP="00AC375F">
            <w:pPr>
              <w:jc w:val="center"/>
              <w:rPr>
                <w:rFonts w:cstheme="minorHAnsi"/>
                <w:sz w:val="18"/>
                <w:szCs w:val="18"/>
              </w:rPr>
            </w:pPr>
            <w:r w:rsidRPr="00AC375F">
              <w:rPr>
                <w:rFonts w:cstheme="minorHAnsi"/>
                <w:sz w:val="18"/>
                <w:szCs w:val="18"/>
              </w:rPr>
              <w:t>7</w:t>
            </w:r>
          </w:p>
        </w:tc>
        <w:tc>
          <w:tcPr>
            <w:tcW w:w="1276" w:type="dxa"/>
            <w:shd w:val="clear" w:color="auto" w:fill="auto"/>
            <w:noWrap/>
          </w:tcPr>
          <w:p w14:paraId="383B423F" w14:textId="77777777" w:rsidR="00AC375F" w:rsidRPr="00AC375F" w:rsidRDefault="00AC375F" w:rsidP="00AC375F">
            <w:pPr>
              <w:jc w:val="center"/>
              <w:rPr>
                <w:rFonts w:cstheme="minorHAnsi"/>
                <w:sz w:val="18"/>
                <w:szCs w:val="18"/>
              </w:rPr>
            </w:pPr>
            <w:r w:rsidRPr="00AC375F">
              <w:rPr>
                <w:rFonts w:cstheme="minorHAnsi"/>
                <w:sz w:val="18"/>
                <w:szCs w:val="18"/>
              </w:rPr>
              <w:t>lipanj</w:t>
            </w:r>
          </w:p>
        </w:tc>
        <w:tc>
          <w:tcPr>
            <w:tcW w:w="1134" w:type="dxa"/>
            <w:shd w:val="clear" w:color="auto" w:fill="auto"/>
            <w:noWrap/>
          </w:tcPr>
          <w:p w14:paraId="546949BF" w14:textId="77777777" w:rsidR="00AC375F" w:rsidRPr="00AC375F" w:rsidRDefault="00AC375F" w:rsidP="00AC375F">
            <w:pPr>
              <w:jc w:val="center"/>
              <w:rPr>
                <w:rFonts w:cstheme="minorHAnsi"/>
                <w:sz w:val="18"/>
                <w:szCs w:val="18"/>
              </w:rPr>
            </w:pPr>
            <w:r w:rsidRPr="00AC375F">
              <w:rPr>
                <w:rFonts w:cstheme="minorHAnsi"/>
                <w:sz w:val="18"/>
                <w:szCs w:val="18"/>
              </w:rPr>
              <w:t>0,87</w:t>
            </w:r>
          </w:p>
        </w:tc>
      </w:tr>
      <w:tr w:rsidR="00AC375F" w:rsidRPr="00AC375F" w:rsidDel="00514968" w14:paraId="6B6F4C4A" w14:textId="77777777" w:rsidTr="00991955">
        <w:trPr>
          <w:trHeight w:val="314"/>
        </w:trPr>
        <w:tc>
          <w:tcPr>
            <w:tcW w:w="4424" w:type="dxa"/>
            <w:shd w:val="clear" w:color="auto" w:fill="auto"/>
            <w:noWrap/>
            <w:vAlign w:val="center"/>
          </w:tcPr>
          <w:p w14:paraId="196C8B97" w14:textId="77777777" w:rsidR="00AC375F" w:rsidRPr="00AC375F" w:rsidRDefault="00AC375F" w:rsidP="00AC375F">
            <w:pPr>
              <w:rPr>
                <w:sz w:val="18"/>
                <w:szCs w:val="18"/>
              </w:rPr>
            </w:pPr>
          </w:p>
        </w:tc>
        <w:tc>
          <w:tcPr>
            <w:tcW w:w="1529" w:type="dxa"/>
            <w:shd w:val="clear" w:color="auto" w:fill="auto"/>
            <w:noWrap/>
          </w:tcPr>
          <w:p w14:paraId="7433E0D1" w14:textId="77777777" w:rsidR="00AC375F" w:rsidRPr="00AC375F" w:rsidRDefault="00AC375F" w:rsidP="00AC375F">
            <w:pPr>
              <w:jc w:val="center"/>
              <w:rPr>
                <w:rFonts w:cstheme="minorHAnsi"/>
                <w:sz w:val="18"/>
                <w:szCs w:val="18"/>
              </w:rPr>
            </w:pPr>
            <w:r w:rsidRPr="00AC375F">
              <w:rPr>
                <w:rFonts w:cstheme="minorHAnsi"/>
                <w:sz w:val="18"/>
                <w:szCs w:val="18"/>
              </w:rPr>
              <w:t>Virtualno</w:t>
            </w:r>
          </w:p>
        </w:tc>
        <w:tc>
          <w:tcPr>
            <w:tcW w:w="1022" w:type="dxa"/>
            <w:shd w:val="clear" w:color="auto" w:fill="auto"/>
            <w:noWrap/>
          </w:tcPr>
          <w:p w14:paraId="05449E47" w14:textId="77777777" w:rsidR="00AC375F" w:rsidRPr="00AC375F" w:rsidRDefault="00AC375F" w:rsidP="00AC375F">
            <w:pPr>
              <w:jc w:val="center"/>
              <w:rPr>
                <w:rFonts w:cstheme="minorHAnsi"/>
                <w:sz w:val="18"/>
                <w:szCs w:val="18"/>
              </w:rPr>
            </w:pPr>
            <w:r w:rsidRPr="00AC375F">
              <w:rPr>
                <w:rFonts w:cstheme="minorHAnsi"/>
                <w:sz w:val="18"/>
                <w:szCs w:val="18"/>
              </w:rPr>
              <w:t>7</w:t>
            </w:r>
          </w:p>
        </w:tc>
        <w:tc>
          <w:tcPr>
            <w:tcW w:w="1276" w:type="dxa"/>
            <w:shd w:val="clear" w:color="auto" w:fill="auto"/>
            <w:noWrap/>
          </w:tcPr>
          <w:p w14:paraId="3478B015" w14:textId="77777777" w:rsidR="00AC375F" w:rsidRPr="00AC375F" w:rsidRDefault="00AC375F" w:rsidP="00AC375F">
            <w:pPr>
              <w:jc w:val="center"/>
              <w:rPr>
                <w:rFonts w:cstheme="minorHAnsi"/>
                <w:sz w:val="18"/>
                <w:szCs w:val="18"/>
              </w:rPr>
            </w:pPr>
            <w:r w:rsidRPr="00AC375F">
              <w:rPr>
                <w:rFonts w:cstheme="minorHAnsi"/>
                <w:sz w:val="18"/>
                <w:szCs w:val="18"/>
              </w:rPr>
              <w:t>srpanj</w:t>
            </w:r>
          </w:p>
        </w:tc>
        <w:tc>
          <w:tcPr>
            <w:tcW w:w="1134" w:type="dxa"/>
            <w:shd w:val="clear" w:color="auto" w:fill="auto"/>
            <w:noWrap/>
          </w:tcPr>
          <w:p w14:paraId="1507E881" w14:textId="77777777" w:rsidR="00AC375F" w:rsidRPr="00AC375F" w:rsidRDefault="00AC375F" w:rsidP="00AC375F">
            <w:pPr>
              <w:jc w:val="center"/>
              <w:rPr>
                <w:rFonts w:cstheme="minorHAnsi"/>
                <w:sz w:val="18"/>
                <w:szCs w:val="18"/>
              </w:rPr>
            </w:pPr>
            <w:r w:rsidRPr="00AC375F">
              <w:rPr>
                <w:rFonts w:cstheme="minorHAnsi"/>
                <w:sz w:val="18"/>
                <w:szCs w:val="18"/>
              </w:rPr>
              <w:t>2,12</w:t>
            </w:r>
          </w:p>
        </w:tc>
      </w:tr>
      <w:tr w:rsidR="00AC375F" w:rsidRPr="00AC375F" w:rsidDel="00514968" w14:paraId="35CDE846" w14:textId="77777777" w:rsidTr="00991955">
        <w:trPr>
          <w:trHeight w:val="314"/>
        </w:trPr>
        <w:tc>
          <w:tcPr>
            <w:tcW w:w="4424" w:type="dxa"/>
            <w:shd w:val="clear" w:color="auto" w:fill="auto"/>
            <w:noWrap/>
            <w:vAlign w:val="center"/>
          </w:tcPr>
          <w:p w14:paraId="27CEB243" w14:textId="77777777" w:rsidR="00AC375F" w:rsidRPr="00AC375F" w:rsidRDefault="00AC375F" w:rsidP="00AC375F">
            <w:pPr>
              <w:rPr>
                <w:sz w:val="18"/>
                <w:szCs w:val="18"/>
              </w:rPr>
            </w:pPr>
          </w:p>
        </w:tc>
        <w:tc>
          <w:tcPr>
            <w:tcW w:w="1529" w:type="dxa"/>
            <w:shd w:val="clear" w:color="auto" w:fill="auto"/>
            <w:noWrap/>
          </w:tcPr>
          <w:p w14:paraId="3F998616" w14:textId="77777777" w:rsidR="00AC375F" w:rsidRPr="00AC375F" w:rsidRDefault="00AC375F" w:rsidP="00AC375F">
            <w:pPr>
              <w:jc w:val="center"/>
              <w:rPr>
                <w:rFonts w:cstheme="minorHAnsi"/>
                <w:sz w:val="18"/>
                <w:szCs w:val="18"/>
              </w:rPr>
            </w:pPr>
            <w:r w:rsidRPr="00AC375F">
              <w:rPr>
                <w:rFonts w:cstheme="minorHAnsi"/>
                <w:sz w:val="18"/>
                <w:szCs w:val="18"/>
              </w:rPr>
              <w:t>Virtualno</w:t>
            </w:r>
          </w:p>
        </w:tc>
        <w:tc>
          <w:tcPr>
            <w:tcW w:w="1022" w:type="dxa"/>
            <w:shd w:val="clear" w:color="auto" w:fill="auto"/>
            <w:noWrap/>
          </w:tcPr>
          <w:p w14:paraId="7FB9DA59" w14:textId="77777777" w:rsidR="00AC375F" w:rsidRPr="00AC375F" w:rsidRDefault="00AC375F" w:rsidP="00AC375F">
            <w:pPr>
              <w:jc w:val="center"/>
              <w:rPr>
                <w:rFonts w:cstheme="minorHAnsi"/>
                <w:sz w:val="18"/>
                <w:szCs w:val="18"/>
              </w:rPr>
            </w:pPr>
            <w:r w:rsidRPr="00AC375F">
              <w:rPr>
                <w:rFonts w:cstheme="minorHAnsi"/>
                <w:sz w:val="18"/>
                <w:szCs w:val="18"/>
              </w:rPr>
              <w:t>4</w:t>
            </w:r>
          </w:p>
        </w:tc>
        <w:tc>
          <w:tcPr>
            <w:tcW w:w="1276" w:type="dxa"/>
            <w:shd w:val="clear" w:color="auto" w:fill="auto"/>
            <w:noWrap/>
          </w:tcPr>
          <w:p w14:paraId="17FA78CD" w14:textId="77777777" w:rsidR="00AC375F" w:rsidRPr="00AC375F" w:rsidRDefault="00AC375F" w:rsidP="00AC375F">
            <w:pPr>
              <w:jc w:val="center"/>
              <w:rPr>
                <w:rFonts w:cstheme="minorHAnsi"/>
                <w:sz w:val="18"/>
                <w:szCs w:val="18"/>
              </w:rPr>
            </w:pPr>
            <w:r w:rsidRPr="00AC375F">
              <w:rPr>
                <w:rFonts w:cstheme="minorHAnsi"/>
                <w:sz w:val="18"/>
                <w:szCs w:val="18"/>
              </w:rPr>
              <w:t>srpanj</w:t>
            </w:r>
          </w:p>
        </w:tc>
        <w:tc>
          <w:tcPr>
            <w:tcW w:w="1134" w:type="dxa"/>
            <w:shd w:val="clear" w:color="auto" w:fill="auto"/>
            <w:noWrap/>
          </w:tcPr>
          <w:p w14:paraId="7EF91CAC" w14:textId="77777777" w:rsidR="00AC375F" w:rsidRPr="00AC375F" w:rsidRDefault="00AC375F" w:rsidP="00AC375F">
            <w:pPr>
              <w:jc w:val="center"/>
              <w:rPr>
                <w:rFonts w:cstheme="minorHAnsi"/>
                <w:sz w:val="18"/>
                <w:szCs w:val="18"/>
              </w:rPr>
            </w:pPr>
            <w:r w:rsidRPr="00AC375F">
              <w:rPr>
                <w:rFonts w:cstheme="minorHAnsi"/>
                <w:sz w:val="18"/>
                <w:szCs w:val="18"/>
              </w:rPr>
              <w:t>0,25</w:t>
            </w:r>
          </w:p>
        </w:tc>
      </w:tr>
      <w:tr w:rsidR="00AC375F" w:rsidRPr="00AC375F" w:rsidDel="00514968" w14:paraId="434A660A" w14:textId="77777777" w:rsidTr="00991955">
        <w:trPr>
          <w:trHeight w:val="314"/>
        </w:trPr>
        <w:tc>
          <w:tcPr>
            <w:tcW w:w="4424" w:type="dxa"/>
            <w:shd w:val="clear" w:color="auto" w:fill="auto"/>
            <w:noWrap/>
            <w:vAlign w:val="center"/>
          </w:tcPr>
          <w:p w14:paraId="37548D96" w14:textId="77777777" w:rsidR="00AC375F" w:rsidRPr="00AC375F" w:rsidRDefault="00AC375F" w:rsidP="00AC375F">
            <w:pPr>
              <w:rPr>
                <w:sz w:val="18"/>
                <w:szCs w:val="18"/>
              </w:rPr>
            </w:pPr>
          </w:p>
        </w:tc>
        <w:tc>
          <w:tcPr>
            <w:tcW w:w="1529" w:type="dxa"/>
            <w:shd w:val="clear" w:color="auto" w:fill="auto"/>
            <w:noWrap/>
          </w:tcPr>
          <w:p w14:paraId="41C88A42" w14:textId="77777777" w:rsidR="00AC375F" w:rsidRPr="00AC375F" w:rsidRDefault="00AC375F" w:rsidP="00AC375F">
            <w:pPr>
              <w:jc w:val="center"/>
              <w:rPr>
                <w:rFonts w:cstheme="minorHAnsi"/>
                <w:sz w:val="18"/>
                <w:szCs w:val="18"/>
              </w:rPr>
            </w:pPr>
            <w:r w:rsidRPr="00AC375F">
              <w:rPr>
                <w:rFonts w:cstheme="minorHAnsi"/>
                <w:sz w:val="18"/>
                <w:szCs w:val="18"/>
              </w:rPr>
              <w:t>Virtualno</w:t>
            </w:r>
          </w:p>
        </w:tc>
        <w:tc>
          <w:tcPr>
            <w:tcW w:w="1022" w:type="dxa"/>
            <w:shd w:val="clear" w:color="auto" w:fill="auto"/>
            <w:noWrap/>
          </w:tcPr>
          <w:p w14:paraId="456CECDA" w14:textId="77777777" w:rsidR="00AC375F" w:rsidRPr="00AC375F" w:rsidRDefault="00AC375F" w:rsidP="00AC375F">
            <w:pPr>
              <w:jc w:val="center"/>
              <w:rPr>
                <w:rFonts w:cstheme="minorHAnsi"/>
                <w:sz w:val="18"/>
                <w:szCs w:val="18"/>
              </w:rPr>
            </w:pPr>
            <w:r w:rsidRPr="00AC375F">
              <w:rPr>
                <w:rFonts w:cstheme="minorHAnsi"/>
                <w:sz w:val="18"/>
                <w:szCs w:val="18"/>
              </w:rPr>
              <w:t>9</w:t>
            </w:r>
          </w:p>
        </w:tc>
        <w:tc>
          <w:tcPr>
            <w:tcW w:w="1276" w:type="dxa"/>
            <w:shd w:val="clear" w:color="auto" w:fill="auto"/>
            <w:noWrap/>
          </w:tcPr>
          <w:p w14:paraId="7EC75017" w14:textId="77777777" w:rsidR="00AC375F" w:rsidRPr="00AC375F" w:rsidRDefault="00AC375F" w:rsidP="00AC375F">
            <w:pPr>
              <w:jc w:val="center"/>
              <w:rPr>
                <w:rFonts w:cstheme="minorHAnsi"/>
                <w:sz w:val="18"/>
                <w:szCs w:val="18"/>
              </w:rPr>
            </w:pPr>
            <w:r w:rsidRPr="00AC375F">
              <w:rPr>
                <w:rFonts w:cstheme="minorHAnsi"/>
                <w:sz w:val="18"/>
                <w:szCs w:val="18"/>
              </w:rPr>
              <w:t>srpanj</w:t>
            </w:r>
          </w:p>
        </w:tc>
        <w:tc>
          <w:tcPr>
            <w:tcW w:w="1134" w:type="dxa"/>
            <w:shd w:val="clear" w:color="auto" w:fill="auto"/>
            <w:noWrap/>
          </w:tcPr>
          <w:p w14:paraId="3F588DF2" w14:textId="77777777" w:rsidR="00AC375F" w:rsidRPr="00AC375F" w:rsidRDefault="00AC375F" w:rsidP="00AC375F">
            <w:pPr>
              <w:jc w:val="center"/>
              <w:rPr>
                <w:rFonts w:cstheme="minorHAnsi"/>
                <w:sz w:val="18"/>
                <w:szCs w:val="18"/>
              </w:rPr>
            </w:pPr>
            <w:r w:rsidRPr="00AC375F">
              <w:rPr>
                <w:rFonts w:cstheme="minorHAnsi"/>
                <w:sz w:val="18"/>
                <w:szCs w:val="18"/>
              </w:rPr>
              <w:t>1,68</w:t>
            </w:r>
          </w:p>
        </w:tc>
      </w:tr>
      <w:tr w:rsidR="00AC375F" w:rsidRPr="00AC375F" w:rsidDel="00514968" w14:paraId="1760709B" w14:textId="77777777" w:rsidTr="00991955">
        <w:trPr>
          <w:trHeight w:val="314"/>
        </w:trPr>
        <w:tc>
          <w:tcPr>
            <w:tcW w:w="4424" w:type="dxa"/>
            <w:shd w:val="clear" w:color="auto" w:fill="auto"/>
            <w:noWrap/>
            <w:vAlign w:val="center"/>
          </w:tcPr>
          <w:p w14:paraId="18396168" w14:textId="77777777" w:rsidR="00AC375F" w:rsidRPr="00AC375F" w:rsidRDefault="00AC375F" w:rsidP="00AC375F">
            <w:pPr>
              <w:rPr>
                <w:sz w:val="18"/>
                <w:szCs w:val="18"/>
              </w:rPr>
            </w:pPr>
          </w:p>
        </w:tc>
        <w:tc>
          <w:tcPr>
            <w:tcW w:w="1529" w:type="dxa"/>
            <w:shd w:val="clear" w:color="auto" w:fill="auto"/>
            <w:noWrap/>
          </w:tcPr>
          <w:p w14:paraId="6C5A891A" w14:textId="77777777" w:rsidR="00AC375F" w:rsidRPr="00AC375F" w:rsidRDefault="00AC375F" w:rsidP="00AC375F">
            <w:pPr>
              <w:jc w:val="center"/>
              <w:rPr>
                <w:rFonts w:cstheme="minorHAnsi"/>
                <w:sz w:val="18"/>
                <w:szCs w:val="18"/>
              </w:rPr>
            </w:pPr>
            <w:r w:rsidRPr="00AC375F">
              <w:rPr>
                <w:rFonts w:cstheme="minorHAnsi"/>
                <w:sz w:val="18"/>
                <w:szCs w:val="18"/>
              </w:rPr>
              <w:t>Virtualno</w:t>
            </w:r>
          </w:p>
        </w:tc>
        <w:tc>
          <w:tcPr>
            <w:tcW w:w="1022" w:type="dxa"/>
            <w:shd w:val="clear" w:color="auto" w:fill="auto"/>
            <w:noWrap/>
          </w:tcPr>
          <w:p w14:paraId="684A9EBB" w14:textId="77777777" w:rsidR="00AC375F" w:rsidRPr="00AC375F" w:rsidRDefault="00AC375F" w:rsidP="00AC375F">
            <w:pPr>
              <w:jc w:val="center"/>
              <w:rPr>
                <w:rFonts w:cstheme="minorHAnsi"/>
                <w:sz w:val="18"/>
                <w:szCs w:val="18"/>
              </w:rPr>
            </w:pPr>
            <w:r w:rsidRPr="00AC375F">
              <w:rPr>
                <w:rFonts w:cstheme="minorHAnsi"/>
                <w:sz w:val="18"/>
                <w:szCs w:val="18"/>
              </w:rPr>
              <w:t>9</w:t>
            </w:r>
          </w:p>
        </w:tc>
        <w:tc>
          <w:tcPr>
            <w:tcW w:w="1276" w:type="dxa"/>
            <w:shd w:val="clear" w:color="auto" w:fill="auto"/>
            <w:noWrap/>
          </w:tcPr>
          <w:p w14:paraId="11B8688B" w14:textId="77777777" w:rsidR="00AC375F" w:rsidRPr="00AC375F" w:rsidRDefault="00AC375F" w:rsidP="00AC375F">
            <w:pPr>
              <w:jc w:val="center"/>
              <w:rPr>
                <w:rFonts w:cstheme="minorHAnsi"/>
                <w:sz w:val="18"/>
                <w:szCs w:val="18"/>
              </w:rPr>
            </w:pPr>
            <w:r w:rsidRPr="00AC375F">
              <w:rPr>
                <w:rFonts w:cstheme="minorHAnsi"/>
                <w:sz w:val="18"/>
                <w:szCs w:val="18"/>
              </w:rPr>
              <w:t>srpanj</w:t>
            </w:r>
          </w:p>
        </w:tc>
        <w:tc>
          <w:tcPr>
            <w:tcW w:w="1134" w:type="dxa"/>
            <w:shd w:val="clear" w:color="auto" w:fill="auto"/>
            <w:noWrap/>
          </w:tcPr>
          <w:p w14:paraId="6A8F5298" w14:textId="77777777" w:rsidR="00AC375F" w:rsidRPr="00AC375F" w:rsidRDefault="00AC375F" w:rsidP="00AC375F">
            <w:pPr>
              <w:jc w:val="center"/>
              <w:rPr>
                <w:rFonts w:cstheme="minorHAnsi"/>
                <w:sz w:val="18"/>
                <w:szCs w:val="18"/>
              </w:rPr>
            </w:pPr>
            <w:r w:rsidRPr="00AC375F">
              <w:rPr>
                <w:rFonts w:cstheme="minorHAnsi"/>
                <w:sz w:val="18"/>
                <w:szCs w:val="18"/>
              </w:rPr>
              <w:t>1,68</w:t>
            </w:r>
          </w:p>
        </w:tc>
      </w:tr>
      <w:tr w:rsidR="00AC375F" w:rsidRPr="00AC375F" w:rsidDel="00514968" w14:paraId="4E910BEC" w14:textId="77777777" w:rsidTr="00991955">
        <w:trPr>
          <w:trHeight w:val="314"/>
        </w:trPr>
        <w:tc>
          <w:tcPr>
            <w:tcW w:w="4424" w:type="dxa"/>
            <w:shd w:val="clear" w:color="auto" w:fill="auto"/>
            <w:noWrap/>
            <w:vAlign w:val="center"/>
          </w:tcPr>
          <w:p w14:paraId="69CCA68C" w14:textId="77777777" w:rsidR="00AC375F" w:rsidRPr="00AC375F" w:rsidRDefault="00AC375F" w:rsidP="00AC375F">
            <w:pPr>
              <w:rPr>
                <w:sz w:val="18"/>
                <w:szCs w:val="18"/>
              </w:rPr>
            </w:pPr>
          </w:p>
        </w:tc>
        <w:tc>
          <w:tcPr>
            <w:tcW w:w="1529" w:type="dxa"/>
            <w:shd w:val="clear" w:color="auto" w:fill="auto"/>
            <w:noWrap/>
          </w:tcPr>
          <w:p w14:paraId="6B1E4A8F" w14:textId="77777777" w:rsidR="00AC375F" w:rsidRPr="00AC375F" w:rsidRDefault="00AC375F" w:rsidP="00AC375F">
            <w:pPr>
              <w:jc w:val="center"/>
              <w:rPr>
                <w:rFonts w:cstheme="minorHAnsi"/>
                <w:sz w:val="18"/>
                <w:szCs w:val="18"/>
              </w:rPr>
            </w:pPr>
            <w:r w:rsidRPr="00AC375F">
              <w:rPr>
                <w:rFonts w:cstheme="minorHAnsi"/>
                <w:sz w:val="18"/>
                <w:szCs w:val="18"/>
              </w:rPr>
              <w:t>Virtualno</w:t>
            </w:r>
          </w:p>
        </w:tc>
        <w:tc>
          <w:tcPr>
            <w:tcW w:w="1022" w:type="dxa"/>
            <w:shd w:val="clear" w:color="auto" w:fill="auto"/>
            <w:noWrap/>
          </w:tcPr>
          <w:p w14:paraId="041F39E7" w14:textId="77777777" w:rsidR="00AC375F" w:rsidRPr="00AC375F" w:rsidRDefault="00AC375F" w:rsidP="00AC375F">
            <w:pPr>
              <w:jc w:val="center"/>
              <w:rPr>
                <w:rFonts w:cstheme="minorHAnsi"/>
                <w:sz w:val="18"/>
                <w:szCs w:val="18"/>
              </w:rPr>
            </w:pPr>
            <w:r w:rsidRPr="00AC375F">
              <w:rPr>
                <w:rFonts w:cstheme="minorHAnsi"/>
                <w:sz w:val="18"/>
                <w:szCs w:val="18"/>
              </w:rPr>
              <w:t>8</w:t>
            </w:r>
          </w:p>
        </w:tc>
        <w:tc>
          <w:tcPr>
            <w:tcW w:w="1276" w:type="dxa"/>
            <w:shd w:val="clear" w:color="auto" w:fill="auto"/>
            <w:noWrap/>
          </w:tcPr>
          <w:p w14:paraId="3CFD0066" w14:textId="77777777" w:rsidR="00AC375F" w:rsidRPr="00AC375F" w:rsidRDefault="00AC375F" w:rsidP="00AC375F">
            <w:pPr>
              <w:jc w:val="center"/>
              <w:rPr>
                <w:rFonts w:cstheme="minorHAnsi"/>
                <w:sz w:val="18"/>
                <w:szCs w:val="18"/>
              </w:rPr>
            </w:pPr>
            <w:r w:rsidRPr="00AC375F">
              <w:rPr>
                <w:rFonts w:cstheme="minorHAnsi"/>
                <w:sz w:val="18"/>
                <w:szCs w:val="18"/>
              </w:rPr>
              <w:t>srpanj</w:t>
            </w:r>
          </w:p>
        </w:tc>
        <w:tc>
          <w:tcPr>
            <w:tcW w:w="1134" w:type="dxa"/>
            <w:shd w:val="clear" w:color="auto" w:fill="auto"/>
            <w:noWrap/>
          </w:tcPr>
          <w:p w14:paraId="51052CB5" w14:textId="77777777" w:rsidR="00AC375F" w:rsidRPr="00AC375F" w:rsidRDefault="00AC375F" w:rsidP="00AC375F">
            <w:pPr>
              <w:jc w:val="center"/>
              <w:rPr>
                <w:rFonts w:cstheme="minorHAnsi"/>
                <w:sz w:val="18"/>
                <w:szCs w:val="18"/>
              </w:rPr>
            </w:pPr>
            <w:r w:rsidRPr="00AC375F">
              <w:rPr>
                <w:rFonts w:cstheme="minorHAnsi"/>
                <w:sz w:val="18"/>
                <w:szCs w:val="18"/>
              </w:rPr>
              <w:t>3</w:t>
            </w:r>
          </w:p>
        </w:tc>
      </w:tr>
      <w:tr w:rsidR="00AC375F" w:rsidRPr="00AC375F" w:rsidDel="00514968" w14:paraId="1DA6491F" w14:textId="77777777" w:rsidTr="00991955">
        <w:trPr>
          <w:trHeight w:val="314"/>
        </w:trPr>
        <w:tc>
          <w:tcPr>
            <w:tcW w:w="4424" w:type="dxa"/>
            <w:shd w:val="clear" w:color="auto" w:fill="auto"/>
            <w:noWrap/>
            <w:vAlign w:val="center"/>
          </w:tcPr>
          <w:p w14:paraId="2D83335A" w14:textId="77777777" w:rsidR="00AC375F" w:rsidRPr="00AC375F" w:rsidRDefault="00AC375F" w:rsidP="00AC375F">
            <w:pPr>
              <w:rPr>
                <w:sz w:val="18"/>
                <w:szCs w:val="18"/>
              </w:rPr>
            </w:pPr>
          </w:p>
        </w:tc>
        <w:tc>
          <w:tcPr>
            <w:tcW w:w="1529" w:type="dxa"/>
            <w:shd w:val="clear" w:color="auto" w:fill="auto"/>
            <w:noWrap/>
          </w:tcPr>
          <w:p w14:paraId="1D55DCA3" w14:textId="77777777" w:rsidR="00AC375F" w:rsidRPr="00AC375F" w:rsidRDefault="00AC375F" w:rsidP="00AC375F">
            <w:pPr>
              <w:jc w:val="center"/>
              <w:rPr>
                <w:rFonts w:cstheme="minorHAnsi"/>
                <w:sz w:val="18"/>
                <w:szCs w:val="18"/>
              </w:rPr>
            </w:pPr>
            <w:r w:rsidRPr="00AC375F">
              <w:rPr>
                <w:rFonts w:cstheme="minorHAnsi"/>
                <w:sz w:val="18"/>
                <w:szCs w:val="18"/>
              </w:rPr>
              <w:t>Virtualno</w:t>
            </w:r>
          </w:p>
        </w:tc>
        <w:tc>
          <w:tcPr>
            <w:tcW w:w="1022" w:type="dxa"/>
            <w:shd w:val="clear" w:color="auto" w:fill="auto"/>
            <w:noWrap/>
          </w:tcPr>
          <w:p w14:paraId="01FE23FF" w14:textId="77777777" w:rsidR="00AC375F" w:rsidRPr="00AC375F" w:rsidRDefault="00AC375F" w:rsidP="00AC375F">
            <w:pPr>
              <w:jc w:val="center"/>
              <w:rPr>
                <w:rFonts w:cstheme="minorHAnsi"/>
                <w:sz w:val="18"/>
                <w:szCs w:val="18"/>
              </w:rPr>
            </w:pPr>
            <w:r w:rsidRPr="00AC375F">
              <w:rPr>
                <w:rFonts w:cstheme="minorHAnsi"/>
                <w:sz w:val="18"/>
                <w:szCs w:val="18"/>
              </w:rPr>
              <w:t>8</w:t>
            </w:r>
          </w:p>
        </w:tc>
        <w:tc>
          <w:tcPr>
            <w:tcW w:w="1276" w:type="dxa"/>
            <w:shd w:val="clear" w:color="auto" w:fill="auto"/>
            <w:noWrap/>
          </w:tcPr>
          <w:p w14:paraId="0DB7ABC1" w14:textId="77777777" w:rsidR="00AC375F" w:rsidRPr="00AC375F" w:rsidRDefault="00AC375F" w:rsidP="00AC375F">
            <w:pPr>
              <w:jc w:val="center"/>
              <w:rPr>
                <w:rFonts w:cstheme="minorHAnsi"/>
                <w:sz w:val="18"/>
                <w:szCs w:val="18"/>
              </w:rPr>
            </w:pPr>
            <w:r w:rsidRPr="00AC375F">
              <w:rPr>
                <w:rFonts w:cstheme="minorHAnsi"/>
                <w:sz w:val="18"/>
                <w:szCs w:val="18"/>
              </w:rPr>
              <w:t>kolovoz</w:t>
            </w:r>
          </w:p>
        </w:tc>
        <w:tc>
          <w:tcPr>
            <w:tcW w:w="1134" w:type="dxa"/>
            <w:shd w:val="clear" w:color="auto" w:fill="auto"/>
            <w:noWrap/>
          </w:tcPr>
          <w:p w14:paraId="5A44D4D8" w14:textId="77777777" w:rsidR="00AC375F" w:rsidRPr="00AC375F" w:rsidRDefault="00AC375F" w:rsidP="00AC375F">
            <w:pPr>
              <w:jc w:val="center"/>
              <w:rPr>
                <w:rFonts w:cstheme="minorHAnsi"/>
                <w:sz w:val="18"/>
                <w:szCs w:val="18"/>
              </w:rPr>
            </w:pPr>
            <w:r w:rsidRPr="00AC375F">
              <w:rPr>
                <w:rFonts w:cstheme="minorHAnsi"/>
                <w:sz w:val="18"/>
                <w:szCs w:val="18"/>
              </w:rPr>
              <w:t>1,5</w:t>
            </w:r>
          </w:p>
        </w:tc>
      </w:tr>
      <w:tr w:rsidR="00AC375F" w:rsidRPr="00AC375F" w:rsidDel="00514968" w14:paraId="21F67660" w14:textId="77777777" w:rsidTr="00991955">
        <w:trPr>
          <w:trHeight w:val="314"/>
        </w:trPr>
        <w:tc>
          <w:tcPr>
            <w:tcW w:w="4424" w:type="dxa"/>
            <w:shd w:val="clear" w:color="auto" w:fill="auto"/>
            <w:noWrap/>
            <w:vAlign w:val="center"/>
          </w:tcPr>
          <w:p w14:paraId="0F4FFE42" w14:textId="77777777" w:rsidR="00AC375F" w:rsidRPr="00AC375F" w:rsidRDefault="00AC375F" w:rsidP="00AC375F">
            <w:pPr>
              <w:rPr>
                <w:sz w:val="18"/>
                <w:szCs w:val="18"/>
              </w:rPr>
            </w:pPr>
          </w:p>
        </w:tc>
        <w:tc>
          <w:tcPr>
            <w:tcW w:w="1529" w:type="dxa"/>
            <w:shd w:val="clear" w:color="auto" w:fill="auto"/>
            <w:noWrap/>
          </w:tcPr>
          <w:p w14:paraId="0AD9F535" w14:textId="77777777" w:rsidR="00AC375F" w:rsidRPr="00AC375F" w:rsidRDefault="00AC375F" w:rsidP="00AC375F">
            <w:pPr>
              <w:jc w:val="center"/>
              <w:rPr>
                <w:rFonts w:cstheme="minorHAnsi"/>
                <w:sz w:val="18"/>
                <w:szCs w:val="18"/>
              </w:rPr>
            </w:pPr>
            <w:r w:rsidRPr="00AC375F">
              <w:rPr>
                <w:rFonts w:cstheme="minorHAnsi"/>
                <w:sz w:val="18"/>
                <w:szCs w:val="18"/>
              </w:rPr>
              <w:t>Virtualno</w:t>
            </w:r>
          </w:p>
        </w:tc>
        <w:tc>
          <w:tcPr>
            <w:tcW w:w="1022" w:type="dxa"/>
            <w:shd w:val="clear" w:color="auto" w:fill="auto"/>
            <w:noWrap/>
          </w:tcPr>
          <w:p w14:paraId="66A0B3D0" w14:textId="77777777" w:rsidR="00AC375F" w:rsidRPr="00AC375F" w:rsidRDefault="00AC375F" w:rsidP="00AC375F">
            <w:pPr>
              <w:jc w:val="center"/>
              <w:rPr>
                <w:rFonts w:cstheme="minorHAnsi"/>
                <w:sz w:val="18"/>
                <w:szCs w:val="18"/>
              </w:rPr>
            </w:pPr>
            <w:r w:rsidRPr="00AC375F">
              <w:rPr>
                <w:rFonts w:cstheme="minorHAnsi"/>
                <w:sz w:val="18"/>
                <w:szCs w:val="18"/>
              </w:rPr>
              <w:t>9</w:t>
            </w:r>
          </w:p>
        </w:tc>
        <w:tc>
          <w:tcPr>
            <w:tcW w:w="1276" w:type="dxa"/>
            <w:shd w:val="clear" w:color="auto" w:fill="auto"/>
            <w:noWrap/>
          </w:tcPr>
          <w:p w14:paraId="3E1F304B" w14:textId="77777777" w:rsidR="00AC375F" w:rsidRPr="00AC375F" w:rsidRDefault="00AC375F" w:rsidP="00AC375F">
            <w:pPr>
              <w:jc w:val="center"/>
              <w:rPr>
                <w:rFonts w:cstheme="minorHAnsi"/>
                <w:sz w:val="18"/>
                <w:szCs w:val="18"/>
              </w:rPr>
            </w:pPr>
            <w:r w:rsidRPr="00AC375F">
              <w:rPr>
                <w:rFonts w:cstheme="minorHAnsi"/>
                <w:sz w:val="18"/>
                <w:szCs w:val="18"/>
              </w:rPr>
              <w:t>kolovoz</w:t>
            </w:r>
          </w:p>
        </w:tc>
        <w:tc>
          <w:tcPr>
            <w:tcW w:w="1134" w:type="dxa"/>
            <w:shd w:val="clear" w:color="auto" w:fill="auto"/>
            <w:noWrap/>
          </w:tcPr>
          <w:p w14:paraId="4D8C7F24" w14:textId="77777777" w:rsidR="00AC375F" w:rsidRPr="00AC375F" w:rsidRDefault="00AC375F" w:rsidP="00AC375F">
            <w:pPr>
              <w:jc w:val="center"/>
              <w:rPr>
                <w:rFonts w:cstheme="minorHAnsi"/>
                <w:sz w:val="18"/>
                <w:szCs w:val="18"/>
              </w:rPr>
            </w:pPr>
            <w:r w:rsidRPr="00AC375F">
              <w:rPr>
                <w:rFonts w:cstheme="minorHAnsi"/>
                <w:sz w:val="18"/>
                <w:szCs w:val="18"/>
              </w:rPr>
              <w:t>1,68</w:t>
            </w:r>
          </w:p>
        </w:tc>
      </w:tr>
      <w:tr w:rsidR="00AC375F" w:rsidRPr="00AC375F" w:rsidDel="00514968" w14:paraId="10A9725D" w14:textId="77777777" w:rsidTr="00991955">
        <w:trPr>
          <w:trHeight w:val="314"/>
        </w:trPr>
        <w:tc>
          <w:tcPr>
            <w:tcW w:w="4424" w:type="dxa"/>
            <w:shd w:val="clear" w:color="auto" w:fill="auto"/>
            <w:noWrap/>
            <w:vAlign w:val="center"/>
          </w:tcPr>
          <w:p w14:paraId="072802BE" w14:textId="77777777" w:rsidR="00AC375F" w:rsidRPr="00AC375F" w:rsidRDefault="00AC375F" w:rsidP="00AC375F">
            <w:pPr>
              <w:rPr>
                <w:sz w:val="18"/>
                <w:szCs w:val="18"/>
              </w:rPr>
            </w:pPr>
          </w:p>
        </w:tc>
        <w:tc>
          <w:tcPr>
            <w:tcW w:w="1529" w:type="dxa"/>
            <w:shd w:val="clear" w:color="auto" w:fill="auto"/>
            <w:noWrap/>
          </w:tcPr>
          <w:p w14:paraId="24FDD98A" w14:textId="77777777" w:rsidR="00AC375F" w:rsidRPr="00AC375F" w:rsidRDefault="00AC375F" w:rsidP="00AC375F">
            <w:pPr>
              <w:jc w:val="center"/>
              <w:rPr>
                <w:rFonts w:cstheme="minorHAnsi"/>
                <w:sz w:val="18"/>
                <w:szCs w:val="18"/>
              </w:rPr>
            </w:pPr>
            <w:r w:rsidRPr="00AC375F">
              <w:rPr>
                <w:rFonts w:cstheme="minorHAnsi"/>
                <w:sz w:val="18"/>
                <w:szCs w:val="18"/>
              </w:rPr>
              <w:t>Virtualno</w:t>
            </w:r>
          </w:p>
        </w:tc>
        <w:tc>
          <w:tcPr>
            <w:tcW w:w="1022" w:type="dxa"/>
            <w:shd w:val="clear" w:color="auto" w:fill="auto"/>
            <w:noWrap/>
          </w:tcPr>
          <w:p w14:paraId="398F448C" w14:textId="77777777" w:rsidR="00AC375F" w:rsidRPr="00AC375F" w:rsidRDefault="00AC375F" w:rsidP="00AC375F">
            <w:pPr>
              <w:jc w:val="center"/>
              <w:rPr>
                <w:rFonts w:cstheme="minorHAnsi"/>
                <w:sz w:val="18"/>
                <w:szCs w:val="18"/>
              </w:rPr>
            </w:pPr>
            <w:r w:rsidRPr="00AC375F">
              <w:rPr>
                <w:rFonts w:cstheme="minorHAnsi"/>
                <w:sz w:val="18"/>
                <w:szCs w:val="18"/>
              </w:rPr>
              <w:t>3</w:t>
            </w:r>
          </w:p>
        </w:tc>
        <w:tc>
          <w:tcPr>
            <w:tcW w:w="1276" w:type="dxa"/>
            <w:shd w:val="clear" w:color="auto" w:fill="auto"/>
            <w:noWrap/>
          </w:tcPr>
          <w:p w14:paraId="4845784A" w14:textId="77777777" w:rsidR="00AC375F" w:rsidRPr="00AC375F" w:rsidRDefault="00AC375F" w:rsidP="00AC375F">
            <w:pPr>
              <w:jc w:val="center"/>
              <w:rPr>
                <w:rFonts w:cstheme="minorHAnsi"/>
                <w:sz w:val="18"/>
                <w:szCs w:val="18"/>
              </w:rPr>
            </w:pPr>
            <w:r w:rsidRPr="00AC375F">
              <w:rPr>
                <w:rFonts w:cstheme="minorHAnsi"/>
                <w:sz w:val="18"/>
                <w:szCs w:val="18"/>
              </w:rPr>
              <w:t>rujan</w:t>
            </w:r>
          </w:p>
        </w:tc>
        <w:tc>
          <w:tcPr>
            <w:tcW w:w="1134" w:type="dxa"/>
            <w:shd w:val="clear" w:color="auto" w:fill="auto"/>
            <w:noWrap/>
          </w:tcPr>
          <w:p w14:paraId="2C248906" w14:textId="77777777" w:rsidR="00AC375F" w:rsidRPr="00AC375F" w:rsidRDefault="00AC375F" w:rsidP="00AC375F">
            <w:pPr>
              <w:jc w:val="center"/>
              <w:rPr>
                <w:rFonts w:cstheme="minorHAnsi"/>
                <w:sz w:val="18"/>
                <w:szCs w:val="18"/>
              </w:rPr>
            </w:pPr>
            <w:r w:rsidRPr="00AC375F">
              <w:rPr>
                <w:rFonts w:cstheme="minorHAnsi"/>
                <w:sz w:val="18"/>
                <w:szCs w:val="18"/>
              </w:rPr>
              <w:t>0,18</w:t>
            </w:r>
          </w:p>
        </w:tc>
      </w:tr>
    </w:tbl>
    <w:p w14:paraId="4F9522B1" w14:textId="77777777" w:rsidR="00AC375F" w:rsidRPr="00AC375F" w:rsidRDefault="00AC375F" w:rsidP="001B7BE6">
      <w:pPr>
        <w:spacing w:line="276" w:lineRule="auto"/>
        <w:rPr>
          <w:rFonts w:eastAsia="Times New Roman" w:cstheme="minorHAnsi"/>
          <w:sz w:val="18"/>
          <w:szCs w:val="18"/>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5"/>
        <w:gridCol w:w="1484"/>
        <w:gridCol w:w="1046"/>
        <w:gridCol w:w="1276"/>
        <w:gridCol w:w="1134"/>
      </w:tblGrid>
      <w:tr w:rsidR="00AC375F" w:rsidRPr="00AC375F" w14:paraId="55256FF6" w14:textId="77777777" w:rsidTr="00991955">
        <w:trPr>
          <w:trHeight w:val="330"/>
        </w:trPr>
        <w:tc>
          <w:tcPr>
            <w:tcW w:w="4445" w:type="dxa"/>
            <w:shd w:val="clear" w:color="auto" w:fill="A3E7FF"/>
            <w:noWrap/>
            <w:hideMark/>
          </w:tcPr>
          <w:p w14:paraId="2760B007" w14:textId="77777777" w:rsidR="00AC375F" w:rsidRPr="00AC375F" w:rsidRDefault="00AC375F" w:rsidP="00AC375F">
            <w:pPr>
              <w:tabs>
                <w:tab w:val="center" w:pos="2114"/>
              </w:tabs>
              <w:rPr>
                <w:b/>
                <w:bCs/>
                <w:i/>
                <w:iCs/>
                <w:sz w:val="18"/>
                <w:szCs w:val="18"/>
              </w:rPr>
            </w:pPr>
            <w:r w:rsidRPr="00AC375F">
              <w:rPr>
                <w:rFonts w:ascii="Calibri" w:eastAsia="Calibri" w:hAnsi="Calibri" w:cs="Times New Roman"/>
                <w:color w:val="1A1A1A"/>
                <w:sz w:val="18"/>
                <w:szCs w:val="18"/>
                <w:lang w:eastAsia="hr-HR"/>
              </w:rPr>
              <w:t xml:space="preserve"> Povjerenstva i radne skupine </w:t>
            </w:r>
            <w:r w:rsidRPr="00AC375F">
              <w:rPr>
                <w:rFonts w:ascii="Calibri" w:eastAsia="Calibri" w:hAnsi="Calibri" w:cs="Times New Roman"/>
                <w:sz w:val="18"/>
                <w:szCs w:val="18"/>
              </w:rPr>
              <w:t>PIC/S-a</w:t>
            </w:r>
            <w:r w:rsidRPr="00AC375F">
              <w:rPr>
                <w:b/>
                <w:bCs/>
                <w:i/>
                <w:iCs/>
                <w:sz w:val="18"/>
                <w:szCs w:val="18"/>
              </w:rPr>
              <w:tab/>
            </w:r>
          </w:p>
        </w:tc>
        <w:tc>
          <w:tcPr>
            <w:tcW w:w="1484" w:type="dxa"/>
            <w:shd w:val="clear" w:color="auto" w:fill="A3E7FF"/>
            <w:noWrap/>
            <w:hideMark/>
          </w:tcPr>
          <w:p w14:paraId="434DBA36" w14:textId="77777777" w:rsidR="00AC375F" w:rsidRPr="00AC375F" w:rsidRDefault="00AC375F" w:rsidP="00AC375F">
            <w:pPr>
              <w:jc w:val="center"/>
              <w:rPr>
                <w:i/>
                <w:iCs/>
                <w:sz w:val="18"/>
                <w:szCs w:val="18"/>
              </w:rPr>
            </w:pPr>
          </w:p>
        </w:tc>
        <w:tc>
          <w:tcPr>
            <w:tcW w:w="1046" w:type="dxa"/>
            <w:shd w:val="clear" w:color="auto" w:fill="A3E7FF"/>
            <w:noWrap/>
            <w:hideMark/>
          </w:tcPr>
          <w:p w14:paraId="17ED6FE7" w14:textId="77777777" w:rsidR="00AC375F" w:rsidRPr="00AC375F" w:rsidRDefault="00AC375F" w:rsidP="00AC375F">
            <w:pPr>
              <w:jc w:val="center"/>
              <w:rPr>
                <w:i/>
                <w:iCs/>
                <w:sz w:val="18"/>
                <w:szCs w:val="18"/>
              </w:rPr>
            </w:pPr>
          </w:p>
        </w:tc>
        <w:tc>
          <w:tcPr>
            <w:tcW w:w="1276" w:type="dxa"/>
            <w:shd w:val="clear" w:color="auto" w:fill="A3E7FF"/>
            <w:noWrap/>
            <w:hideMark/>
          </w:tcPr>
          <w:p w14:paraId="0AEAB2EF" w14:textId="77777777" w:rsidR="00AC375F" w:rsidRPr="00AC375F" w:rsidRDefault="00AC375F" w:rsidP="00AC375F">
            <w:pPr>
              <w:jc w:val="center"/>
              <w:rPr>
                <w:i/>
                <w:iCs/>
                <w:sz w:val="18"/>
                <w:szCs w:val="18"/>
              </w:rPr>
            </w:pPr>
          </w:p>
        </w:tc>
        <w:tc>
          <w:tcPr>
            <w:tcW w:w="1134" w:type="dxa"/>
            <w:shd w:val="clear" w:color="auto" w:fill="A3E7FF"/>
            <w:noWrap/>
            <w:hideMark/>
          </w:tcPr>
          <w:p w14:paraId="68DF2F46" w14:textId="77777777" w:rsidR="00AC375F" w:rsidRPr="00AC375F" w:rsidRDefault="00AC375F" w:rsidP="00AC375F">
            <w:pPr>
              <w:jc w:val="center"/>
              <w:rPr>
                <w:i/>
                <w:iCs/>
                <w:sz w:val="18"/>
                <w:szCs w:val="18"/>
              </w:rPr>
            </w:pPr>
          </w:p>
        </w:tc>
      </w:tr>
      <w:tr w:rsidR="00AC375F" w:rsidRPr="00AC375F" w14:paraId="14CE0A75" w14:textId="77777777" w:rsidTr="00991955">
        <w:trPr>
          <w:trHeight w:val="585"/>
        </w:trPr>
        <w:tc>
          <w:tcPr>
            <w:tcW w:w="4445" w:type="dxa"/>
            <w:shd w:val="clear" w:color="auto" w:fill="auto"/>
            <w:noWrap/>
            <w:hideMark/>
          </w:tcPr>
          <w:p w14:paraId="184520EA" w14:textId="77777777" w:rsidR="00AC375F" w:rsidRPr="00AC375F" w:rsidRDefault="00AC375F" w:rsidP="00AC375F">
            <w:pPr>
              <w:rPr>
                <w:i/>
                <w:iCs/>
                <w:sz w:val="18"/>
                <w:szCs w:val="18"/>
              </w:rPr>
            </w:pPr>
            <w:r w:rsidRPr="00AC375F">
              <w:rPr>
                <w:i/>
                <w:iCs/>
                <w:sz w:val="18"/>
                <w:szCs w:val="18"/>
              </w:rPr>
              <w:t>Naziv skupine</w:t>
            </w:r>
          </w:p>
        </w:tc>
        <w:tc>
          <w:tcPr>
            <w:tcW w:w="1484" w:type="dxa"/>
            <w:shd w:val="clear" w:color="auto" w:fill="auto"/>
            <w:noWrap/>
            <w:hideMark/>
          </w:tcPr>
          <w:p w14:paraId="2F0C5DBE" w14:textId="77777777" w:rsidR="00AC375F" w:rsidRPr="00AC375F" w:rsidRDefault="00AC375F" w:rsidP="00AC375F">
            <w:pPr>
              <w:jc w:val="center"/>
              <w:rPr>
                <w:i/>
                <w:iCs/>
                <w:sz w:val="18"/>
                <w:szCs w:val="18"/>
              </w:rPr>
            </w:pPr>
            <w:r w:rsidRPr="00AC375F">
              <w:rPr>
                <w:i/>
                <w:iCs/>
                <w:sz w:val="18"/>
                <w:szCs w:val="18"/>
              </w:rPr>
              <w:t>mjesto</w:t>
            </w:r>
          </w:p>
        </w:tc>
        <w:tc>
          <w:tcPr>
            <w:tcW w:w="1046" w:type="dxa"/>
            <w:shd w:val="clear" w:color="auto" w:fill="auto"/>
            <w:hideMark/>
          </w:tcPr>
          <w:p w14:paraId="0875065D" w14:textId="77777777" w:rsidR="00AC375F" w:rsidRPr="00AC375F" w:rsidRDefault="00AC375F" w:rsidP="00AC375F">
            <w:pPr>
              <w:jc w:val="center"/>
              <w:rPr>
                <w:i/>
                <w:iCs/>
                <w:sz w:val="18"/>
                <w:szCs w:val="18"/>
              </w:rPr>
            </w:pPr>
            <w:r w:rsidRPr="00AC375F">
              <w:rPr>
                <w:i/>
                <w:iCs/>
                <w:sz w:val="18"/>
                <w:szCs w:val="18"/>
              </w:rPr>
              <w:t>broj</w:t>
            </w:r>
          </w:p>
          <w:p w14:paraId="0C81C414" w14:textId="77777777" w:rsidR="00AC375F" w:rsidRPr="00AC375F" w:rsidRDefault="00AC375F" w:rsidP="00AC375F">
            <w:pPr>
              <w:jc w:val="center"/>
              <w:rPr>
                <w:i/>
                <w:iCs/>
                <w:sz w:val="18"/>
                <w:szCs w:val="18"/>
              </w:rPr>
            </w:pPr>
            <w:r w:rsidRPr="00AC375F">
              <w:rPr>
                <w:i/>
                <w:iCs/>
                <w:sz w:val="18"/>
                <w:szCs w:val="18"/>
              </w:rPr>
              <w:t>djelatnika</w:t>
            </w:r>
          </w:p>
        </w:tc>
        <w:tc>
          <w:tcPr>
            <w:tcW w:w="1276" w:type="dxa"/>
            <w:shd w:val="clear" w:color="auto" w:fill="auto"/>
            <w:noWrap/>
            <w:hideMark/>
          </w:tcPr>
          <w:p w14:paraId="694BDFC5" w14:textId="77777777" w:rsidR="00AC375F" w:rsidRPr="00AC375F" w:rsidRDefault="00AC375F" w:rsidP="00AC375F">
            <w:pPr>
              <w:jc w:val="center"/>
              <w:rPr>
                <w:i/>
                <w:iCs/>
                <w:sz w:val="18"/>
                <w:szCs w:val="18"/>
              </w:rPr>
            </w:pPr>
            <w:r w:rsidRPr="00AC375F">
              <w:rPr>
                <w:i/>
                <w:iCs/>
                <w:sz w:val="18"/>
                <w:szCs w:val="18"/>
              </w:rPr>
              <w:t>mjesec</w:t>
            </w:r>
          </w:p>
        </w:tc>
        <w:tc>
          <w:tcPr>
            <w:tcW w:w="1134" w:type="dxa"/>
            <w:shd w:val="clear" w:color="auto" w:fill="auto"/>
            <w:hideMark/>
          </w:tcPr>
          <w:p w14:paraId="1ED484BA" w14:textId="77777777" w:rsidR="00AC375F" w:rsidRPr="00AC375F" w:rsidRDefault="00AC375F" w:rsidP="00AC375F">
            <w:pPr>
              <w:rPr>
                <w:i/>
                <w:iCs/>
                <w:sz w:val="18"/>
                <w:szCs w:val="18"/>
              </w:rPr>
            </w:pPr>
            <w:r w:rsidRPr="00AC375F">
              <w:rPr>
                <w:i/>
                <w:iCs/>
                <w:sz w:val="18"/>
                <w:szCs w:val="18"/>
              </w:rPr>
              <w:t>broj dana/</w:t>
            </w:r>
          </w:p>
          <w:p w14:paraId="59F48638" w14:textId="77777777" w:rsidR="00AC375F" w:rsidRPr="00AC375F" w:rsidRDefault="00AC375F" w:rsidP="00AC375F">
            <w:pPr>
              <w:jc w:val="center"/>
              <w:rPr>
                <w:i/>
                <w:iCs/>
                <w:sz w:val="18"/>
                <w:szCs w:val="18"/>
              </w:rPr>
            </w:pPr>
            <w:r w:rsidRPr="00AC375F">
              <w:rPr>
                <w:i/>
                <w:iCs/>
                <w:sz w:val="18"/>
                <w:szCs w:val="18"/>
              </w:rPr>
              <w:t>sastanku</w:t>
            </w:r>
          </w:p>
        </w:tc>
      </w:tr>
      <w:tr w:rsidR="00AC375F" w:rsidRPr="00AC375F" w14:paraId="68FF8762" w14:textId="77777777" w:rsidTr="00991955">
        <w:trPr>
          <w:trHeight w:val="300"/>
        </w:trPr>
        <w:tc>
          <w:tcPr>
            <w:tcW w:w="4445" w:type="dxa"/>
            <w:shd w:val="clear" w:color="auto" w:fill="auto"/>
            <w:noWrap/>
          </w:tcPr>
          <w:p w14:paraId="3F73E480" w14:textId="77777777" w:rsidR="00AC375F" w:rsidRPr="00AC375F" w:rsidRDefault="00AC375F" w:rsidP="00AC375F">
            <w:pPr>
              <w:rPr>
                <w:b/>
                <w:bCs/>
                <w:sz w:val="18"/>
                <w:szCs w:val="18"/>
              </w:rPr>
            </w:pPr>
            <w:r w:rsidRPr="00AC375F">
              <w:rPr>
                <w:rFonts w:ascii="Calibri" w:eastAsia="Calibri" w:hAnsi="Calibri" w:cs="Times New Roman"/>
                <w:sz w:val="18"/>
                <w:szCs w:val="18"/>
              </w:rPr>
              <w:t>PIC/S COMMITTEE</w:t>
            </w:r>
          </w:p>
        </w:tc>
        <w:tc>
          <w:tcPr>
            <w:tcW w:w="1484" w:type="dxa"/>
            <w:shd w:val="clear" w:color="auto" w:fill="auto"/>
            <w:noWrap/>
          </w:tcPr>
          <w:p w14:paraId="5C11CC9A" w14:textId="77777777" w:rsidR="00AC375F" w:rsidRPr="00AC375F" w:rsidRDefault="00AC375F" w:rsidP="00AC375F">
            <w:pPr>
              <w:jc w:val="center"/>
              <w:rPr>
                <w:sz w:val="18"/>
                <w:szCs w:val="18"/>
              </w:rPr>
            </w:pPr>
            <w:r w:rsidRPr="00AC375F">
              <w:rPr>
                <w:sz w:val="18"/>
                <w:szCs w:val="18"/>
              </w:rPr>
              <w:t>Ženeva</w:t>
            </w:r>
          </w:p>
        </w:tc>
        <w:tc>
          <w:tcPr>
            <w:tcW w:w="1046" w:type="dxa"/>
            <w:shd w:val="clear" w:color="auto" w:fill="auto"/>
            <w:noWrap/>
          </w:tcPr>
          <w:p w14:paraId="31E32270" w14:textId="77777777" w:rsidR="00AC375F" w:rsidRPr="00AC375F" w:rsidRDefault="00AC375F" w:rsidP="00AC375F">
            <w:pPr>
              <w:jc w:val="center"/>
              <w:rPr>
                <w:sz w:val="18"/>
                <w:szCs w:val="18"/>
              </w:rPr>
            </w:pPr>
            <w:r w:rsidRPr="00AC375F">
              <w:rPr>
                <w:sz w:val="18"/>
                <w:szCs w:val="18"/>
              </w:rPr>
              <w:t>2</w:t>
            </w:r>
          </w:p>
        </w:tc>
        <w:tc>
          <w:tcPr>
            <w:tcW w:w="1276" w:type="dxa"/>
            <w:shd w:val="clear" w:color="auto" w:fill="auto"/>
            <w:noWrap/>
          </w:tcPr>
          <w:p w14:paraId="71ACEB24" w14:textId="77777777" w:rsidR="00AC375F" w:rsidRPr="00AC375F" w:rsidRDefault="00AC375F" w:rsidP="00AC375F">
            <w:pPr>
              <w:jc w:val="center"/>
              <w:rPr>
                <w:sz w:val="18"/>
                <w:szCs w:val="18"/>
              </w:rPr>
            </w:pPr>
            <w:r w:rsidRPr="00AC375F">
              <w:rPr>
                <w:sz w:val="18"/>
                <w:szCs w:val="18"/>
              </w:rPr>
              <w:t>svibanj</w:t>
            </w:r>
          </w:p>
        </w:tc>
        <w:tc>
          <w:tcPr>
            <w:tcW w:w="1134" w:type="dxa"/>
            <w:shd w:val="clear" w:color="auto" w:fill="auto"/>
            <w:noWrap/>
          </w:tcPr>
          <w:p w14:paraId="11C5B6B9" w14:textId="77777777" w:rsidR="00AC375F" w:rsidRPr="00AC375F" w:rsidRDefault="00AC375F" w:rsidP="00AC375F">
            <w:pPr>
              <w:jc w:val="center"/>
              <w:rPr>
                <w:sz w:val="18"/>
                <w:szCs w:val="18"/>
              </w:rPr>
            </w:pPr>
            <w:r w:rsidRPr="00AC375F">
              <w:rPr>
                <w:sz w:val="18"/>
                <w:szCs w:val="18"/>
              </w:rPr>
              <w:t>2</w:t>
            </w:r>
          </w:p>
        </w:tc>
      </w:tr>
      <w:tr w:rsidR="00AC375F" w:rsidRPr="00AC375F" w14:paraId="66D29C68" w14:textId="77777777" w:rsidTr="00991955">
        <w:trPr>
          <w:trHeight w:val="300"/>
        </w:trPr>
        <w:tc>
          <w:tcPr>
            <w:tcW w:w="4445" w:type="dxa"/>
            <w:shd w:val="clear" w:color="auto" w:fill="auto"/>
            <w:noWrap/>
          </w:tcPr>
          <w:p w14:paraId="2DF9B2F0" w14:textId="77777777" w:rsidR="00AC375F" w:rsidRPr="00AC375F" w:rsidRDefault="00AC375F" w:rsidP="00AC375F">
            <w:pPr>
              <w:rPr>
                <w:b/>
                <w:bCs/>
                <w:sz w:val="18"/>
                <w:szCs w:val="18"/>
              </w:rPr>
            </w:pPr>
          </w:p>
        </w:tc>
        <w:tc>
          <w:tcPr>
            <w:tcW w:w="1484" w:type="dxa"/>
            <w:shd w:val="clear" w:color="auto" w:fill="auto"/>
            <w:noWrap/>
          </w:tcPr>
          <w:p w14:paraId="5F527016" w14:textId="77777777" w:rsidR="00AC375F" w:rsidRPr="00AC375F" w:rsidRDefault="00AC375F" w:rsidP="00AC375F">
            <w:pPr>
              <w:jc w:val="center"/>
              <w:rPr>
                <w:sz w:val="18"/>
                <w:szCs w:val="18"/>
              </w:rPr>
            </w:pPr>
            <w:r w:rsidRPr="00AC375F">
              <w:rPr>
                <w:sz w:val="18"/>
                <w:szCs w:val="18"/>
              </w:rPr>
              <w:t>Bangkok</w:t>
            </w:r>
          </w:p>
        </w:tc>
        <w:tc>
          <w:tcPr>
            <w:tcW w:w="1046" w:type="dxa"/>
            <w:shd w:val="clear" w:color="auto" w:fill="auto"/>
            <w:noWrap/>
          </w:tcPr>
          <w:p w14:paraId="78A2E018" w14:textId="77777777" w:rsidR="00AC375F" w:rsidRPr="00AC375F" w:rsidRDefault="00AC375F" w:rsidP="00AC375F">
            <w:pPr>
              <w:jc w:val="center"/>
              <w:rPr>
                <w:sz w:val="18"/>
                <w:szCs w:val="18"/>
              </w:rPr>
            </w:pPr>
            <w:r w:rsidRPr="00AC375F">
              <w:rPr>
                <w:sz w:val="18"/>
                <w:szCs w:val="18"/>
              </w:rPr>
              <w:t>2</w:t>
            </w:r>
          </w:p>
        </w:tc>
        <w:tc>
          <w:tcPr>
            <w:tcW w:w="1276" w:type="dxa"/>
            <w:shd w:val="clear" w:color="auto" w:fill="auto"/>
            <w:noWrap/>
          </w:tcPr>
          <w:p w14:paraId="1B7BEC56" w14:textId="77777777" w:rsidR="00AC375F" w:rsidRPr="00AC375F" w:rsidRDefault="00AC375F" w:rsidP="00AC375F">
            <w:pPr>
              <w:jc w:val="center"/>
              <w:rPr>
                <w:sz w:val="18"/>
                <w:szCs w:val="18"/>
              </w:rPr>
            </w:pPr>
            <w:r w:rsidRPr="00AC375F">
              <w:rPr>
                <w:sz w:val="18"/>
                <w:szCs w:val="18"/>
              </w:rPr>
              <w:t>studeni</w:t>
            </w:r>
          </w:p>
        </w:tc>
        <w:tc>
          <w:tcPr>
            <w:tcW w:w="1134" w:type="dxa"/>
            <w:shd w:val="clear" w:color="auto" w:fill="auto"/>
            <w:noWrap/>
          </w:tcPr>
          <w:p w14:paraId="7C265D34" w14:textId="77777777" w:rsidR="00AC375F" w:rsidRPr="00AC375F" w:rsidRDefault="00AC375F" w:rsidP="00AC375F">
            <w:pPr>
              <w:jc w:val="center"/>
              <w:rPr>
                <w:sz w:val="18"/>
                <w:szCs w:val="18"/>
              </w:rPr>
            </w:pPr>
            <w:r w:rsidRPr="00AC375F">
              <w:rPr>
                <w:sz w:val="18"/>
                <w:szCs w:val="18"/>
              </w:rPr>
              <w:t>2</w:t>
            </w:r>
          </w:p>
        </w:tc>
      </w:tr>
    </w:tbl>
    <w:p w14:paraId="56687A5B" w14:textId="052CB98F" w:rsidR="00AC375F" w:rsidRPr="00AC375F" w:rsidRDefault="00AC375F" w:rsidP="001B7BE6">
      <w:pPr>
        <w:spacing w:line="276" w:lineRule="auto"/>
        <w:rPr>
          <w:rFonts w:eastAsia="Times New Roman" w:cstheme="minorHAnsi"/>
          <w:sz w:val="18"/>
          <w:szCs w:val="18"/>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9"/>
        <w:gridCol w:w="1882"/>
        <w:gridCol w:w="940"/>
        <w:gridCol w:w="1090"/>
        <w:gridCol w:w="1134"/>
      </w:tblGrid>
      <w:tr w:rsidR="00AC375F" w:rsidRPr="00AC375F" w14:paraId="5703A208" w14:textId="77777777" w:rsidTr="00991955">
        <w:trPr>
          <w:trHeight w:val="315"/>
        </w:trPr>
        <w:tc>
          <w:tcPr>
            <w:tcW w:w="4339" w:type="dxa"/>
            <w:shd w:val="clear" w:color="auto" w:fill="A3E7FF"/>
            <w:noWrap/>
          </w:tcPr>
          <w:p w14:paraId="012AE0A9" w14:textId="77777777" w:rsidR="00AC375F" w:rsidRPr="00AC375F" w:rsidRDefault="00AC375F" w:rsidP="00AC375F">
            <w:pPr>
              <w:rPr>
                <w:rFonts w:cstheme="minorHAnsi"/>
                <w:b/>
                <w:sz w:val="18"/>
                <w:szCs w:val="18"/>
              </w:rPr>
            </w:pPr>
            <w:r w:rsidRPr="00AC375F">
              <w:rPr>
                <w:rFonts w:cstheme="minorHAnsi"/>
                <w:b/>
                <w:sz w:val="18"/>
                <w:szCs w:val="18"/>
              </w:rPr>
              <w:t xml:space="preserve">Ministarstvo zdravstva </w:t>
            </w:r>
          </w:p>
        </w:tc>
        <w:tc>
          <w:tcPr>
            <w:tcW w:w="1882" w:type="dxa"/>
            <w:shd w:val="clear" w:color="auto" w:fill="A3E7FF"/>
            <w:noWrap/>
          </w:tcPr>
          <w:p w14:paraId="64F96093" w14:textId="77777777" w:rsidR="00AC375F" w:rsidRPr="00AC375F" w:rsidRDefault="00AC375F" w:rsidP="00AC375F">
            <w:pPr>
              <w:jc w:val="center"/>
              <w:rPr>
                <w:rFonts w:cstheme="minorHAnsi"/>
                <w:sz w:val="18"/>
                <w:szCs w:val="18"/>
              </w:rPr>
            </w:pPr>
          </w:p>
        </w:tc>
        <w:tc>
          <w:tcPr>
            <w:tcW w:w="940" w:type="dxa"/>
            <w:shd w:val="clear" w:color="auto" w:fill="A3E7FF"/>
            <w:noWrap/>
          </w:tcPr>
          <w:p w14:paraId="4DFAD58C" w14:textId="77777777" w:rsidR="00AC375F" w:rsidRPr="00AC375F" w:rsidRDefault="00AC375F" w:rsidP="00AC375F">
            <w:pPr>
              <w:jc w:val="center"/>
              <w:rPr>
                <w:rFonts w:cstheme="minorHAnsi"/>
                <w:sz w:val="18"/>
                <w:szCs w:val="18"/>
              </w:rPr>
            </w:pPr>
          </w:p>
        </w:tc>
        <w:tc>
          <w:tcPr>
            <w:tcW w:w="1090" w:type="dxa"/>
            <w:shd w:val="clear" w:color="auto" w:fill="A3E7FF"/>
            <w:noWrap/>
          </w:tcPr>
          <w:p w14:paraId="2ADF419D" w14:textId="77777777" w:rsidR="00AC375F" w:rsidRPr="00AC375F" w:rsidRDefault="00AC375F" w:rsidP="00AC375F">
            <w:pPr>
              <w:jc w:val="center"/>
              <w:rPr>
                <w:rFonts w:cstheme="minorHAnsi"/>
                <w:sz w:val="18"/>
                <w:szCs w:val="18"/>
              </w:rPr>
            </w:pPr>
          </w:p>
        </w:tc>
        <w:tc>
          <w:tcPr>
            <w:tcW w:w="1134" w:type="dxa"/>
            <w:shd w:val="clear" w:color="auto" w:fill="A3E7FF"/>
            <w:noWrap/>
          </w:tcPr>
          <w:p w14:paraId="51E4F123" w14:textId="77777777" w:rsidR="00AC375F" w:rsidRPr="00AC375F" w:rsidRDefault="00AC375F" w:rsidP="00AC375F">
            <w:pPr>
              <w:jc w:val="center"/>
              <w:rPr>
                <w:rFonts w:cstheme="minorHAnsi"/>
                <w:sz w:val="18"/>
                <w:szCs w:val="18"/>
              </w:rPr>
            </w:pPr>
          </w:p>
        </w:tc>
      </w:tr>
      <w:tr w:rsidR="00AC375F" w:rsidRPr="00AC375F" w14:paraId="5A72D4AB" w14:textId="77777777" w:rsidTr="00991955">
        <w:trPr>
          <w:trHeight w:val="315"/>
        </w:trPr>
        <w:tc>
          <w:tcPr>
            <w:tcW w:w="4339" w:type="dxa"/>
            <w:shd w:val="clear" w:color="auto" w:fill="auto"/>
            <w:noWrap/>
          </w:tcPr>
          <w:p w14:paraId="416BF056" w14:textId="77777777" w:rsidR="00AC375F" w:rsidRPr="00AC375F" w:rsidRDefault="00AC375F" w:rsidP="00AC375F">
            <w:pPr>
              <w:rPr>
                <w:rFonts w:cstheme="minorHAnsi"/>
                <w:i/>
                <w:sz w:val="18"/>
                <w:szCs w:val="18"/>
              </w:rPr>
            </w:pPr>
            <w:r w:rsidRPr="00AC375F">
              <w:rPr>
                <w:rFonts w:cstheme="minorHAnsi"/>
                <w:i/>
                <w:sz w:val="18"/>
                <w:szCs w:val="18"/>
              </w:rPr>
              <w:t>Naziv skupine</w:t>
            </w:r>
          </w:p>
        </w:tc>
        <w:tc>
          <w:tcPr>
            <w:tcW w:w="1882" w:type="dxa"/>
            <w:shd w:val="clear" w:color="auto" w:fill="FFFFFF" w:themeFill="background1"/>
            <w:noWrap/>
          </w:tcPr>
          <w:p w14:paraId="64EFEE81" w14:textId="77777777" w:rsidR="00AC375F" w:rsidRPr="00AC375F" w:rsidRDefault="00AC375F" w:rsidP="00AC375F">
            <w:pPr>
              <w:jc w:val="center"/>
              <w:rPr>
                <w:rFonts w:cstheme="minorHAnsi"/>
                <w:i/>
                <w:sz w:val="18"/>
                <w:szCs w:val="18"/>
              </w:rPr>
            </w:pPr>
            <w:r w:rsidRPr="00AC375F">
              <w:rPr>
                <w:rFonts w:cstheme="minorHAnsi"/>
                <w:i/>
                <w:sz w:val="18"/>
                <w:szCs w:val="18"/>
              </w:rPr>
              <w:t>mjesto</w:t>
            </w:r>
          </w:p>
        </w:tc>
        <w:tc>
          <w:tcPr>
            <w:tcW w:w="940" w:type="dxa"/>
            <w:shd w:val="clear" w:color="auto" w:fill="auto"/>
            <w:noWrap/>
          </w:tcPr>
          <w:p w14:paraId="639DADD7" w14:textId="77777777" w:rsidR="00AC375F" w:rsidRPr="00AC375F" w:rsidRDefault="00AC375F" w:rsidP="00AC375F">
            <w:pPr>
              <w:jc w:val="center"/>
              <w:rPr>
                <w:rFonts w:cstheme="minorHAnsi"/>
                <w:i/>
                <w:sz w:val="18"/>
                <w:szCs w:val="18"/>
              </w:rPr>
            </w:pPr>
            <w:r w:rsidRPr="00AC375F">
              <w:rPr>
                <w:rFonts w:cstheme="minorHAnsi"/>
                <w:i/>
                <w:sz w:val="18"/>
                <w:szCs w:val="18"/>
              </w:rPr>
              <w:t>broj djelatnika</w:t>
            </w:r>
          </w:p>
        </w:tc>
        <w:tc>
          <w:tcPr>
            <w:tcW w:w="1090" w:type="dxa"/>
            <w:shd w:val="clear" w:color="auto" w:fill="auto"/>
            <w:noWrap/>
          </w:tcPr>
          <w:p w14:paraId="33230F49" w14:textId="77777777" w:rsidR="00AC375F" w:rsidRPr="00AC375F" w:rsidRDefault="00AC375F" w:rsidP="00AC375F">
            <w:pPr>
              <w:jc w:val="center"/>
              <w:rPr>
                <w:rFonts w:cstheme="minorHAnsi"/>
                <w:i/>
                <w:sz w:val="18"/>
                <w:szCs w:val="18"/>
              </w:rPr>
            </w:pPr>
            <w:r w:rsidRPr="00AC375F">
              <w:rPr>
                <w:rFonts w:cstheme="minorHAnsi"/>
                <w:i/>
                <w:sz w:val="18"/>
                <w:szCs w:val="18"/>
              </w:rPr>
              <w:t>mjesec</w:t>
            </w:r>
          </w:p>
        </w:tc>
        <w:tc>
          <w:tcPr>
            <w:tcW w:w="1134" w:type="dxa"/>
            <w:shd w:val="clear" w:color="auto" w:fill="auto"/>
            <w:noWrap/>
          </w:tcPr>
          <w:p w14:paraId="630E38DC" w14:textId="77777777" w:rsidR="00AC375F" w:rsidRPr="00AC375F" w:rsidRDefault="00AC375F" w:rsidP="00AC375F">
            <w:pPr>
              <w:jc w:val="center"/>
              <w:rPr>
                <w:rFonts w:cstheme="minorHAnsi"/>
                <w:i/>
                <w:sz w:val="18"/>
                <w:szCs w:val="18"/>
              </w:rPr>
            </w:pPr>
            <w:r w:rsidRPr="00AC375F">
              <w:rPr>
                <w:rFonts w:cstheme="minorHAnsi"/>
                <w:i/>
                <w:sz w:val="18"/>
                <w:szCs w:val="18"/>
              </w:rPr>
              <w:t>broj dana/</w:t>
            </w:r>
          </w:p>
          <w:p w14:paraId="33A84BDB" w14:textId="77777777" w:rsidR="00AC375F" w:rsidRPr="00AC375F" w:rsidRDefault="00AC375F" w:rsidP="00AC375F">
            <w:pPr>
              <w:jc w:val="center"/>
              <w:rPr>
                <w:rFonts w:cstheme="minorHAnsi"/>
                <w:i/>
                <w:sz w:val="18"/>
                <w:szCs w:val="18"/>
              </w:rPr>
            </w:pPr>
            <w:r w:rsidRPr="00AC375F">
              <w:rPr>
                <w:rFonts w:cstheme="minorHAnsi"/>
                <w:i/>
                <w:sz w:val="18"/>
                <w:szCs w:val="18"/>
              </w:rPr>
              <w:t>sastanku</w:t>
            </w:r>
          </w:p>
        </w:tc>
      </w:tr>
      <w:tr w:rsidR="00AC375F" w:rsidRPr="00AC375F" w14:paraId="332BAF45" w14:textId="77777777" w:rsidTr="00991955">
        <w:trPr>
          <w:trHeight w:val="315"/>
        </w:trPr>
        <w:tc>
          <w:tcPr>
            <w:tcW w:w="4339" w:type="dxa"/>
            <w:shd w:val="clear" w:color="auto" w:fill="auto"/>
            <w:noWrap/>
          </w:tcPr>
          <w:p w14:paraId="0255823C" w14:textId="77777777" w:rsidR="00AC375F" w:rsidRPr="00AC375F" w:rsidRDefault="00AC375F" w:rsidP="00AC375F">
            <w:pPr>
              <w:rPr>
                <w:rFonts w:cstheme="minorHAnsi"/>
                <w:b/>
                <w:sz w:val="18"/>
                <w:szCs w:val="18"/>
              </w:rPr>
            </w:pPr>
            <w:r w:rsidRPr="00400391">
              <w:rPr>
                <w:b/>
                <w:bCs/>
                <w:sz w:val="18"/>
                <w:szCs w:val="18"/>
              </w:rPr>
              <w:t>Radna skupina za pripremu i provedbu projekta (investicije) „Izrada sustava praćenja i preveniranja nestašice lijekova u Republici Hrvatskoj“ u okviru Nacionalnog plana oporavka i otpornosti Vlade RH 2021.-2026.</w:t>
            </w:r>
          </w:p>
        </w:tc>
        <w:tc>
          <w:tcPr>
            <w:tcW w:w="1882" w:type="dxa"/>
            <w:shd w:val="clear" w:color="auto" w:fill="auto"/>
            <w:noWrap/>
          </w:tcPr>
          <w:p w14:paraId="2571F0AB" w14:textId="77777777" w:rsidR="00AC375F" w:rsidRPr="00AC375F" w:rsidRDefault="00AC375F" w:rsidP="00AC375F">
            <w:pPr>
              <w:jc w:val="center"/>
              <w:rPr>
                <w:rFonts w:cstheme="minorHAnsi"/>
                <w:sz w:val="18"/>
                <w:szCs w:val="18"/>
              </w:rPr>
            </w:pPr>
            <w:r w:rsidRPr="00AC375F">
              <w:rPr>
                <w:rFonts w:cstheme="minorHAnsi"/>
                <w:sz w:val="18"/>
                <w:szCs w:val="18"/>
              </w:rPr>
              <w:t>Ministarstvo zdravstva</w:t>
            </w:r>
          </w:p>
          <w:p w14:paraId="1F2AA4CB" w14:textId="77777777" w:rsidR="00AC375F" w:rsidRPr="00AC375F" w:rsidRDefault="00AC375F" w:rsidP="00AC375F">
            <w:pPr>
              <w:jc w:val="center"/>
              <w:rPr>
                <w:rFonts w:cstheme="minorHAnsi"/>
                <w:sz w:val="18"/>
                <w:szCs w:val="18"/>
              </w:rPr>
            </w:pPr>
            <w:r w:rsidRPr="00AC375F">
              <w:rPr>
                <w:rFonts w:cstheme="minorHAnsi"/>
                <w:sz w:val="18"/>
                <w:szCs w:val="18"/>
              </w:rPr>
              <w:t>virtualno</w:t>
            </w:r>
          </w:p>
          <w:p w14:paraId="4200D3F7" w14:textId="77777777" w:rsidR="00AC375F" w:rsidRPr="00AC375F" w:rsidRDefault="00AC375F" w:rsidP="00AC375F">
            <w:pPr>
              <w:jc w:val="center"/>
              <w:rPr>
                <w:rFonts w:cstheme="minorHAnsi"/>
                <w:sz w:val="18"/>
                <w:szCs w:val="18"/>
              </w:rPr>
            </w:pPr>
          </w:p>
          <w:p w14:paraId="34D08ADD" w14:textId="77777777" w:rsidR="00AC375F" w:rsidRPr="00AC375F" w:rsidRDefault="00AC375F" w:rsidP="00AC375F">
            <w:pPr>
              <w:jc w:val="center"/>
              <w:rPr>
                <w:rFonts w:cstheme="minorHAnsi"/>
                <w:sz w:val="18"/>
                <w:szCs w:val="18"/>
              </w:rPr>
            </w:pPr>
          </w:p>
        </w:tc>
        <w:tc>
          <w:tcPr>
            <w:tcW w:w="940" w:type="dxa"/>
            <w:shd w:val="clear" w:color="auto" w:fill="auto"/>
            <w:noWrap/>
          </w:tcPr>
          <w:p w14:paraId="3F6C1BD9" w14:textId="77777777" w:rsidR="00AC375F" w:rsidRPr="00AC375F" w:rsidRDefault="00AC375F" w:rsidP="00AC375F">
            <w:pPr>
              <w:jc w:val="center"/>
              <w:rPr>
                <w:rFonts w:cstheme="minorHAnsi"/>
                <w:sz w:val="18"/>
                <w:szCs w:val="18"/>
              </w:rPr>
            </w:pPr>
            <w:r w:rsidRPr="00AC375F">
              <w:rPr>
                <w:rFonts w:cstheme="minorHAnsi"/>
                <w:sz w:val="18"/>
                <w:szCs w:val="18"/>
              </w:rPr>
              <w:t>1</w:t>
            </w:r>
          </w:p>
          <w:p w14:paraId="31752C53" w14:textId="77777777" w:rsidR="00AC375F" w:rsidRPr="00AC375F" w:rsidRDefault="00AC375F" w:rsidP="00AC375F">
            <w:pPr>
              <w:jc w:val="center"/>
              <w:rPr>
                <w:rFonts w:cstheme="minorHAnsi"/>
                <w:sz w:val="18"/>
                <w:szCs w:val="18"/>
              </w:rPr>
            </w:pPr>
          </w:p>
        </w:tc>
        <w:tc>
          <w:tcPr>
            <w:tcW w:w="1090" w:type="dxa"/>
            <w:shd w:val="clear" w:color="auto" w:fill="auto"/>
            <w:noWrap/>
          </w:tcPr>
          <w:p w14:paraId="7732337B" w14:textId="77777777" w:rsidR="00AC375F" w:rsidRPr="00AC375F" w:rsidRDefault="00AC375F" w:rsidP="00AC375F">
            <w:pPr>
              <w:jc w:val="center"/>
              <w:rPr>
                <w:rFonts w:cstheme="minorHAnsi"/>
                <w:sz w:val="18"/>
                <w:szCs w:val="18"/>
              </w:rPr>
            </w:pPr>
            <w:r w:rsidRPr="00AC375F">
              <w:rPr>
                <w:rFonts w:cstheme="minorHAnsi"/>
                <w:sz w:val="18"/>
                <w:szCs w:val="18"/>
              </w:rPr>
              <w:t>veljača</w:t>
            </w:r>
          </w:p>
          <w:p w14:paraId="5BEDF2E3" w14:textId="77777777" w:rsidR="00AC375F" w:rsidRPr="00AC375F" w:rsidRDefault="00AC375F" w:rsidP="00AC375F">
            <w:pPr>
              <w:rPr>
                <w:rFonts w:cstheme="minorHAnsi"/>
                <w:sz w:val="18"/>
                <w:szCs w:val="18"/>
              </w:rPr>
            </w:pPr>
            <w:r w:rsidRPr="00AC375F">
              <w:rPr>
                <w:rFonts w:cstheme="minorHAnsi"/>
                <w:sz w:val="18"/>
                <w:szCs w:val="18"/>
              </w:rPr>
              <w:t xml:space="preserve">       </w:t>
            </w:r>
          </w:p>
          <w:p w14:paraId="528BDC62" w14:textId="77777777" w:rsidR="00AC375F" w:rsidRPr="00AC375F" w:rsidRDefault="00AC375F" w:rsidP="00AC375F">
            <w:pPr>
              <w:rPr>
                <w:rFonts w:cstheme="minorHAnsi"/>
                <w:sz w:val="18"/>
                <w:szCs w:val="18"/>
              </w:rPr>
            </w:pPr>
            <w:r w:rsidRPr="00AC375F">
              <w:rPr>
                <w:rFonts w:cstheme="minorHAnsi"/>
                <w:sz w:val="18"/>
                <w:szCs w:val="18"/>
              </w:rPr>
              <w:t xml:space="preserve">       </w:t>
            </w:r>
          </w:p>
          <w:p w14:paraId="5A928759" w14:textId="77777777" w:rsidR="00AC375F" w:rsidRPr="00AC375F" w:rsidRDefault="00AC375F" w:rsidP="00AC375F">
            <w:pPr>
              <w:rPr>
                <w:rFonts w:cstheme="minorHAnsi"/>
                <w:sz w:val="18"/>
                <w:szCs w:val="18"/>
              </w:rPr>
            </w:pPr>
          </w:p>
        </w:tc>
        <w:tc>
          <w:tcPr>
            <w:tcW w:w="1134" w:type="dxa"/>
            <w:shd w:val="clear" w:color="auto" w:fill="auto"/>
            <w:noWrap/>
          </w:tcPr>
          <w:p w14:paraId="425F42D0" w14:textId="77777777" w:rsidR="00AC375F" w:rsidRPr="00AC375F" w:rsidRDefault="00AC375F" w:rsidP="00AC375F">
            <w:pPr>
              <w:jc w:val="center"/>
              <w:rPr>
                <w:rFonts w:cstheme="minorHAnsi"/>
                <w:sz w:val="18"/>
                <w:szCs w:val="18"/>
              </w:rPr>
            </w:pPr>
            <w:r w:rsidRPr="00AC375F">
              <w:rPr>
                <w:rFonts w:cstheme="minorHAnsi"/>
                <w:sz w:val="18"/>
                <w:szCs w:val="18"/>
              </w:rPr>
              <w:t>1</w:t>
            </w:r>
          </w:p>
          <w:p w14:paraId="5B930B77" w14:textId="77777777" w:rsidR="00AC375F" w:rsidRPr="00AC375F" w:rsidRDefault="00AC375F" w:rsidP="00AC375F">
            <w:pPr>
              <w:jc w:val="center"/>
              <w:rPr>
                <w:rFonts w:cstheme="minorHAnsi"/>
                <w:sz w:val="18"/>
                <w:szCs w:val="18"/>
              </w:rPr>
            </w:pPr>
          </w:p>
        </w:tc>
      </w:tr>
      <w:tr w:rsidR="00AC375F" w:rsidRPr="00AC375F" w14:paraId="44149939" w14:textId="77777777" w:rsidTr="00991955">
        <w:trPr>
          <w:trHeight w:hRule="exact" w:val="284"/>
        </w:trPr>
        <w:tc>
          <w:tcPr>
            <w:tcW w:w="4339" w:type="dxa"/>
            <w:shd w:val="clear" w:color="auto" w:fill="auto"/>
            <w:noWrap/>
          </w:tcPr>
          <w:p w14:paraId="2DEFB825" w14:textId="77777777" w:rsidR="00AC375F" w:rsidRPr="00AC375F" w:rsidRDefault="00AC375F" w:rsidP="00AC375F">
            <w:pPr>
              <w:rPr>
                <w:rFonts w:eastAsia="Times New Roman"/>
                <w:b/>
                <w:sz w:val="18"/>
                <w:szCs w:val="18"/>
              </w:rPr>
            </w:pPr>
          </w:p>
        </w:tc>
        <w:tc>
          <w:tcPr>
            <w:tcW w:w="1882" w:type="dxa"/>
            <w:shd w:val="clear" w:color="auto" w:fill="auto"/>
            <w:noWrap/>
          </w:tcPr>
          <w:p w14:paraId="60782141" w14:textId="77777777" w:rsidR="00AC375F" w:rsidRPr="00AC375F" w:rsidRDefault="00AC375F" w:rsidP="00AC375F">
            <w:pPr>
              <w:jc w:val="center"/>
              <w:rPr>
                <w:rFonts w:cstheme="minorHAnsi"/>
                <w:sz w:val="18"/>
                <w:szCs w:val="18"/>
              </w:rPr>
            </w:pPr>
            <w:r w:rsidRPr="00AC375F">
              <w:rPr>
                <w:rFonts w:cstheme="minorHAnsi"/>
                <w:sz w:val="18"/>
                <w:szCs w:val="18"/>
              </w:rPr>
              <w:t>Ljekarnička komora</w:t>
            </w:r>
          </w:p>
          <w:p w14:paraId="7BA0B531" w14:textId="77777777" w:rsidR="00AC375F" w:rsidRPr="00AC375F" w:rsidRDefault="00AC375F" w:rsidP="00AC375F">
            <w:pPr>
              <w:jc w:val="center"/>
              <w:rPr>
                <w:rFonts w:cstheme="minorHAnsi"/>
                <w:sz w:val="18"/>
                <w:szCs w:val="18"/>
              </w:rPr>
            </w:pPr>
          </w:p>
        </w:tc>
        <w:tc>
          <w:tcPr>
            <w:tcW w:w="940" w:type="dxa"/>
            <w:shd w:val="clear" w:color="auto" w:fill="auto"/>
            <w:noWrap/>
          </w:tcPr>
          <w:p w14:paraId="5F541F4C" w14:textId="77777777" w:rsidR="00AC375F" w:rsidRPr="00AC375F" w:rsidRDefault="00AC375F" w:rsidP="00AC375F">
            <w:pPr>
              <w:jc w:val="center"/>
              <w:rPr>
                <w:rFonts w:cstheme="minorHAnsi"/>
                <w:sz w:val="18"/>
                <w:szCs w:val="18"/>
              </w:rPr>
            </w:pPr>
            <w:r w:rsidRPr="00AC375F">
              <w:rPr>
                <w:rFonts w:cstheme="minorHAnsi"/>
                <w:sz w:val="18"/>
                <w:szCs w:val="18"/>
              </w:rPr>
              <w:t>2</w:t>
            </w:r>
          </w:p>
          <w:p w14:paraId="3941823F" w14:textId="77777777" w:rsidR="00AC375F" w:rsidRPr="00AC375F" w:rsidRDefault="00AC375F" w:rsidP="00AC375F">
            <w:pPr>
              <w:jc w:val="center"/>
              <w:rPr>
                <w:rFonts w:cstheme="minorHAnsi"/>
                <w:sz w:val="18"/>
                <w:szCs w:val="18"/>
              </w:rPr>
            </w:pPr>
          </w:p>
        </w:tc>
        <w:tc>
          <w:tcPr>
            <w:tcW w:w="1090" w:type="dxa"/>
            <w:shd w:val="clear" w:color="auto" w:fill="auto"/>
            <w:noWrap/>
          </w:tcPr>
          <w:p w14:paraId="212E8A59" w14:textId="77777777" w:rsidR="00AC375F" w:rsidRPr="00AC375F" w:rsidRDefault="00AC375F" w:rsidP="00AC375F">
            <w:pPr>
              <w:jc w:val="center"/>
              <w:rPr>
                <w:rFonts w:cstheme="minorHAnsi"/>
                <w:sz w:val="18"/>
                <w:szCs w:val="18"/>
              </w:rPr>
            </w:pPr>
            <w:r w:rsidRPr="00AC375F">
              <w:rPr>
                <w:rFonts w:cstheme="minorHAnsi"/>
                <w:sz w:val="18"/>
                <w:szCs w:val="18"/>
              </w:rPr>
              <w:t>veljača</w:t>
            </w:r>
          </w:p>
          <w:p w14:paraId="117E3B8C" w14:textId="77777777" w:rsidR="00AC375F" w:rsidRPr="00AC375F" w:rsidRDefault="00AC375F" w:rsidP="00AC375F">
            <w:pPr>
              <w:jc w:val="center"/>
              <w:rPr>
                <w:rFonts w:cstheme="minorHAnsi"/>
                <w:sz w:val="18"/>
                <w:szCs w:val="18"/>
              </w:rPr>
            </w:pPr>
          </w:p>
        </w:tc>
        <w:tc>
          <w:tcPr>
            <w:tcW w:w="1134" w:type="dxa"/>
            <w:shd w:val="clear" w:color="auto" w:fill="auto"/>
            <w:noWrap/>
          </w:tcPr>
          <w:p w14:paraId="32BF1AB7" w14:textId="77777777" w:rsidR="00AC375F" w:rsidRPr="00AC375F" w:rsidRDefault="00AC375F" w:rsidP="00AC375F">
            <w:pPr>
              <w:jc w:val="center"/>
              <w:rPr>
                <w:rFonts w:cstheme="minorHAnsi"/>
                <w:sz w:val="18"/>
                <w:szCs w:val="18"/>
              </w:rPr>
            </w:pPr>
            <w:r w:rsidRPr="00AC375F">
              <w:rPr>
                <w:rFonts w:cstheme="minorHAnsi"/>
                <w:sz w:val="18"/>
                <w:szCs w:val="18"/>
              </w:rPr>
              <w:t>1</w:t>
            </w:r>
          </w:p>
          <w:p w14:paraId="6870A270" w14:textId="77777777" w:rsidR="00AC375F" w:rsidRPr="00AC375F" w:rsidRDefault="00AC375F" w:rsidP="00AC375F">
            <w:pPr>
              <w:jc w:val="center"/>
              <w:rPr>
                <w:rFonts w:cstheme="minorHAnsi"/>
                <w:sz w:val="18"/>
                <w:szCs w:val="18"/>
              </w:rPr>
            </w:pPr>
          </w:p>
        </w:tc>
      </w:tr>
      <w:tr w:rsidR="00AC375F" w:rsidRPr="00AC375F" w14:paraId="4D504C96" w14:textId="77777777" w:rsidTr="00991955">
        <w:trPr>
          <w:trHeight w:hRule="exact" w:val="284"/>
        </w:trPr>
        <w:tc>
          <w:tcPr>
            <w:tcW w:w="4339" w:type="dxa"/>
            <w:shd w:val="clear" w:color="auto" w:fill="auto"/>
            <w:noWrap/>
          </w:tcPr>
          <w:p w14:paraId="6547072E" w14:textId="77777777" w:rsidR="00AC375F" w:rsidRPr="00AC375F" w:rsidRDefault="00AC375F" w:rsidP="00AC375F">
            <w:pPr>
              <w:rPr>
                <w:rFonts w:eastAsia="Times New Roman"/>
                <w:b/>
                <w:sz w:val="18"/>
                <w:szCs w:val="18"/>
              </w:rPr>
            </w:pPr>
          </w:p>
        </w:tc>
        <w:tc>
          <w:tcPr>
            <w:tcW w:w="1882" w:type="dxa"/>
            <w:shd w:val="clear" w:color="auto" w:fill="auto"/>
            <w:noWrap/>
          </w:tcPr>
          <w:p w14:paraId="70EB69FE" w14:textId="77777777" w:rsidR="00AC375F" w:rsidRPr="00AC375F" w:rsidRDefault="00AC375F" w:rsidP="00AC375F">
            <w:pPr>
              <w:jc w:val="center"/>
              <w:rPr>
                <w:rFonts w:cstheme="minorHAnsi"/>
                <w:sz w:val="18"/>
                <w:szCs w:val="18"/>
              </w:rPr>
            </w:pPr>
            <w:r w:rsidRPr="00AC375F">
              <w:rPr>
                <w:rFonts w:cstheme="minorHAnsi"/>
                <w:sz w:val="18"/>
                <w:szCs w:val="18"/>
              </w:rPr>
              <w:t>Ministarstvo zdravstva</w:t>
            </w:r>
          </w:p>
          <w:p w14:paraId="124E1FE6" w14:textId="77777777" w:rsidR="00AC375F" w:rsidRPr="00AC375F" w:rsidRDefault="00AC375F" w:rsidP="00AC375F">
            <w:pPr>
              <w:jc w:val="center"/>
              <w:rPr>
                <w:rFonts w:cstheme="minorHAnsi"/>
                <w:sz w:val="18"/>
                <w:szCs w:val="18"/>
              </w:rPr>
            </w:pPr>
          </w:p>
        </w:tc>
        <w:tc>
          <w:tcPr>
            <w:tcW w:w="940" w:type="dxa"/>
            <w:shd w:val="clear" w:color="auto" w:fill="auto"/>
            <w:noWrap/>
          </w:tcPr>
          <w:p w14:paraId="5A2A8050" w14:textId="77777777" w:rsidR="00AC375F" w:rsidRPr="00AC375F" w:rsidRDefault="00AC375F" w:rsidP="00AC375F">
            <w:pPr>
              <w:jc w:val="center"/>
              <w:rPr>
                <w:rFonts w:cstheme="minorHAnsi"/>
                <w:sz w:val="18"/>
                <w:szCs w:val="18"/>
              </w:rPr>
            </w:pPr>
            <w:r w:rsidRPr="00AC375F">
              <w:rPr>
                <w:rFonts w:cstheme="minorHAnsi"/>
                <w:sz w:val="18"/>
                <w:szCs w:val="18"/>
              </w:rPr>
              <w:t>2</w:t>
            </w:r>
          </w:p>
          <w:p w14:paraId="2B895B06" w14:textId="77777777" w:rsidR="00AC375F" w:rsidRPr="00AC375F" w:rsidRDefault="00AC375F" w:rsidP="00AC375F">
            <w:pPr>
              <w:jc w:val="center"/>
              <w:rPr>
                <w:rFonts w:cstheme="minorHAnsi"/>
                <w:sz w:val="18"/>
                <w:szCs w:val="18"/>
              </w:rPr>
            </w:pPr>
          </w:p>
        </w:tc>
        <w:tc>
          <w:tcPr>
            <w:tcW w:w="1090" w:type="dxa"/>
            <w:shd w:val="clear" w:color="auto" w:fill="auto"/>
            <w:noWrap/>
          </w:tcPr>
          <w:p w14:paraId="4F75C67A" w14:textId="77777777" w:rsidR="00AC375F" w:rsidRPr="00AC375F" w:rsidRDefault="00AC375F" w:rsidP="00AC375F">
            <w:pPr>
              <w:jc w:val="center"/>
              <w:rPr>
                <w:rFonts w:cstheme="minorHAnsi"/>
                <w:sz w:val="18"/>
                <w:szCs w:val="18"/>
              </w:rPr>
            </w:pPr>
            <w:r w:rsidRPr="00AC375F">
              <w:rPr>
                <w:rFonts w:cstheme="minorHAnsi"/>
                <w:sz w:val="18"/>
                <w:szCs w:val="18"/>
              </w:rPr>
              <w:t>svibanj</w:t>
            </w:r>
          </w:p>
          <w:p w14:paraId="744C133B" w14:textId="77777777" w:rsidR="00AC375F" w:rsidRPr="00AC375F" w:rsidRDefault="00AC375F" w:rsidP="00AC375F">
            <w:pPr>
              <w:jc w:val="center"/>
              <w:rPr>
                <w:rFonts w:cstheme="minorHAnsi"/>
                <w:sz w:val="18"/>
                <w:szCs w:val="18"/>
              </w:rPr>
            </w:pPr>
          </w:p>
        </w:tc>
        <w:tc>
          <w:tcPr>
            <w:tcW w:w="1134" w:type="dxa"/>
            <w:shd w:val="clear" w:color="auto" w:fill="auto"/>
            <w:noWrap/>
          </w:tcPr>
          <w:p w14:paraId="258AA144" w14:textId="77777777" w:rsidR="00AC375F" w:rsidRPr="00AC375F" w:rsidRDefault="00AC375F" w:rsidP="00AC375F">
            <w:pPr>
              <w:jc w:val="center"/>
              <w:rPr>
                <w:rFonts w:cstheme="minorHAnsi"/>
                <w:sz w:val="18"/>
                <w:szCs w:val="18"/>
              </w:rPr>
            </w:pPr>
            <w:r w:rsidRPr="00AC375F">
              <w:rPr>
                <w:rFonts w:cstheme="minorHAnsi"/>
                <w:sz w:val="18"/>
                <w:szCs w:val="18"/>
              </w:rPr>
              <w:t>1</w:t>
            </w:r>
          </w:p>
          <w:p w14:paraId="525977A8" w14:textId="77777777" w:rsidR="00AC375F" w:rsidRPr="00AC375F" w:rsidRDefault="00AC375F" w:rsidP="00AC375F">
            <w:pPr>
              <w:jc w:val="center"/>
              <w:rPr>
                <w:rFonts w:cstheme="minorHAnsi"/>
                <w:sz w:val="18"/>
                <w:szCs w:val="18"/>
              </w:rPr>
            </w:pPr>
          </w:p>
        </w:tc>
      </w:tr>
      <w:tr w:rsidR="00AC375F" w:rsidRPr="00AC375F" w14:paraId="2C2BB42E" w14:textId="77777777" w:rsidTr="00991955">
        <w:trPr>
          <w:trHeight w:hRule="exact" w:val="284"/>
        </w:trPr>
        <w:tc>
          <w:tcPr>
            <w:tcW w:w="4339" w:type="dxa"/>
            <w:shd w:val="clear" w:color="auto" w:fill="auto"/>
            <w:noWrap/>
          </w:tcPr>
          <w:p w14:paraId="1C96E731" w14:textId="77777777" w:rsidR="00AC375F" w:rsidRPr="00AC375F" w:rsidRDefault="00AC375F" w:rsidP="00AC375F">
            <w:pPr>
              <w:rPr>
                <w:rFonts w:eastAsia="Times New Roman"/>
                <w:b/>
                <w:sz w:val="18"/>
                <w:szCs w:val="18"/>
              </w:rPr>
            </w:pPr>
          </w:p>
        </w:tc>
        <w:tc>
          <w:tcPr>
            <w:tcW w:w="1882" w:type="dxa"/>
            <w:shd w:val="clear" w:color="auto" w:fill="auto"/>
            <w:noWrap/>
          </w:tcPr>
          <w:p w14:paraId="64300E54" w14:textId="77777777" w:rsidR="00AC375F" w:rsidRPr="00AC375F" w:rsidRDefault="00AC375F" w:rsidP="00AC375F">
            <w:pPr>
              <w:jc w:val="center"/>
              <w:rPr>
                <w:rFonts w:cstheme="minorHAnsi"/>
                <w:sz w:val="18"/>
                <w:szCs w:val="18"/>
              </w:rPr>
            </w:pPr>
            <w:r w:rsidRPr="00AC375F">
              <w:rPr>
                <w:rFonts w:cstheme="minorHAnsi"/>
                <w:sz w:val="18"/>
                <w:szCs w:val="18"/>
              </w:rPr>
              <w:t>virtualno</w:t>
            </w:r>
          </w:p>
          <w:p w14:paraId="22A289F4" w14:textId="77777777" w:rsidR="00AC375F" w:rsidRPr="00AC375F" w:rsidRDefault="00AC375F" w:rsidP="00AC375F">
            <w:pPr>
              <w:jc w:val="center"/>
              <w:rPr>
                <w:rFonts w:cstheme="minorHAnsi"/>
                <w:sz w:val="18"/>
                <w:szCs w:val="18"/>
              </w:rPr>
            </w:pPr>
          </w:p>
        </w:tc>
        <w:tc>
          <w:tcPr>
            <w:tcW w:w="940" w:type="dxa"/>
            <w:shd w:val="clear" w:color="auto" w:fill="auto"/>
            <w:noWrap/>
          </w:tcPr>
          <w:p w14:paraId="50931C86" w14:textId="77777777" w:rsidR="00AC375F" w:rsidRPr="00AC375F" w:rsidRDefault="00AC375F" w:rsidP="00AC375F">
            <w:pPr>
              <w:jc w:val="center"/>
              <w:rPr>
                <w:rFonts w:cstheme="minorHAnsi"/>
                <w:sz w:val="18"/>
                <w:szCs w:val="18"/>
              </w:rPr>
            </w:pPr>
            <w:r w:rsidRPr="00AC375F">
              <w:rPr>
                <w:rFonts w:cstheme="minorHAnsi"/>
                <w:sz w:val="18"/>
                <w:szCs w:val="18"/>
              </w:rPr>
              <w:t>2</w:t>
            </w:r>
          </w:p>
          <w:p w14:paraId="36BA1413" w14:textId="77777777" w:rsidR="00AC375F" w:rsidRPr="00AC375F" w:rsidRDefault="00AC375F" w:rsidP="00AC375F">
            <w:pPr>
              <w:jc w:val="center"/>
              <w:rPr>
                <w:rFonts w:cstheme="minorHAnsi"/>
                <w:sz w:val="18"/>
                <w:szCs w:val="18"/>
              </w:rPr>
            </w:pPr>
          </w:p>
        </w:tc>
        <w:tc>
          <w:tcPr>
            <w:tcW w:w="1090" w:type="dxa"/>
            <w:shd w:val="clear" w:color="auto" w:fill="auto"/>
            <w:noWrap/>
          </w:tcPr>
          <w:p w14:paraId="1BA0FD1D" w14:textId="77777777" w:rsidR="00AC375F" w:rsidRPr="00AC375F" w:rsidRDefault="00AC375F" w:rsidP="00AC375F">
            <w:pPr>
              <w:jc w:val="center"/>
              <w:rPr>
                <w:rFonts w:cstheme="minorHAnsi"/>
                <w:sz w:val="18"/>
                <w:szCs w:val="18"/>
              </w:rPr>
            </w:pPr>
            <w:r w:rsidRPr="00AC375F">
              <w:rPr>
                <w:rFonts w:cstheme="minorHAnsi"/>
                <w:sz w:val="18"/>
                <w:szCs w:val="18"/>
              </w:rPr>
              <w:t>svibanj</w:t>
            </w:r>
          </w:p>
          <w:p w14:paraId="0A1AFDB5" w14:textId="77777777" w:rsidR="00AC375F" w:rsidRPr="00AC375F" w:rsidRDefault="00AC375F" w:rsidP="00AC375F">
            <w:pPr>
              <w:jc w:val="center"/>
              <w:rPr>
                <w:rFonts w:cstheme="minorHAnsi"/>
                <w:sz w:val="18"/>
                <w:szCs w:val="18"/>
              </w:rPr>
            </w:pPr>
          </w:p>
        </w:tc>
        <w:tc>
          <w:tcPr>
            <w:tcW w:w="1134" w:type="dxa"/>
            <w:shd w:val="clear" w:color="auto" w:fill="auto"/>
            <w:noWrap/>
          </w:tcPr>
          <w:p w14:paraId="4883B6C2" w14:textId="77777777" w:rsidR="00AC375F" w:rsidRPr="00AC375F" w:rsidRDefault="00AC375F" w:rsidP="00AC375F">
            <w:pPr>
              <w:jc w:val="center"/>
              <w:rPr>
                <w:rFonts w:cstheme="minorHAnsi"/>
                <w:sz w:val="18"/>
                <w:szCs w:val="18"/>
              </w:rPr>
            </w:pPr>
            <w:r w:rsidRPr="00AC375F">
              <w:rPr>
                <w:rFonts w:cstheme="minorHAnsi"/>
                <w:sz w:val="18"/>
                <w:szCs w:val="18"/>
              </w:rPr>
              <w:t>1</w:t>
            </w:r>
          </w:p>
          <w:p w14:paraId="00071E8D" w14:textId="77777777" w:rsidR="00AC375F" w:rsidRPr="00AC375F" w:rsidRDefault="00AC375F" w:rsidP="00AC375F">
            <w:pPr>
              <w:jc w:val="center"/>
              <w:rPr>
                <w:rFonts w:cstheme="minorHAnsi"/>
                <w:sz w:val="18"/>
                <w:szCs w:val="18"/>
              </w:rPr>
            </w:pPr>
          </w:p>
        </w:tc>
      </w:tr>
      <w:tr w:rsidR="00AC375F" w:rsidRPr="00AC375F" w14:paraId="4BB0A6AA" w14:textId="77777777" w:rsidTr="00991955">
        <w:trPr>
          <w:trHeight w:hRule="exact" w:val="284"/>
        </w:trPr>
        <w:tc>
          <w:tcPr>
            <w:tcW w:w="4339" w:type="dxa"/>
            <w:shd w:val="clear" w:color="auto" w:fill="auto"/>
            <w:noWrap/>
          </w:tcPr>
          <w:p w14:paraId="23AC21F4" w14:textId="77777777" w:rsidR="00AC375F" w:rsidRPr="00AC375F" w:rsidRDefault="00AC375F" w:rsidP="00AC375F">
            <w:pPr>
              <w:rPr>
                <w:rFonts w:eastAsia="Times New Roman"/>
                <w:b/>
                <w:sz w:val="18"/>
                <w:szCs w:val="18"/>
              </w:rPr>
            </w:pPr>
          </w:p>
        </w:tc>
        <w:tc>
          <w:tcPr>
            <w:tcW w:w="1882" w:type="dxa"/>
            <w:shd w:val="clear" w:color="auto" w:fill="auto"/>
            <w:noWrap/>
          </w:tcPr>
          <w:p w14:paraId="1D9F5B92" w14:textId="77777777" w:rsidR="00AC375F" w:rsidRPr="00AC375F" w:rsidRDefault="00AC375F" w:rsidP="00AC375F">
            <w:pPr>
              <w:jc w:val="center"/>
              <w:rPr>
                <w:rFonts w:cstheme="minorHAnsi"/>
                <w:sz w:val="18"/>
                <w:szCs w:val="18"/>
              </w:rPr>
            </w:pPr>
            <w:r w:rsidRPr="00AC375F">
              <w:rPr>
                <w:rFonts w:cstheme="minorHAnsi"/>
                <w:sz w:val="18"/>
                <w:szCs w:val="18"/>
              </w:rPr>
              <w:t>virtualno</w:t>
            </w:r>
          </w:p>
          <w:p w14:paraId="05889FEC" w14:textId="77777777" w:rsidR="00AC375F" w:rsidRPr="00AC375F" w:rsidRDefault="00AC375F" w:rsidP="00AC375F">
            <w:pPr>
              <w:jc w:val="center"/>
              <w:rPr>
                <w:rFonts w:cstheme="minorHAnsi"/>
                <w:sz w:val="18"/>
                <w:szCs w:val="18"/>
              </w:rPr>
            </w:pPr>
          </w:p>
        </w:tc>
        <w:tc>
          <w:tcPr>
            <w:tcW w:w="940" w:type="dxa"/>
            <w:shd w:val="clear" w:color="auto" w:fill="auto"/>
            <w:noWrap/>
          </w:tcPr>
          <w:p w14:paraId="656BD6D5" w14:textId="77777777" w:rsidR="00AC375F" w:rsidRPr="00AC375F" w:rsidRDefault="00AC375F" w:rsidP="00AC375F">
            <w:pPr>
              <w:jc w:val="center"/>
              <w:rPr>
                <w:rFonts w:cstheme="minorHAnsi"/>
                <w:sz w:val="18"/>
                <w:szCs w:val="18"/>
              </w:rPr>
            </w:pPr>
            <w:r w:rsidRPr="00AC375F">
              <w:rPr>
                <w:rFonts w:cstheme="minorHAnsi"/>
                <w:sz w:val="18"/>
                <w:szCs w:val="18"/>
              </w:rPr>
              <w:t>2</w:t>
            </w:r>
          </w:p>
          <w:p w14:paraId="751D88C2" w14:textId="77777777" w:rsidR="00AC375F" w:rsidRPr="00AC375F" w:rsidRDefault="00AC375F" w:rsidP="00AC375F">
            <w:pPr>
              <w:jc w:val="center"/>
              <w:rPr>
                <w:rFonts w:cstheme="minorHAnsi"/>
                <w:sz w:val="18"/>
                <w:szCs w:val="18"/>
              </w:rPr>
            </w:pPr>
          </w:p>
        </w:tc>
        <w:tc>
          <w:tcPr>
            <w:tcW w:w="1090" w:type="dxa"/>
            <w:shd w:val="clear" w:color="auto" w:fill="auto"/>
            <w:noWrap/>
          </w:tcPr>
          <w:p w14:paraId="09148373" w14:textId="77777777" w:rsidR="00AC375F" w:rsidRPr="00AC375F" w:rsidRDefault="00AC375F" w:rsidP="00AC375F">
            <w:pPr>
              <w:jc w:val="center"/>
              <w:rPr>
                <w:rFonts w:cstheme="minorHAnsi"/>
                <w:sz w:val="18"/>
                <w:szCs w:val="18"/>
              </w:rPr>
            </w:pPr>
            <w:r w:rsidRPr="00AC375F">
              <w:rPr>
                <w:rFonts w:cstheme="minorHAnsi"/>
                <w:sz w:val="18"/>
                <w:szCs w:val="18"/>
              </w:rPr>
              <w:t>lipanj</w:t>
            </w:r>
          </w:p>
          <w:p w14:paraId="730387C0" w14:textId="77777777" w:rsidR="00AC375F" w:rsidRPr="00AC375F" w:rsidRDefault="00AC375F" w:rsidP="00AC375F">
            <w:pPr>
              <w:jc w:val="center"/>
              <w:rPr>
                <w:rFonts w:cstheme="minorHAnsi"/>
                <w:sz w:val="18"/>
                <w:szCs w:val="18"/>
              </w:rPr>
            </w:pPr>
          </w:p>
        </w:tc>
        <w:tc>
          <w:tcPr>
            <w:tcW w:w="1134" w:type="dxa"/>
            <w:shd w:val="clear" w:color="auto" w:fill="auto"/>
            <w:noWrap/>
          </w:tcPr>
          <w:p w14:paraId="697BBAB2" w14:textId="77777777" w:rsidR="00AC375F" w:rsidRPr="00AC375F" w:rsidRDefault="00AC375F" w:rsidP="00AC375F">
            <w:pPr>
              <w:jc w:val="center"/>
              <w:rPr>
                <w:rFonts w:cstheme="minorHAnsi"/>
                <w:sz w:val="18"/>
                <w:szCs w:val="18"/>
              </w:rPr>
            </w:pPr>
            <w:r w:rsidRPr="00AC375F">
              <w:rPr>
                <w:rFonts w:cstheme="minorHAnsi"/>
                <w:sz w:val="18"/>
                <w:szCs w:val="18"/>
              </w:rPr>
              <w:t>1</w:t>
            </w:r>
          </w:p>
          <w:p w14:paraId="4AB638DF" w14:textId="77777777" w:rsidR="00AC375F" w:rsidRPr="00AC375F" w:rsidRDefault="00AC375F" w:rsidP="00AC375F">
            <w:pPr>
              <w:jc w:val="center"/>
              <w:rPr>
                <w:rFonts w:cstheme="minorHAnsi"/>
                <w:sz w:val="18"/>
                <w:szCs w:val="18"/>
              </w:rPr>
            </w:pPr>
          </w:p>
        </w:tc>
      </w:tr>
      <w:tr w:rsidR="00AC375F" w:rsidRPr="00AC375F" w14:paraId="2C66A1FF" w14:textId="77777777" w:rsidTr="00991955">
        <w:trPr>
          <w:trHeight w:hRule="exact" w:val="284"/>
        </w:trPr>
        <w:tc>
          <w:tcPr>
            <w:tcW w:w="4339" w:type="dxa"/>
            <w:shd w:val="clear" w:color="auto" w:fill="auto"/>
            <w:noWrap/>
          </w:tcPr>
          <w:p w14:paraId="52F6B7ED" w14:textId="77777777" w:rsidR="00AC375F" w:rsidRPr="00AC375F" w:rsidRDefault="00AC375F" w:rsidP="00AC375F">
            <w:pPr>
              <w:rPr>
                <w:rFonts w:eastAsia="Times New Roman"/>
                <w:b/>
                <w:sz w:val="18"/>
                <w:szCs w:val="18"/>
              </w:rPr>
            </w:pPr>
          </w:p>
        </w:tc>
        <w:tc>
          <w:tcPr>
            <w:tcW w:w="1882" w:type="dxa"/>
            <w:shd w:val="clear" w:color="auto" w:fill="auto"/>
            <w:noWrap/>
          </w:tcPr>
          <w:p w14:paraId="5DFAD5B7" w14:textId="77777777" w:rsidR="00AC375F" w:rsidRPr="00AC375F" w:rsidRDefault="00AC375F" w:rsidP="00AC375F">
            <w:pPr>
              <w:jc w:val="center"/>
              <w:rPr>
                <w:rFonts w:cstheme="minorHAnsi"/>
                <w:sz w:val="18"/>
                <w:szCs w:val="18"/>
              </w:rPr>
            </w:pPr>
            <w:r w:rsidRPr="00AC375F">
              <w:rPr>
                <w:rFonts w:cstheme="minorHAnsi"/>
                <w:sz w:val="18"/>
                <w:szCs w:val="18"/>
              </w:rPr>
              <w:t>virtualno</w:t>
            </w:r>
          </w:p>
          <w:p w14:paraId="7AE5A66B" w14:textId="77777777" w:rsidR="00AC375F" w:rsidRPr="00AC375F" w:rsidRDefault="00AC375F" w:rsidP="00AC375F">
            <w:pPr>
              <w:jc w:val="center"/>
              <w:rPr>
                <w:rFonts w:cstheme="minorHAnsi"/>
                <w:sz w:val="18"/>
                <w:szCs w:val="18"/>
              </w:rPr>
            </w:pPr>
          </w:p>
        </w:tc>
        <w:tc>
          <w:tcPr>
            <w:tcW w:w="940" w:type="dxa"/>
            <w:shd w:val="clear" w:color="auto" w:fill="auto"/>
            <w:noWrap/>
          </w:tcPr>
          <w:p w14:paraId="572E4803" w14:textId="77777777" w:rsidR="00AC375F" w:rsidRPr="00AC375F" w:rsidRDefault="00AC375F" w:rsidP="00AC375F">
            <w:pPr>
              <w:jc w:val="center"/>
              <w:rPr>
                <w:rFonts w:cstheme="minorHAnsi"/>
                <w:sz w:val="18"/>
                <w:szCs w:val="18"/>
              </w:rPr>
            </w:pPr>
            <w:r w:rsidRPr="00AC375F">
              <w:rPr>
                <w:rFonts w:cstheme="minorHAnsi"/>
                <w:sz w:val="18"/>
                <w:szCs w:val="18"/>
              </w:rPr>
              <w:t>3</w:t>
            </w:r>
          </w:p>
        </w:tc>
        <w:tc>
          <w:tcPr>
            <w:tcW w:w="1090" w:type="dxa"/>
            <w:shd w:val="clear" w:color="auto" w:fill="auto"/>
            <w:noWrap/>
          </w:tcPr>
          <w:p w14:paraId="258D7FB8" w14:textId="77777777" w:rsidR="00AC375F" w:rsidRPr="00AC375F" w:rsidRDefault="00AC375F" w:rsidP="00AC375F">
            <w:pPr>
              <w:jc w:val="center"/>
              <w:rPr>
                <w:rFonts w:cstheme="minorHAnsi"/>
                <w:sz w:val="18"/>
                <w:szCs w:val="18"/>
              </w:rPr>
            </w:pPr>
            <w:r w:rsidRPr="00AC375F">
              <w:rPr>
                <w:rFonts w:cstheme="minorHAnsi"/>
                <w:sz w:val="18"/>
                <w:szCs w:val="18"/>
              </w:rPr>
              <w:t>srpanj</w:t>
            </w:r>
          </w:p>
        </w:tc>
        <w:tc>
          <w:tcPr>
            <w:tcW w:w="1134" w:type="dxa"/>
            <w:shd w:val="clear" w:color="auto" w:fill="auto"/>
            <w:noWrap/>
          </w:tcPr>
          <w:p w14:paraId="40698D83" w14:textId="77777777" w:rsidR="00AC375F" w:rsidRPr="00AC375F" w:rsidRDefault="00AC375F" w:rsidP="00AC375F">
            <w:pPr>
              <w:jc w:val="center"/>
              <w:rPr>
                <w:rFonts w:cstheme="minorHAnsi"/>
                <w:sz w:val="18"/>
                <w:szCs w:val="18"/>
              </w:rPr>
            </w:pPr>
            <w:r w:rsidRPr="00AC375F">
              <w:rPr>
                <w:rFonts w:cstheme="minorHAnsi"/>
                <w:sz w:val="18"/>
                <w:szCs w:val="18"/>
              </w:rPr>
              <w:t>1</w:t>
            </w:r>
          </w:p>
        </w:tc>
      </w:tr>
      <w:tr w:rsidR="00AC375F" w:rsidRPr="00AC375F" w14:paraId="6A9B98B6" w14:textId="77777777" w:rsidTr="00991955">
        <w:trPr>
          <w:trHeight w:hRule="exact" w:val="284"/>
        </w:trPr>
        <w:tc>
          <w:tcPr>
            <w:tcW w:w="4339" w:type="dxa"/>
            <w:shd w:val="clear" w:color="auto" w:fill="auto"/>
            <w:noWrap/>
          </w:tcPr>
          <w:p w14:paraId="78619172" w14:textId="77777777" w:rsidR="00AC375F" w:rsidRPr="00AC375F" w:rsidRDefault="00AC375F" w:rsidP="00AC375F">
            <w:pPr>
              <w:rPr>
                <w:rFonts w:eastAsia="Times New Roman"/>
                <w:b/>
                <w:sz w:val="18"/>
                <w:szCs w:val="18"/>
              </w:rPr>
            </w:pPr>
          </w:p>
        </w:tc>
        <w:tc>
          <w:tcPr>
            <w:tcW w:w="1882" w:type="dxa"/>
            <w:shd w:val="clear" w:color="auto" w:fill="auto"/>
            <w:noWrap/>
          </w:tcPr>
          <w:p w14:paraId="5215AC23" w14:textId="77777777" w:rsidR="00AC375F" w:rsidRPr="00AC375F" w:rsidRDefault="00AC375F" w:rsidP="00AC375F">
            <w:pPr>
              <w:jc w:val="center"/>
              <w:rPr>
                <w:rFonts w:cstheme="minorHAnsi"/>
                <w:sz w:val="18"/>
                <w:szCs w:val="18"/>
              </w:rPr>
            </w:pPr>
            <w:r w:rsidRPr="00AC375F">
              <w:rPr>
                <w:rFonts w:cstheme="minorHAnsi"/>
                <w:sz w:val="18"/>
                <w:szCs w:val="18"/>
              </w:rPr>
              <w:t>Ljekarnička komora</w:t>
            </w:r>
          </w:p>
        </w:tc>
        <w:tc>
          <w:tcPr>
            <w:tcW w:w="940" w:type="dxa"/>
            <w:shd w:val="clear" w:color="auto" w:fill="auto"/>
            <w:noWrap/>
          </w:tcPr>
          <w:p w14:paraId="24799FF2" w14:textId="77777777" w:rsidR="00AC375F" w:rsidRPr="00AC375F" w:rsidRDefault="00AC375F" w:rsidP="00AC375F">
            <w:pPr>
              <w:jc w:val="center"/>
              <w:rPr>
                <w:rFonts w:cstheme="minorHAnsi"/>
                <w:sz w:val="18"/>
                <w:szCs w:val="18"/>
              </w:rPr>
            </w:pPr>
            <w:r w:rsidRPr="00AC375F">
              <w:rPr>
                <w:rFonts w:cstheme="minorHAnsi"/>
                <w:sz w:val="18"/>
                <w:szCs w:val="18"/>
              </w:rPr>
              <w:t>2</w:t>
            </w:r>
          </w:p>
          <w:p w14:paraId="68F9C999" w14:textId="77777777" w:rsidR="00AC375F" w:rsidRPr="00AC375F" w:rsidRDefault="00AC375F" w:rsidP="00AC375F">
            <w:pPr>
              <w:jc w:val="center"/>
              <w:rPr>
                <w:rFonts w:cstheme="minorHAnsi"/>
                <w:sz w:val="18"/>
                <w:szCs w:val="18"/>
              </w:rPr>
            </w:pPr>
          </w:p>
        </w:tc>
        <w:tc>
          <w:tcPr>
            <w:tcW w:w="1090" w:type="dxa"/>
            <w:shd w:val="clear" w:color="auto" w:fill="auto"/>
            <w:noWrap/>
          </w:tcPr>
          <w:p w14:paraId="51B7E5BF" w14:textId="77777777" w:rsidR="00AC375F" w:rsidRPr="00AC375F" w:rsidRDefault="00AC375F" w:rsidP="00AC375F">
            <w:pPr>
              <w:jc w:val="center"/>
              <w:rPr>
                <w:rFonts w:cstheme="minorHAnsi"/>
                <w:sz w:val="18"/>
                <w:szCs w:val="18"/>
              </w:rPr>
            </w:pPr>
            <w:r w:rsidRPr="00AC375F">
              <w:rPr>
                <w:rFonts w:cstheme="minorHAnsi"/>
                <w:sz w:val="18"/>
                <w:szCs w:val="18"/>
              </w:rPr>
              <w:t>srpanj</w:t>
            </w:r>
          </w:p>
        </w:tc>
        <w:tc>
          <w:tcPr>
            <w:tcW w:w="1134" w:type="dxa"/>
            <w:shd w:val="clear" w:color="auto" w:fill="auto"/>
            <w:noWrap/>
          </w:tcPr>
          <w:p w14:paraId="16F5B132" w14:textId="77777777" w:rsidR="00AC375F" w:rsidRPr="00AC375F" w:rsidRDefault="00AC375F" w:rsidP="00AC375F">
            <w:pPr>
              <w:jc w:val="center"/>
              <w:rPr>
                <w:rFonts w:cstheme="minorHAnsi"/>
                <w:sz w:val="18"/>
                <w:szCs w:val="18"/>
              </w:rPr>
            </w:pPr>
            <w:r w:rsidRPr="00AC375F">
              <w:rPr>
                <w:rFonts w:cstheme="minorHAnsi"/>
                <w:sz w:val="18"/>
                <w:szCs w:val="18"/>
              </w:rPr>
              <w:t>1</w:t>
            </w:r>
          </w:p>
        </w:tc>
      </w:tr>
      <w:tr w:rsidR="00AC375F" w:rsidRPr="00AC375F" w14:paraId="082E5AA1" w14:textId="77777777" w:rsidTr="00991955">
        <w:trPr>
          <w:trHeight w:hRule="exact" w:val="284"/>
        </w:trPr>
        <w:tc>
          <w:tcPr>
            <w:tcW w:w="4339" w:type="dxa"/>
            <w:shd w:val="clear" w:color="auto" w:fill="auto"/>
            <w:noWrap/>
          </w:tcPr>
          <w:p w14:paraId="6E3E7E3E" w14:textId="77777777" w:rsidR="00AC375F" w:rsidRPr="00AC375F" w:rsidRDefault="00AC375F" w:rsidP="00AC375F">
            <w:pPr>
              <w:rPr>
                <w:rFonts w:eastAsia="Times New Roman"/>
                <w:b/>
                <w:sz w:val="18"/>
                <w:szCs w:val="18"/>
              </w:rPr>
            </w:pPr>
          </w:p>
        </w:tc>
        <w:tc>
          <w:tcPr>
            <w:tcW w:w="1882" w:type="dxa"/>
            <w:shd w:val="clear" w:color="auto" w:fill="auto"/>
            <w:noWrap/>
          </w:tcPr>
          <w:p w14:paraId="6E7E0196" w14:textId="77777777" w:rsidR="00AC375F" w:rsidRPr="00AC375F" w:rsidRDefault="00AC375F" w:rsidP="00AC375F">
            <w:pPr>
              <w:jc w:val="center"/>
              <w:rPr>
                <w:rFonts w:cstheme="minorHAnsi"/>
                <w:sz w:val="18"/>
                <w:szCs w:val="18"/>
              </w:rPr>
            </w:pPr>
            <w:r w:rsidRPr="00AC375F">
              <w:rPr>
                <w:rFonts w:cstheme="minorHAnsi"/>
                <w:sz w:val="18"/>
                <w:szCs w:val="18"/>
              </w:rPr>
              <w:t>Virtualno</w:t>
            </w:r>
          </w:p>
          <w:p w14:paraId="730FDB70" w14:textId="77777777" w:rsidR="00AC375F" w:rsidRPr="00AC375F" w:rsidRDefault="00AC375F" w:rsidP="00AC375F">
            <w:pPr>
              <w:jc w:val="center"/>
              <w:rPr>
                <w:rFonts w:cstheme="minorHAnsi"/>
                <w:sz w:val="18"/>
                <w:szCs w:val="18"/>
              </w:rPr>
            </w:pPr>
          </w:p>
        </w:tc>
        <w:tc>
          <w:tcPr>
            <w:tcW w:w="940" w:type="dxa"/>
            <w:shd w:val="clear" w:color="auto" w:fill="auto"/>
            <w:noWrap/>
          </w:tcPr>
          <w:p w14:paraId="426252F2" w14:textId="77777777" w:rsidR="00AC375F" w:rsidRPr="00AC375F" w:rsidRDefault="00AC375F" w:rsidP="00AC375F">
            <w:pPr>
              <w:jc w:val="center"/>
              <w:rPr>
                <w:rFonts w:cstheme="minorHAnsi"/>
                <w:sz w:val="18"/>
                <w:szCs w:val="18"/>
              </w:rPr>
            </w:pPr>
            <w:r w:rsidRPr="00AC375F">
              <w:rPr>
                <w:rFonts w:cstheme="minorHAnsi"/>
                <w:sz w:val="18"/>
                <w:szCs w:val="18"/>
              </w:rPr>
              <w:t>1</w:t>
            </w:r>
          </w:p>
          <w:p w14:paraId="5114E01C" w14:textId="77777777" w:rsidR="00AC375F" w:rsidRPr="00AC375F" w:rsidRDefault="00AC375F" w:rsidP="00AC375F">
            <w:pPr>
              <w:jc w:val="center"/>
              <w:rPr>
                <w:rFonts w:cstheme="minorHAnsi"/>
                <w:sz w:val="18"/>
                <w:szCs w:val="18"/>
              </w:rPr>
            </w:pPr>
          </w:p>
        </w:tc>
        <w:tc>
          <w:tcPr>
            <w:tcW w:w="1090" w:type="dxa"/>
            <w:shd w:val="clear" w:color="auto" w:fill="auto"/>
            <w:noWrap/>
          </w:tcPr>
          <w:p w14:paraId="28E675FA" w14:textId="77777777" w:rsidR="00AC375F" w:rsidRPr="00AC375F" w:rsidRDefault="00AC375F" w:rsidP="00AC375F">
            <w:pPr>
              <w:jc w:val="center"/>
              <w:rPr>
                <w:rFonts w:cstheme="minorHAnsi"/>
                <w:sz w:val="18"/>
                <w:szCs w:val="18"/>
              </w:rPr>
            </w:pPr>
            <w:r w:rsidRPr="00AC375F">
              <w:rPr>
                <w:rFonts w:cstheme="minorHAnsi"/>
                <w:sz w:val="18"/>
                <w:szCs w:val="18"/>
              </w:rPr>
              <w:t>kolovoz</w:t>
            </w:r>
          </w:p>
        </w:tc>
        <w:tc>
          <w:tcPr>
            <w:tcW w:w="1134" w:type="dxa"/>
            <w:shd w:val="clear" w:color="auto" w:fill="auto"/>
            <w:noWrap/>
          </w:tcPr>
          <w:p w14:paraId="2C48CF90" w14:textId="77777777" w:rsidR="00AC375F" w:rsidRPr="00AC375F" w:rsidRDefault="00AC375F" w:rsidP="00AC375F">
            <w:pPr>
              <w:jc w:val="center"/>
              <w:rPr>
                <w:rFonts w:cstheme="minorHAnsi"/>
                <w:sz w:val="18"/>
                <w:szCs w:val="18"/>
              </w:rPr>
            </w:pPr>
            <w:r w:rsidRPr="00AC375F">
              <w:rPr>
                <w:rFonts w:cstheme="minorHAnsi"/>
                <w:sz w:val="18"/>
                <w:szCs w:val="18"/>
              </w:rPr>
              <w:t>1</w:t>
            </w:r>
          </w:p>
          <w:p w14:paraId="004F95B1" w14:textId="77777777" w:rsidR="00AC375F" w:rsidRPr="00AC375F" w:rsidRDefault="00AC375F" w:rsidP="00AC375F">
            <w:pPr>
              <w:jc w:val="center"/>
              <w:rPr>
                <w:rFonts w:cstheme="minorHAnsi"/>
                <w:sz w:val="18"/>
                <w:szCs w:val="18"/>
              </w:rPr>
            </w:pPr>
          </w:p>
        </w:tc>
      </w:tr>
      <w:tr w:rsidR="00AC375F" w:rsidRPr="00AC375F" w14:paraId="07EE7B0A" w14:textId="77777777" w:rsidTr="00991955">
        <w:trPr>
          <w:trHeight w:hRule="exact" w:val="284"/>
        </w:trPr>
        <w:tc>
          <w:tcPr>
            <w:tcW w:w="4339" w:type="dxa"/>
            <w:shd w:val="clear" w:color="auto" w:fill="auto"/>
            <w:noWrap/>
          </w:tcPr>
          <w:p w14:paraId="75579639" w14:textId="77777777" w:rsidR="00AC375F" w:rsidRPr="00AC375F" w:rsidRDefault="00AC375F" w:rsidP="00AC375F">
            <w:pPr>
              <w:rPr>
                <w:rFonts w:eastAsia="Times New Roman"/>
                <w:b/>
                <w:sz w:val="18"/>
                <w:szCs w:val="18"/>
              </w:rPr>
            </w:pPr>
          </w:p>
        </w:tc>
        <w:tc>
          <w:tcPr>
            <w:tcW w:w="1882" w:type="dxa"/>
            <w:shd w:val="clear" w:color="auto" w:fill="auto"/>
            <w:noWrap/>
          </w:tcPr>
          <w:p w14:paraId="3C2AF8B7" w14:textId="77777777" w:rsidR="00AC375F" w:rsidRPr="00AC375F" w:rsidRDefault="00AC375F" w:rsidP="00AC375F">
            <w:pPr>
              <w:jc w:val="center"/>
              <w:rPr>
                <w:rFonts w:cstheme="minorHAnsi"/>
                <w:sz w:val="18"/>
                <w:szCs w:val="18"/>
              </w:rPr>
            </w:pPr>
            <w:r w:rsidRPr="00AC375F">
              <w:rPr>
                <w:rFonts w:cstheme="minorHAnsi"/>
                <w:sz w:val="18"/>
                <w:szCs w:val="18"/>
              </w:rPr>
              <w:t>virtualno</w:t>
            </w:r>
          </w:p>
        </w:tc>
        <w:tc>
          <w:tcPr>
            <w:tcW w:w="940" w:type="dxa"/>
            <w:shd w:val="clear" w:color="auto" w:fill="auto"/>
            <w:noWrap/>
          </w:tcPr>
          <w:p w14:paraId="57946450" w14:textId="77777777" w:rsidR="00AC375F" w:rsidRPr="00AC375F" w:rsidRDefault="00AC375F" w:rsidP="00AC375F">
            <w:pPr>
              <w:jc w:val="center"/>
              <w:rPr>
                <w:rFonts w:cstheme="minorHAnsi"/>
                <w:sz w:val="18"/>
                <w:szCs w:val="18"/>
              </w:rPr>
            </w:pPr>
            <w:r w:rsidRPr="00AC375F">
              <w:rPr>
                <w:rFonts w:cstheme="minorHAnsi"/>
                <w:sz w:val="18"/>
                <w:szCs w:val="18"/>
              </w:rPr>
              <w:t>2</w:t>
            </w:r>
          </w:p>
        </w:tc>
        <w:tc>
          <w:tcPr>
            <w:tcW w:w="1090" w:type="dxa"/>
            <w:shd w:val="clear" w:color="auto" w:fill="auto"/>
            <w:noWrap/>
          </w:tcPr>
          <w:p w14:paraId="72D9371D" w14:textId="77777777" w:rsidR="00AC375F" w:rsidRPr="00AC375F" w:rsidRDefault="00AC375F" w:rsidP="00AC375F">
            <w:pPr>
              <w:rPr>
                <w:rFonts w:cstheme="minorHAnsi"/>
                <w:sz w:val="18"/>
                <w:szCs w:val="18"/>
              </w:rPr>
            </w:pPr>
            <w:r w:rsidRPr="00AC375F">
              <w:rPr>
                <w:rFonts w:cstheme="minorHAnsi"/>
                <w:sz w:val="18"/>
                <w:szCs w:val="18"/>
              </w:rPr>
              <w:t xml:space="preserve">       rujan</w:t>
            </w:r>
          </w:p>
          <w:p w14:paraId="12243C83" w14:textId="77777777" w:rsidR="00AC375F" w:rsidRPr="00AC375F" w:rsidRDefault="00AC375F" w:rsidP="00AC375F">
            <w:pPr>
              <w:jc w:val="center"/>
              <w:rPr>
                <w:rFonts w:cstheme="minorHAnsi"/>
                <w:sz w:val="18"/>
                <w:szCs w:val="18"/>
              </w:rPr>
            </w:pPr>
          </w:p>
        </w:tc>
        <w:tc>
          <w:tcPr>
            <w:tcW w:w="1134" w:type="dxa"/>
            <w:shd w:val="clear" w:color="auto" w:fill="auto"/>
            <w:noWrap/>
          </w:tcPr>
          <w:p w14:paraId="13323380" w14:textId="77777777" w:rsidR="00AC375F" w:rsidRPr="00AC375F" w:rsidRDefault="00AC375F" w:rsidP="00AC375F">
            <w:pPr>
              <w:jc w:val="center"/>
              <w:rPr>
                <w:rFonts w:cstheme="minorHAnsi"/>
                <w:sz w:val="18"/>
                <w:szCs w:val="18"/>
              </w:rPr>
            </w:pPr>
            <w:r w:rsidRPr="00AC375F">
              <w:rPr>
                <w:rFonts w:cstheme="minorHAnsi"/>
                <w:sz w:val="18"/>
                <w:szCs w:val="18"/>
              </w:rPr>
              <w:t>1</w:t>
            </w:r>
          </w:p>
        </w:tc>
      </w:tr>
      <w:tr w:rsidR="00AC375F" w:rsidRPr="00AC375F" w14:paraId="07A35E95" w14:textId="77777777" w:rsidTr="00991955">
        <w:trPr>
          <w:trHeight w:val="238"/>
        </w:trPr>
        <w:tc>
          <w:tcPr>
            <w:tcW w:w="4339" w:type="dxa"/>
            <w:shd w:val="clear" w:color="auto" w:fill="auto"/>
            <w:noWrap/>
          </w:tcPr>
          <w:p w14:paraId="62F2D153" w14:textId="77777777" w:rsidR="00AC375F" w:rsidRPr="00400391" w:rsidRDefault="00AC375F" w:rsidP="00400391">
            <w:pPr>
              <w:rPr>
                <w:b/>
                <w:bCs/>
                <w:sz w:val="18"/>
                <w:szCs w:val="18"/>
              </w:rPr>
            </w:pPr>
            <w:r w:rsidRPr="00AC375F">
              <w:rPr>
                <w:rFonts w:eastAsiaTheme="majorEastAsia" w:cstheme="minorHAnsi"/>
                <w:b/>
                <w:bCs/>
                <w:sz w:val="18"/>
                <w:szCs w:val="18"/>
              </w:rPr>
              <w:t xml:space="preserve"> </w:t>
            </w:r>
            <w:r w:rsidRPr="00400391">
              <w:rPr>
                <w:b/>
                <w:bCs/>
                <w:sz w:val="18"/>
                <w:szCs w:val="18"/>
              </w:rPr>
              <w:t>Radna skupina za pripremu i provedbu projekata „Uvođenje sustava praćenja ishoda liječenja izvanbolničkih kroničnih pacijenata u javnim ljekarnama u Republici Hrvatskoj“ u okviru Nacionalnog plana oporavka i otpornosti Vlade RH 2021.-2026.</w:t>
            </w:r>
          </w:p>
          <w:p w14:paraId="18553AD1" w14:textId="77777777" w:rsidR="00AC375F" w:rsidRPr="00AC375F" w:rsidRDefault="00AC375F" w:rsidP="00AC375F">
            <w:pPr>
              <w:rPr>
                <w:rFonts w:eastAsia="Times New Roman"/>
                <w:b/>
                <w:sz w:val="18"/>
                <w:szCs w:val="18"/>
              </w:rPr>
            </w:pPr>
          </w:p>
        </w:tc>
        <w:tc>
          <w:tcPr>
            <w:tcW w:w="1882" w:type="dxa"/>
            <w:shd w:val="clear" w:color="auto" w:fill="auto"/>
            <w:noWrap/>
          </w:tcPr>
          <w:p w14:paraId="18BE195A" w14:textId="77777777" w:rsidR="00AC375F" w:rsidRPr="00AC375F" w:rsidRDefault="00AC375F" w:rsidP="00AC375F">
            <w:pPr>
              <w:jc w:val="center"/>
              <w:rPr>
                <w:rFonts w:cstheme="minorHAnsi"/>
                <w:sz w:val="18"/>
                <w:szCs w:val="18"/>
              </w:rPr>
            </w:pPr>
            <w:r w:rsidRPr="00AC375F">
              <w:rPr>
                <w:rFonts w:cstheme="minorHAnsi"/>
                <w:sz w:val="18"/>
                <w:szCs w:val="18"/>
              </w:rPr>
              <w:t>Ministarstvo zdravstva</w:t>
            </w:r>
          </w:p>
          <w:p w14:paraId="4FDF58BA" w14:textId="77777777" w:rsidR="00AC375F" w:rsidRPr="00AC375F" w:rsidRDefault="00AC375F" w:rsidP="00AC375F">
            <w:pPr>
              <w:jc w:val="center"/>
              <w:rPr>
                <w:rFonts w:cstheme="minorHAnsi"/>
                <w:sz w:val="18"/>
                <w:szCs w:val="18"/>
              </w:rPr>
            </w:pPr>
          </w:p>
          <w:p w14:paraId="465BB8E7" w14:textId="77777777" w:rsidR="00AC375F" w:rsidRPr="00AC375F" w:rsidRDefault="00AC375F" w:rsidP="00AC375F">
            <w:pPr>
              <w:jc w:val="center"/>
              <w:rPr>
                <w:rFonts w:cstheme="minorHAnsi"/>
                <w:sz w:val="18"/>
                <w:szCs w:val="18"/>
              </w:rPr>
            </w:pPr>
          </w:p>
          <w:p w14:paraId="47D14DE2" w14:textId="77777777" w:rsidR="00AC375F" w:rsidRPr="00AC375F" w:rsidRDefault="00AC375F" w:rsidP="00AC375F">
            <w:pPr>
              <w:rPr>
                <w:rFonts w:cstheme="minorHAnsi"/>
                <w:sz w:val="18"/>
                <w:szCs w:val="18"/>
              </w:rPr>
            </w:pPr>
          </w:p>
          <w:p w14:paraId="43A5BA62" w14:textId="77777777" w:rsidR="00AC375F" w:rsidRPr="00AC375F" w:rsidRDefault="00AC375F" w:rsidP="00AC375F">
            <w:pPr>
              <w:rPr>
                <w:rFonts w:cstheme="minorHAnsi"/>
                <w:sz w:val="18"/>
                <w:szCs w:val="18"/>
              </w:rPr>
            </w:pPr>
          </w:p>
          <w:p w14:paraId="47EC0EED" w14:textId="77777777" w:rsidR="00AC375F" w:rsidRPr="00AC375F" w:rsidRDefault="00AC375F" w:rsidP="00AC375F">
            <w:pPr>
              <w:rPr>
                <w:rFonts w:cstheme="minorHAnsi"/>
                <w:sz w:val="18"/>
                <w:szCs w:val="18"/>
              </w:rPr>
            </w:pPr>
          </w:p>
        </w:tc>
        <w:tc>
          <w:tcPr>
            <w:tcW w:w="940" w:type="dxa"/>
            <w:shd w:val="clear" w:color="auto" w:fill="auto"/>
            <w:noWrap/>
          </w:tcPr>
          <w:p w14:paraId="46058552" w14:textId="77777777" w:rsidR="00AC375F" w:rsidRPr="00AC375F" w:rsidRDefault="00AC375F" w:rsidP="00AC375F">
            <w:pPr>
              <w:jc w:val="center"/>
              <w:rPr>
                <w:rFonts w:cstheme="minorHAnsi"/>
                <w:sz w:val="18"/>
                <w:szCs w:val="18"/>
              </w:rPr>
            </w:pPr>
            <w:r w:rsidRPr="00AC375F">
              <w:rPr>
                <w:rFonts w:cstheme="minorHAnsi"/>
                <w:sz w:val="18"/>
                <w:szCs w:val="18"/>
              </w:rPr>
              <w:t xml:space="preserve">1 </w:t>
            </w:r>
          </w:p>
          <w:p w14:paraId="5CD871DB" w14:textId="77777777" w:rsidR="00AC375F" w:rsidRPr="00AC375F" w:rsidRDefault="00AC375F" w:rsidP="00AC375F">
            <w:pPr>
              <w:rPr>
                <w:rFonts w:cstheme="minorHAnsi"/>
                <w:sz w:val="18"/>
                <w:szCs w:val="18"/>
              </w:rPr>
            </w:pPr>
          </w:p>
          <w:p w14:paraId="7694BAF1" w14:textId="77777777" w:rsidR="00AC375F" w:rsidRPr="00AC375F" w:rsidRDefault="00AC375F" w:rsidP="00AC375F">
            <w:pPr>
              <w:rPr>
                <w:rFonts w:cstheme="minorHAnsi"/>
                <w:sz w:val="18"/>
                <w:szCs w:val="18"/>
              </w:rPr>
            </w:pPr>
          </w:p>
          <w:p w14:paraId="42D4AE54" w14:textId="77777777" w:rsidR="00AC375F" w:rsidRPr="00AC375F" w:rsidRDefault="00AC375F" w:rsidP="00AC375F">
            <w:pPr>
              <w:rPr>
                <w:rFonts w:cstheme="minorHAnsi"/>
                <w:sz w:val="18"/>
                <w:szCs w:val="18"/>
              </w:rPr>
            </w:pPr>
          </w:p>
          <w:p w14:paraId="7430B33D" w14:textId="77777777" w:rsidR="00AC375F" w:rsidRPr="00AC375F" w:rsidRDefault="00AC375F" w:rsidP="00AC375F">
            <w:pPr>
              <w:rPr>
                <w:rFonts w:cstheme="minorHAnsi"/>
                <w:sz w:val="18"/>
                <w:szCs w:val="18"/>
              </w:rPr>
            </w:pPr>
          </w:p>
          <w:p w14:paraId="0B592C7D" w14:textId="77777777" w:rsidR="00AC375F" w:rsidRPr="00AC375F" w:rsidRDefault="00AC375F" w:rsidP="00AC375F">
            <w:pPr>
              <w:rPr>
                <w:rFonts w:cstheme="minorHAnsi"/>
                <w:sz w:val="18"/>
                <w:szCs w:val="18"/>
              </w:rPr>
            </w:pPr>
          </w:p>
          <w:p w14:paraId="770C7EAA" w14:textId="77777777" w:rsidR="00AC375F" w:rsidRPr="00AC375F" w:rsidRDefault="00AC375F" w:rsidP="00AC375F">
            <w:pPr>
              <w:rPr>
                <w:rFonts w:cstheme="minorHAnsi"/>
                <w:sz w:val="18"/>
                <w:szCs w:val="18"/>
              </w:rPr>
            </w:pPr>
          </w:p>
        </w:tc>
        <w:tc>
          <w:tcPr>
            <w:tcW w:w="1090" w:type="dxa"/>
            <w:shd w:val="clear" w:color="auto" w:fill="auto"/>
            <w:noWrap/>
          </w:tcPr>
          <w:p w14:paraId="356435FF" w14:textId="77777777" w:rsidR="00AC375F" w:rsidRPr="00AC375F" w:rsidRDefault="00AC375F" w:rsidP="00AC375F">
            <w:pPr>
              <w:jc w:val="center"/>
              <w:rPr>
                <w:rFonts w:cstheme="minorHAnsi"/>
                <w:sz w:val="18"/>
                <w:szCs w:val="18"/>
              </w:rPr>
            </w:pPr>
            <w:r w:rsidRPr="00AC375F">
              <w:rPr>
                <w:rFonts w:cstheme="minorHAnsi"/>
                <w:sz w:val="18"/>
                <w:szCs w:val="18"/>
              </w:rPr>
              <w:t xml:space="preserve">5 tijekom godine </w:t>
            </w:r>
          </w:p>
          <w:p w14:paraId="60784363" w14:textId="77777777" w:rsidR="00AC375F" w:rsidRPr="00AC375F" w:rsidRDefault="00AC375F" w:rsidP="00AC375F">
            <w:pPr>
              <w:rPr>
                <w:rFonts w:cstheme="minorHAnsi"/>
                <w:sz w:val="18"/>
                <w:szCs w:val="18"/>
              </w:rPr>
            </w:pPr>
          </w:p>
          <w:p w14:paraId="00BE1F4F" w14:textId="77777777" w:rsidR="00AC375F" w:rsidRPr="00AC375F" w:rsidRDefault="00AC375F" w:rsidP="00AC375F">
            <w:pPr>
              <w:rPr>
                <w:rFonts w:cstheme="minorHAnsi"/>
                <w:sz w:val="18"/>
                <w:szCs w:val="18"/>
              </w:rPr>
            </w:pPr>
          </w:p>
          <w:p w14:paraId="18C3D439" w14:textId="77777777" w:rsidR="00AC375F" w:rsidRPr="00AC375F" w:rsidRDefault="00AC375F" w:rsidP="00AC375F">
            <w:pPr>
              <w:rPr>
                <w:rFonts w:cstheme="minorHAnsi"/>
                <w:sz w:val="18"/>
                <w:szCs w:val="18"/>
              </w:rPr>
            </w:pPr>
          </w:p>
          <w:p w14:paraId="2BB13CDE" w14:textId="77777777" w:rsidR="00AC375F" w:rsidRPr="00AC375F" w:rsidRDefault="00AC375F" w:rsidP="00AC375F">
            <w:pPr>
              <w:rPr>
                <w:rFonts w:cstheme="minorHAnsi"/>
                <w:sz w:val="18"/>
                <w:szCs w:val="18"/>
              </w:rPr>
            </w:pPr>
          </w:p>
        </w:tc>
        <w:tc>
          <w:tcPr>
            <w:tcW w:w="1134" w:type="dxa"/>
            <w:shd w:val="clear" w:color="auto" w:fill="auto"/>
            <w:noWrap/>
          </w:tcPr>
          <w:p w14:paraId="4978CB6E" w14:textId="77777777" w:rsidR="00AC375F" w:rsidRPr="00AC375F" w:rsidRDefault="00AC375F" w:rsidP="00AC375F">
            <w:pPr>
              <w:jc w:val="center"/>
              <w:rPr>
                <w:rFonts w:cstheme="minorHAnsi"/>
                <w:sz w:val="18"/>
                <w:szCs w:val="18"/>
              </w:rPr>
            </w:pPr>
            <w:r w:rsidRPr="00AC375F">
              <w:rPr>
                <w:rFonts w:cstheme="minorHAnsi"/>
                <w:sz w:val="18"/>
                <w:szCs w:val="18"/>
              </w:rPr>
              <w:t>1</w:t>
            </w:r>
          </w:p>
          <w:p w14:paraId="3A2114B0" w14:textId="77777777" w:rsidR="00AC375F" w:rsidRPr="00AC375F" w:rsidRDefault="00AC375F" w:rsidP="00AC375F">
            <w:pPr>
              <w:rPr>
                <w:rFonts w:cstheme="minorHAnsi"/>
                <w:sz w:val="18"/>
                <w:szCs w:val="18"/>
              </w:rPr>
            </w:pPr>
          </w:p>
          <w:p w14:paraId="22237E4E" w14:textId="77777777" w:rsidR="00AC375F" w:rsidRPr="00AC375F" w:rsidRDefault="00AC375F" w:rsidP="00AC375F">
            <w:pPr>
              <w:rPr>
                <w:rFonts w:cstheme="minorHAnsi"/>
                <w:sz w:val="18"/>
                <w:szCs w:val="18"/>
              </w:rPr>
            </w:pPr>
          </w:p>
          <w:p w14:paraId="46B12C0F" w14:textId="77777777" w:rsidR="00AC375F" w:rsidRPr="00AC375F" w:rsidRDefault="00AC375F" w:rsidP="00AC375F">
            <w:pPr>
              <w:rPr>
                <w:rFonts w:cstheme="minorHAnsi"/>
                <w:sz w:val="18"/>
                <w:szCs w:val="18"/>
              </w:rPr>
            </w:pPr>
          </w:p>
          <w:p w14:paraId="15F41E5C" w14:textId="77777777" w:rsidR="00AC375F" w:rsidRPr="00AC375F" w:rsidRDefault="00AC375F" w:rsidP="00AC375F">
            <w:pPr>
              <w:rPr>
                <w:rFonts w:cstheme="minorHAnsi"/>
                <w:sz w:val="18"/>
                <w:szCs w:val="18"/>
              </w:rPr>
            </w:pPr>
          </w:p>
          <w:p w14:paraId="513D59E8" w14:textId="77777777" w:rsidR="00AC375F" w:rsidRPr="00AC375F" w:rsidRDefault="00AC375F" w:rsidP="00AC375F">
            <w:pPr>
              <w:rPr>
                <w:rFonts w:cstheme="minorHAnsi"/>
                <w:sz w:val="18"/>
                <w:szCs w:val="18"/>
              </w:rPr>
            </w:pPr>
          </w:p>
          <w:p w14:paraId="39AEF2BF" w14:textId="77777777" w:rsidR="00AC375F" w:rsidRPr="00AC375F" w:rsidRDefault="00AC375F" w:rsidP="00AC375F">
            <w:pPr>
              <w:jc w:val="center"/>
              <w:rPr>
                <w:rFonts w:cstheme="minorHAnsi"/>
                <w:sz w:val="18"/>
                <w:szCs w:val="18"/>
              </w:rPr>
            </w:pPr>
          </w:p>
        </w:tc>
      </w:tr>
      <w:tr w:rsidR="00AC375F" w:rsidRPr="00AC375F" w14:paraId="21824F56" w14:textId="77777777" w:rsidTr="00991955">
        <w:trPr>
          <w:trHeight w:val="238"/>
        </w:trPr>
        <w:tc>
          <w:tcPr>
            <w:tcW w:w="4339" w:type="dxa"/>
            <w:shd w:val="clear" w:color="auto" w:fill="auto"/>
            <w:noWrap/>
          </w:tcPr>
          <w:p w14:paraId="217041C3" w14:textId="77777777" w:rsidR="00AC375F" w:rsidRPr="00AC375F" w:rsidRDefault="00AC375F" w:rsidP="00400391">
            <w:pPr>
              <w:rPr>
                <w:rFonts w:eastAsiaTheme="majorEastAsia" w:cstheme="minorHAnsi"/>
                <w:b/>
                <w:bCs/>
                <w:sz w:val="18"/>
                <w:szCs w:val="18"/>
              </w:rPr>
            </w:pPr>
            <w:r w:rsidRPr="00400391">
              <w:rPr>
                <w:b/>
                <w:bCs/>
                <w:sz w:val="18"/>
                <w:szCs w:val="18"/>
              </w:rPr>
              <w:t>Radna skupina za izradu nacionalnog izvješća o procjeni učinkovitosti zdravstvenog sustava u republici Hrvatskoj (Health System performance Assessment-HSPA) u okviru Nacionalnog plana oporavka i otpornosti Vlade RH 2021.-2026.</w:t>
            </w:r>
          </w:p>
        </w:tc>
        <w:tc>
          <w:tcPr>
            <w:tcW w:w="1882" w:type="dxa"/>
            <w:shd w:val="clear" w:color="auto" w:fill="auto"/>
            <w:noWrap/>
          </w:tcPr>
          <w:p w14:paraId="6A97A231" w14:textId="77777777" w:rsidR="00AC375F" w:rsidRPr="00AC375F" w:rsidRDefault="00AC375F" w:rsidP="00AC375F">
            <w:pPr>
              <w:jc w:val="center"/>
              <w:rPr>
                <w:rFonts w:cstheme="minorHAnsi"/>
                <w:sz w:val="18"/>
                <w:szCs w:val="18"/>
              </w:rPr>
            </w:pPr>
            <w:r w:rsidRPr="00AC375F">
              <w:rPr>
                <w:rFonts w:cstheme="minorHAnsi"/>
                <w:sz w:val="18"/>
                <w:szCs w:val="18"/>
              </w:rPr>
              <w:t>Virtualni sastanci</w:t>
            </w:r>
          </w:p>
        </w:tc>
        <w:tc>
          <w:tcPr>
            <w:tcW w:w="940" w:type="dxa"/>
            <w:shd w:val="clear" w:color="auto" w:fill="auto"/>
            <w:noWrap/>
          </w:tcPr>
          <w:p w14:paraId="56360F29" w14:textId="77777777" w:rsidR="00AC375F" w:rsidRPr="00AC375F" w:rsidRDefault="00AC375F" w:rsidP="00AC375F">
            <w:pPr>
              <w:jc w:val="center"/>
              <w:rPr>
                <w:rFonts w:cstheme="minorHAnsi"/>
                <w:sz w:val="18"/>
                <w:szCs w:val="18"/>
              </w:rPr>
            </w:pPr>
            <w:r w:rsidRPr="00AC375F">
              <w:rPr>
                <w:rFonts w:cstheme="minorHAnsi"/>
                <w:sz w:val="18"/>
                <w:szCs w:val="18"/>
              </w:rPr>
              <w:t>2</w:t>
            </w:r>
          </w:p>
        </w:tc>
        <w:tc>
          <w:tcPr>
            <w:tcW w:w="1090" w:type="dxa"/>
            <w:shd w:val="clear" w:color="auto" w:fill="auto"/>
            <w:noWrap/>
          </w:tcPr>
          <w:p w14:paraId="72F07E2B" w14:textId="77777777" w:rsidR="00AC375F" w:rsidRPr="00AC375F" w:rsidRDefault="00AC375F" w:rsidP="00AC375F">
            <w:pPr>
              <w:jc w:val="center"/>
              <w:rPr>
                <w:rFonts w:cstheme="minorHAnsi"/>
                <w:sz w:val="18"/>
                <w:szCs w:val="18"/>
              </w:rPr>
            </w:pPr>
            <w:r w:rsidRPr="00AC375F">
              <w:rPr>
                <w:rFonts w:cstheme="minorHAnsi"/>
                <w:sz w:val="18"/>
                <w:szCs w:val="18"/>
              </w:rPr>
              <w:t>5 tijekom godine</w:t>
            </w:r>
          </w:p>
        </w:tc>
        <w:tc>
          <w:tcPr>
            <w:tcW w:w="1134" w:type="dxa"/>
            <w:shd w:val="clear" w:color="auto" w:fill="auto"/>
            <w:noWrap/>
          </w:tcPr>
          <w:p w14:paraId="0F253581" w14:textId="77777777" w:rsidR="00AC375F" w:rsidRPr="00AC375F" w:rsidRDefault="00AC375F" w:rsidP="00AC375F">
            <w:pPr>
              <w:jc w:val="center"/>
              <w:rPr>
                <w:rFonts w:cstheme="minorHAnsi"/>
                <w:sz w:val="18"/>
                <w:szCs w:val="18"/>
              </w:rPr>
            </w:pPr>
            <w:r w:rsidRPr="00AC375F">
              <w:rPr>
                <w:rFonts w:cstheme="minorHAnsi"/>
                <w:sz w:val="18"/>
                <w:szCs w:val="18"/>
              </w:rPr>
              <w:t>1,5</w:t>
            </w:r>
          </w:p>
        </w:tc>
      </w:tr>
    </w:tbl>
    <w:p w14:paraId="77D77D3E" w14:textId="21FB4625" w:rsidR="00AC375F" w:rsidRPr="00AC375F" w:rsidRDefault="00AC375F" w:rsidP="001B7BE6">
      <w:pPr>
        <w:spacing w:line="276" w:lineRule="auto"/>
        <w:rPr>
          <w:rFonts w:eastAsia="Times New Roman" w:cstheme="minorHAnsi"/>
          <w:sz w:val="18"/>
          <w:szCs w:val="18"/>
        </w:rPr>
      </w:pPr>
    </w:p>
    <w:tbl>
      <w:tblPr>
        <w:tblpPr w:leftFromText="180" w:rightFromText="180" w:vertAnchor="text" w:tblpX="-39"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559"/>
        <w:gridCol w:w="1701"/>
        <w:gridCol w:w="1701"/>
      </w:tblGrid>
      <w:tr w:rsidR="00AC375F" w:rsidRPr="00AC375F" w14:paraId="288D5299" w14:textId="77777777" w:rsidTr="00991955">
        <w:trPr>
          <w:trHeight w:val="330"/>
        </w:trPr>
        <w:tc>
          <w:tcPr>
            <w:tcW w:w="4390" w:type="dxa"/>
            <w:shd w:val="clear" w:color="auto" w:fill="A3E7FF"/>
            <w:noWrap/>
            <w:vAlign w:val="center"/>
            <w:hideMark/>
          </w:tcPr>
          <w:p w14:paraId="20ECA711" w14:textId="77777777" w:rsidR="00AC375F" w:rsidRPr="00AC375F" w:rsidRDefault="00AC375F" w:rsidP="00AC375F">
            <w:pPr>
              <w:rPr>
                <w:rFonts w:cstheme="minorHAnsi"/>
                <w:b/>
                <w:bCs/>
                <w:i/>
                <w:iCs/>
                <w:sz w:val="18"/>
                <w:szCs w:val="18"/>
              </w:rPr>
            </w:pPr>
            <w:r w:rsidRPr="00AC375F">
              <w:rPr>
                <w:rFonts w:cstheme="minorHAnsi"/>
                <w:b/>
                <w:bCs/>
                <w:i/>
                <w:iCs/>
                <w:sz w:val="18"/>
                <w:szCs w:val="18"/>
              </w:rPr>
              <w:t xml:space="preserve">Službena putovanja Siniša Tomić, prof.dr.sc. - ravnatelj </w:t>
            </w:r>
          </w:p>
        </w:tc>
        <w:tc>
          <w:tcPr>
            <w:tcW w:w="1559" w:type="dxa"/>
            <w:shd w:val="clear" w:color="auto" w:fill="A3E7FF"/>
            <w:noWrap/>
            <w:vAlign w:val="center"/>
            <w:hideMark/>
          </w:tcPr>
          <w:p w14:paraId="31D1EE40" w14:textId="77777777" w:rsidR="00AC375F" w:rsidRPr="00AC375F" w:rsidRDefault="00AC375F" w:rsidP="00AC375F">
            <w:pPr>
              <w:jc w:val="center"/>
              <w:rPr>
                <w:rFonts w:cstheme="minorHAnsi"/>
                <w:i/>
                <w:iCs/>
                <w:sz w:val="18"/>
                <w:szCs w:val="18"/>
              </w:rPr>
            </w:pPr>
          </w:p>
        </w:tc>
        <w:tc>
          <w:tcPr>
            <w:tcW w:w="1701" w:type="dxa"/>
            <w:shd w:val="clear" w:color="auto" w:fill="A3E7FF"/>
            <w:noWrap/>
            <w:vAlign w:val="center"/>
            <w:hideMark/>
          </w:tcPr>
          <w:p w14:paraId="5DADD421" w14:textId="77777777" w:rsidR="00AC375F" w:rsidRPr="00AC375F" w:rsidRDefault="00AC375F" w:rsidP="00AC375F">
            <w:pPr>
              <w:jc w:val="center"/>
              <w:rPr>
                <w:rFonts w:cstheme="minorHAnsi"/>
                <w:i/>
                <w:iCs/>
                <w:sz w:val="18"/>
                <w:szCs w:val="18"/>
              </w:rPr>
            </w:pPr>
          </w:p>
        </w:tc>
        <w:tc>
          <w:tcPr>
            <w:tcW w:w="1701" w:type="dxa"/>
            <w:shd w:val="clear" w:color="auto" w:fill="A3E7FF"/>
            <w:noWrap/>
            <w:vAlign w:val="center"/>
            <w:hideMark/>
          </w:tcPr>
          <w:p w14:paraId="70AFEFBE" w14:textId="77777777" w:rsidR="00AC375F" w:rsidRPr="00AC375F" w:rsidRDefault="00AC375F" w:rsidP="00AC375F">
            <w:pPr>
              <w:jc w:val="center"/>
              <w:rPr>
                <w:rFonts w:cstheme="minorHAnsi"/>
                <w:i/>
                <w:iCs/>
                <w:sz w:val="18"/>
                <w:szCs w:val="18"/>
              </w:rPr>
            </w:pPr>
          </w:p>
        </w:tc>
      </w:tr>
      <w:tr w:rsidR="00AC375F" w:rsidRPr="00AC375F" w14:paraId="1F94670A" w14:textId="77777777" w:rsidTr="00991955">
        <w:trPr>
          <w:trHeight w:val="499"/>
        </w:trPr>
        <w:tc>
          <w:tcPr>
            <w:tcW w:w="4390" w:type="dxa"/>
            <w:shd w:val="clear" w:color="auto" w:fill="auto"/>
            <w:noWrap/>
            <w:vAlign w:val="center"/>
            <w:hideMark/>
          </w:tcPr>
          <w:p w14:paraId="50A673C0" w14:textId="77777777" w:rsidR="00AC375F" w:rsidRPr="00AC375F" w:rsidRDefault="00AC375F" w:rsidP="00AC375F">
            <w:pPr>
              <w:rPr>
                <w:rFonts w:cstheme="minorHAnsi"/>
                <w:i/>
                <w:iCs/>
                <w:sz w:val="18"/>
                <w:szCs w:val="18"/>
              </w:rPr>
            </w:pPr>
            <w:r w:rsidRPr="00AC375F">
              <w:rPr>
                <w:rFonts w:cstheme="minorHAnsi"/>
                <w:i/>
                <w:iCs/>
                <w:sz w:val="18"/>
                <w:szCs w:val="18"/>
              </w:rPr>
              <w:t>naziv skupine</w:t>
            </w:r>
          </w:p>
        </w:tc>
        <w:tc>
          <w:tcPr>
            <w:tcW w:w="1559" w:type="dxa"/>
            <w:shd w:val="clear" w:color="auto" w:fill="auto"/>
            <w:noWrap/>
            <w:vAlign w:val="center"/>
            <w:hideMark/>
          </w:tcPr>
          <w:p w14:paraId="1CB3611F" w14:textId="77777777" w:rsidR="00AC375F" w:rsidRPr="00AC375F" w:rsidRDefault="00AC375F" w:rsidP="00AC375F">
            <w:pPr>
              <w:jc w:val="center"/>
              <w:rPr>
                <w:rFonts w:cstheme="minorHAnsi"/>
                <w:i/>
                <w:iCs/>
                <w:sz w:val="18"/>
                <w:szCs w:val="18"/>
              </w:rPr>
            </w:pPr>
            <w:r w:rsidRPr="00AC375F">
              <w:rPr>
                <w:rFonts w:cstheme="minorHAnsi"/>
                <w:i/>
                <w:iCs/>
                <w:sz w:val="18"/>
                <w:szCs w:val="18"/>
              </w:rPr>
              <w:t>mjesto</w:t>
            </w:r>
          </w:p>
        </w:tc>
        <w:tc>
          <w:tcPr>
            <w:tcW w:w="1701" w:type="dxa"/>
            <w:shd w:val="clear" w:color="auto" w:fill="auto"/>
            <w:noWrap/>
            <w:vAlign w:val="center"/>
            <w:hideMark/>
          </w:tcPr>
          <w:p w14:paraId="28A1A9F8" w14:textId="77777777" w:rsidR="00AC375F" w:rsidRPr="00AC375F" w:rsidRDefault="00AC375F" w:rsidP="00AC375F">
            <w:pPr>
              <w:jc w:val="center"/>
              <w:rPr>
                <w:rFonts w:cstheme="minorHAnsi"/>
                <w:i/>
                <w:iCs/>
                <w:sz w:val="18"/>
                <w:szCs w:val="18"/>
              </w:rPr>
            </w:pPr>
            <w:r w:rsidRPr="00AC375F">
              <w:rPr>
                <w:rFonts w:cstheme="minorHAnsi"/>
                <w:i/>
                <w:iCs/>
                <w:sz w:val="18"/>
                <w:szCs w:val="18"/>
              </w:rPr>
              <w:t>mjesec</w:t>
            </w:r>
          </w:p>
        </w:tc>
        <w:tc>
          <w:tcPr>
            <w:tcW w:w="1701" w:type="dxa"/>
            <w:shd w:val="clear" w:color="auto" w:fill="auto"/>
            <w:vAlign w:val="center"/>
            <w:hideMark/>
          </w:tcPr>
          <w:p w14:paraId="5D02626A" w14:textId="77777777" w:rsidR="00AC375F" w:rsidRPr="00AC375F" w:rsidRDefault="00AC375F" w:rsidP="00AC375F">
            <w:pPr>
              <w:jc w:val="center"/>
              <w:rPr>
                <w:rFonts w:cstheme="minorHAnsi"/>
                <w:i/>
                <w:iCs/>
                <w:sz w:val="18"/>
                <w:szCs w:val="18"/>
              </w:rPr>
            </w:pPr>
            <w:r w:rsidRPr="00AC375F">
              <w:rPr>
                <w:rFonts w:cstheme="minorHAnsi"/>
                <w:i/>
                <w:iCs/>
                <w:sz w:val="18"/>
                <w:szCs w:val="18"/>
              </w:rPr>
              <w:t>broj dana/</w:t>
            </w:r>
          </w:p>
          <w:p w14:paraId="3F8655BF" w14:textId="77777777" w:rsidR="00AC375F" w:rsidRPr="00AC375F" w:rsidRDefault="00AC375F" w:rsidP="00AC375F">
            <w:pPr>
              <w:jc w:val="center"/>
              <w:rPr>
                <w:rFonts w:cstheme="minorHAnsi"/>
                <w:i/>
                <w:iCs/>
                <w:sz w:val="18"/>
                <w:szCs w:val="18"/>
              </w:rPr>
            </w:pPr>
            <w:r w:rsidRPr="00AC375F">
              <w:rPr>
                <w:rFonts w:cstheme="minorHAnsi"/>
                <w:i/>
                <w:iCs/>
                <w:sz w:val="18"/>
                <w:szCs w:val="18"/>
              </w:rPr>
              <w:t>sastanku</w:t>
            </w:r>
          </w:p>
        </w:tc>
      </w:tr>
      <w:tr w:rsidR="00AC375F" w:rsidRPr="00AC375F" w14:paraId="75B0C5B3" w14:textId="77777777" w:rsidTr="00991955">
        <w:trPr>
          <w:trHeight w:val="479"/>
        </w:trPr>
        <w:tc>
          <w:tcPr>
            <w:tcW w:w="4390" w:type="dxa"/>
            <w:shd w:val="clear" w:color="auto" w:fill="auto"/>
            <w:noWrap/>
            <w:vAlign w:val="center"/>
          </w:tcPr>
          <w:p w14:paraId="1B41BEA1" w14:textId="77777777" w:rsidR="00AC375F" w:rsidRPr="00AC375F" w:rsidRDefault="00AC375F" w:rsidP="00AC375F">
            <w:pPr>
              <w:rPr>
                <w:rFonts w:cstheme="minorHAnsi"/>
                <w:i/>
                <w:iCs/>
                <w:sz w:val="18"/>
                <w:szCs w:val="18"/>
              </w:rPr>
            </w:pPr>
            <w:r w:rsidRPr="00AC375F">
              <w:rPr>
                <w:rFonts w:cstheme="minorHAnsi"/>
                <w:b/>
                <w:sz w:val="18"/>
                <w:szCs w:val="18"/>
              </w:rPr>
              <w:t>HMA Heads of Medicines Agencies meeting</w:t>
            </w:r>
          </w:p>
        </w:tc>
        <w:tc>
          <w:tcPr>
            <w:tcW w:w="1559" w:type="dxa"/>
            <w:tcBorders>
              <w:bottom w:val="single" w:sz="4" w:space="0" w:color="auto"/>
            </w:tcBorders>
            <w:shd w:val="clear" w:color="auto" w:fill="auto"/>
            <w:noWrap/>
            <w:vAlign w:val="center"/>
          </w:tcPr>
          <w:p w14:paraId="443AF1B7" w14:textId="77777777" w:rsidR="00AC375F" w:rsidRPr="00AC375F" w:rsidRDefault="00AC375F" w:rsidP="00AC375F">
            <w:pPr>
              <w:jc w:val="center"/>
              <w:rPr>
                <w:rFonts w:cstheme="minorHAnsi"/>
                <w:iCs/>
                <w:sz w:val="18"/>
                <w:szCs w:val="18"/>
              </w:rPr>
            </w:pPr>
            <w:r w:rsidRPr="00AC375F">
              <w:rPr>
                <w:sz w:val="18"/>
                <w:szCs w:val="18"/>
              </w:rPr>
              <w:t>Malmo</w:t>
            </w:r>
          </w:p>
        </w:tc>
        <w:tc>
          <w:tcPr>
            <w:tcW w:w="1701" w:type="dxa"/>
            <w:tcBorders>
              <w:bottom w:val="single" w:sz="4" w:space="0" w:color="auto"/>
            </w:tcBorders>
            <w:shd w:val="clear" w:color="auto" w:fill="auto"/>
            <w:noWrap/>
            <w:vAlign w:val="center"/>
          </w:tcPr>
          <w:p w14:paraId="2457E168" w14:textId="77777777" w:rsidR="00AC375F" w:rsidRPr="00AC375F" w:rsidRDefault="00AC375F" w:rsidP="00AC375F">
            <w:pPr>
              <w:jc w:val="center"/>
              <w:rPr>
                <w:rFonts w:cstheme="minorHAnsi"/>
                <w:iCs/>
                <w:sz w:val="18"/>
                <w:szCs w:val="18"/>
              </w:rPr>
            </w:pPr>
            <w:r w:rsidRPr="00AC375F">
              <w:rPr>
                <w:sz w:val="18"/>
                <w:szCs w:val="18"/>
              </w:rPr>
              <w:t>veljača</w:t>
            </w:r>
          </w:p>
        </w:tc>
        <w:tc>
          <w:tcPr>
            <w:tcW w:w="1701" w:type="dxa"/>
            <w:tcBorders>
              <w:bottom w:val="single" w:sz="4" w:space="0" w:color="auto"/>
            </w:tcBorders>
            <w:shd w:val="clear" w:color="auto" w:fill="auto"/>
            <w:vAlign w:val="center"/>
          </w:tcPr>
          <w:p w14:paraId="5A6F2A25" w14:textId="77777777" w:rsidR="00AC375F" w:rsidRPr="00AC375F" w:rsidRDefault="00AC375F" w:rsidP="00AC375F">
            <w:pPr>
              <w:jc w:val="center"/>
              <w:rPr>
                <w:rFonts w:cstheme="minorHAnsi"/>
                <w:iCs/>
                <w:sz w:val="18"/>
                <w:szCs w:val="18"/>
              </w:rPr>
            </w:pPr>
            <w:r w:rsidRPr="00AC375F">
              <w:rPr>
                <w:sz w:val="18"/>
                <w:szCs w:val="18"/>
              </w:rPr>
              <w:t>3</w:t>
            </w:r>
          </w:p>
        </w:tc>
      </w:tr>
      <w:tr w:rsidR="00AC375F" w:rsidRPr="00AC375F" w14:paraId="59DDCEAD" w14:textId="77777777" w:rsidTr="00991955">
        <w:trPr>
          <w:trHeight w:val="585"/>
        </w:trPr>
        <w:tc>
          <w:tcPr>
            <w:tcW w:w="4390" w:type="dxa"/>
            <w:shd w:val="clear" w:color="auto" w:fill="auto"/>
            <w:noWrap/>
            <w:vAlign w:val="center"/>
          </w:tcPr>
          <w:p w14:paraId="199D5253" w14:textId="77777777" w:rsidR="00AC375F" w:rsidRPr="00AC375F" w:rsidRDefault="00AC375F" w:rsidP="00AC375F">
            <w:pPr>
              <w:rPr>
                <w:rFonts w:cstheme="minorHAnsi"/>
                <w:i/>
                <w:iCs/>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36BFC04" w14:textId="77777777" w:rsidR="00AC375F" w:rsidRPr="00AC375F" w:rsidRDefault="00AC375F" w:rsidP="00AC375F">
            <w:pPr>
              <w:jc w:val="center"/>
              <w:rPr>
                <w:rFonts w:cstheme="minorHAnsi"/>
                <w:iCs/>
                <w:sz w:val="18"/>
                <w:szCs w:val="18"/>
              </w:rPr>
            </w:pPr>
            <w:r w:rsidRPr="00AC375F">
              <w:rPr>
                <w:rFonts w:cstheme="minorHAnsi"/>
                <w:sz w:val="18"/>
                <w:szCs w:val="18"/>
              </w:rPr>
              <w:t>Uppsala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AFF255" w14:textId="77777777" w:rsidR="00AC375F" w:rsidRPr="00AC375F" w:rsidRDefault="00AC375F" w:rsidP="00AC375F">
            <w:pPr>
              <w:jc w:val="center"/>
              <w:rPr>
                <w:rFonts w:cstheme="minorHAnsi"/>
                <w:iCs/>
                <w:sz w:val="18"/>
                <w:szCs w:val="18"/>
              </w:rPr>
            </w:pPr>
            <w:r w:rsidRPr="00AC375F">
              <w:rPr>
                <w:rFonts w:cstheme="minorHAnsi"/>
                <w:sz w:val="18"/>
                <w:szCs w:val="18"/>
              </w:rPr>
              <w:t>svibanj</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8F0684B" w14:textId="77777777" w:rsidR="00AC375F" w:rsidRPr="00AC375F" w:rsidRDefault="00AC375F" w:rsidP="00AC375F">
            <w:pPr>
              <w:jc w:val="center"/>
              <w:rPr>
                <w:rFonts w:cstheme="minorHAnsi"/>
                <w:iCs/>
                <w:sz w:val="18"/>
                <w:szCs w:val="18"/>
              </w:rPr>
            </w:pPr>
            <w:r w:rsidRPr="00AC375F">
              <w:rPr>
                <w:rFonts w:cstheme="minorHAnsi"/>
                <w:sz w:val="18"/>
                <w:szCs w:val="18"/>
              </w:rPr>
              <w:t>3</w:t>
            </w:r>
          </w:p>
        </w:tc>
      </w:tr>
      <w:tr w:rsidR="00AC375F" w:rsidRPr="00AC375F" w14:paraId="471067DD" w14:textId="77777777" w:rsidTr="00991955">
        <w:trPr>
          <w:trHeight w:val="585"/>
        </w:trPr>
        <w:tc>
          <w:tcPr>
            <w:tcW w:w="4390" w:type="dxa"/>
            <w:shd w:val="clear" w:color="auto" w:fill="auto"/>
            <w:noWrap/>
            <w:vAlign w:val="center"/>
          </w:tcPr>
          <w:p w14:paraId="2D4E9CFD" w14:textId="77777777" w:rsidR="00AC375F" w:rsidRPr="00AC375F" w:rsidRDefault="00AC375F" w:rsidP="00AC375F">
            <w:pPr>
              <w:rPr>
                <w:rFonts w:cstheme="minorHAnsi"/>
                <w:i/>
                <w:iCs/>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BE95D18" w14:textId="77777777" w:rsidR="00AC375F" w:rsidRPr="00AC375F" w:rsidRDefault="00AC375F" w:rsidP="00AC375F">
            <w:pPr>
              <w:jc w:val="center"/>
              <w:rPr>
                <w:rFonts w:cstheme="minorHAnsi"/>
                <w:sz w:val="18"/>
                <w:szCs w:val="18"/>
              </w:rPr>
            </w:pPr>
            <w:r w:rsidRPr="00AC375F">
              <w:rPr>
                <w:rFonts w:cstheme="minorHAnsi"/>
                <w:sz w:val="18"/>
                <w:szCs w:val="18"/>
              </w:rPr>
              <w:t>Santiago de Compostela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A52AA1" w14:textId="77777777" w:rsidR="00AC375F" w:rsidRPr="00AC375F" w:rsidRDefault="00AC375F" w:rsidP="00AC375F">
            <w:pPr>
              <w:jc w:val="center"/>
              <w:rPr>
                <w:rFonts w:cstheme="minorHAnsi"/>
                <w:sz w:val="18"/>
                <w:szCs w:val="18"/>
              </w:rPr>
            </w:pPr>
            <w:r w:rsidRPr="00AC375F">
              <w:rPr>
                <w:rFonts w:cstheme="minorHAnsi"/>
                <w:sz w:val="18"/>
                <w:szCs w:val="18"/>
              </w:rPr>
              <w:t>rujan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5610BDA" w14:textId="77777777" w:rsidR="00AC375F" w:rsidRPr="00AC375F" w:rsidRDefault="00AC375F" w:rsidP="00AC375F">
            <w:pPr>
              <w:jc w:val="center"/>
              <w:rPr>
                <w:rFonts w:cstheme="minorHAnsi"/>
                <w:sz w:val="18"/>
                <w:szCs w:val="18"/>
              </w:rPr>
            </w:pPr>
            <w:r w:rsidRPr="00AC375F">
              <w:rPr>
                <w:rFonts w:cstheme="minorHAnsi"/>
                <w:sz w:val="18"/>
                <w:szCs w:val="18"/>
              </w:rPr>
              <w:t>4</w:t>
            </w:r>
          </w:p>
        </w:tc>
      </w:tr>
      <w:tr w:rsidR="00AC375F" w:rsidRPr="00AC375F" w14:paraId="6C6ACECB" w14:textId="77777777" w:rsidTr="00991955">
        <w:trPr>
          <w:trHeight w:val="585"/>
        </w:trPr>
        <w:tc>
          <w:tcPr>
            <w:tcW w:w="4390" w:type="dxa"/>
            <w:shd w:val="clear" w:color="auto" w:fill="auto"/>
            <w:noWrap/>
            <w:vAlign w:val="center"/>
          </w:tcPr>
          <w:p w14:paraId="5B6D6692" w14:textId="77777777" w:rsidR="00AC375F" w:rsidRPr="00AC375F" w:rsidRDefault="00AC375F" w:rsidP="00AC375F">
            <w:pPr>
              <w:rPr>
                <w:rFonts w:cstheme="minorHAnsi"/>
                <w:i/>
                <w:iCs/>
                <w:sz w:val="18"/>
                <w:szCs w:val="18"/>
              </w:rPr>
            </w:pPr>
          </w:p>
        </w:tc>
        <w:tc>
          <w:tcPr>
            <w:tcW w:w="1559" w:type="dxa"/>
            <w:tcBorders>
              <w:top w:val="nil"/>
              <w:left w:val="nil"/>
              <w:bottom w:val="single" w:sz="8" w:space="0" w:color="auto"/>
              <w:right w:val="single" w:sz="8" w:space="0" w:color="auto"/>
            </w:tcBorders>
            <w:noWrap/>
            <w:vAlign w:val="center"/>
          </w:tcPr>
          <w:p w14:paraId="0F04CE5A" w14:textId="77777777" w:rsidR="00AC375F" w:rsidRPr="00AC375F" w:rsidRDefault="00AC375F" w:rsidP="00AC375F">
            <w:pPr>
              <w:jc w:val="center"/>
              <w:rPr>
                <w:rFonts w:cstheme="minorHAnsi"/>
                <w:sz w:val="18"/>
                <w:szCs w:val="18"/>
              </w:rPr>
            </w:pPr>
            <w:r w:rsidRPr="00AC375F">
              <w:rPr>
                <w:rFonts w:cstheme="minorHAnsi"/>
                <w:sz w:val="18"/>
                <w:szCs w:val="18"/>
              </w:rPr>
              <w:t>virtualno</w:t>
            </w:r>
          </w:p>
        </w:tc>
        <w:tc>
          <w:tcPr>
            <w:tcW w:w="1701" w:type="dxa"/>
            <w:tcBorders>
              <w:top w:val="nil"/>
              <w:left w:val="nil"/>
              <w:bottom w:val="single" w:sz="8" w:space="0" w:color="auto"/>
              <w:right w:val="single" w:sz="8" w:space="0" w:color="auto"/>
            </w:tcBorders>
            <w:noWrap/>
            <w:vAlign w:val="center"/>
          </w:tcPr>
          <w:p w14:paraId="466D07F8" w14:textId="77777777" w:rsidR="00AC375F" w:rsidRPr="00AC375F" w:rsidRDefault="00AC375F" w:rsidP="00AC375F">
            <w:pPr>
              <w:jc w:val="center"/>
              <w:rPr>
                <w:rFonts w:cstheme="minorHAnsi"/>
                <w:sz w:val="18"/>
                <w:szCs w:val="18"/>
              </w:rPr>
            </w:pPr>
            <w:r w:rsidRPr="00AC375F">
              <w:rPr>
                <w:rFonts w:cstheme="minorHAnsi"/>
                <w:sz w:val="18"/>
                <w:szCs w:val="18"/>
              </w:rPr>
              <w:t>prosinac</w:t>
            </w:r>
          </w:p>
        </w:tc>
        <w:tc>
          <w:tcPr>
            <w:tcW w:w="1701" w:type="dxa"/>
            <w:tcBorders>
              <w:top w:val="nil"/>
              <w:left w:val="nil"/>
              <w:bottom w:val="single" w:sz="8" w:space="0" w:color="auto"/>
              <w:right w:val="single" w:sz="8" w:space="0" w:color="auto"/>
            </w:tcBorders>
            <w:vAlign w:val="center"/>
          </w:tcPr>
          <w:p w14:paraId="5FD7948D" w14:textId="77777777" w:rsidR="00AC375F" w:rsidRPr="00AC375F" w:rsidRDefault="00AC375F" w:rsidP="00AC375F">
            <w:pPr>
              <w:jc w:val="center"/>
              <w:rPr>
                <w:rFonts w:cstheme="minorHAnsi"/>
                <w:sz w:val="18"/>
                <w:szCs w:val="18"/>
              </w:rPr>
            </w:pPr>
            <w:r w:rsidRPr="00AC375F">
              <w:rPr>
                <w:rFonts w:cstheme="minorHAnsi"/>
                <w:sz w:val="18"/>
                <w:szCs w:val="18"/>
              </w:rPr>
              <w:t>1</w:t>
            </w:r>
          </w:p>
        </w:tc>
      </w:tr>
      <w:tr w:rsidR="00AC375F" w:rsidRPr="00AC375F" w14:paraId="7141792B" w14:textId="77777777" w:rsidTr="00991955">
        <w:trPr>
          <w:trHeight w:val="585"/>
        </w:trPr>
        <w:tc>
          <w:tcPr>
            <w:tcW w:w="4390" w:type="dxa"/>
            <w:shd w:val="clear" w:color="auto" w:fill="auto"/>
            <w:noWrap/>
            <w:vAlign w:val="center"/>
          </w:tcPr>
          <w:p w14:paraId="588C3F53" w14:textId="77777777" w:rsidR="00AC375F" w:rsidRPr="00AC375F" w:rsidRDefault="00AC375F" w:rsidP="00AC375F">
            <w:pPr>
              <w:rPr>
                <w:rFonts w:cstheme="minorHAnsi"/>
                <w:b/>
                <w:i/>
                <w:iCs/>
                <w:sz w:val="18"/>
                <w:szCs w:val="18"/>
              </w:rPr>
            </w:pPr>
            <w:r w:rsidRPr="00AC375F">
              <w:rPr>
                <w:rFonts w:cstheme="minorHAnsi"/>
                <w:b/>
                <w:sz w:val="18"/>
                <w:szCs w:val="18"/>
              </w:rPr>
              <w:t>Benchmarking of European Medicines Agencies Steering Group (BEMA SG, HMA)</w:t>
            </w:r>
          </w:p>
        </w:tc>
        <w:tc>
          <w:tcPr>
            <w:tcW w:w="1559" w:type="dxa"/>
            <w:tcBorders>
              <w:top w:val="single" w:sz="4" w:space="0" w:color="auto"/>
              <w:left w:val="nil"/>
              <w:bottom w:val="single" w:sz="4" w:space="0" w:color="auto"/>
              <w:right w:val="single" w:sz="4" w:space="0" w:color="auto"/>
            </w:tcBorders>
            <w:noWrap/>
            <w:vAlign w:val="center"/>
          </w:tcPr>
          <w:p w14:paraId="17663D7A" w14:textId="77777777" w:rsidR="00AC375F" w:rsidRPr="00AC375F" w:rsidRDefault="00AC375F" w:rsidP="00AC375F">
            <w:pPr>
              <w:jc w:val="center"/>
              <w:rPr>
                <w:rFonts w:cstheme="minorHAnsi"/>
                <w:sz w:val="18"/>
                <w:szCs w:val="18"/>
              </w:rPr>
            </w:pPr>
            <w:r w:rsidRPr="00AC375F">
              <w:rPr>
                <w:rFonts w:cstheme="minorHAnsi"/>
                <w:sz w:val="18"/>
                <w:szCs w:val="18"/>
              </w:rPr>
              <w:t>virtualno</w:t>
            </w:r>
          </w:p>
        </w:tc>
        <w:tc>
          <w:tcPr>
            <w:tcW w:w="1701" w:type="dxa"/>
            <w:tcBorders>
              <w:top w:val="single" w:sz="4" w:space="0" w:color="auto"/>
              <w:left w:val="single" w:sz="4" w:space="0" w:color="auto"/>
              <w:bottom w:val="single" w:sz="4" w:space="0" w:color="auto"/>
              <w:right w:val="single" w:sz="4" w:space="0" w:color="auto"/>
            </w:tcBorders>
            <w:noWrap/>
            <w:vAlign w:val="center"/>
          </w:tcPr>
          <w:p w14:paraId="4851417E" w14:textId="77777777" w:rsidR="00AC375F" w:rsidRPr="00AC375F" w:rsidRDefault="00AC375F" w:rsidP="00AC375F">
            <w:pPr>
              <w:jc w:val="center"/>
              <w:rPr>
                <w:rFonts w:cstheme="minorHAnsi"/>
                <w:sz w:val="18"/>
                <w:szCs w:val="18"/>
              </w:rPr>
            </w:pPr>
            <w:r w:rsidRPr="00AC375F">
              <w:rPr>
                <w:rFonts w:cstheme="minorHAnsi"/>
                <w:sz w:val="18"/>
                <w:szCs w:val="18"/>
              </w:rPr>
              <w:t>veljača</w:t>
            </w:r>
          </w:p>
        </w:tc>
        <w:tc>
          <w:tcPr>
            <w:tcW w:w="1701" w:type="dxa"/>
            <w:tcBorders>
              <w:top w:val="single" w:sz="4" w:space="0" w:color="auto"/>
              <w:left w:val="single" w:sz="4" w:space="0" w:color="auto"/>
              <w:bottom w:val="single" w:sz="4" w:space="0" w:color="auto"/>
              <w:right w:val="single" w:sz="4" w:space="0" w:color="auto"/>
            </w:tcBorders>
            <w:vAlign w:val="center"/>
          </w:tcPr>
          <w:p w14:paraId="704A663F" w14:textId="77777777" w:rsidR="00AC375F" w:rsidRPr="00AC375F" w:rsidRDefault="00AC375F" w:rsidP="00AC375F">
            <w:pPr>
              <w:jc w:val="center"/>
              <w:rPr>
                <w:rFonts w:cstheme="minorHAnsi"/>
                <w:sz w:val="18"/>
                <w:szCs w:val="18"/>
              </w:rPr>
            </w:pPr>
            <w:r w:rsidRPr="00AC375F">
              <w:rPr>
                <w:rFonts w:cstheme="minorHAnsi"/>
                <w:sz w:val="18"/>
                <w:szCs w:val="18"/>
              </w:rPr>
              <w:t>1</w:t>
            </w:r>
          </w:p>
        </w:tc>
      </w:tr>
      <w:tr w:rsidR="00AC375F" w:rsidRPr="00AC375F" w14:paraId="22F995C9" w14:textId="77777777" w:rsidTr="00991955">
        <w:trPr>
          <w:trHeight w:val="585"/>
        </w:trPr>
        <w:tc>
          <w:tcPr>
            <w:tcW w:w="4390" w:type="dxa"/>
            <w:shd w:val="clear" w:color="auto" w:fill="auto"/>
            <w:noWrap/>
            <w:vAlign w:val="center"/>
          </w:tcPr>
          <w:p w14:paraId="77D2513E" w14:textId="77777777" w:rsidR="00AC375F" w:rsidRPr="00AC375F" w:rsidRDefault="00AC375F" w:rsidP="00AC375F">
            <w:pPr>
              <w:rPr>
                <w:rFonts w:cstheme="minorHAnsi"/>
                <w:i/>
                <w:iCs/>
                <w:sz w:val="18"/>
                <w:szCs w:val="18"/>
              </w:rPr>
            </w:pPr>
          </w:p>
        </w:tc>
        <w:tc>
          <w:tcPr>
            <w:tcW w:w="1559" w:type="dxa"/>
            <w:tcBorders>
              <w:top w:val="single" w:sz="4" w:space="0" w:color="auto"/>
              <w:left w:val="nil"/>
              <w:bottom w:val="single" w:sz="4" w:space="0" w:color="auto"/>
              <w:right w:val="single" w:sz="4" w:space="0" w:color="auto"/>
            </w:tcBorders>
            <w:noWrap/>
            <w:vAlign w:val="center"/>
          </w:tcPr>
          <w:p w14:paraId="5A83A3A5" w14:textId="77777777" w:rsidR="00AC375F" w:rsidRPr="00AC375F" w:rsidRDefault="00AC375F" w:rsidP="00AC375F">
            <w:pPr>
              <w:jc w:val="center"/>
              <w:rPr>
                <w:rFonts w:cstheme="minorHAnsi"/>
                <w:sz w:val="18"/>
                <w:szCs w:val="18"/>
              </w:rPr>
            </w:pPr>
            <w:r w:rsidRPr="00AC375F">
              <w:rPr>
                <w:rFonts w:cstheme="minorHAnsi"/>
                <w:sz w:val="18"/>
                <w:szCs w:val="18"/>
              </w:rPr>
              <w:t>virtualno</w:t>
            </w:r>
          </w:p>
        </w:tc>
        <w:tc>
          <w:tcPr>
            <w:tcW w:w="1701" w:type="dxa"/>
            <w:tcBorders>
              <w:top w:val="single" w:sz="4" w:space="0" w:color="auto"/>
              <w:left w:val="single" w:sz="4" w:space="0" w:color="auto"/>
              <w:bottom w:val="single" w:sz="4" w:space="0" w:color="auto"/>
              <w:right w:val="single" w:sz="4" w:space="0" w:color="auto"/>
            </w:tcBorders>
            <w:noWrap/>
            <w:vAlign w:val="center"/>
          </w:tcPr>
          <w:p w14:paraId="0729CEFB" w14:textId="77777777" w:rsidR="00AC375F" w:rsidRPr="00AC375F" w:rsidRDefault="00AC375F" w:rsidP="00AC375F">
            <w:pPr>
              <w:jc w:val="center"/>
              <w:rPr>
                <w:rFonts w:cstheme="minorHAnsi"/>
                <w:sz w:val="18"/>
                <w:szCs w:val="18"/>
              </w:rPr>
            </w:pPr>
            <w:r w:rsidRPr="00AC375F">
              <w:rPr>
                <w:rFonts w:cstheme="minorHAnsi"/>
                <w:sz w:val="18"/>
                <w:szCs w:val="18"/>
              </w:rPr>
              <w:t>srpanj</w:t>
            </w:r>
          </w:p>
        </w:tc>
        <w:tc>
          <w:tcPr>
            <w:tcW w:w="1701" w:type="dxa"/>
            <w:tcBorders>
              <w:top w:val="single" w:sz="4" w:space="0" w:color="auto"/>
              <w:left w:val="single" w:sz="4" w:space="0" w:color="auto"/>
              <w:bottom w:val="single" w:sz="4" w:space="0" w:color="auto"/>
              <w:right w:val="single" w:sz="4" w:space="0" w:color="auto"/>
            </w:tcBorders>
            <w:vAlign w:val="center"/>
          </w:tcPr>
          <w:p w14:paraId="69F62515" w14:textId="77777777" w:rsidR="00AC375F" w:rsidRPr="00AC375F" w:rsidRDefault="00AC375F" w:rsidP="00AC375F">
            <w:pPr>
              <w:jc w:val="center"/>
              <w:rPr>
                <w:rFonts w:cstheme="minorHAnsi"/>
                <w:sz w:val="18"/>
                <w:szCs w:val="18"/>
              </w:rPr>
            </w:pPr>
            <w:r w:rsidRPr="00AC375F">
              <w:rPr>
                <w:rFonts w:cstheme="minorHAnsi"/>
                <w:sz w:val="18"/>
                <w:szCs w:val="18"/>
              </w:rPr>
              <w:t>1</w:t>
            </w:r>
          </w:p>
        </w:tc>
      </w:tr>
      <w:tr w:rsidR="00AC375F" w:rsidRPr="00AC375F" w14:paraId="2D5F5B82" w14:textId="77777777" w:rsidTr="00991955">
        <w:trPr>
          <w:trHeight w:val="585"/>
        </w:trPr>
        <w:tc>
          <w:tcPr>
            <w:tcW w:w="4390" w:type="dxa"/>
            <w:shd w:val="clear" w:color="auto" w:fill="auto"/>
            <w:noWrap/>
            <w:vAlign w:val="center"/>
          </w:tcPr>
          <w:p w14:paraId="5BF3FCDC" w14:textId="77777777" w:rsidR="00AC375F" w:rsidRPr="00AC375F" w:rsidRDefault="00AC375F" w:rsidP="00AC375F">
            <w:pPr>
              <w:rPr>
                <w:rFonts w:cstheme="minorHAnsi"/>
                <w:i/>
                <w:iCs/>
                <w:sz w:val="18"/>
                <w:szCs w:val="18"/>
              </w:rPr>
            </w:pPr>
          </w:p>
        </w:tc>
        <w:tc>
          <w:tcPr>
            <w:tcW w:w="1559" w:type="dxa"/>
            <w:tcBorders>
              <w:top w:val="single" w:sz="4" w:space="0" w:color="auto"/>
              <w:left w:val="nil"/>
              <w:bottom w:val="single" w:sz="4" w:space="0" w:color="auto"/>
              <w:right w:val="single" w:sz="4" w:space="0" w:color="auto"/>
            </w:tcBorders>
            <w:noWrap/>
            <w:vAlign w:val="center"/>
          </w:tcPr>
          <w:p w14:paraId="3A3870A5" w14:textId="77777777" w:rsidR="00AC375F" w:rsidRPr="00AC375F" w:rsidRDefault="00AC375F" w:rsidP="00AC375F">
            <w:pPr>
              <w:jc w:val="center"/>
              <w:rPr>
                <w:rFonts w:cstheme="minorHAnsi"/>
                <w:sz w:val="18"/>
                <w:szCs w:val="18"/>
              </w:rPr>
            </w:pPr>
            <w:r w:rsidRPr="00AC375F">
              <w:rPr>
                <w:rFonts w:cstheme="minorHAnsi"/>
                <w:sz w:val="18"/>
                <w:szCs w:val="18"/>
              </w:rPr>
              <w:t>virtualno</w:t>
            </w:r>
          </w:p>
        </w:tc>
        <w:tc>
          <w:tcPr>
            <w:tcW w:w="1701" w:type="dxa"/>
            <w:tcBorders>
              <w:top w:val="single" w:sz="4" w:space="0" w:color="auto"/>
              <w:left w:val="single" w:sz="4" w:space="0" w:color="auto"/>
              <w:bottom w:val="single" w:sz="4" w:space="0" w:color="auto"/>
              <w:right w:val="single" w:sz="4" w:space="0" w:color="auto"/>
            </w:tcBorders>
            <w:noWrap/>
            <w:vAlign w:val="center"/>
          </w:tcPr>
          <w:p w14:paraId="224632EC" w14:textId="77777777" w:rsidR="00AC375F" w:rsidRPr="00AC375F" w:rsidRDefault="00AC375F" w:rsidP="00AC375F">
            <w:pPr>
              <w:jc w:val="center"/>
              <w:rPr>
                <w:rFonts w:cstheme="minorHAnsi"/>
                <w:sz w:val="18"/>
                <w:szCs w:val="18"/>
              </w:rPr>
            </w:pPr>
            <w:r w:rsidRPr="00AC375F">
              <w:rPr>
                <w:rFonts w:cstheme="minorHAnsi"/>
                <w:sz w:val="18"/>
                <w:szCs w:val="18"/>
              </w:rPr>
              <w:t>srpanj</w:t>
            </w:r>
          </w:p>
        </w:tc>
        <w:tc>
          <w:tcPr>
            <w:tcW w:w="1701" w:type="dxa"/>
            <w:tcBorders>
              <w:top w:val="single" w:sz="4" w:space="0" w:color="auto"/>
              <w:left w:val="single" w:sz="4" w:space="0" w:color="auto"/>
              <w:bottom w:val="single" w:sz="4" w:space="0" w:color="auto"/>
              <w:right w:val="single" w:sz="4" w:space="0" w:color="auto"/>
            </w:tcBorders>
            <w:vAlign w:val="center"/>
          </w:tcPr>
          <w:p w14:paraId="7A1C5E6C" w14:textId="77777777" w:rsidR="00AC375F" w:rsidRPr="00AC375F" w:rsidRDefault="00AC375F" w:rsidP="00AC375F">
            <w:pPr>
              <w:jc w:val="center"/>
              <w:rPr>
                <w:rFonts w:cstheme="minorHAnsi"/>
                <w:sz w:val="18"/>
                <w:szCs w:val="18"/>
              </w:rPr>
            </w:pPr>
            <w:r w:rsidRPr="00AC375F">
              <w:rPr>
                <w:rFonts w:cstheme="minorHAnsi"/>
                <w:sz w:val="18"/>
                <w:szCs w:val="18"/>
              </w:rPr>
              <w:t>1</w:t>
            </w:r>
          </w:p>
        </w:tc>
      </w:tr>
      <w:tr w:rsidR="00AC375F" w:rsidRPr="00AC375F" w14:paraId="4BD7791D" w14:textId="77777777" w:rsidTr="00991955">
        <w:trPr>
          <w:trHeight w:val="585"/>
        </w:trPr>
        <w:tc>
          <w:tcPr>
            <w:tcW w:w="4390" w:type="dxa"/>
            <w:shd w:val="clear" w:color="auto" w:fill="auto"/>
            <w:noWrap/>
            <w:vAlign w:val="center"/>
          </w:tcPr>
          <w:p w14:paraId="3E4650E2" w14:textId="77777777" w:rsidR="00AC375F" w:rsidRPr="00AC375F" w:rsidRDefault="00AC375F" w:rsidP="00AC375F">
            <w:pPr>
              <w:rPr>
                <w:rFonts w:cstheme="minorHAnsi"/>
                <w:i/>
                <w:iCs/>
                <w:sz w:val="18"/>
                <w:szCs w:val="18"/>
              </w:rPr>
            </w:pPr>
          </w:p>
        </w:tc>
        <w:tc>
          <w:tcPr>
            <w:tcW w:w="1559" w:type="dxa"/>
            <w:tcBorders>
              <w:top w:val="nil"/>
              <w:left w:val="nil"/>
              <w:bottom w:val="single" w:sz="8" w:space="0" w:color="auto"/>
              <w:right w:val="single" w:sz="8" w:space="0" w:color="auto"/>
            </w:tcBorders>
            <w:noWrap/>
            <w:vAlign w:val="center"/>
          </w:tcPr>
          <w:p w14:paraId="2A99D2F5" w14:textId="77777777" w:rsidR="00AC375F" w:rsidRPr="00AC375F" w:rsidRDefault="00AC375F" w:rsidP="00AC375F">
            <w:pPr>
              <w:jc w:val="center"/>
              <w:rPr>
                <w:rFonts w:cstheme="minorHAnsi"/>
                <w:sz w:val="18"/>
                <w:szCs w:val="18"/>
              </w:rPr>
            </w:pPr>
            <w:r w:rsidRPr="00AC375F">
              <w:rPr>
                <w:rFonts w:cstheme="minorHAnsi"/>
                <w:sz w:val="18"/>
                <w:szCs w:val="18"/>
              </w:rPr>
              <w:t>virtualno</w:t>
            </w:r>
          </w:p>
        </w:tc>
        <w:tc>
          <w:tcPr>
            <w:tcW w:w="1701" w:type="dxa"/>
            <w:tcBorders>
              <w:top w:val="nil"/>
              <w:left w:val="nil"/>
              <w:bottom w:val="single" w:sz="8" w:space="0" w:color="auto"/>
              <w:right w:val="single" w:sz="8" w:space="0" w:color="auto"/>
            </w:tcBorders>
            <w:noWrap/>
            <w:vAlign w:val="center"/>
          </w:tcPr>
          <w:p w14:paraId="6A3EC736" w14:textId="77777777" w:rsidR="00AC375F" w:rsidRPr="00AC375F" w:rsidRDefault="00AC375F" w:rsidP="00AC375F">
            <w:pPr>
              <w:jc w:val="center"/>
              <w:rPr>
                <w:rFonts w:cstheme="minorHAnsi"/>
                <w:sz w:val="18"/>
                <w:szCs w:val="18"/>
              </w:rPr>
            </w:pPr>
            <w:r w:rsidRPr="00AC375F">
              <w:rPr>
                <w:rFonts w:cstheme="minorHAnsi"/>
                <w:sz w:val="18"/>
                <w:szCs w:val="18"/>
              </w:rPr>
              <w:t>listopad</w:t>
            </w:r>
          </w:p>
        </w:tc>
        <w:tc>
          <w:tcPr>
            <w:tcW w:w="1701" w:type="dxa"/>
            <w:tcBorders>
              <w:top w:val="nil"/>
              <w:left w:val="nil"/>
              <w:bottom w:val="single" w:sz="8" w:space="0" w:color="auto"/>
              <w:right w:val="single" w:sz="8" w:space="0" w:color="auto"/>
            </w:tcBorders>
            <w:vAlign w:val="center"/>
          </w:tcPr>
          <w:p w14:paraId="056D4407" w14:textId="77777777" w:rsidR="00AC375F" w:rsidRPr="00AC375F" w:rsidRDefault="00AC375F" w:rsidP="00AC375F">
            <w:pPr>
              <w:jc w:val="center"/>
              <w:rPr>
                <w:rFonts w:cstheme="minorHAnsi"/>
                <w:sz w:val="18"/>
                <w:szCs w:val="18"/>
              </w:rPr>
            </w:pPr>
            <w:r w:rsidRPr="00AC375F">
              <w:rPr>
                <w:rFonts w:cstheme="minorHAnsi"/>
                <w:sz w:val="18"/>
                <w:szCs w:val="18"/>
              </w:rPr>
              <w:t xml:space="preserve">1 </w:t>
            </w:r>
          </w:p>
        </w:tc>
      </w:tr>
      <w:tr w:rsidR="00AC375F" w:rsidRPr="00AC375F" w14:paraId="163D7764" w14:textId="77777777" w:rsidTr="00991955">
        <w:trPr>
          <w:trHeight w:val="585"/>
        </w:trPr>
        <w:tc>
          <w:tcPr>
            <w:tcW w:w="4390" w:type="dxa"/>
            <w:shd w:val="clear" w:color="auto" w:fill="auto"/>
            <w:noWrap/>
            <w:vAlign w:val="center"/>
          </w:tcPr>
          <w:p w14:paraId="244E2CB2" w14:textId="77777777" w:rsidR="00AC375F" w:rsidRPr="00AC375F" w:rsidRDefault="00AC375F" w:rsidP="00AC375F">
            <w:pPr>
              <w:rPr>
                <w:rFonts w:cstheme="minorHAnsi"/>
                <w:b/>
                <w:iCs/>
                <w:sz w:val="18"/>
                <w:szCs w:val="18"/>
              </w:rPr>
            </w:pPr>
            <w:r w:rsidRPr="00AC375F">
              <w:rPr>
                <w:rFonts w:cstheme="minorHAnsi"/>
                <w:b/>
                <w:iCs/>
                <w:sz w:val="18"/>
                <w:szCs w:val="18"/>
              </w:rPr>
              <w:t>WHO-BEMA meeting</w:t>
            </w:r>
          </w:p>
          <w:p w14:paraId="6615765D" w14:textId="77777777" w:rsidR="00AC375F" w:rsidRPr="00AC375F" w:rsidRDefault="00AC375F" w:rsidP="00AC375F">
            <w:pPr>
              <w:rPr>
                <w:rFonts w:cstheme="minorHAnsi"/>
                <w:i/>
                <w:iCs/>
                <w:sz w:val="18"/>
                <w:szCs w:val="18"/>
              </w:rPr>
            </w:pPr>
            <w:r w:rsidRPr="00AC375F">
              <w:rPr>
                <w:rFonts w:cstheme="minorHAnsi"/>
                <w:b/>
                <w:iCs/>
                <w:sz w:val="18"/>
                <w:szCs w:val="18"/>
              </w:rPr>
              <w:t>-WHO Listed Authorities (WLA) procedure</w:t>
            </w:r>
          </w:p>
        </w:tc>
        <w:tc>
          <w:tcPr>
            <w:tcW w:w="1559" w:type="dxa"/>
            <w:tcBorders>
              <w:top w:val="single" w:sz="4" w:space="0" w:color="auto"/>
              <w:left w:val="nil"/>
              <w:bottom w:val="single" w:sz="4" w:space="0" w:color="auto"/>
              <w:right w:val="single" w:sz="4" w:space="0" w:color="auto"/>
            </w:tcBorders>
            <w:noWrap/>
            <w:vAlign w:val="center"/>
          </w:tcPr>
          <w:p w14:paraId="606AB57C" w14:textId="77777777" w:rsidR="00AC375F" w:rsidRPr="00AC375F" w:rsidRDefault="00AC375F" w:rsidP="00AC375F">
            <w:pPr>
              <w:jc w:val="center"/>
              <w:rPr>
                <w:rFonts w:cstheme="minorHAnsi"/>
                <w:sz w:val="18"/>
                <w:szCs w:val="18"/>
              </w:rPr>
            </w:pPr>
            <w:r w:rsidRPr="00AC375F">
              <w:rPr>
                <w:rFonts w:cstheme="minorHAnsi"/>
                <w:sz w:val="18"/>
                <w:szCs w:val="18"/>
              </w:rPr>
              <w:t>virtualno</w:t>
            </w:r>
          </w:p>
        </w:tc>
        <w:tc>
          <w:tcPr>
            <w:tcW w:w="1701" w:type="dxa"/>
            <w:tcBorders>
              <w:top w:val="single" w:sz="4" w:space="0" w:color="auto"/>
              <w:left w:val="single" w:sz="4" w:space="0" w:color="auto"/>
              <w:bottom w:val="single" w:sz="4" w:space="0" w:color="auto"/>
              <w:right w:val="single" w:sz="4" w:space="0" w:color="auto"/>
            </w:tcBorders>
            <w:noWrap/>
            <w:vAlign w:val="center"/>
          </w:tcPr>
          <w:p w14:paraId="78C13EDE" w14:textId="77777777" w:rsidR="00AC375F" w:rsidRPr="00AC375F" w:rsidRDefault="00AC375F" w:rsidP="00AC375F">
            <w:pPr>
              <w:jc w:val="center"/>
              <w:rPr>
                <w:rFonts w:cstheme="minorHAnsi"/>
                <w:sz w:val="18"/>
                <w:szCs w:val="18"/>
              </w:rPr>
            </w:pPr>
            <w:r w:rsidRPr="00AC375F">
              <w:rPr>
                <w:rFonts w:cstheme="minorHAnsi"/>
                <w:sz w:val="18"/>
                <w:szCs w:val="18"/>
              </w:rPr>
              <w:t>svibanj</w:t>
            </w:r>
          </w:p>
        </w:tc>
        <w:tc>
          <w:tcPr>
            <w:tcW w:w="1701" w:type="dxa"/>
            <w:tcBorders>
              <w:top w:val="single" w:sz="4" w:space="0" w:color="auto"/>
              <w:left w:val="single" w:sz="4" w:space="0" w:color="auto"/>
              <w:bottom w:val="single" w:sz="4" w:space="0" w:color="auto"/>
              <w:right w:val="single" w:sz="4" w:space="0" w:color="auto"/>
            </w:tcBorders>
            <w:vAlign w:val="center"/>
          </w:tcPr>
          <w:p w14:paraId="2895CF46" w14:textId="77777777" w:rsidR="00AC375F" w:rsidRPr="00AC375F" w:rsidRDefault="00AC375F" w:rsidP="00AC375F">
            <w:pPr>
              <w:jc w:val="center"/>
              <w:rPr>
                <w:rFonts w:cstheme="minorHAnsi"/>
                <w:sz w:val="18"/>
                <w:szCs w:val="18"/>
              </w:rPr>
            </w:pPr>
            <w:r w:rsidRPr="00AC375F">
              <w:rPr>
                <w:rFonts w:cstheme="minorHAnsi"/>
                <w:sz w:val="18"/>
                <w:szCs w:val="18"/>
              </w:rPr>
              <w:t>1</w:t>
            </w:r>
          </w:p>
        </w:tc>
      </w:tr>
      <w:tr w:rsidR="00AC375F" w:rsidRPr="00AC375F" w14:paraId="01997211" w14:textId="77777777" w:rsidTr="00991955">
        <w:trPr>
          <w:trHeight w:val="585"/>
        </w:trPr>
        <w:tc>
          <w:tcPr>
            <w:tcW w:w="4390" w:type="dxa"/>
            <w:shd w:val="clear" w:color="auto" w:fill="auto"/>
            <w:noWrap/>
            <w:vAlign w:val="center"/>
          </w:tcPr>
          <w:p w14:paraId="4F19EB54" w14:textId="77777777" w:rsidR="00AC375F" w:rsidRPr="00AC375F" w:rsidRDefault="00AC375F" w:rsidP="00AC375F">
            <w:pPr>
              <w:rPr>
                <w:rFonts w:cstheme="minorHAnsi"/>
                <w:b/>
                <w:iCs/>
                <w:sz w:val="18"/>
                <w:szCs w:val="18"/>
              </w:rPr>
            </w:pPr>
            <w:r w:rsidRPr="00AC375F">
              <w:rPr>
                <w:rFonts w:cstheme="minorHAnsi"/>
                <w:b/>
                <w:iCs/>
                <w:sz w:val="18"/>
                <w:szCs w:val="18"/>
              </w:rPr>
              <w:t>Management Board meeting of European Medicines Agency</w:t>
            </w:r>
          </w:p>
        </w:tc>
        <w:tc>
          <w:tcPr>
            <w:tcW w:w="1559" w:type="dxa"/>
            <w:tcBorders>
              <w:top w:val="single" w:sz="4" w:space="0" w:color="auto"/>
            </w:tcBorders>
            <w:shd w:val="clear" w:color="auto" w:fill="auto"/>
            <w:noWrap/>
            <w:vAlign w:val="center"/>
          </w:tcPr>
          <w:p w14:paraId="3065D19B" w14:textId="77777777" w:rsidR="00AC375F" w:rsidRPr="00AC375F" w:rsidRDefault="00AC375F" w:rsidP="00AC375F">
            <w:pPr>
              <w:spacing w:line="252" w:lineRule="auto"/>
              <w:jc w:val="center"/>
              <w:rPr>
                <w:sz w:val="18"/>
                <w:szCs w:val="18"/>
              </w:rPr>
            </w:pPr>
            <w:r w:rsidRPr="00AC375F">
              <w:rPr>
                <w:sz w:val="18"/>
                <w:szCs w:val="18"/>
              </w:rPr>
              <w:t>virtualno</w:t>
            </w:r>
          </w:p>
          <w:p w14:paraId="4D26E3DA" w14:textId="77777777" w:rsidR="00AC375F" w:rsidRPr="00AC375F" w:rsidRDefault="00AC375F" w:rsidP="00AC375F">
            <w:pPr>
              <w:jc w:val="center"/>
              <w:rPr>
                <w:rFonts w:cstheme="minorHAnsi"/>
                <w:iCs/>
                <w:sz w:val="18"/>
                <w:szCs w:val="18"/>
              </w:rPr>
            </w:pPr>
            <w:r w:rsidRPr="00AC375F">
              <w:rPr>
                <w:sz w:val="18"/>
                <w:szCs w:val="18"/>
              </w:rPr>
              <w:t>(ad-hoc)</w:t>
            </w:r>
          </w:p>
        </w:tc>
        <w:tc>
          <w:tcPr>
            <w:tcW w:w="1701" w:type="dxa"/>
            <w:tcBorders>
              <w:top w:val="single" w:sz="4" w:space="0" w:color="auto"/>
            </w:tcBorders>
            <w:shd w:val="clear" w:color="auto" w:fill="auto"/>
            <w:noWrap/>
            <w:vAlign w:val="center"/>
          </w:tcPr>
          <w:p w14:paraId="67FFF30A" w14:textId="77777777" w:rsidR="00AC375F" w:rsidRPr="00AC375F" w:rsidRDefault="00AC375F" w:rsidP="00AC375F">
            <w:pPr>
              <w:jc w:val="center"/>
              <w:rPr>
                <w:rFonts w:cstheme="minorHAnsi"/>
                <w:iCs/>
                <w:sz w:val="18"/>
                <w:szCs w:val="18"/>
              </w:rPr>
            </w:pPr>
            <w:r w:rsidRPr="00AC375F">
              <w:rPr>
                <w:sz w:val="18"/>
                <w:szCs w:val="18"/>
              </w:rPr>
              <w:t>siječanj</w:t>
            </w:r>
          </w:p>
        </w:tc>
        <w:tc>
          <w:tcPr>
            <w:tcW w:w="1701" w:type="dxa"/>
            <w:tcBorders>
              <w:top w:val="single" w:sz="4" w:space="0" w:color="auto"/>
            </w:tcBorders>
            <w:shd w:val="clear" w:color="auto" w:fill="auto"/>
            <w:vAlign w:val="center"/>
          </w:tcPr>
          <w:p w14:paraId="611BC675" w14:textId="77777777" w:rsidR="00AC375F" w:rsidRPr="00AC375F" w:rsidRDefault="00AC375F" w:rsidP="00AC375F">
            <w:pPr>
              <w:jc w:val="center"/>
              <w:rPr>
                <w:rFonts w:cstheme="minorHAnsi"/>
                <w:iCs/>
                <w:sz w:val="18"/>
                <w:szCs w:val="18"/>
              </w:rPr>
            </w:pPr>
            <w:r w:rsidRPr="00AC375F">
              <w:rPr>
                <w:sz w:val="18"/>
                <w:szCs w:val="18"/>
              </w:rPr>
              <w:t>1</w:t>
            </w:r>
          </w:p>
        </w:tc>
      </w:tr>
      <w:tr w:rsidR="00AC375F" w:rsidRPr="00AC375F" w14:paraId="6B7FAF6C" w14:textId="77777777" w:rsidTr="00991955">
        <w:trPr>
          <w:trHeight w:val="585"/>
        </w:trPr>
        <w:tc>
          <w:tcPr>
            <w:tcW w:w="4390" w:type="dxa"/>
            <w:shd w:val="clear" w:color="auto" w:fill="auto"/>
            <w:noWrap/>
            <w:vAlign w:val="center"/>
          </w:tcPr>
          <w:p w14:paraId="76B99771" w14:textId="77777777" w:rsidR="00AC375F" w:rsidRPr="00AC375F" w:rsidRDefault="00AC375F" w:rsidP="00AC375F">
            <w:pPr>
              <w:rPr>
                <w:rFonts w:cstheme="minorHAnsi"/>
                <w:b/>
                <w:iCs/>
                <w:sz w:val="18"/>
                <w:szCs w:val="18"/>
              </w:rPr>
            </w:pPr>
          </w:p>
        </w:tc>
        <w:tc>
          <w:tcPr>
            <w:tcW w:w="1559" w:type="dxa"/>
            <w:shd w:val="clear" w:color="auto" w:fill="auto"/>
            <w:noWrap/>
            <w:vAlign w:val="center"/>
          </w:tcPr>
          <w:p w14:paraId="48F3BCC4" w14:textId="77777777" w:rsidR="00AC375F" w:rsidRPr="00AC375F" w:rsidRDefault="00AC375F" w:rsidP="00AC375F">
            <w:pPr>
              <w:jc w:val="center"/>
              <w:rPr>
                <w:rFonts w:cstheme="minorHAnsi"/>
                <w:iCs/>
                <w:sz w:val="18"/>
                <w:szCs w:val="18"/>
              </w:rPr>
            </w:pPr>
            <w:r w:rsidRPr="00AC375F">
              <w:rPr>
                <w:sz w:val="18"/>
                <w:szCs w:val="18"/>
              </w:rPr>
              <w:t>virtualno</w:t>
            </w:r>
          </w:p>
        </w:tc>
        <w:tc>
          <w:tcPr>
            <w:tcW w:w="1701" w:type="dxa"/>
            <w:shd w:val="clear" w:color="auto" w:fill="auto"/>
            <w:noWrap/>
            <w:vAlign w:val="center"/>
          </w:tcPr>
          <w:p w14:paraId="499D942D" w14:textId="77777777" w:rsidR="00AC375F" w:rsidRPr="00AC375F" w:rsidRDefault="00AC375F" w:rsidP="00AC375F">
            <w:pPr>
              <w:jc w:val="center"/>
              <w:rPr>
                <w:rFonts w:cstheme="minorHAnsi"/>
                <w:iCs/>
                <w:sz w:val="18"/>
                <w:szCs w:val="18"/>
              </w:rPr>
            </w:pPr>
            <w:r w:rsidRPr="00AC375F">
              <w:rPr>
                <w:sz w:val="18"/>
                <w:szCs w:val="18"/>
              </w:rPr>
              <w:t>ožujak</w:t>
            </w:r>
          </w:p>
        </w:tc>
        <w:tc>
          <w:tcPr>
            <w:tcW w:w="1701" w:type="dxa"/>
            <w:shd w:val="clear" w:color="auto" w:fill="auto"/>
            <w:vAlign w:val="center"/>
          </w:tcPr>
          <w:p w14:paraId="3D4A6E8B" w14:textId="77777777" w:rsidR="00AC375F" w:rsidRPr="00AC375F" w:rsidRDefault="00AC375F" w:rsidP="00AC375F">
            <w:pPr>
              <w:jc w:val="center"/>
              <w:rPr>
                <w:rFonts w:cstheme="minorHAnsi"/>
                <w:iCs/>
                <w:sz w:val="18"/>
                <w:szCs w:val="18"/>
              </w:rPr>
            </w:pPr>
            <w:r w:rsidRPr="00AC375F">
              <w:rPr>
                <w:sz w:val="18"/>
                <w:szCs w:val="18"/>
              </w:rPr>
              <w:t>1</w:t>
            </w:r>
          </w:p>
        </w:tc>
      </w:tr>
      <w:tr w:rsidR="00AC375F" w:rsidRPr="00AC375F" w14:paraId="09618F2F" w14:textId="77777777" w:rsidTr="00991955">
        <w:trPr>
          <w:trHeight w:val="585"/>
        </w:trPr>
        <w:tc>
          <w:tcPr>
            <w:tcW w:w="4390" w:type="dxa"/>
            <w:shd w:val="clear" w:color="auto" w:fill="auto"/>
            <w:noWrap/>
            <w:vAlign w:val="center"/>
          </w:tcPr>
          <w:p w14:paraId="1C79B5C7" w14:textId="77777777" w:rsidR="00AC375F" w:rsidRPr="00AC375F" w:rsidRDefault="00AC375F" w:rsidP="00AC375F">
            <w:pPr>
              <w:rPr>
                <w:rFonts w:cstheme="minorHAnsi"/>
                <w:b/>
                <w:iCs/>
                <w:sz w:val="18"/>
                <w:szCs w:val="18"/>
              </w:rPr>
            </w:pPr>
          </w:p>
        </w:tc>
        <w:tc>
          <w:tcPr>
            <w:tcW w:w="1559" w:type="dxa"/>
            <w:tcBorders>
              <w:top w:val="nil"/>
              <w:left w:val="nil"/>
              <w:bottom w:val="single" w:sz="8" w:space="0" w:color="auto"/>
              <w:right w:val="single" w:sz="8" w:space="0" w:color="auto"/>
            </w:tcBorders>
            <w:shd w:val="clear" w:color="auto" w:fill="auto"/>
            <w:noWrap/>
            <w:vAlign w:val="center"/>
          </w:tcPr>
          <w:p w14:paraId="043F4A5F" w14:textId="77777777" w:rsidR="00AC375F" w:rsidRPr="00AC375F" w:rsidRDefault="00AC375F" w:rsidP="00AC375F">
            <w:pPr>
              <w:jc w:val="center"/>
              <w:rPr>
                <w:sz w:val="18"/>
                <w:szCs w:val="18"/>
              </w:rPr>
            </w:pPr>
            <w:r w:rsidRPr="00AC375F">
              <w:rPr>
                <w:sz w:val="18"/>
                <w:szCs w:val="18"/>
              </w:rPr>
              <w:t>Amsterdam</w:t>
            </w:r>
          </w:p>
        </w:tc>
        <w:tc>
          <w:tcPr>
            <w:tcW w:w="1701" w:type="dxa"/>
            <w:tcBorders>
              <w:top w:val="nil"/>
              <w:left w:val="nil"/>
              <w:bottom w:val="single" w:sz="8" w:space="0" w:color="auto"/>
              <w:right w:val="single" w:sz="8" w:space="0" w:color="auto"/>
            </w:tcBorders>
            <w:shd w:val="clear" w:color="auto" w:fill="auto"/>
            <w:noWrap/>
            <w:vAlign w:val="center"/>
          </w:tcPr>
          <w:p w14:paraId="0B14BF09" w14:textId="77777777" w:rsidR="00AC375F" w:rsidRPr="00AC375F" w:rsidRDefault="00AC375F" w:rsidP="00AC375F">
            <w:pPr>
              <w:jc w:val="center"/>
              <w:rPr>
                <w:sz w:val="18"/>
                <w:szCs w:val="18"/>
              </w:rPr>
            </w:pPr>
            <w:r w:rsidRPr="00AC375F">
              <w:rPr>
                <w:sz w:val="18"/>
                <w:szCs w:val="18"/>
              </w:rPr>
              <w:t>prosinac</w:t>
            </w:r>
          </w:p>
        </w:tc>
        <w:tc>
          <w:tcPr>
            <w:tcW w:w="1701" w:type="dxa"/>
            <w:tcBorders>
              <w:top w:val="nil"/>
              <w:left w:val="nil"/>
              <w:bottom w:val="single" w:sz="8" w:space="0" w:color="auto"/>
              <w:right w:val="single" w:sz="8" w:space="0" w:color="auto"/>
            </w:tcBorders>
            <w:shd w:val="clear" w:color="auto" w:fill="auto"/>
            <w:vAlign w:val="center"/>
          </w:tcPr>
          <w:p w14:paraId="35F1694D" w14:textId="77777777" w:rsidR="00AC375F" w:rsidRPr="00AC375F" w:rsidRDefault="00AC375F" w:rsidP="00AC375F">
            <w:pPr>
              <w:jc w:val="center"/>
              <w:rPr>
                <w:sz w:val="18"/>
                <w:szCs w:val="18"/>
              </w:rPr>
            </w:pPr>
            <w:r w:rsidRPr="00AC375F">
              <w:rPr>
                <w:sz w:val="18"/>
                <w:szCs w:val="18"/>
              </w:rPr>
              <w:t>3</w:t>
            </w:r>
          </w:p>
        </w:tc>
      </w:tr>
      <w:tr w:rsidR="00AC375F" w:rsidRPr="00AC375F" w14:paraId="7C553BFB" w14:textId="77777777" w:rsidTr="00991955">
        <w:trPr>
          <w:trHeight w:val="585"/>
        </w:trPr>
        <w:tc>
          <w:tcPr>
            <w:tcW w:w="4390" w:type="dxa"/>
            <w:shd w:val="clear" w:color="auto" w:fill="auto"/>
            <w:noWrap/>
            <w:vAlign w:val="center"/>
          </w:tcPr>
          <w:p w14:paraId="7EBEBA3D" w14:textId="77777777" w:rsidR="00AC375F" w:rsidRPr="00AC375F" w:rsidRDefault="00AC375F" w:rsidP="00AC375F">
            <w:pPr>
              <w:spacing w:line="256" w:lineRule="auto"/>
              <w:rPr>
                <w:b/>
                <w:bCs/>
                <w:sz w:val="18"/>
                <w:szCs w:val="18"/>
              </w:rPr>
            </w:pPr>
            <w:r w:rsidRPr="00AC375F">
              <w:rPr>
                <w:rFonts w:cstheme="minorHAnsi"/>
                <w:b/>
                <w:sz w:val="18"/>
                <w:szCs w:val="18"/>
              </w:rPr>
              <w:t>Executive Steering Group on Shortages and Safety of Medicinal Products, MSSG, EMA</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5FBB0E4" w14:textId="77777777" w:rsidR="00AC375F" w:rsidRPr="00AC375F" w:rsidRDefault="00AC375F" w:rsidP="00AC375F">
            <w:pPr>
              <w:jc w:val="center"/>
              <w:rPr>
                <w:rFonts w:cstheme="minorHAnsi"/>
                <w:sz w:val="18"/>
                <w:szCs w:val="18"/>
              </w:rPr>
            </w:pPr>
            <w:r w:rsidRPr="00AC375F">
              <w:rPr>
                <w:rFonts w:cstheme="minorHAnsi"/>
                <w:sz w:val="18"/>
                <w:szCs w:val="18"/>
              </w:rPr>
              <w:t>virtualno</w:t>
            </w:r>
          </w:p>
          <w:p w14:paraId="53BE090C" w14:textId="77777777" w:rsidR="00AC375F" w:rsidRPr="00AC375F" w:rsidRDefault="00AC375F" w:rsidP="00AC375F">
            <w:pPr>
              <w:jc w:val="center"/>
              <w:rPr>
                <w:rFonts w:cstheme="minorHAnsi"/>
                <w:iCs/>
                <w:sz w:val="18"/>
                <w:szCs w:val="18"/>
              </w:rPr>
            </w:pPr>
            <w:r w:rsidRPr="00AC375F">
              <w:rPr>
                <w:rFonts w:cstheme="minorHAnsi"/>
                <w:sz w:val="18"/>
                <w:szCs w:val="18"/>
              </w:rPr>
              <w:t>(ad-hoc)</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6DF2B1" w14:textId="77777777" w:rsidR="00AC375F" w:rsidRPr="00AC375F" w:rsidRDefault="00AC375F" w:rsidP="00AC375F">
            <w:pPr>
              <w:jc w:val="center"/>
              <w:rPr>
                <w:rFonts w:cstheme="minorHAnsi"/>
                <w:iCs/>
                <w:sz w:val="18"/>
                <w:szCs w:val="18"/>
              </w:rPr>
            </w:pPr>
            <w:r w:rsidRPr="00AC375F">
              <w:rPr>
                <w:rFonts w:cstheme="minorHAnsi"/>
                <w:sz w:val="18"/>
                <w:szCs w:val="18"/>
              </w:rPr>
              <w:t>siječanj</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1044844" w14:textId="77777777" w:rsidR="00AC375F" w:rsidRPr="00AC375F" w:rsidRDefault="00AC375F" w:rsidP="00AC375F">
            <w:pPr>
              <w:jc w:val="center"/>
              <w:rPr>
                <w:rFonts w:cstheme="minorHAnsi"/>
                <w:iCs/>
                <w:sz w:val="18"/>
                <w:szCs w:val="18"/>
              </w:rPr>
            </w:pPr>
            <w:r w:rsidRPr="00AC375F">
              <w:rPr>
                <w:rFonts w:cstheme="minorHAnsi"/>
                <w:sz w:val="18"/>
                <w:szCs w:val="18"/>
              </w:rPr>
              <w:t>1</w:t>
            </w:r>
          </w:p>
        </w:tc>
      </w:tr>
      <w:tr w:rsidR="00AC375F" w:rsidRPr="00AC375F" w14:paraId="3F6F2BCA" w14:textId="77777777" w:rsidTr="00991955">
        <w:trPr>
          <w:trHeight w:val="585"/>
        </w:trPr>
        <w:tc>
          <w:tcPr>
            <w:tcW w:w="4390" w:type="dxa"/>
            <w:shd w:val="clear" w:color="auto" w:fill="auto"/>
            <w:noWrap/>
            <w:vAlign w:val="center"/>
          </w:tcPr>
          <w:p w14:paraId="6CEAFFDF" w14:textId="77777777" w:rsidR="00AC375F" w:rsidRPr="00AC375F" w:rsidRDefault="00AC375F" w:rsidP="00AC375F">
            <w:pPr>
              <w:spacing w:line="256" w:lineRule="auto"/>
              <w:rPr>
                <w:b/>
                <w:bCs/>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E66F93D" w14:textId="77777777" w:rsidR="00AC375F" w:rsidRPr="00AC375F" w:rsidRDefault="00AC375F" w:rsidP="00AC375F">
            <w:pPr>
              <w:jc w:val="center"/>
              <w:rPr>
                <w:rFonts w:cstheme="minorHAnsi"/>
                <w:iCs/>
                <w:sz w:val="18"/>
                <w:szCs w:val="18"/>
              </w:rPr>
            </w:pPr>
            <w:r w:rsidRPr="00AC375F">
              <w:rPr>
                <w:rFonts w:cstheme="minorHAnsi"/>
                <w:sz w:val="18"/>
                <w:szCs w:val="18"/>
              </w:rPr>
              <w:t>virtualno</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7449F1" w14:textId="77777777" w:rsidR="00AC375F" w:rsidRPr="00AC375F" w:rsidRDefault="00AC375F" w:rsidP="00AC375F">
            <w:pPr>
              <w:jc w:val="center"/>
              <w:rPr>
                <w:rFonts w:cstheme="minorHAnsi"/>
                <w:iCs/>
                <w:sz w:val="18"/>
                <w:szCs w:val="18"/>
              </w:rPr>
            </w:pPr>
            <w:r w:rsidRPr="00AC375F">
              <w:rPr>
                <w:rFonts w:cstheme="minorHAnsi"/>
                <w:sz w:val="18"/>
                <w:szCs w:val="18"/>
              </w:rPr>
              <w:t>siječanj</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B455F8B" w14:textId="77777777" w:rsidR="00AC375F" w:rsidRPr="00AC375F" w:rsidRDefault="00AC375F" w:rsidP="00AC375F">
            <w:pPr>
              <w:jc w:val="center"/>
              <w:rPr>
                <w:rFonts w:cstheme="minorHAnsi"/>
                <w:iCs/>
                <w:sz w:val="18"/>
                <w:szCs w:val="18"/>
              </w:rPr>
            </w:pPr>
            <w:r w:rsidRPr="00AC375F">
              <w:rPr>
                <w:rFonts w:cstheme="minorHAnsi"/>
                <w:sz w:val="18"/>
                <w:szCs w:val="18"/>
              </w:rPr>
              <w:t>1</w:t>
            </w:r>
          </w:p>
        </w:tc>
      </w:tr>
      <w:tr w:rsidR="00AC375F" w:rsidRPr="00AC375F" w14:paraId="306C728C" w14:textId="77777777" w:rsidTr="00991955">
        <w:trPr>
          <w:trHeight w:val="585"/>
        </w:trPr>
        <w:tc>
          <w:tcPr>
            <w:tcW w:w="4390" w:type="dxa"/>
            <w:shd w:val="clear" w:color="auto" w:fill="auto"/>
            <w:noWrap/>
            <w:vAlign w:val="center"/>
          </w:tcPr>
          <w:p w14:paraId="26EFCB7C" w14:textId="77777777" w:rsidR="00AC375F" w:rsidRPr="00AC375F" w:rsidRDefault="00AC375F" w:rsidP="00AC375F">
            <w:pPr>
              <w:spacing w:line="256" w:lineRule="auto"/>
              <w:rPr>
                <w:b/>
                <w:bCs/>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85E2B7D" w14:textId="77777777" w:rsidR="00AC375F" w:rsidRPr="00AC375F" w:rsidRDefault="00AC375F" w:rsidP="00AC375F">
            <w:pPr>
              <w:jc w:val="center"/>
              <w:rPr>
                <w:rFonts w:cstheme="minorHAnsi"/>
                <w:iCs/>
                <w:sz w:val="18"/>
                <w:szCs w:val="18"/>
              </w:rPr>
            </w:pPr>
            <w:r w:rsidRPr="00AC375F">
              <w:rPr>
                <w:rFonts w:cstheme="minorHAnsi"/>
                <w:sz w:val="18"/>
                <w:szCs w:val="18"/>
              </w:rPr>
              <w:t>virtualno</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B73347" w14:textId="77777777" w:rsidR="00AC375F" w:rsidRPr="00AC375F" w:rsidRDefault="00AC375F" w:rsidP="00AC375F">
            <w:pPr>
              <w:jc w:val="center"/>
              <w:rPr>
                <w:rFonts w:cstheme="minorHAnsi"/>
                <w:iCs/>
                <w:sz w:val="18"/>
                <w:szCs w:val="18"/>
              </w:rPr>
            </w:pPr>
            <w:r w:rsidRPr="00AC375F">
              <w:rPr>
                <w:rFonts w:cstheme="minorHAnsi"/>
                <w:sz w:val="18"/>
                <w:szCs w:val="18"/>
              </w:rPr>
              <w:t>veljača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236EE9B" w14:textId="77777777" w:rsidR="00AC375F" w:rsidRPr="00AC375F" w:rsidRDefault="00AC375F" w:rsidP="00AC375F">
            <w:pPr>
              <w:jc w:val="center"/>
              <w:rPr>
                <w:rFonts w:cstheme="minorHAnsi"/>
                <w:iCs/>
                <w:sz w:val="18"/>
                <w:szCs w:val="18"/>
              </w:rPr>
            </w:pPr>
            <w:r w:rsidRPr="00AC375F">
              <w:rPr>
                <w:rFonts w:cstheme="minorHAnsi"/>
                <w:sz w:val="18"/>
                <w:szCs w:val="18"/>
              </w:rPr>
              <w:t>1</w:t>
            </w:r>
          </w:p>
        </w:tc>
      </w:tr>
      <w:tr w:rsidR="00AC375F" w:rsidRPr="00AC375F" w14:paraId="5D4B6EA7" w14:textId="77777777" w:rsidTr="00991955">
        <w:trPr>
          <w:trHeight w:val="585"/>
        </w:trPr>
        <w:tc>
          <w:tcPr>
            <w:tcW w:w="4390" w:type="dxa"/>
            <w:shd w:val="clear" w:color="auto" w:fill="auto"/>
            <w:noWrap/>
            <w:vAlign w:val="center"/>
          </w:tcPr>
          <w:p w14:paraId="4B732E37" w14:textId="77777777" w:rsidR="00AC375F" w:rsidRPr="00AC375F" w:rsidRDefault="00AC375F" w:rsidP="00AC375F">
            <w:pPr>
              <w:spacing w:line="256" w:lineRule="auto"/>
              <w:rPr>
                <w:b/>
                <w:bCs/>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CC0C727" w14:textId="77777777" w:rsidR="00AC375F" w:rsidRPr="00AC375F" w:rsidRDefault="00AC375F" w:rsidP="00AC375F">
            <w:pPr>
              <w:jc w:val="center"/>
              <w:rPr>
                <w:rFonts w:cstheme="minorHAnsi"/>
                <w:iCs/>
                <w:sz w:val="18"/>
                <w:szCs w:val="18"/>
              </w:rPr>
            </w:pPr>
            <w:r w:rsidRPr="00AC375F">
              <w:rPr>
                <w:rFonts w:cstheme="minorHAnsi"/>
                <w:sz w:val="18"/>
                <w:szCs w:val="18"/>
              </w:rPr>
              <w:t>virtualno</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A4EE79" w14:textId="77777777" w:rsidR="00AC375F" w:rsidRPr="00AC375F" w:rsidRDefault="00AC375F" w:rsidP="00AC375F">
            <w:pPr>
              <w:jc w:val="center"/>
              <w:rPr>
                <w:rFonts w:cstheme="minorHAnsi"/>
                <w:iCs/>
                <w:sz w:val="18"/>
                <w:szCs w:val="18"/>
              </w:rPr>
            </w:pPr>
            <w:r w:rsidRPr="00AC375F">
              <w:rPr>
                <w:rFonts w:cstheme="minorHAnsi"/>
                <w:sz w:val="18"/>
                <w:szCs w:val="18"/>
              </w:rPr>
              <w:t>ožujak</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45D607E" w14:textId="77777777" w:rsidR="00AC375F" w:rsidRPr="00AC375F" w:rsidRDefault="00AC375F" w:rsidP="00AC375F">
            <w:pPr>
              <w:jc w:val="center"/>
              <w:rPr>
                <w:rFonts w:cstheme="minorHAnsi"/>
                <w:iCs/>
                <w:sz w:val="18"/>
                <w:szCs w:val="18"/>
              </w:rPr>
            </w:pPr>
            <w:r w:rsidRPr="00AC375F">
              <w:rPr>
                <w:rFonts w:cstheme="minorHAnsi"/>
                <w:sz w:val="18"/>
                <w:szCs w:val="18"/>
              </w:rPr>
              <w:t>1</w:t>
            </w:r>
          </w:p>
        </w:tc>
      </w:tr>
      <w:tr w:rsidR="00AC375F" w:rsidRPr="00AC375F" w14:paraId="34AB817D" w14:textId="77777777" w:rsidTr="00991955">
        <w:trPr>
          <w:trHeight w:val="585"/>
        </w:trPr>
        <w:tc>
          <w:tcPr>
            <w:tcW w:w="4390" w:type="dxa"/>
            <w:shd w:val="clear" w:color="auto" w:fill="auto"/>
            <w:noWrap/>
            <w:vAlign w:val="center"/>
          </w:tcPr>
          <w:p w14:paraId="31E0F54E" w14:textId="77777777" w:rsidR="00AC375F" w:rsidRPr="00AC375F" w:rsidRDefault="00AC375F" w:rsidP="00AC375F">
            <w:pPr>
              <w:spacing w:line="256" w:lineRule="auto"/>
              <w:rPr>
                <w:b/>
                <w:bCs/>
                <w:sz w:val="18"/>
                <w:szCs w:val="18"/>
              </w:rPr>
            </w:pPr>
          </w:p>
        </w:tc>
        <w:tc>
          <w:tcPr>
            <w:tcW w:w="1559" w:type="dxa"/>
            <w:tcBorders>
              <w:top w:val="nil"/>
              <w:left w:val="nil"/>
              <w:bottom w:val="single" w:sz="8" w:space="0" w:color="auto"/>
              <w:right w:val="single" w:sz="8" w:space="0" w:color="auto"/>
            </w:tcBorders>
            <w:shd w:val="clear" w:color="auto" w:fill="auto"/>
            <w:noWrap/>
            <w:vAlign w:val="center"/>
          </w:tcPr>
          <w:p w14:paraId="1E2F75BF" w14:textId="77777777" w:rsidR="00AC375F" w:rsidRPr="00AC375F" w:rsidRDefault="00AC375F" w:rsidP="00AC375F">
            <w:pPr>
              <w:jc w:val="center"/>
              <w:rPr>
                <w:rFonts w:cstheme="minorHAnsi"/>
                <w:sz w:val="18"/>
                <w:szCs w:val="18"/>
              </w:rPr>
            </w:pPr>
            <w:r w:rsidRPr="00AC375F">
              <w:rPr>
                <w:rFonts w:cstheme="minorHAnsi"/>
                <w:sz w:val="18"/>
                <w:szCs w:val="18"/>
              </w:rPr>
              <w:t>virtualno</w:t>
            </w:r>
          </w:p>
        </w:tc>
        <w:tc>
          <w:tcPr>
            <w:tcW w:w="1701" w:type="dxa"/>
            <w:tcBorders>
              <w:top w:val="nil"/>
              <w:left w:val="nil"/>
              <w:bottom w:val="single" w:sz="8" w:space="0" w:color="auto"/>
              <w:right w:val="single" w:sz="8" w:space="0" w:color="auto"/>
            </w:tcBorders>
            <w:shd w:val="clear" w:color="auto" w:fill="auto"/>
            <w:noWrap/>
            <w:vAlign w:val="center"/>
          </w:tcPr>
          <w:p w14:paraId="1DC4F402" w14:textId="77777777" w:rsidR="00AC375F" w:rsidRPr="00AC375F" w:rsidRDefault="00AC375F" w:rsidP="00AC375F">
            <w:pPr>
              <w:jc w:val="center"/>
              <w:rPr>
                <w:rFonts w:cstheme="minorHAnsi"/>
                <w:sz w:val="18"/>
                <w:szCs w:val="18"/>
              </w:rPr>
            </w:pPr>
            <w:r w:rsidRPr="00AC375F">
              <w:rPr>
                <w:rFonts w:cstheme="minorHAnsi"/>
                <w:sz w:val="18"/>
                <w:szCs w:val="18"/>
              </w:rPr>
              <w:t>travanj</w:t>
            </w:r>
          </w:p>
        </w:tc>
        <w:tc>
          <w:tcPr>
            <w:tcW w:w="1701" w:type="dxa"/>
            <w:tcBorders>
              <w:top w:val="nil"/>
              <w:left w:val="nil"/>
              <w:bottom w:val="single" w:sz="8" w:space="0" w:color="auto"/>
              <w:right w:val="single" w:sz="8" w:space="0" w:color="auto"/>
            </w:tcBorders>
            <w:shd w:val="clear" w:color="auto" w:fill="auto"/>
            <w:vAlign w:val="center"/>
          </w:tcPr>
          <w:p w14:paraId="27D1BF7A" w14:textId="77777777" w:rsidR="00AC375F" w:rsidRPr="00AC375F" w:rsidRDefault="00AC375F" w:rsidP="00AC375F">
            <w:pPr>
              <w:jc w:val="center"/>
              <w:rPr>
                <w:rFonts w:cstheme="minorHAnsi"/>
                <w:sz w:val="18"/>
                <w:szCs w:val="18"/>
              </w:rPr>
            </w:pPr>
            <w:r w:rsidRPr="00AC375F">
              <w:rPr>
                <w:rFonts w:cstheme="minorHAnsi"/>
                <w:sz w:val="18"/>
                <w:szCs w:val="18"/>
              </w:rPr>
              <w:t>1</w:t>
            </w:r>
          </w:p>
        </w:tc>
      </w:tr>
      <w:tr w:rsidR="00AC375F" w:rsidRPr="00AC375F" w14:paraId="253B898C" w14:textId="77777777" w:rsidTr="00991955">
        <w:trPr>
          <w:trHeight w:val="585"/>
        </w:trPr>
        <w:tc>
          <w:tcPr>
            <w:tcW w:w="4390" w:type="dxa"/>
            <w:shd w:val="clear" w:color="auto" w:fill="auto"/>
            <w:noWrap/>
            <w:vAlign w:val="center"/>
          </w:tcPr>
          <w:p w14:paraId="32936DE8" w14:textId="77777777" w:rsidR="00AC375F" w:rsidRPr="00AC375F" w:rsidRDefault="00AC375F" w:rsidP="00AC375F">
            <w:pPr>
              <w:spacing w:line="256" w:lineRule="auto"/>
              <w:rPr>
                <w:b/>
                <w:bCs/>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CEC1A6C" w14:textId="77777777" w:rsidR="00AC375F" w:rsidRPr="00AC375F" w:rsidRDefault="00AC375F" w:rsidP="00AC375F">
            <w:pPr>
              <w:jc w:val="center"/>
              <w:rPr>
                <w:rFonts w:cstheme="minorHAnsi"/>
                <w:sz w:val="18"/>
                <w:szCs w:val="18"/>
              </w:rPr>
            </w:pPr>
            <w:r w:rsidRPr="00AC375F">
              <w:rPr>
                <w:rFonts w:cstheme="minorHAnsi"/>
                <w:sz w:val="18"/>
                <w:szCs w:val="18"/>
              </w:rPr>
              <w:t>virtualno</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BE8377" w14:textId="77777777" w:rsidR="00AC375F" w:rsidRPr="00AC375F" w:rsidRDefault="00AC375F" w:rsidP="00AC375F">
            <w:pPr>
              <w:jc w:val="center"/>
              <w:rPr>
                <w:rFonts w:cstheme="minorHAnsi"/>
                <w:sz w:val="18"/>
                <w:szCs w:val="18"/>
              </w:rPr>
            </w:pPr>
            <w:r w:rsidRPr="00AC375F">
              <w:rPr>
                <w:rFonts w:cstheme="minorHAnsi"/>
                <w:sz w:val="18"/>
                <w:szCs w:val="18"/>
              </w:rPr>
              <w:t>rujan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FC64B16" w14:textId="77777777" w:rsidR="00AC375F" w:rsidRPr="00AC375F" w:rsidRDefault="00AC375F" w:rsidP="00AC375F">
            <w:pPr>
              <w:jc w:val="center"/>
              <w:rPr>
                <w:rFonts w:cstheme="minorHAnsi"/>
                <w:sz w:val="18"/>
                <w:szCs w:val="18"/>
              </w:rPr>
            </w:pPr>
            <w:r w:rsidRPr="00AC375F">
              <w:rPr>
                <w:rFonts w:cstheme="minorHAnsi"/>
                <w:sz w:val="18"/>
                <w:szCs w:val="18"/>
              </w:rPr>
              <w:t>1</w:t>
            </w:r>
          </w:p>
        </w:tc>
      </w:tr>
      <w:tr w:rsidR="00AC375F" w:rsidRPr="00AC375F" w14:paraId="2B87A1B9" w14:textId="77777777" w:rsidTr="00991955">
        <w:trPr>
          <w:trHeight w:val="585"/>
        </w:trPr>
        <w:tc>
          <w:tcPr>
            <w:tcW w:w="4390" w:type="dxa"/>
            <w:shd w:val="clear" w:color="auto" w:fill="auto"/>
            <w:noWrap/>
            <w:vAlign w:val="center"/>
          </w:tcPr>
          <w:p w14:paraId="781891C1" w14:textId="77777777" w:rsidR="00AC375F" w:rsidRPr="00AC375F" w:rsidRDefault="00AC375F" w:rsidP="00AC375F">
            <w:pPr>
              <w:spacing w:line="256" w:lineRule="auto"/>
              <w:rPr>
                <w:b/>
                <w:bCs/>
                <w:sz w:val="18"/>
                <w:szCs w:val="18"/>
              </w:rPr>
            </w:pPr>
          </w:p>
        </w:tc>
        <w:tc>
          <w:tcPr>
            <w:tcW w:w="1559" w:type="dxa"/>
            <w:tcBorders>
              <w:top w:val="nil"/>
              <w:left w:val="nil"/>
              <w:bottom w:val="single" w:sz="8" w:space="0" w:color="auto"/>
              <w:right w:val="single" w:sz="8" w:space="0" w:color="auto"/>
            </w:tcBorders>
            <w:shd w:val="clear" w:color="auto" w:fill="auto"/>
            <w:noWrap/>
            <w:vAlign w:val="center"/>
          </w:tcPr>
          <w:p w14:paraId="619C8768" w14:textId="77777777" w:rsidR="00AC375F" w:rsidRPr="00AC375F" w:rsidRDefault="00AC375F" w:rsidP="00AC375F">
            <w:pPr>
              <w:jc w:val="center"/>
              <w:rPr>
                <w:rFonts w:cstheme="minorHAnsi"/>
                <w:sz w:val="18"/>
                <w:szCs w:val="18"/>
              </w:rPr>
            </w:pPr>
            <w:r w:rsidRPr="00AC375F">
              <w:rPr>
                <w:rFonts w:cstheme="minorHAnsi"/>
                <w:sz w:val="18"/>
                <w:szCs w:val="18"/>
              </w:rPr>
              <w:t>Amsterdam</w:t>
            </w:r>
          </w:p>
        </w:tc>
        <w:tc>
          <w:tcPr>
            <w:tcW w:w="1701" w:type="dxa"/>
            <w:tcBorders>
              <w:top w:val="nil"/>
              <w:left w:val="nil"/>
              <w:bottom w:val="single" w:sz="8" w:space="0" w:color="auto"/>
              <w:right w:val="single" w:sz="8" w:space="0" w:color="auto"/>
            </w:tcBorders>
            <w:shd w:val="clear" w:color="auto" w:fill="auto"/>
            <w:noWrap/>
            <w:vAlign w:val="center"/>
          </w:tcPr>
          <w:p w14:paraId="4D038902" w14:textId="77777777" w:rsidR="00AC375F" w:rsidRPr="00AC375F" w:rsidRDefault="00AC375F" w:rsidP="00AC375F">
            <w:pPr>
              <w:jc w:val="center"/>
              <w:rPr>
                <w:rFonts w:cstheme="minorHAnsi"/>
                <w:sz w:val="18"/>
                <w:szCs w:val="18"/>
              </w:rPr>
            </w:pPr>
            <w:r w:rsidRPr="00AC375F">
              <w:rPr>
                <w:rFonts w:cstheme="minorHAnsi"/>
                <w:sz w:val="18"/>
                <w:szCs w:val="18"/>
              </w:rPr>
              <w:t>prosinac</w:t>
            </w:r>
          </w:p>
        </w:tc>
        <w:tc>
          <w:tcPr>
            <w:tcW w:w="1701" w:type="dxa"/>
            <w:tcBorders>
              <w:top w:val="nil"/>
              <w:left w:val="nil"/>
              <w:bottom w:val="single" w:sz="8" w:space="0" w:color="auto"/>
              <w:right w:val="single" w:sz="8" w:space="0" w:color="auto"/>
            </w:tcBorders>
            <w:shd w:val="clear" w:color="auto" w:fill="auto"/>
            <w:vAlign w:val="center"/>
          </w:tcPr>
          <w:p w14:paraId="1BABDE9B" w14:textId="77777777" w:rsidR="00AC375F" w:rsidRPr="00AC375F" w:rsidRDefault="00AC375F" w:rsidP="00AC375F">
            <w:pPr>
              <w:jc w:val="center"/>
              <w:rPr>
                <w:rFonts w:cstheme="minorHAnsi"/>
                <w:sz w:val="18"/>
                <w:szCs w:val="18"/>
              </w:rPr>
            </w:pPr>
            <w:r w:rsidRPr="00AC375F">
              <w:rPr>
                <w:rFonts w:cstheme="minorHAnsi"/>
                <w:sz w:val="18"/>
                <w:szCs w:val="18"/>
              </w:rPr>
              <w:t>1</w:t>
            </w:r>
          </w:p>
        </w:tc>
      </w:tr>
      <w:tr w:rsidR="00AC375F" w:rsidRPr="00AC375F" w14:paraId="5051FEAF" w14:textId="77777777" w:rsidTr="00991955">
        <w:trPr>
          <w:trHeight w:val="588"/>
        </w:trPr>
        <w:tc>
          <w:tcPr>
            <w:tcW w:w="4390" w:type="dxa"/>
            <w:shd w:val="clear" w:color="auto" w:fill="auto"/>
            <w:noWrap/>
            <w:vAlign w:val="center"/>
          </w:tcPr>
          <w:p w14:paraId="0D53FFA4" w14:textId="77777777" w:rsidR="00AC375F" w:rsidRPr="00AC375F" w:rsidRDefault="00AC375F" w:rsidP="00AC375F">
            <w:pPr>
              <w:rPr>
                <w:rFonts w:cstheme="minorHAnsi"/>
                <w:b/>
                <w:iCs/>
                <w:sz w:val="18"/>
                <w:szCs w:val="18"/>
              </w:rPr>
            </w:pPr>
            <w:r w:rsidRPr="00AC375F">
              <w:rPr>
                <w:rFonts w:cstheme="minorHAnsi"/>
                <w:b/>
                <w:iCs/>
                <w:sz w:val="18"/>
                <w:szCs w:val="18"/>
              </w:rPr>
              <w:t>EU Network Training Centre Engagement event” Europske agencije za lijekove (EMA)</w:t>
            </w:r>
          </w:p>
        </w:tc>
        <w:tc>
          <w:tcPr>
            <w:tcW w:w="1559" w:type="dxa"/>
            <w:shd w:val="clear" w:color="auto" w:fill="auto"/>
            <w:noWrap/>
            <w:vAlign w:val="center"/>
          </w:tcPr>
          <w:p w14:paraId="6A82EA5A" w14:textId="77777777" w:rsidR="00AC375F" w:rsidRPr="00AC375F" w:rsidRDefault="00AC375F" w:rsidP="00AC375F">
            <w:pPr>
              <w:jc w:val="center"/>
              <w:rPr>
                <w:rFonts w:cstheme="minorHAnsi"/>
                <w:iCs/>
                <w:sz w:val="18"/>
                <w:szCs w:val="18"/>
              </w:rPr>
            </w:pPr>
            <w:r w:rsidRPr="00AC375F">
              <w:rPr>
                <w:rFonts w:cstheme="minorHAnsi"/>
                <w:iCs/>
                <w:sz w:val="18"/>
                <w:szCs w:val="18"/>
              </w:rPr>
              <w:t>Amsterdam</w:t>
            </w:r>
          </w:p>
        </w:tc>
        <w:tc>
          <w:tcPr>
            <w:tcW w:w="1701" w:type="dxa"/>
            <w:shd w:val="clear" w:color="auto" w:fill="auto"/>
            <w:noWrap/>
            <w:vAlign w:val="center"/>
          </w:tcPr>
          <w:p w14:paraId="3B656C3E" w14:textId="77777777" w:rsidR="00AC375F" w:rsidRPr="00AC375F" w:rsidRDefault="00AC375F" w:rsidP="00AC375F">
            <w:pPr>
              <w:jc w:val="center"/>
              <w:rPr>
                <w:rFonts w:cstheme="minorHAnsi"/>
                <w:iCs/>
                <w:sz w:val="18"/>
                <w:szCs w:val="18"/>
              </w:rPr>
            </w:pPr>
            <w:r w:rsidRPr="00AC375F">
              <w:rPr>
                <w:rFonts w:cstheme="minorHAnsi"/>
                <w:iCs/>
                <w:sz w:val="18"/>
                <w:szCs w:val="18"/>
              </w:rPr>
              <w:t>prosinac</w:t>
            </w:r>
          </w:p>
        </w:tc>
        <w:tc>
          <w:tcPr>
            <w:tcW w:w="1701" w:type="dxa"/>
            <w:shd w:val="clear" w:color="auto" w:fill="auto"/>
            <w:vAlign w:val="center"/>
          </w:tcPr>
          <w:p w14:paraId="3CF64F6E" w14:textId="77777777" w:rsidR="00AC375F" w:rsidRPr="00AC375F" w:rsidRDefault="00AC375F" w:rsidP="00AC375F">
            <w:pPr>
              <w:jc w:val="center"/>
              <w:rPr>
                <w:rFonts w:cstheme="minorHAnsi"/>
                <w:iCs/>
                <w:sz w:val="18"/>
                <w:szCs w:val="18"/>
              </w:rPr>
            </w:pPr>
            <w:r w:rsidRPr="00AC375F">
              <w:rPr>
                <w:rFonts w:cstheme="minorHAnsi"/>
                <w:iCs/>
                <w:sz w:val="18"/>
                <w:szCs w:val="18"/>
              </w:rPr>
              <w:t>3</w:t>
            </w:r>
          </w:p>
        </w:tc>
      </w:tr>
      <w:tr w:rsidR="00AC375F" w:rsidRPr="00AC375F" w14:paraId="2EBA3234" w14:textId="77777777" w:rsidTr="00991955">
        <w:trPr>
          <w:trHeight w:val="588"/>
        </w:trPr>
        <w:tc>
          <w:tcPr>
            <w:tcW w:w="4390" w:type="dxa"/>
            <w:shd w:val="clear" w:color="auto" w:fill="auto"/>
            <w:noWrap/>
            <w:vAlign w:val="center"/>
          </w:tcPr>
          <w:p w14:paraId="74A4639A" w14:textId="77777777" w:rsidR="00AC375F" w:rsidRPr="00AC375F" w:rsidRDefault="00AC375F" w:rsidP="00AC375F">
            <w:pPr>
              <w:rPr>
                <w:rFonts w:cstheme="minorHAnsi"/>
                <w:b/>
                <w:iCs/>
                <w:sz w:val="20"/>
                <w:szCs w:val="20"/>
              </w:rPr>
            </w:pPr>
            <w:r w:rsidRPr="00AC375F">
              <w:rPr>
                <w:b/>
                <w:sz w:val="20"/>
                <w:szCs w:val="20"/>
                <w:lang w:val="en-US"/>
              </w:rPr>
              <w:t>“1st Global Joint Summit of Human and    Veterinary Medicines Regulatory Authorities to Preserve Antimicrobials. Theme: Phasing out over-the-counter sales of antibiotics”</w:t>
            </w:r>
          </w:p>
        </w:tc>
        <w:tc>
          <w:tcPr>
            <w:tcW w:w="1559" w:type="dxa"/>
            <w:shd w:val="clear" w:color="auto" w:fill="auto"/>
            <w:noWrap/>
            <w:vAlign w:val="center"/>
          </w:tcPr>
          <w:p w14:paraId="618DF797" w14:textId="77777777" w:rsidR="00AC375F" w:rsidRPr="00AC375F" w:rsidRDefault="00AC375F" w:rsidP="00AC375F">
            <w:pPr>
              <w:jc w:val="center"/>
              <w:rPr>
                <w:rFonts w:cstheme="minorHAnsi"/>
                <w:iCs/>
                <w:sz w:val="20"/>
                <w:szCs w:val="20"/>
              </w:rPr>
            </w:pPr>
            <w:r w:rsidRPr="00AC375F">
              <w:rPr>
                <w:sz w:val="20"/>
                <w:szCs w:val="20"/>
              </w:rPr>
              <w:t>Geneva</w:t>
            </w:r>
          </w:p>
        </w:tc>
        <w:tc>
          <w:tcPr>
            <w:tcW w:w="1701" w:type="dxa"/>
            <w:shd w:val="clear" w:color="auto" w:fill="auto"/>
            <w:noWrap/>
            <w:vAlign w:val="center"/>
          </w:tcPr>
          <w:p w14:paraId="1E604462" w14:textId="77777777" w:rsidR="00AC375F" w:rsidRPr="00AC375F" w:rsidRDefault="00AC375F" w:rsidP="00AC375F">
            <w:pPr>
              <w:jc w:val="center"/>
              <w:rPr>
                <w:rFonts w:cstheme="minorHAnsi"/>
                <w:iCs/>
                <w:sz w:val="20"/>
                <w:szCs w:val="20"/>
              </w:rPr>
            </w:pPr>
            <w:r w:rsidRPr="00AC375F">
              <w:rPr>
                <w:sz w:val="20"/>
                <w:szCs w:val="20"/>
              </w:rPr>
              <w:t>svibanj</w:t>
            </w:r>
          </w:p>
        </w:tc>
        <w:tc>
          <w:tcPr>
            <w:tcW w:w="1701" w:type="dxa"/>
            <w:shd w:val="clear" w:color="auto" w:fill="auto"/>
            <w:vAlign w:val="center"/>
          </w:tcPr>
          <w:p w14:paraId="6E2C25FC" w14:textId="77777777" w:rsidR="00AC375F" w:rsidRPr="00AC375F" w:rsidRDefault="00AC375F" w:rsidP="00AC375F">
            <w:pPr>
              <w:jc w:val="center"/>
              <w:rPr>
                <w:rFonts w:cstheme="minorHAnsi"/>
                <w:iCs/>
                <w:sz w:val="20"/>
                <w:szCs w:val="20"/>
              </w:rPr>
            </w:pPr>
            <w:r w:rsidRPr="00AC375F">
              <w:rPr>
                <w:sz w:val="20"/>
                <w:szCs w:val="20"/>
              </w:rPr>
              <w:t>3</w:t>
            </w:r>
          </w:p>
        </w:tc>
      </w:tr>
      <w:tr w:rsidR="00AC375F" w:rsidRPr="00AC375F" w14:paraId="620A9F2C" w14:textId="77777777" w:rsidTr="00991955">
        <w:trPr>
          <w:trHeight w:val="588"/>
        </w:trPr>
        <w:tc>
          <w:tcPr>
            <w:tcW w:w="4390" w:type="dxa"/>
            <w:shd w:val="clear" w:color="auto" w:fill="auto"/>
            <w:noWrap/>
            <w:vAlign w:val="center"/>
          </w:tcPr>
          <w:p w14:paraId="3824BFE5" w14:textId="77777777" w:rsidR="00AC375F" w:rsidRPr="00AC375F" w:rsidRDefault="00AC375F" w:rsidP="00AC375F">
            <w:pPr>
              <w:rPr>
                <w:b/>
                <w:sz w:val="20"/>
                <w:szCs w:val="20"/>
                <w:lang w:val="en-US"/>
              </w:rPr>
            </w:pPr>
            <w:r w:rsidRPr="00AC375F">
              <w:rPr>
                <w:b/>
                <w:sz w:val="20"/>
                <w:szCs w:val="20"/>
              </w:rPr>
              <w:t>32nd meeting of the Working Group of Quality  Managers (WGQM)</w:t>
            </w:r>
          </w:p>
        </w:tc>
        <w:tc>
          <w:tcPr>
            <w:tcW w:w="1559" w:type="dxa"/>
            <w:shd w:val="clear" w:color="auto" w:fill="auto"/>
            <w:noWrap/>
            <w:vAlign w:val="center"/>
          </w:tcPr>
          <w:p w14:paraId="74E28736" w14:textId="77777777" w:rsidR="00AC375F" w:rsidRPr="00AC375F" w:rsidRDefault="00AC375F" w:rsidP="00AC375F">
            <w:pPr>
              <w:jc w:val="center"/>
              <w:rPr>
                <w:sz w:val="20"/>
                <w:szCs w:val="20"/>
              </w:rPr>
            </w:pPr>
            <w:r w:rsidRPr="00AC375F">
              <w:rPr>
                <w:sz w:val="20"/>
                <w:szCs w:val="20"/>
              </w:rPr>
              <w:t>Amsterdam</w:t>
            </w:r>
          </w:p>
        </w:tc>
        <w:tc>
          <w:tcPr>
            <w:tcW w:w="1701" w:type="dxa"/>
            <w:shd w:val="clear" w:color="auto" w:fill="auto"/>
            <w:noWrap/>
            <w:vAlign w:val="center"/>
          </w:tcPr>
          <w:p w14:paraId="316A0659" w14:textId="77777777" w:rsidR="00AC375F" w:rsidRPr="00AC375F" w:rsidRDefault="00AC375F" w:rsidP="00AC375F">
            <w:pPr>
              <w:jc w:val="center"/>
              <w:rPr>
                <w:sz w:val="20"/>
                <w:szCs w:val="20"/>
              </w:rPr>
            </w:pPr>
            <w:r w:rsidRPr="00AC375F">
              <w:rPr>
                <w:sz w:val="20"/>
                <w:szCs w:val="20"/>
              </w:rPr>
              <w:t>studeni</w:t>
            </w:r>
          </w:p>
        </w:tc>
        <w:tc>
          <w:tcPr>
            <w:tcW w:w="1701" w:type="dxa"/>
            <w:shd w:val="clear" w:color="auto" w:fill="auto"/>
            <w:vAlign w:val="center"/>
          </w:tcPr>
          <w:p w14:paraId="4B82552E" w14:textId="77777777" w:rsidR="00AC375F" w:rsidRPr="00AC375F" w:rsidRDefault="00AC375F" w:rsidP="00AC375F">
            <w:pPr>
              <w:jc w:val="center"/>
              <w:rPr>
                <w:sz w:val="20"/>
                <w:szCs w:val="20"/>
              </w:rPr>
            </w:pPr>
            <w:r w:rsidRPr="00AC375F">
              <w:rPr>
                <w:sz w:val="20"/>
                <w:szCs w:val="20"/>
              </w:rPr>
              <w:t>4</w:t>
            </w:r>
          </w:p>
        </w:tc>
      </w:tr>
      <w:tr w:rsidR="00AC375F" w:rsidRPr="00AC375F" w14:paraId="4333E802" w14:textId="77777777" w:rsidTr="00991955">
        <w:trPr>
          <w:trHeight w:val="588"/>
        </w:trPr>
        <w:tc>
          <w:tcPr>
            <w:tcW w:w="4390" w:type="dxa"/>
            <w:shd w:val="clear" w:color="auto" w:fill="auto"/>
            <w:noWrap/>
            <w:vAlign w:val="center"/>
          </w:tcPr>
          <w:p w14:paraId="4C89568A" w14:textId="77777777" w:rsidR="00AC375F" w:rsidRPr="00AC375F" w:rsidRDefault="00AC375F" w:rsidP="00AC375F">
            <w:pPr>
              <w:rPr>
                <w:rFonts w:cstheme="minorHAnsi"/>
                <w:b/>
                <w:iCs/>
                <w:sz w:val="18"/>
                <w:szCs w:val="18"/>
              </w:rPr>
            </w:pPr>
            <w:r w:rsidRPr="00AC375F">
              <w:rPr>
                <w:b/>
                <w:bCs/>
                <w:sz w:val="18"/>
                <w:szCs w:val="18"/>
              </w:rPr>
              <w:t>Prisustvovanje „II javnoj prezentaciji doktoranada”</w:t>
            </w:r>
            <w:r w:rsidRPr="00AC375F">
              <w:rPr>
                <w:sz w:val="18"/>
                <w:szCs w:val="18"/>
              </w:rPr>
              <w:t xml:space="preserve"> </w:t>
            </w:r>
            <w:r w:rsidRPr="00AC375F">
              <w:rPr>
                <w:b/>
                <w:bCs/>
                <w:sz w:val="18"/>
                <w:szCs w:val="18"/>
              </w:rPr>
              <w:t>Medicinskog fakulteta Sveučilištu u Rijeci</w:t>
            </w:r>
          </w:p>
        </w:tc>
        <w:tc>
          <w:tcPr>
            <w:tcW w:w="1559" w:type="dxa"/>
            <w:shd w:val="clear" w:color="auto" w:fill="auto"/>
            <w:noWrap/>
            <w:vAlign w:val="center"/>
          </w:tcPr>
          <w:p w14:paraId="4BC9DA21" w14:textId="77777777" w:rsidR="00AC375F" w:rsidRPr="00AC375F" w:rsidRDefault="00AC375F" w:rsidP="00AC375F">
            <w:pPr>
              <w:jc w:val="center"/>
              <w:rPr>
                <w:rFonts w:cstheme="minorHAnsi"/>
                <w:iCs/>
                <w:sz w:val="18"/>
                <w:szCs w:val="18"/>
              </w:rPr>
            </w:pPr>
            <w:r w:rsidRPr="00AC375F">
              <w:rPr>
                <w:sz w:val="18"/>
                <w:szCs w:val="18"/>
              </w:rPr>
              <w:t>Rijeka</w:t>
            </w:r>
          </w:p>
        </w:tc>
        <w:tc>
          <w:tcPr>
            <w:tcW w:w="1701" w:type="dxa"/>
            <w:shd w:val="clear" w:color="auto" w:fill="auto"/>
            <w:noWrap/>
            <w:vAlign w:val="center"/>
          </w:tcPr>
          <w:p w14:paraId="19C1F058" w14:textId="77777777" w:rsidR="00AC375F" w:rsidRPr="00AC375F" w:rsidRDefault="00AC375F" w:rsidP="00AC375F">
            <w:pPr>
              <w:jc w:val="center"/>
              <w:rPr>
                <w:rFonts w:cstheme="minorHAnsi"/>
                <w:iCs/>
                <w:sz w:val="18"/>
                <w:szCs w:val="18"/>
              </w:rPr>
            </w:pPr>
            <w:r w:rsidRPr="00AC375F">
              <w:rPr>
                <w:sz w:val="18"/>
                <w:szCs w:val="18"/>
              </w:rPr>
              <w:t>veljača</w:t>
            </w:r>
          </w:p>
        </w:tc>
        <w:tc>
          <w:tcPr>
            <w:tcW w:w="1701" w:type="dxa"/>
            <w:shd w:val="clear" w:color="auto" w:fill="auto"/>
            <w:vAlign w:val="center"/>
          </w:tcPr>
          <w:p w14:paraId="402E16F7" w14:textId="77777777" w:rsidR="00AC375F" w:rsidRPr="00AC375F" w:rsidRDefault="00AC375F" w:rsidP="00AC375F">
            <w:pPr>
              <w:jc w:val="center"/>
              <w:rPr>
                <w:rFonts w:cstheme="minorHAnsi"/>
                <w:iCs/>
                <w:sz w:val="18"/>
                <w:szCs w:val="18"/>
              </w:rPr>
            </w:pPr>
            <w:r w:rsidRPr="00AC375F">
              <w:rPr>
                <w:sz w:val="18"/>
                <w:szCs w:val="18"/>
              </w:rPr>
              <w:t>1</w:t>
            </w:r>
          </w:p>
        </w:tc>
      </w:tr>
      <w:tr w:rsidR="00AC375F" w:rsidRPr="00AC375F" w14:paraId="6B28D5A3" w14:textId="77777777" w:rsidTr="00991955">
        <w:trPr>
          <w:trHeight w:val="342"/>
        </w:trPr>
        <w:tc>
          <w:tcPr>
            <w:tcW w:w="4390" w:type="dxa"/>
            <w:shd w:val="clear" w:color="auto" w:fill="auto"/>
            <w:noWrap/>
            <w:vAlign w:val="center"/>
          </w:tcPr>
          <w:p w14:paraId="39586C3E" w14:textId="77777777" w:rsidR="00AC375F" w:rsidRPr="00AC375F" w:rsidRDefault="00AC375F" w:rsidP="00AC375F">
            <w:pPr>
              <w:rPr>
                <w:rFonts w:cstheme="minorHAnsi"/>
                <w:b/>
                <w:iCs/>
                <w:sz w:val="18"/>
                <w:szCs w:val="18"/>
              </w:rPr>
            </w:pPr>
            <w:r w:rsidRPr="00AC375F">
              <w:rPr>
                <w:rFonts w:cstheme="minorHAnsi"/>
                <w:b/>
                <w:iCs/>
                <w:sz w:val="18"/>
                <w:szCs w:val="18"/>
              </w:rPr>
              <w:t xml:space="preserve">Sudjelovanje kao član stručnog povjerenstva u obrani diplomskog rada na Odjelu za biotehnologiju Sveučilišta u Rijeci </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03D665C" w14:textId="77777777" w:rsidR="00AC375F" w:rsidRPr="00AC375F" w:rsidRDefault="00AC375F" w:rsidP="00AC375F">
            <w:pPr>
              <w:jc w:val="center"/>
              <w:rPr>
                <w:rFonts w:cstheme="minorHAnsi"/>
                <w:sz w:val="18"/>
                <w:szCs w:val="18"/>
              </w:rPr>
            </w:pPr>
            <w:r w:rsidRPr="00AC375F">
              <w:rPr>
                <w:rFonts w:cstheme="minorHAnsi"/>
                <w:sz w:val="18"/>
                <w:szCs w:val="18"/>
              </w:rPr>
              <w:t>Rijeka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8C971D" w14:textId="77777777" w:rsidR="00AC375F" w:rsidRPr="00AC375F" w:rsidRDefault="00AC375F" w:rsidP="00AC375F">
            <w:pPr>
              <w:jc w:val="center"/>
              <w:rPr>
                <w:rFonts w:cstheme="minorHAnsi"/>
                <w:sz w:val="18"/>
                <w:szCs w:val="18"/>
              </w:rPr>
            </w:pPr>
            <w:r w:rsidRPr="00AC375F">
              <w:rPr>
                <w:rFonts w:cstheme="minorHAnsi"/>
                <w:sz w:val="18"/>
                <w:szCs w:val="18"/>
              </w:rPr>
              <w:t>rujan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28DF626" w14:textId="77777777" w:rsidR="00AC375F" w:rsidRPr="00AC375F" w:rsidRDefault="00AC375F" w:rsidP="00AC375F">
            <w:pPr>
              <w:jc w:val="center"/>
              <w:rPr>
                <w:rFonts w:cstheme="minorHAnsi"/>
                <w:sz w:val="18"/>
                <w:szCs w:val="18"/>
              </w:rPr>
            </w:pPr>
            <w:r w:rsidRPr="00AC375F">
              <w:rPr>
                <w:rFonts w:cstheme="minorHAnsi"/>
                <w:sz w:val="18"/>
                <w:szCs w:val="18"/>
              </w:rPr>
              <w:t>1</w:t>
            </w:r>
          </w:p>
        </w:tc>
      </w:tr>
      <w:tr w:rsidR="00AC375F" w:rsidRPr="00AC375F" w14:paraId="519BF6F1" w14:textId="77777777" w:rsidTr="00991955">
        <w:trPr>
          <w:trHeight w:val="342"/>
        </w:trPr>
        <w:tc>
          <w:tcPr>
            <w:tcW w:w="4390" w:type="dxa"/>
            <w:tcBorders>
              <w:top w:val="nil"/>
              <w:left w:val="single" w:sz="8" w:space="0" w:color="auto"/>
              <w:bottom w:val="single" w:sz="8" w:space="0" w:color="auto"/>
              <w:right w:val="single" w:sz="8" w:space="0" w:color="auto"/>
            </w:tcBorders>
            <w:shd w:val="clear" w:color="auto" w:fill="auto"/>
            <w:noWrap/>
            <w:vAlign w:val="center"/>
          </w:tcPr>
          <w:p w14:paraId="1898B325" w14:textId="77777777" w:rsidR="00AC375F" w:rsidRPr="00AC375F" w:rsidRDefault="00AC375F" w:rsidP="00AC375F">
            <w:pPr>
              <w:rPr>
                <w:rFonts w:cstheme="minorHAnsi"/>
                <w:b/>
                <w:iCs/>
                <w:sz w:val="18"/>
                <w:szCs w:val="18"/>
              </w:rPr>
            </w:pPr>
            <w:r w:rsidRPr="00AC375F">
              <w:rPr>
                <w:rFonts w:cstheme="minorHAnsi"/>
                <w:b/>
                <w:iCs/>
                <w:sz w:val="18"/>
                <w:szCs w:val="18"/>
              </w:rPr>
              <w:t>Prisustvovanja sastanku vezano za akreditaciju studija Farmacije na Medicinskom fakultetu Sveučilišta u Splitu</w:t>
            </w:r>
          </w:p>
        </w:tc>
        <w:tc>
          <w:tcPr>
            <w:tcW w:w="1559" w:type="dxa"/>
            <w:tcBorders>
              <w:top w:val="nil"/>
              <w:left w:val="nil"/>
              <w:bottom w:val="single" w:sz="8" w:space="0" w:color="auto"/>
              <w:right w:val="single" w:sz="8" w:space="0" w:color="auto"/>
            </w:tcBorders>
            <w:shd w:val="clear" w:color="auto" w:fill="auto"/>
            <w:noWrap/>
            <w:vAlign w:val="center"/>
          </w:tcPr>
          <w:p w14:paraId="351D5FB2" w14:textId="77777777" w:rsidR="00AC375F" w:rsidRPr="00AC375F" w:rsidRDefault="00AC375F" w:rsidP="00AC375F">
            <w:pPr>
              <w:jc w:val="center"/>
              <w:rPr>
                <w:rFonts w:cstheme="minorHAnsi"/>
                <w:sz w:val="18"/>
                <w:szCs w:val="18"/>
              </w:rPr>
            </w:pPr>
            <w:r w:rsidRPr="00AC375F">
              <w:rPr>
                <w:rFonts w:cstheme="minorHAnsi"/>
                <w:sz w:val="18"/>
                <w:szCs w:val="18"/>
              </w:rPr>
              <w:t>Split</w:t>
            </w:r>
          </w:p>
        </w:tc>
        <w:tc>
          <w:tcPr>
            <w:tcW w:w="1701" w:type="dxa"/>
            <w:tcBorders>
              <w:top w:val="nil"/>
              <w:left w:val="nil"/>
              <w:bottom w:val="single" w:sz="8" w:space="0" w:color="auto"/>
              <w:right w:val="single" w:sz="8" w:space="0" w:color="auto"/>
            </w:tcBorders>
            <w:shd w:val="clear" w:color="auto" w:fill="auto"/>
            <w:noWrap/>
            <w:vAlign w:val="center"/>
          </w:tcPr>
          <w:p w14:paraId="42ECED8E" w14:textId="77777777" w:rsidR="00AC375F" w:rsidRPr="00AC375F" w:rsidRDefault="00AC375F" w:rsidP="00AC375F">
            <w:pPr>
              <w:jc w:val="center"/>
              <w:rPr>
                <w:rFonts w:cstheme="minorHAnsi"/>
                <w:sz w:val="18"/>
                <w:szCs w:val="18"/>
              </w:rPr>
            </w:pPr>
            <w:r w:rsidRPr="00AC375F">
              <w:rPr>
                <w:rFonts w:cstheme="minorHAnsi"/>
                <w:sz w:val="18"/>
                <w:szCs w:val="18"/>
              </w:rPr>
              <w:t>studeni</w:t>
            </w:r>
          </w:p>
        </w:tc>
        <w:tc>
          <w:tcPr>
            <w:tcW w:w="1701" w:type="dxa"/>
            <w:tcBorders>
              <w:top w:val="nil"/>
              <w:left w:val="nil"/>
              <w:bottom w:val="single" w:sz="8" w:space="0" w:color="auto"/>
              <w:right w:val="single" w:sz="8" w:space="0" w:color="auto"/>
            </w:tcBorders>
            <w:shd w:val="clear" w:color="auto" w:fill="auto"/>
            <w:vAlign w:val="center"/>
          </w:tcPr>
          <w:p w14:paraId="16623BC7" w14:textId="77777777" w:rsidR="00AC375F" w:rsidRPr="00AC375F" w:rsidRDefault="00AC375F" w:rsidP="00AC375F">
            <w:pPr>
              <w:jc w:val="center"/>
              <w:rPr>
                <w:rFonts w:cstheme="minorHAnsi"/>
                <w:sz w:val="18"/>
                <w:szCs w:val="18"/>
              </w:rPr>
            </w:pPr>
            <w:r w:rsidRPr="00AC375F">
              <w:rPr>
                <w:rFonts w:cstheme="minorHAnsi"/>
                <w:sz w:val="18"/>
                <w:szCs w:val="18"/>
              </w:rPr>
              <w:t>1</w:t>
            </w:r>
          </w:p>
        </w:tc>
      </w:tr>
      <w:tr w:rsidR="00AC375F" w:rsidRPr="00AC375F" w14:paraId="08F9E6AD" w14:textId="77777777" w:rsidTr="00991955">
        <w:trPr>
          <w:trHeight w:val="342"/>
        </w:trPr>
        <w:tc>
          <w:tcPr>
            <w:tcW w:w="4390" w:type="dxa"/>
            <w:tcBorders>
              <w:top w:val="nil"/>
              <w:left w:val="single" w:sz="8" w:space="0" w:color="auto"/>
              <w:bottom w:val="single" w:sz="8" w:space="0" w:color="auto"/>
              <w:right w:val="single" w:sz="8" w:space="0" w:color="auto"/>
            </w:tcBorders>
            <w:shd w:val="clear" w:color="auto" w:fill="auto"/>
            <w:noWrap/>
            <w:vAlign w:val="center"/>
          </w:tcPr>
          <w:p w14:paraId="675D577C" w14:textId="77777777" w:rsidR="00AC375F" w:rsidRPr="00AC375F" w:rsidRDefault="00AC375F" w:rsidP="00AC375F">
            <w:pPr>
              <w:rPr>
                <w:rFonts w:cstheme="minorHAnsi"/>
                <w:b/>
                <w:iCs/>
                <w:sz w:val="18"/>
                <w:szCs w:val="18"/>
              </w:rPr>
            </w:pPr>
            <w:r w:rsidRPr="00AC375F">
              <w:rPr>
                <w:rFonts w:cstheme="minorHAnsi"/>
                <w:b/>
                <w:iCs/>
                <w:sz w:val="18"/>
                <w:szCs w:val="18"/>
              </w:rPr>
              <w:t>Konferencija „20 godina HALMED-a: zajedno u izazovima, zajedno u rješenjima“</w:t>
            </w:r>
          </w:p>
        </w:tc>
        <w:tc>
          <w:tcPr>
            <w:tcW w:w="1559" w:type="dxa"/>
            <w:tcBorders>
              <w:top w:val="nil"/>
              <w:left w:val="nil"/>
              <w:bottom w:val="single" w:sz="8" w:space="0" w:color="auto"/>
              <w:right w:val="single" w:sz="8" w:space="0" w:color="auto"/>
            </w:tcBorders>
            <w:shd w:val="clear" w:color="auto" w:fill="auto"/>
            <w:noWrap/>
            <w:vAlign w:val="center"/>
          </w:tcPr>
          <w:p w14:paraId="02F22B62" w14:textId="77777777" w:rsidR="00AC375F" w:rsidRPr="00AC375F" w:rsidRDefault="00AC375F" w:rsidP="00AC375F">
            <w:pPr>
              <w:jc w:val="center"/>
              <w:rPr>
                <w:rFonts w:cstheme="minorHAnsi"/>
                <w:sz w:val="18"/>
                <w:szCs w:val="18"/>
              </w:rPr>
            </w:pPr>
            <w:r w:rsidRPr="00AC375F">
              <w:rPr>
                <w:rFonts w:cstheme="minorHAnsi"/>
                <w:sz w:val="18"/>
                <w:szCs w:val="18"/>
              </w:rPr>
              <w:t>Dubrovnik</w:t>
            </w:r>
          </w:p>
        </w:tc>
        <w:tc>
          <w:tcPr>
            <w:tcW w:w="1701" w:type="dxa"/>
            <w:tcBorders>
              <w:top w:val="nil"/>
              <w:left w:val="nil"/>
              <w:bottom w:val="single" w:sz="8" w:space="0" w:color="auto"/>
              <w:right w:val="single" w:sz="8" w:space="0" w:color="auto"/>
            </w:tcBorders>
            <w:shd w:val="clear" w:color="auto" w:fill="auto"/>
            <w:noWrap/>
            <w:vAlign w:val="center"/>
          </w:tcPr>
          <w:p w14:paraId="1F770155" w14:textId="77777777" w:rsidR="00AC375F" w:rsidRPr="00AC375F" w:rsidRDefault="00AC375F" w:rsidP="00AC375F">
            <w:pPr>
              <w:jc w:val="center"/>
              <w:rPr>
                <w:rFonts w:cstheme="minorHAnsi"/>
                <w:sz w:val="18"/>
                <w:szCs w:val="18"/>
              </w:rPr>
            </w:pPr>
            <w:r w:rsidRPr="00AC375F">
              <w:rPr>
                <w:rFonts w:cstheme="minorHAnsi"/>
                <w:sz w:val="18"/>
                <w:szCs w:val="18"/>
              </w:rPr>
              <w:t>studeni</w:t>
            </w:r>
          </w:p>
        </w:tc>
        <w:tc>
          <w:tcPr>
            <w:tcW w:w="1701" w:type="dxa"/>
            <w:tcBorders>
              <w:top w:val="nil"/>
              <w:left w:val="nil"/>
              <w:bottom w:val="single" w:sz="8" w:space="0" w:color="auto"/>
              <w:right w:val="single" w:sz="8" w:space="0" w:color="auto"/>
            </w:tcBorders>
            <w:shd w:val="clear" w:color="auto" w:fill="auto"/>
            <w:vAlign w:val="center"/>
          </w:tcPr>
          <w:p w14:paraId="337ACC3C" w14:textId="77777777" w:rsidR="00AC375F" w:rsidRPr="00AC375F" w:rsidRDefault="00AC375F" w:rsidP="00AC375F">
            <w:pPr>
              <w:jc w:val="center"/>
              <w:rPr>
                <w:rFonts w:cstheme="minorHAnsi"/>
                <w:sz w:val="18"/>
                <w:szCs w:val="18"/>
              </w:rPr>
            </w:pPr>
            <w:r w:rsidRPr="00AC375F">
              <w:rPr>
                <w:rFonts w:cstheme="minorHAnsi"/>
                <w:sz w:val="18"/>
                <w:szCs w:val="18"/>
              </w:rPr>
              <w:t>5</w:t>
            </w:r>
          </w:p>
        </w:tc>
      </w:tr>
    </w:tbl>
    <w:p w14:paraId="76133C42" w14:textId="77777777" w:rsidR="00AC375F" w:rsidRPr="00AC375F" w:rsidRDefault="00AC375F" w:rsidP="00AC375F"/>
    <w:p w14:paraId="22621815" w14:textId="77777777" w:rsidR="00AC375F" w:rsidRPr="00AC375F" w:rsidRDefault="00AC375F" w:rsidP="00AC375F"/>
    <w:p w14:paraId="5F0183F7" w14:textId="7E6EA5A6" w:rsidR="00D75B83" w:rsidRDefault="00D75B83">
      <w:pPr>
        <w:rPr>
          <w:rFonts w:eastAsiaTheme="majorEastAsia" w:cstheme="minorHAnsi"/>
          <w:bCs/>
          <w:color w:val="4472C4" w:themeColor="accent5"/>
          <w:sz w:val="32"/>
          <w:szCs w:val="32"/>
        </w:rPr>
      </w:pPr>
      <w:r>
        <w:br w:type="page"/>
      </w:r>
    </w:p>
    <w:p w14:paraId="72B750FE" w14:textId="5B1C1293" w:rsidR="00D75B83" w:rsidRPr="00037665" w:rsidRDefault="00D75B83" w:rsidP="00D75B83">
      <w:pPr>
        <w:pStyle w:val="Heading2"/>
        <w:jc w:val="both"/>
      </w:pPr>
      <w:bookmarkStart w:id="376" w:name="_Toc165035561"/>
      <w:r>
        <w:lastRenderedPageBreak/>
        <w:t xml:space="preserve">Privitak 4. </w:t>
      </w:r>
      <w:r w:rsidRPr="00607BD1">
        <w:t xml:space="preserve">Ocjena učinkovitosti provedbe </w:t>
      </w:r>
      <w:r>
        <w:t xml:space="preserve">Strateškog plana 2022-2024. </w:t>
      </w:r>
      <w:r w:rsidRPr="0076309B">
        <w:t xml:space="preserve">za </w:t>
      </w:r>
      <w:r w:rsidRPr="00833C29">
        <w:t>202</w:t>
      </w:r>
      <w:r>
        <w:t>3</w:t>
      </w:r>
      <w:r w:rsidRPr="003741A5">
        <w:t>.</w:t>
      </w:r>
      <w:r w:rsidRPr="0076309B">
        <w:t xml:space="preserve"> godin</w:t>
      </w:r>
      <w:bookmarkEnd w:id="368"/>
      <w:r>
        <w:t>u</w:t>
      </w:r>
      <w:bookmarkEnd w:id="376"/>
    </w:p>
    <w:p w14:paraId="7DAB142F" w14:textId="77777777" w:rsidR="00D75B83" w:rsidRPr="004130E0" w:rsidRDefault="00D75B83" w:rsidP="00D75B83">
      <w:pPr>
        <w:pStyle w:val="Default"/>
        <w:jc w:val="both"/>
        <w:rPr>
          <w:rFonts w:asciiTheme="minorHAnsi" w:hAnsiTheme="minorHAnsi" w:cstheme="minorHAnsi"/>
          <w:bCs/>
          <w:color w:val="auto"/>
          <w:sz w:val="22"/>
          <w:szCs w:val="22"/>
        </w:rPr>
      </w:pPr>
      <w:r w:rsidRPr="004130E0">
        <w:rPr>
          <w:rFonts w:asciiTheme="minorHAnsi" w:hAnsiTheme="minorHAnsi" w:cstheme="minorHAnsi"/>
          <w:bCs/>
          <w:color w:val="auto"/>
          <w:sz w:val="22"/>
          <w:szCs w:val="22"/>
        </w:rPr>
        <w:t>Upravno vijeće Agencije je u godine donijelo Strateški plan Agencije za lijekove i medicinske proizvode za trogodišnje razdoblje od 20</w:t>
      </w:r>
      <w:r>
        <w:rPr>
          <w:rFonts w:asciiTheme="minorHAnsi" w:hAnsiTheme="minorHAnsi" w:cstheme="minorHAnsi"/>
          <w:bCs/>
          <w:color w:val="auto"/>
          <w:sz w:val="22"/>
          <w:szCs w:val="22"/>
        </w:rPr>
        <w:t>22</w:t>
      </w:r>
      <w:r w:rsidRPr="004130E0">
        <w:rPr>
          <w:rFonts w:asciiTheme="minorHAnsi" w:hAnsiTheme="minorHAnsi" w:cstheme="minorHAnsi"/>
          <w:bCs/>
          <w:color w:val="auto"/>
          <w:sz w:val="22"/>
          <w:szCs w:val="22"/>
        </w:rPr>
        <w:t>.-202</w:t>
      </w:r>
      <w:r>
        <w:rPr>
          <w:rFonts w:asciiTheme="minorHAnsi" w:hAnsiTheme="minorHAnsi" w:cstheme="minorHAnsi"/>
          <w:bCs/>
          <w:color w:val="auto"/>
          <w:sz w:val="22"/>
          <w:szCs w:val="22"/>
        </w:rPr>
        <w:t>4</w:t>
      </w:r>
      <w:r w:rsidRPr="004130E0">
        <w:rPr>
          <w:rFonts w:asciiTheme="minorHAnsi" w:hAnsiTheme="minorHAnsi" w:cstheme="minorHAnsi"/>
          <w:bCs/>
          <w:color w:val="auto"/>
          <w:sz w:val="22"/>
          <w:szCs w:val="22"/>
        </w:rPr>
        <w:t xml:space="preserve">. godine. </w:t>
      </w:r>
    </w:p>
    <w:p w14:paraId="27324F47" w14:textId="77777777" w:rsidR="00D75B83" w:rsidRDefault="00D75B83" w:rsidP="00D75B83">
      <w:pPr>
        <w:pStyle w:val="Default"/>
        <w:jc w:val="both"/>
        <w:rPr>
          <w:rFonts w:asciiTheme="minorHAnsi" w:hAnsiTheme="minorHAnsi" w:cstheme="minorHAnsi"/>
          <w:bCs/>
          <w:color w:val="auto"/>
          <w:sz w:val="20"/>
          <w:szCs w:val="20"/>
        </w:rPr>
      </w:pPr>
      <w:r w:rsidRPr="004130E0">
        <w:rPr>
          <w:rFonts w:ascii="Calibri" w:eastAsia="Calibri" w:hAnsi="Calibri" w:cs="Calibri"/>
          <w:sz w:val="22"/>
          <w:szCs w:val="22"/>
        </w:rPr>
        <w:t>Uzimajući u obzir postignuto tijekom provedbe Strateškog plana 2019. ─ 2021. kao i prepoznate prilike i prednosti u budućnosti te rezultate SWOT analize trenutačnih snaga, slabosti, vanjskih prilika i prijetnji u ključnim nadležnostima HALMED-a, postavljeni su strateški i operativni ciljevi s jasnim smjerom razvoja u narednom trogodišnjem razdoblju od 2022. do 2024. godine u svrhu ostvarivanja vizije i misije HALMED-a.</w:t>
      </w:r>
      <w:r>
        <w:rPr>
          <w:rFonts w:ascii="Calibri" w:eastAsia="Calibri" w:hAnsi="Calibri" w:cs="Calibri"/>
          <w:sz w:val="22"/>
          <w:szCs w:val="22"/>
        </w:rPr>
        <w:t xml:space="preserve"> </w:t>
      </w:r>
      <w:r w:rsidRPr="004130E0">
        <w:rPr>
          <w:rFonts w:asciiTheme="minorHAnsi" w:hAnsiTheme="minorHAnsi" w:cstheme="minorHAnsi"/>
          <w:bCs/>
          <w:color w:val="auto"/>
          <w:sz w:val="22"/>
          <w:szCs w:val="22"/>
        </w:rPr>
        <w:t>Strateški plan je uvažio ciljeve nacionalnih strategija iz djelokruga rada Agencije i europske regulatorne zahtjeve za lijekove i medicinske proizvode.</w:t>
      </w:r>
      <w:r>
        <w:rPr>
          <w:rFonts w:asciiTheme="minorHAnsi" w:hAnsiTheme="minorHAnsi" w:cstheme="minorHAnsi"/>
          <w:bCs/>
          <w:color w:val="auto"/>
          <w:sz w:val="20"/>
          <w:szCs w:val="20"/>
        </w:rPr>
        <w:t xml:space="preserve"> </w:t>
      </w:r>
    </w:p>
    <w:p w14:paraId="5018288A" w14:textId="77777777" w:rsidR="00D75B83" w:rsidRPr="004130E0" w:rsidRDefault="00D75B83" w:rsidP="00D75B83">
      <w:pPr>
        <w:pStyle w:val="Default"/>
        <w:jc w:val="both"/>
        <w:rPr>
          <w:rFonts w:ascii="Calibri" w:eastAsia="Calibri" w:hAnsi="Calibri" w:cs="Calibri"/>
          <w:b/>
          <w:color w:val="auto"/>
          <w:sz w:val="22"/>
          <w:szCs w:val="22"/>
          <w:lang w:eastAsia="en-US"/>
        </w:rPr>
      </w:pPr>
      <w:r w:rsidRPr="004130E0">
        <w:rPr>
          <w:rFonts w:ascii="Calibri" w:eastAsia="Calibri" w:hAnsi="Calibri" w:cs="Calibri"/>
          <w:sz w:val="22"/>
          <w:szCs w:val="22"/>
        </w:rPr>
        <w:t xml:space="preserve">Svaki strateški cilj ima nekoliko operativnih ciljeva koji su kroz aktivnosti usmjerenih ka postizanju strateških ciljeva.  </w:t>
      </w:r>
      <w:r w:rsidRPr="004130E0">
        <w:rPr>
          <w:rFonts w:asciiTheme="minorHAnsi" w:hAnsiTheme="minorHAnsi" w:cstheme="minorHAnsi"/>
          <w:bCs/>
          <w:color w:val="auto"/>
          <w:sz w:val="22"/>
          <w:szCs w:val="22"/>
        </w:rPr>
        <w:t>U nastavku je ocjena učinkovitosti provedbe općih i posebnih strateških ciljeva u 202</w:t>
      </w:r>
      <w:r>
        <w:rPr>
          <w:rFonts w:asciiTheme="minorHAnsi" w:hAnsiTheme="minorHAnsi" w:cstheme="minorHAnsi"/>
          <w:bCs/>
          <w:color w:val="auto"/>
          <w:sz w:val="22"/>
          <w:szCs w:val="22"/>
        </w:rPr>
        <w:t>3</w:t>
      </w:r>
      <w:r w:rsidRPr="004130E0">
        <w:rPr>
          <w:rFonts w:asciiTheme="minorHAnsi" w:hAnsiTheme="minorHAnsi" w:cstheme="minorHAnsi"/>
          <w:bCs/>
          <w:color w:val="auto"/>
          <w:sz w:val="22"/>
          <w:szCs w:val="22"/>
        </w:rPr>
        <w:t>. godini:</w:t>
      </w:r>
      <w:r w:rsidRPr="004130E0">
        <w:rPr>
          <w:rFonts w:ascii="Calibri" w:eastAsia="Calibri" w:hAnsi="Calibri" w:cs="Calibri"/>
          <w:b/>
          <w:color w:val="auto"/>
          <w:sz w:val="22"/>
          <w:szCs w:val="22"/>
          <w:lang w:eastAsia="en-US"/>
        </w:rPr>
        <w:t xml:space="preserve"> </w:t>
      </w:r>
    </w:p>
    <w:p w14:paraId="01E3A9E2" w14:textId="77777777" w:rsidR="00D75B83" w:rsidRPr="00A34E8A" w:rsidRDefault="00D75B83" w:rsidP="00B432FB">
      <w:pPr>
        <w:pStyle w:val="Heading3"/>
        <w:spacing w:before="200"/>
        <w:jc w:val="both"/>
        <w:rPr>
          <w:rFonts w:eastAsia="Calibri"/>
        </w:rPr>
      </w:pPr>
      <w:bookmarkStart w:id="377" w:name="_Toc134536523"/>
      <w:bookmarkStart w:id="378" w:name="_Toc165035562"/>
      <w:r>
        <w:rPr>
          <w:rFonts w:eastAsia="Calibri"/>
        </w:rPr>
        <w:t xml:space="preserve">Strateški cilj 1: </w:t>
      </w:r>
      <w:r w:rsidRPr="00A34E8A">
        <w:rPr>
          <w:rFonts w:eastAsia="Calibri"/>
        </w:rPr>
        <w:t>Dostupnost, sigurna primjena lijekova i medicinskih proizvoda i zaštita javnog zdravlja</w:t>
      </w:r>
      <w:bookmarkEnd w:id="377"/>
      <w:bookmarkEnd w:id="378"/>
    </w:p>
    <w:p w14:paraId="090A551C" w14:textId="77777777" w:rsidR="00D75B83" w:rsidRDefault="00D75B83" w:rsidP="00AC375F">
      <w:pPr>
        <w:numPr>
          <w:ilvl w:val="1"/>
          <w:numId w:val="45"/>
        </w:numPr>
        <w:spacing w:line="276" w:lineRule="auto"/>
        <w:ind w:left="360" w:hanging="34"/>
        <w:jc w:val="both"/>
        <w:rPr>
          <w:rFonts w:ascii="Calibri" w:eastAsia="Calibri" w:hAnsi="Calibri" w:cs="Calibri"/>
          <w:i/>
        </w:rPr>
      </w:pPr>
      <w:r w:rsidRPr="00A34E8A">
        <w:rPr>
          <w:rFonts w:ascii="Calibri" w:eastAsia="Calibri" w:hAnsi="Calibri" w:cs="Calibri"/>
          <w:i/>
        </w:rPr>
        <w:t>Transparentne i pravovremene informacije o dostupnosti lijekova</w:t>
      </w:r>
    </w:p>
    <w:p w14:paraId="6C6FD016" w14:textId="77777777" w:rsidR="00D75B83" w:rsidRPr="004130E0" w:rsidRDefault="00D75B83" w:rsidP="00D75B83">
      <w:pPr>
        <w:spacing w:line="276" w:lineRule="auto"/>
        <w:ind w:left="1114"/>
        <w:jc w:val="both"/>
        <w:rPr>
          <w:rFonts w:ascii="Calibri" w:eastAsia="Calibri" w:hAnsi="Calibri" w:cs="Calibri"/>
        </w:rPr>
      </w:pPr>
    </w:p>
    <w:p w14:paraId="188ECFAF" w14:textId="77777777" w:rsidR="00D75B83" w:rsidRPr="005C0A32" w:rsidRDefault="00D75B83" w:rsidP="00D75B83">
      <w:pPr>
        <w:spacing w:line="276" w:lineRule="auto"/>
        <w:ind w:left="1114"/>
        <w:jc w:val="both"/>
        <w:rPr>
          <w:rFonts w:ascii="Calibri" w:eastAsia="Calibri" w:hAnsi="Calibri" w:cs="Calibri"/>
        </w:rPr>
      </w:pPr>
      <w:r>
        <w:rPr>
          <w:rFonts w:ascii="Calibri" w:eastAsia="Calibri" w:hAnsi="Calibri" w:cs="Calibri"/>
        </w:rPr>
        <w:t>Planirana realizacija u 2023</w:t>
      </w:r>
      <w:r w:rsidRPr="00A34E8A">
        <w:rPr>
          <w:rFonts w:ascii="Calibri" w:eastAsia="Calibri" w:hAnsi="Calibri" w:cs="Calibri"/>
        </w:rPr>
        <w:t>. godini:</w:t>
      </w:r>
      <w:r w:rsidRPr="009B413D">
        <w:rPr>
          <w:rFonts w:ascii="Calibri" w:eastAsia="Calibri" w:hAnsi="Calibri" w:cs="Calibri"/>
        </w:rPr>
        <w:t xml:space="preserve"> </w:t>
      </w:r>
    </w:p>
    <w:p w14:paraId="39C2316F" w14:textId="77777777" w:rsidR="00D75B83" w:rsidRPr="005C0A32" w:rsidRDefault="00D75B83" w:rsidP="00D75B83">
      <w:pPr>
        <w:spacing w:line="276" w:lineRule="auto"/>
        <w:ind w:left="1114"/>
        <w:jc w:val="both"/>
        <w:rPr>
          <w:rFonts w:ascii="Calibri" w:eastAsia="Calibri" w:hAnsi="Calibri" w:cs="Calibri"/>
        </w:rPr>
      </w:pPr>
      <w:r w:rsidRPr="005C0A32">
        <w:rPr>
          <w:rFonts w:ascii="Calibri" w:eastAsia="Calibri" w:hAnsi="Calibri" w:cs="Calibri"/>
        </w:rPr>
        <w:t>• izrađen kataloški pregled nestašica lijekova na web stranici HALMED-a</w:t>
      </w:r>
    </w:p>
    <w:p w14:paraId="1B6C46B8" w14:textId="7497304E" w:rsidR="00D75B83" w:rsidRDefault="00D75B83" w:rsidP="00D75B83">
      <w:pPr>
        <w:spacing w:line="276" w:lineRule="auto"/>
        <w:ind w:left="1114"/>
        <w:jc w:val="both"/>
        <w:rPr>
          <w:rFonts w:ascii="Calibri" w:eastAsia="Calibri" w:hAnsi="Calibri" w:cs="Calibri"/>
        </w:rPr>
      </w:pPr>
      <w:r w:rsidRPr="005C0A32">
        <w:rPr>
          <w:rFonts w:ascii="Calibri" w:eastAsia="Calibri" w:hAnsi="Calibri" w:cs="Calibri"/>
        </w:rPr>
        <w:t>• prikaz podataka o lijekovima stavljenima u promet putem paralelnog unosa u bazi</w:t>
      </w:r>
      <w:r w:rsidR="00E24E11">
        <w:rPr>
          <w:rFonts w:ascii="Calibri" w:eastAsia="Calibri" w:hAnsi="Calibri" w:cs="Calibri"/>
        </w:rPr>
        <w:t xml:space="preserve"> </w:t>
      </w:r>
      <w:r w:rsidRPr="005C0A32">
        <w:rPr>
          <w:rFonts w:ascii="Calibri" w:eastAsia="Calibri" w:hAnsi="Calibri" w:cs="Calibri"/>
        </w:rPr>
        <w:t>lijekova dostupnoj na internetskoj stranici HALMED-a</w:t>
      </w:r>
    </w:p>
    <w:p w14:paraId="23E1B2E6" w14:textId="77777777" w:rsidR="00D75B83" w:rsidRPr="004134B3" w:rsidRDefault="00D75B83" w:rsidP="00D75B83">
      <w:pPr>
        <w:spacing w:line="276" w:lineRule="auto"/>
        <w:ind w:left="1114"/>
        <w:jc w:val="both"/>
        <w:rPr>
          <w:rFonts w:ascii="Calibri" w:eastAsia="Calibri" w:hAnsi="Calibri" w:cs="Calibri"/>
        </w:rPr>
      </w:pPr>
      <w:r w:rsidRPr="004134B3">
        <w:rPr>
          <w:rFonts w:ascii="Calibri" w:eastAsia="Calibri" w:hAnsi="Calibri" w:cs="Calibri"/>
        </w:rPr>
        <w:t>Ocjena uspješnosti:</w:t>
      </w:r>
    </w:p>
    <w:p w14:paraId="2498E1EC" w14:textId="53272513" w:rsidR="00D75B83" w:rsidRDefault="00D75B83" w:rsidP="00D75B83">
      <w:pPr>
        <w:spacing w:line="276" w:lineRule="auto"/>
        <w:ind w:left="1114"/>
        <w:jc w:val="both"/>
        <w:rPr>
          <w:rFonts w:ascii="Calibri" w:eastAsia="Calibri" w:hAnsi="Calibri" w:cs="Calibri"/>
        </w:rPr>
      </w:pPr>
      <w:r w:rsidRPr="004134B3">
        <w:rPr>
          <w:rFonts w:ascii="Calibri" w:eastAsia="Calibri" w:hAnsi="Calibri" w:cs="Calibri"/>
        </w:rPr>
        <w:t xml:space="preserve">U </w:t>
      </w:r>
      <w:r w:rsidR="004134B3">
        <w:rPr>
          <w:rFonts w:ascii="Calibri" w:eastAsia="Calibri" w:hAnsi="Calibri" w:cs="Calibri"/>
        </w:rPr>
        <w:t xml:space="preserve">2023.  godini završen je projekt </w:t>
      </w:r>
      <w:r w:rsidRPr="004134B3">
        <w:rPr>
          <w:rFonts w:ascii="Calibri" w:eastAsia="Calibri" w:hAnsi="Calibri" w:cs="Calibri"/>
        </w:rPr>
        <w:t>e-Lijekovi u sklopu kojeg je omogućeno unošenje statusa pakiranja lijekova u prometu, preko nadograđenih funkcionalnosti NRL-a</w:t>
      </w:r>
      <w:r w:rsidR="004134B3">
        <w:rPr>
          <w:rFonts w:ascii="Calibri" w:eastAsia="Calibri" w:hAnsi="Calibri" w:cs="Calibri"/>
        </w:rPr>
        <w:t>, čime je cilj ispunjen.</w:t>
      </w:r>
    </w:p>
    <w:p w14:paraId="181FCF56" w14:textId="77777777" w:rsidR="00D75B83" w:rsidRDefault="00D75B83" w:rsidP="00D75B83">
      <w:pPr>
        <w:spacing w:line="276" w:lineRule="auto"/>
        <w:ind w:left="1114"/>
        <w:jc w:val="both"/>
        <w:rPr>
          <w:rFonts w:ascii="Calibri" w:eastAsia="Calibri" w:hAnsi="Calibri" w:cs="Calibri"/>
        </w:rPr>
      </w:pPr>
    </w:p>
    <w:p w14:paraId="207587A2" w14:textId="77777777" w:rsidR="00D75B83" w:rsidRDefault="00D75B83" w:rsidP="00AC375F">
      <w:pPr>
        <w:numPr>
          <w:ilvl w:val="1"/>
          <w:numId w:val="45"/>
        </w:numPr>
        <w:spacing w:line="276" w:lineRule="auto"/>
        <w:ind w:left="360" w:hanging="34"/>
        <w:jc w:val="both"/>
        <w:rPr>
          <w:rFonts w:ascii="Calibri" w:eastAsia="Calibri" w:hAnsi="Calibri" w:cs="Calibri"/>
          <w:i/>
        </w:rPr>
      </w:pPr>
      <w:r w:rsidRPr="00A34E8A">
        <w:rPr>
          <w:rFonts w:ascii="Calibri" w:eastAsia="Calibri" w:hAnsi="Calibri" w:cs="Calibri"/>
          <w:i/>
        </w:rPr>
        <w:t>Razvoj dodatnih metoda i alata aktivnog praćenja sigurnosti lijekova</w:t>
      </w:r>
    </w:p>
    <w:p w14:paraId="57E125B2" w14:textId="77777777" w:rsidR="00D75B83" w:rsidRDefault="00D75B83" w:rsidP="00D75B83">
      <w:pPr>
        <w:spacing w:line="276" w:lineRule="auto"/>
        <w:ind w:left="1114"/>
        <w:jc w:val="both"/>
        <w:rPr>
          <w:rFonts w:ascii="Calibri" w:eastAsia="Calibri" w:hAnsi="Calibri" w:cs="Calibri"/>
        </w:rPr>
      </w:pPr>
      <w:r>
        <w:rPr>
          <w:rFonts w:ascii="Calibri" w:eastAsia="Calibri" w:hAnsi="Calibri" w:cs="Calibri"/>
        </w:rPr>
        <w:t>Planirana realizacija u 2023</w:t>
      </w:r>
      <w:r w:rsidRPr="00A34E8A">
        <w:rPr>
          <w:rFonts w:ascii="Calibri" w:eastAsia="Calibri" w:hAnsi="Calibri" w:cs="Calibri"/>
        </w:rPr>
        <w:t>. godini:</w:t>
      </w:r>
    </w:p>
    <w:p w14:paraId="2AEF7098" w14:textId="56F0185F" w:rsidR="00D75B83" w:rsidRPr="00936A6D" w:rsidRDefault="00D75B83" w:rsidP="00AC375F">
      <w:pPr>
        <w:pStyle w:val="ListParagraph"/>
        <w:numPr>
          <w:ilvl w:val="0"/>
          <w:numId w:val="53"/>
        </w:numPr>
        <w:spacing w:before="0" w:after="0"/>
        <w:ind w:left="1560" w:hanging="357"/>
        <w:rPr>
          <w:rStyle w:val="markedcontent"/>
          <w:sz w:val="22"/>
          <w:szCs w:val="28"/>
        </w:rPr>
      </w:pPr>
      <w:r w:rsidRPr="00936A6D">
        <w:rPr>
          <w:rStyle w:val="markedcontent"/>
          <w:sz w:val="22"/>
          <w:szCs w:val="28"/>
        </w:rPr>
        <w:t>započet je proces povezivanja sustava OPeN s najmanje jednim bolničkim</w:t>
      </w:r>
      <w:r w:rsidR="00852A5E" w:rsidRPr="00936A6D">
        <w:rPr>
          <w:rStyle w:val="markedcontent"/>
          <w:sz w:val="22"/>
          <w:szCs w:val="28"/>
        </w:rPr>
        <w:t xml:space="preserve"> </w:t>
      </w:r>
      <w:r w:rsidRPr="00936A6D">
        <w:rPr>
          <w:rStyle w:val="markedcontent"/>
          <w:sz w:val="22"/>
          <w:szCs w:val="28"/>
        </w:rPr>
        <w:t>informacijskim sustavom u RH</w:t>
      </w:r>
    </w:p>
    <w:p w14:paraId="53E3CDAD" w14:textId="0D5418A0" w:rsidR="00936A6D" w:rsidRPr="00936A6D" w:rsidRDefault="00936A6D" w:rsidP="00AC375F">
      <w:pPr>
        <w:pStyle w:val="ListParagraph"/>
        <w:numPr>
          <w:ilvl w:val="0"/>
          <w:numId w:val="53"/>
        </w:numPr>
        <w:spacing w:before="0" w:after="0"/>
        <w:ind w:left="1560" w:hanging="357"/>
        <w:rPr>
          <w:rStyle w:val="markedcontent"/>
          <w:sz w:val="22"/>
          <w:szCs w:val="28"/>
        </w:rPr>
      </w:pPr>
      <w:r w:rsidRPr="00936A6D">
        <w:rPr>
          <w:rStyle w:val="markedcontent"/>
          <w:sz w:val="22"/>
          <w:szCs w:val="28"/>
        </w:rPr>
        <w:t>provedena je najmanje jedna studija mjerenja učinkovitosti mjera minimizacije rizika i/ili učinaka regulatornih odluka</w:t>
      </w:r>
    </w:p>
    <w:p w14:paraId="0686E53F" w14:textId="77777777" w:rsidR="00D75B83" w:rsidRDefault="00D75B83" w:rsidP="00D75B83">
      <w:pPr>
        <w:spacing w:line="276" w:lineRule="auto"/>
        <w:ind w:left="1114"/>
        <w:rPr>
          <w:rFonts w:ascii="Calibri" w:eastAsia="Calibri" w:hAnsi="Calibri" w:cs="Calibri"/>
        </w:rPr>
      </w:pPr>
    </w:p>
    <w:p w14:paraId="0EAA8035" w14:textId="77777777" w:rsidR="004134B3" w:rsidRDefault="00D75B83" w:rsidP="00D75B83">
      <w:pPr>
        <w:spacing w:line="276" w:lineRule="auto"/>
        <w:ind w:left="1114"/>
        <w:jc w:val="both"/>
        <w:rPr>
          <w:rFonts w:ascii="Calibri" w:eastAsia="Calibri" w:hAnsi="Calibri" w:cs="Calibri"/>
        </w:rPr>
      </w:pPr>
      <w:r w:rsidRPr="00936A6D">
        <w:rPr>
          <w:rFonts w:ascii="Calibri" w:eastAsia="Calibri" w:hAnsi="Calibri" w:cs="Calibri"/>
        </w:rPr>
        <w:t xml:space="preserve">Ocjena uspješnosti: </w:t>
      </w:r>
    </w:p>
    <w:p w14:paraId="00156062" w14:textId="0D8050DA" w:rsidR="00D75B83" w:rsidRPr="00050054" w:rsidRDefault="00A83B4F" w:rsidP="00D75B83">
      <w:pPr>
        <w:spacing w:line="276" w:lineRule="auto"/>
        <w:ind w:left="1114"/>
        <w:jc w:val="both"/>
        <w:rPr>
          <w:bCs/>
        </w:rPr>
      </w:pPr>
      <w:r w:rsidRPr="00050054">
        <w:rPr>
          <w:rFonts w:ascii="Calibri" w:eastAsia="Calibri" w:hAnsi="Calibri" w:cs="Calibri"/>
        </w:rPr>
        <w:t>Planirana realizacija cilja u 2023. godini je u potpunosti ispunjena.</w:t>
      </w:r>
    </w:p>
    <w:p w14:paraId="4F1F2F72" w14:textId="07B76871" w:rsidR="00D75B83" w:rsidRPr="00050054" w:rsidRDefault="00852A5E" w:rsidP="00B432FB">
      <w:pPr>
        <w:spacing w:line="276" w:lineRule="auto"/>
        <w:ind w:left="1114"/>
        <w:jc w:val="both"/>
        <w:rPr>
          <w:rFonts w:ascii="Calibri" w:eastAsia="Calibri" w:hAnsi="Calibri" w:cs="Calibri"/>
        </w:rPr>
      </w:pPr>
      <w:r w:rsidRPr="008516AB">
        <w:rPr>
          <w:rFonts w:ascii="Calibri" w:eastAsia="Calibri" w:hAnsi="Calibri" w:cs="Calibri"/>
        </w:rPr>
        <w:t xml:space="preserve">U </w:t>
      </w:r>
      <w:r w:rsidR="00D75B83" w:rsidRPr="008516AB">
        <w:rPr>
          <w:rFonts w:ascii="Calibri" w:eastAsia="Calibri" w:hAnsi="Calibri" w:cs="Calibri"/>
        </w:rPr>
        <w:t>projekt</w:t>
      </w:r>
      <w:r w:rsidRPr="008516AB">
        <w:rPr>
          <w:rFonts w:ascii="Calibri" w:eastAsia="Calibri" w:hAnsi="Calibri" w:cs="Calibri"/>
        </w:rPr>
        <w:t>u</w:t>
      </w:r>
      <w:r w:rsidR="00D75B83" w:rsidRPr="008516AB">
        <w:rPr>
          <w:rFonts w:ascii="Calibri" w:eastAsia="Calibri" w:hAnsi="Calibri" w:cs="Calibri"/>
        </w:rPr>
        <w:t xml:space="preserve"> „e-Lijekovi -</w:t>
      </w:r>
      <w:r w:rsidR="00D75B83" w:rsidRPr="008516AB">
        <w:t xml:space="preserve"> Integrirani informatički sustav za upravljanje lijekovima“ </w:t>
      </w:r>
      <w:r w:rsidR="00D75B83" w:rsidRPr="008516AB">
        <w:rPr>
          <w:rFonts w:ascii="Calibri" w:eastAsia="Calibri" w:hAnsi="Calibri" w:cs="Calibri"/>
        </w:rPr>
        <w:t xml:space="preserve">u kojem </w:t>
      </w:r>
      <w:r w:rsidRPr="008516AB">
        <w:rPr>
          <w:rFonts w:ascii="Calibri" w:eastAsia="Calibri" w:hAnsi="Calibri" w:cs="Calibri"/>
        </w:rPr>
        <w:t xml:space="preserve">je </w:t>
      </w:r>
      <w:r w:rsidR="00D75B83" w:rsidRPr="00050054">
        <w:rPr>
          <w:rFonts w:ascii="Calibri" w:eastAsia="Calibri" w:hAnsi="Calibri" w:cs="Calibri"/>
        </w:rPr>
        <w:t>HALMED sudjel</w:t>
      </w:r>
      <w:r w:rsidRPr="00050054">
        <w:rPr>
          <w:rFonts w:ascii="Calibri" w:eastAsia="Calibri" w:hAnsi="Calibri" w:cs="Calibri"/>
        </w:rPr>
        <w:t>ovao</w:t>
      </w:r>
      <w:r w:rsidR="00D75B83" w:rsidRPr="00050054">
        <w:rPr>
          <w:rFonts w:ascii="Calibri" w:eastAsia="Calibri" w:hAnsi="Calibri" w:cs="Calibri"/>
        </w:rPr>
        <w:t xml:space="preserve"> kao jedan od partnera projekta, </w:t>
      </w:r>
      <w:r w:rsidRPr="00050054">
        <w:rPr>
          <w:rFonts w:ascii="Calibri" w:eastAsia="Calibri" w:hAnsi="Calibri" w:cs="Calibri"/>
        </w:rPr>
        <w:t>razvila se</w:t>
      </w:r>
      <w:r w:rsidR="00D75B83" w:rsidRPr="00050054">
        <w:rPr>
          <w:rFonts w:ascii="Calibri" w:eastAsia="Calibri" w:hAnsi="Calibri" w:cs="Calibri"/>
        </w:rPr>
        <w:t xml:space="preserve"> mogućnost prijavljivanja sumnji na nuspojave </w:t>
      </w:r>
      <w:r w:rsidRPr="00050054">
        <w:rPr>
          <w:rFonts w:ascii="Calibri" w:eastAsia="Calibri" w:hAnsi="Calibri" w:cs="Calibri"/>
        </w:rPr>
        <w:t xml:space="preserve">lijekova za pacijente </w:t>
      </w:r>
      <w:r w:rsidR="00D75B83" w:rsidRPr="00050054">
        <w:rPr>
          <w:rFonts w:ascii="Calibri" w:eastAsia="Calibri" w:hAnsi="Calibri" w:cs="Calibri"/>
        </w:rPr>
        <w:t xml:space="preserve">putem portala e-Građani. </w:t>
      </w:r>
      <w:r w:rsidR="0002048B" w:rsidRPr="00050054">
        <w:rPr>
          <w:rFonts w:ascii="Calibri" w:eastAsia="Calibri" w:hAnsi="Calibri" w:cs="Calibri"/>
        </w:rPr>
        <w:t>U sklop</w:t>
      </w:r>
      <w:r w:rsidRPr="00050054">
        <w:rPr>
          <w:rFonts w:ascii="Calibri" w:eastAsia="Calibri" w:hAnsi="Calibri" w:cs="Calibri"/>
        </w:rPr>
        <w:t>u projekta „e-Lijekovi“ započet je i proces spajanja sustava OPeN s</w:t>
      </w:r>
      <w:r w:rsidRPr="00050054">
        <w:t xml:space="preserve"> </w:t>
      </w:r>
      <w:r w:rsidRPr="00050054">
        <w:rPr>
          <w:rFonts w:ascii="Calibri" w:eastAsia="Calibri" w:hAnsi="Calibri" w:cs="Calibri"/>
        </w:rPr>
        <w:t>bolničkim informacijskim sustavima, točnije razvijen</w:t>
      </w:r>
      <w:r w:rsidR="0002048B" w:rsidRPr="00050054">
        <w:rPr>
          <w:rFonts w:ascii="Calibri" w:eastAsia="Calibri" w:hAnsi="Calibri" w:cs="Calibri"/>
        </w:rPr>
        <w:t>a je informatička struktura potrebna za povezivanje sustava OPeN s bolničkim informacijskim sustavima.</w:t>
      </w:r>
      <w:r w:rsidRPr="00050054">
        <w:rPr>
          <w:rFonts w:ascii="Calibri" w:eastAsia="Calibri" w:hAnsi="Calibri" w:cs="Calibri"/>
        </w:rPr>
        <w:t xml:space="preserve"> </w:t>
      </w:r>
    </w:p>
    <w:p w14:paraId="18BB1BCB" w14:textId="2C41482A" w:rsidR="00E24E11" w:rsidRPr="004130E0" w:rsidRDefault="00E24E11" w:rsidP="00B432FB">
      <w:pPr>
        <w:spacing w:line="276" w:lineRule="auto"/>
        <w:ind w:left="1114"/>
        <w:jc w:val="both"/>
        <w:rPr>
          <w:rFonts w:ascii="Calibri" w:eastAsia="Calibri" w:hAnsi="Calibri" w:cs="Calibri"/>
        </w:rPr>
      </w:pPr>
      <w:r w:rsidRPr="00050054">
        <w:rPr>
          <w:rFonts w:ascii="Calibri" w:eastAsia="Calibri" w:hAnsi="Calibri" w:cs="Calibri"/>
        </w:rPr>
        <w:t>Provedena je studija mjerenja učinkovitosti mjera minimizacije rizika u sprječavanju medikacijskih pogrešaka sa salbutamolom u pedijatrijskoj populaciji.</w:t>
      </w:r>
    </w:p>
    <w:p w14:paraId="299E3E68" w14:textId="77777777" w:rsidR="00D75B83" w:rsidRDefault="00D75B83" w:rsidP="00AC375F">
      <w:pPr>
        <w:numPr>
          <w:ilvl w:val="1"/>
          <w:numId w:val="45"/>
        </w:numPr>
        <w:spacing w:line="276" w:lineRule="auto"/>
        <w:ind w:left="360" w:hanging="34"/>
        <w:jc w:val="both"/>
        <w:rPr>
          <w:rFonts w:ascii="Calibri" w:eastAsia="Calibri" w:hAnsi="Calibri" w:cs="Calibri"/>
          <w:i/>
        </w:rPr>
      </w:pPr>
      <w:r w:rsidRPr="00A34E8A">
        <w:rPr>
          <w:rFonts w:ascii="Calibri" w:eastAsia="Calibri" w:hAnsi="Calibri" w:cs="Calibri"/>
          <w:i/>
        </w:rPr>
        <w:lastRenderedPageBreak/>
        <w:t>Osnaživanje sustava praćenja štetnih događaja povezanih s primjenom medicinskih proizvoda</w:t>
      </w:r>
    </w:p>
    <w:p w14:paraId="36CCDB52" w14:textId="77777777" w:rsidR="00D75B83" w:rsidRPr="004130E0" w:rsidRDefault="00D75B83" w:rsidP="00D75B83">
      <w:pPr>
        <w:spacing w:line="276" w:lineRule="auto"/>
        <w:ind w:left="1114"/>
        <w:jc w:val="both"/>
        <w:rPr>
          <w:rFonts w:ascii="Calibri" w:eastAsia="Calibri" w:hAnsi="Calibri" w:cs="Calibri"/>
        </w:rPr>
      </w:pPr>
      <w:r>
        <w:rPr>
          <w:rFonts w:ascii="Calibri" w:eastAsia="Calibri" w:hAnsi="Calibri" w:cs="Calibri"/>
        </w:rPr>
        <w:t>Planirana realizacija u 2023</w:t>
      </w:r>
      <w:r w:rsidRPr="00A34E8A">
        <w:rPr>
          <w:rFonts w:ascii="Calibri" w:eastAsia="Calibri" w:hAnsi="Calibri" w:cs="Calibri"/>
        </w:rPr>
        <w:t>. godini:</w:t>
      </w:r>
    </w:p>
    <w:p w14:paraId="582D9A17" w14:textId="222E78FD" w:rsidR="00D75B83" w:rsidRPr="005C0A32" w:rsidRDefault="00D75B83" w:rsidP="00D75B83">
      <w:pPr>
        <w:spacing w:line="276" w:lineRule="auto"/>
        <w:ind w:left="1114"/>
        <w:rPr>
          <w:rFonts w:ascii="Calibri" w:eastAsia="Calibri" w:hAnsi="Calibri" w:cs="Calibri"/>
        </w:rPr>
      </w:pPr>
      <w:r w:rsidRPr="009B413D">
        <w:rPr>
          <w:rFonts w:ascii="Calibri" w:eastAsia="Calibri" w:hAnsi="Calibri" w:cs="Calibri"/>
        </w:rPr>
        <w:t xml:space="preserve">• </w:t>
      </w:r>
      <w:r w:rsidRPr="005C0A32">
        <w:rPr>
          <w:rFonts w:ascii="Calibri" w:eastAsia="Calibri" w:hAnsi="Calibri" w:cs="Calibri"/>
        </w:rPr>
        <w:t>15 %-tni porast broja zaprimljenih izvješća o štetnim događajima i sigurnosno</w:t>
      </w:r>
      <w:r w:rsidR="00590545">
        <w:rPr>
          <w:rFonts w:ascii="Calibri" w:eastAsia="Calibri" w:hAnsi="Calibri" w:cs="Calibri"/>
        </w:rPr>
        <w:t xml:space="preserve"> </w:t>
      </w:r>
      <w:r w:rsidRPr="005C0A32">
        <w:rPr>
          <w:rFonts w:ascii="Calibri" w:eastAsia="Calibri" w:hAnsi="Calibri" w:cs="Calibri"/>
        </w:rPr>
        <w:t>korektivnim radnjama u odnosu na godinu ranije od strane proizvođača</w:t>
      </w:r>
    </w:p>
    <w:p w14:paraId="295A43BB" w14:textId="6BE455C1" w:rsidR="00D75B83" w:rsidRDefault="00D75B83" w:rsidP="00D75B83">
      <w:pPr>
        <w:spacing w:line="276" w:lineRule="auto"/>
        <w:ind w:left="1114"/>
        <w:rPr>
          <w:rFonts w:ascii="Calibri" w:eastAsia="Calibri" w:hAnsi="Calibri" w:cs="Calibri"/>
        </w:rPr>
      </w:pPr>
      <w:r w:rsidRPr="005C0A32">
        <w:rPr>
          <w:rFonts w:ascii="Calibri" w:eastAsia="Calibri" w:hAnsi="Calibri" w:cs="Calibri"/>
        </w:rPr>
        <w:t>• 10 %-tni porast udjela izvješća o štetnim događajima zaprimljenih od zdravstvenih</w:t>
      </w:r>
      <w:r w:rsidR="00590545">
        <w:rPr>
          <w:rFonts w:ascii="Calibri" w:eastAsia="Calibri" w:hAnsi="Calibri" w:cs="Calibri"/>
        </w:rPr>
        <w:t xml:space="preserve"> </w:t>
      </w:r>
      <w:r w:rsidRPr="005C0A32">
        <w:rPr>
          <w:rFonts w:ascii="Calibri" w:eastAsia="Calibri" w:hAnsi="Calibri" w:cs="Calibri"/>
        </w:rPr>
        <w:t>djelatnika u odnosu na godinu ranije</w:t>
      </w:r>
    </w:p>
    <w:p w14:paraId="06E534D4" w14:textId="77777777" w:rsidR="00D75B83" w:rsidRDefault="00D75B83" w:rsidP="00D75B83">
      <w:pPr>
        <w:spacing w:line="276" w:lineRule="auto"/>
        <w:ind w:left="1114"/>
        <w:jc w:val="both"/>
        <w:rPr>
          <w:rFonts w:ascii="Calibri" w:eastAsia="Calibri" w:hAnsi="Calibri" w:cs="Calibri"/>
        </w:rPr>
      </w:pPr>
    </w:p>
    <w:p w14:paraId="22285EF7" w14:textId="77777777" w:rsidR="00D75B83" w:rsidRDefault="00D75B83" w:rsidP="00D75B83">
      <w:pPr>
        <w:spacing w:line="276" w:lineRule="auto"/>
        <w:ind w:left="1114"/>
        <w:jc w:val="both"/>
        <w:rPr>
          <w:rFonts w:ascii="Calibri" w:eastAsia="Calibri" w:hAnsi="Calibri" w:cs="Calibri"/>
        </w:rPr>
      </w:pPr>
      <w:r w:rsidRPr="00CC4684">
        <w:rPr>
          <w:rFonts w:ascii="Calibri" w:eastAsia="Calibri" w:hAnsi="Calibri" w:cs="Calibri"/>
        </w:rPr>
        <w:t>Ocjena uspješnosti:</w:t>
      </w:r>
      <w:r>
        <w:rPr>
          <w:rFonts w:ascii="Calibri" w:eastAsia="Calibri" w:hAnsi="Calibri" w:cs="Calibri"/>
        </w:rPr>
        <w:t xml:space="preserve"> </w:t>
      </w:r>
    </w:p>
    <w:p w14:paraId="19E9D0C2" w14:textId="03632FA0" w:rsidR="00D75B83" w:rsidRDefault="002A4818" w:rsidP="00D75B83">
      <w:pPr>
        <w:spacing w:line="276" w:lineRule="auto"/>
        <w:ind w:left="1114"/>
        <w:jc w:val="both"/>
        <w:rPr>
          <w:rFonts w:ascii="Calibri" w:eastAsia="Calibri" w:hAnsi="Calibri" w:cs="Calibri"/>
        </w:rPr>
      </w:pPr>
      <w:r w:rsidRPr="002A4818">
        <w:rPr>
          <w:rFonts w:ascii="Calibri" w:eastAsia="Calibri" w:hAnsi="Calibri" w:cs="Calibri"/>
        </w:rPr>
        <w:t xml:space="preserve">Planirani porast od 15% broja zaprimljenih izvješća o štetnim događajima </w:t>
      </w:r>
      <w:r>
        <w:rPr>
          <w:rFonts w:ascii="Calibri" w:eastAsia="Calibri" w:hAnsi="Calibri" w:cs="Calibri"/>
        </w:rPr>
        <w:t>je gotovo izvršen</w:t>
      </w:r>
      <w:r w:rsidRPr="002A4818">
        <w:rPr>
          <w:rFonts w:ascii="Calibri" w:eastAsia="Calibri" w:hAnsi="Calibri" w:cs="Calibri"/>
        </w:rPr>
        <w:t xml:space="preserve"> (98% izvršenja), dok je porast broja izvješća sigurnosno korektivnih radnji premašio planirani postotak i izvršeno je 110%. Planirano povećanje udjela izvješća o štetnim događajima zaprimljenih od zdravstvenih djelatnika u odnosu na godinu ranije </w:t>
      </w:r>
      <w:r>
        <w:rPr>
          <w:rFonts w:ascii="Calibri" w:eastAsia="Calibri" w:hAnsi="Calibri" w:cs="Calibri"/>
        </w:rPr>
        <w:t>je također ostvareno</w:t>
      </w:r>
      <w:r w:rsidRPr="002A4818">
        <w:rPr>
          <w:rFonts w:ascii="Calibri" w:eastAsia="Calibri" w:hAnsi="Calibri" w:cs="Calibri"/>
        </w:rPr>
        <w:t xml:space="preserve">. </w:t>
      </w:r>
    </w:p>
    <w:p w14:paraId="0F26C9F8" w14:textId="77777777" w:rsidR="004134B3" w:rsidRPr="004130E0" w:rsidRDefault="004134B3" w:rsidP="00D75B83">
      <w:pPr>
        <w:spacing w:line="276" w:lineRule="auto"/>
        <w:ind w:left="1114"/>
        <w:jc w:val="both"/>
        <w:rPr>
          <w:rFonts w:ascii="Calibri" w:eastAsia="Calibri" w:hAnsi="Calibri" w:cs="Calibri"/>
        </w:rPr>
      </w:pPr>
    </w:p>
    <w:p w14:paraId="39FA5DBF" w14:textId="77777777" w:rsidR="00D75B83" w:rsidRDefault="00D75B83" w:rsidP="00AC375F">
      <w:pPr>
        <w:numPr>
          <w:ilvl w:val="1"/>
          <w:numId w:val="45"/>
        </w:numPr>
        <w:spacing w:line="276" w:lineRule="auto"/>
        <w:ind w:left="360" w:hanging="34"/>
        <w:jc w:val="both"/>
        <w:rPr>
          <w:rFonts w:ascii="Calibri" w:eastAsia="Calibri" w:hAnsi="Calibri" w:cs="Calibri"/>
          <w:i/>
        </w:rPr>
      </w:pPr>
      <w:r w:rsidRPr="00A34E8A">
        <w:rPr>
          <w:rFonts w:ascii="Calibri" w:eastAsia="Calibri" w:hAnsi="Calibri" w:cs="Calibri"/>
          <w:i/>
        </w:rPr>
        <w:t>Jasna i pravovremena komunikacija o sigurnosti primjene lijekova s ciljem zaštite javnog zdravlja</w:t>
      </w:r>
    </w:p>
    <w:p w14:paraId="54EB35DD" w14:textId="77777777" w:rsidR="00D75B83" w:rsidRPr="004130E0" w:rsidRDefault="00D75B83" w:rsidP="004134B3">
      <w:pPr>
        <w:ind w:left="1114"/>
        <w:jc w:val="both"/>
        <w:rPr>
          <w:rFonts w:ascii="Calibri" w:eastAsia="Calibri" w:hAnsi="Calibri" w:cs="Calibri"/>
        </w:rPr>
      </w:pPr>
      <w:r>
        <w:rPr>
          <w:rFonts w:ascii="Calibri" w:eastAsia="Calibri" w:hAnsi="Calibri" w:cs="Calibri"/>
        </w:rPr>
        <w:t>Planirana realizacija u 2023</w:t>
      </w:r>
      <w:r w:rsidRPr="00A34E8A">
        <w:rPr>
          <w:rFonts w:ascii="Calibri" w:eastAsia="Calibri" w:hAnsi="Calibri" w:cs="Calibri"/>
        </w:rPr>
        <w:t>. godini:</w:t>
      </w:r>
    </w:p>
    <w:p w14:paraId="5E7E3214" w14:textId="77777777" w:rsidR="00D75B83" w:rsidRPr="00BF3CB0" w:rsidRDefault="00D75B83" w:rsidP="00AC375F">
      <w:pPr>
        <w:pStyle w:val="ListParagraph"/>
        <w:numPr>
          <w:ilvl w:val="0"/>
          <w:numId w:val="47"/>
        </w:numPr>
        <w:spacing w:before="0" w:after="0" w:line="240" w:lineRule="auto"/>
        <w:rPr>
          <w:rFonts w:ascii="Calibri" w:eastAsia="Calibri" w:hAnsi="Calibri" w:cs="Calibri"/>
        </w:rPr>
      </w:pPr>
      <w:r w:rsidRPr="00BF3CB0">
        <w:rPr>
          <w:rFonts w:ascii="Calibri" w:eastAsia="Calibri" w:hAnsi="Calibri" w:cs="Calibri"/>
          <w:sz w:val="22"/>
          <w:szCs w:val="22"/>
        </w:rPr>
        <w:t>organizirana je najmanje jedna edukacija u suradnji s komorama zdravstvenih radnika</w:t>
      </w:r>
    </w:p>
    <w:p w14:paraId="2A541E75" w14:textId="367C227E" w:rsidR="00D75B83" w:rsidRPr="00FE3A7C" w:rsidRDefault="00D75B83" w:rsidP="00AC375F">
      <w:pPr>
        <w:pStyle w:val="ListParagraph"/>
        <w:numPr>
          <w:ilvl w:val="0"/>
          <w:numId w:val="47"/>
        </w:numPr>
        <w:spacing w:before="0" w:after="0"/>
        <w:ind w:left="1468" w:hanging="357"/>
        <w:jc w:val="both"/>
        <w:rPr>
          <w:rFonts w:ascii="Calibri" w:eastAsia="Calibri" w:hAnsi="Calibri" w:cs="Calibri"/>
        </w:rPr>
      </w:pPr>
      <w:r w:rsidRPr="00BF3CB0">
        <w:rPr>
          <w:rFonts w:ascii="Calibri" w:eastAsia="Calibri" w:hAnsi="Calibri" w:cs="Calibri"/>
          <w:sz w:val="22"/>
          <w:szCs w:val="22"/>
        </w:rPr>
        <w:t>kreiran je farmakovigilancijski bilten i distribuiran najmanje jednom putem sustava</w:t>
      </w:r>
      <w:r w:rsidR="00433D1E">
        <w:rPr>
          <w:rFonts w:ascii="Calibri" w:eastAsia="Calibri" w:hAnsi="Calibri" w:cs="Calibri"/>
          <w:sz w:val="22"/>
          <w:szCs w:val="22"/>
        </w:rPr>
        <w:t xml:space="preserve"> OPeN</w:t>
      </w:r>
    </w:p>
    <w:p w14:paraId="7ED03978" w14:textId="17CDD4F6" w:rsidR="00433D1E" w:rsidRPr="00FE3A7C" w:rsidRDefault="00433D1E" w:rsidP="00AC375F">
      <w:pPr>
        <w:pStyle w:val="ListParagraph"/>
        <w:numPr>
          <w:ilvl w:val="0"/>
          <w:numId w:val="47"/>
        </w:numPr>
        <w:spacing w:before="0" w:after="0"/>
        <w:jc w:val="both"/>
        <w:rPr>
          <w:rFonts w:ascii="Calibri" w:eastAsia="Calibri" w:hAnsi="Calibri" w:cs="Calibri"/>
          <w:sz w:val="22"/>
        </w:rPr>
      </w:pPr>
      <w:r w:rsidRPr="00FE3A7C">
        <w:rPr>
          <w:rFonts w:ascii="Calibri" w:eastAsia="Calibri" w:hAnsi="Calibri" w:cs="Calibri"/>
          <w:sz w:val="22"/>
        </w:rPr>
        <w:t>održane su dvije edukacije za zdravstvene djelatnike, ovlaštene distributere te policijske i carinske službenike i ocijenjena je učinkovitost prethodno održanih edukacija</w:t>
      </w:r>
    </w:p>
    <w:p w14:paraId="07780EB0" w14:textId="77777777" w:rsidR="004134B3" w:rsidRDefault="004134B3" w:rsidP="00FE3A7C">
      <w:pPr>
        <w:spacing w:line="276" w:lineRule="auto"/>
        <w:ind w:left="1114"/>
        <w:rPr>
          <w:rFonts w:ascii="Calibri" w:eastAsia="Calibri" w:hAnsi="Calibri" w:cs="Calibri"/>
        </w:rPr>
      </w:pPr>
    </w:p>
    <w:p w14:paraId="2A912809" w14:textId="77777777" w:rsidR="004134B3" w:rsidRDefault="00D75B83" w:rsidP="00FE3A7C">
      <w:pPr>
        <w:spacing w:line="276" w:lineRule="auto"/>
        <w:ind w:left="1114"/>
      </w:pPr>
      <w:r w:rsidRPr="00050054">
        <w:rPr>
          <w:rFonts w:ascii="Calibri" w:eastAsia="Calibri" w:hAnsi="Calibri" w:cs="Calibri"/>
        </w:rPr>
        <w:t>Ocjena uspješnosti:</w:t>
      </w:r>
      <w:r w:rsidR="008040BC" w:rsidRPr="008516AB">
        <w:t xml:space="preserve"> </w:t>
      </w:r>
    </w:p>
    <w:p w14:paraId="4D1EE1A2" w14:textId="66E12FBD" w:rsidR="00D75B83" w:rsidRPr="00050054" w:rsidRDefault="008040BC" w:rsidP="00FE3A7C">
      <w:pPr>
        <w:spacing w:line="276" w:lineRule="auto"/>
        <w:ind w:left="1114"/>
        <w:rPr>
          <w:rFonts w:ascii="Calibri" w:eastAsia="Calibri" w:hAnsi="Calibri" w:cs="Calibri"/>
        </w:rPr>
      </w:pPr>
      <w:r w:rsidRPr="00050054">
        <w:rPr>
          <w:rFonts w:ascii="Calibri" w:eastAsia="Calibri" w:hAnsi="Calibri" w:cs="Calibri"/>
        </w:rPr>
        <w:t xml:space="preserve">Realizacija cilja u 2023. </w:t>
      </w:r>
      <w:r w:rsidR="00F91E9B" w:rsidRPr="00050054">
        <w:rPr>
          <w:rFonts w:ascii="Calibri" w:eastAsia="Calibri" w:hAnsi="Calibri" w:cs="Calibri"/>
        </w:rPr>
        <w:t xml:space="preserve">je </w:t>
      </w:r>
      <w:r w:rsidR="004134B3">
        <w:rPr>
          <w:rFonts w:ascii="Calibri" w:eastAsia="Calibri" w:hAnsi="Calibri" w:cs="Calibri"/>
        </w:rPr>
        <w:t>gotovo</w:t>
      </w:r>
      <w:r w:rsidRPr="00050054">
        <w:rPr>
          <w:rFonts w:ascii="Calibri" w:eastAsia="Calibri" w:hAnsi="Calibri" w:cs="Calibri"/>
        </w:rPr>
        <w:t xml:space="preserve"> </w:t>
      </w:r>
      <w:r w:rsidR="000A17DE" w:rsidRPr="00050054">
        <w:rPr>
          <w:rFonts w:ascii="Calibri" w:eastAsia="Calibri" w:hAnsi="Calibri" w:cs="Calibri"/>
        </w:rPr>
        <w:t xml:space="preserve">u potpunosti </w:t>
      </w:r>
      <w:r w:rsidRPr="00050054">
        <w:rPr>
          <w:rFonts w:ascii="Calibri" w:eastAsia="Calibri" w:hAnsi="Calibri" w:cs="Calibri"/>
        </w:rPr>
        <w:t>ispunjena.</w:t>
      </w:r>
    </w:p>
    <w:p w14:paraId="7818E7F6" w14:textId="3B4B5420" w:rsidR="00433D1E" w:rsidRDefault="00DB07AD" w:rsidP="00B432FB">
      <w:pPr>
        <w:spacing w:line="276" w:lineRule="auto"/>
        <w:ind w:left="1114"/>
        <w:jc w:val="both"/>
        <w:rPr>
          <w:rFonts w:eastAsia="Times New Roman" w:cstheme="minorHAnsi"/>
        </w:rPr>
      </w:pPr>
      <w:r w:rsidRPr="00050054">
        <w:rPr>
          <w:rFonts w:eastAsia="Times New Roman" w:cstheme="minorHAnsi"/>
        </w:rPr>
        <w:t>O</w:t>
      </w:r>
      <w:r w:rsidR="00662D88" w:rsidRPr="00050054">
        <w:rPr>
          <w:rFonts w:eastAsia="Times New Roman" w:cstheme="minorHAnsi"/>
        </w:rPr>
        <w:t xml:space="preserve">držano </w:t>
      </w:r>
      <w:r w:rsidRPr="00050054">
        <w:rPr>
          <w:rFonts w:eastAsia="Times New Roman" w:cstheme="minorHAnsi"/>
        </w:rPr>
        <w:t xml:space="preserve">je </w:t>
      </w:r>
      <w:r w:rsidR="00662D88" w:rsidRPr="00050054">
        <w:rPr>
          <w:rFonts w:eastAsia="Times New Roman" w:cstheme="minorHAnsi"/>
        </w:rPr>
        <w:t>5</w:t>
      </w:r>
      <w:r w:rsidR="00433D1E" w:rsidRPr="00050054">
        <w:rPr>
          <w:rFonts w:eastAsia="Times New Roman" w:cstheme="minorHAnsi"/>
        </w:rPr>
        <w:t xml:space="preserve"> edukacija </w:t>
      </w:r>
      <w:r w:rsidR="00662D88" w:rsidRPr="00050054">
        <w:rPr>
          <w:rFonts w:eastAsia="Times New Roman" w:cstheme="minorHAnsi"/>
        </w:rPr>
        <w:t xml:space="preserve">za zdravstvene djelatnike </w:t>
      </w:r>
      <w:r w:rsidR="00433D1E" w:rsidRPr="00050054">
        <w:rPr>
          <w:rFonts w:eastAsia="Times New Roman" w:cstheme="minorHAnsi"/>
        </w:rPr>
        <w:t xml:space="preserve">u suradnji s </w:t>
      </w:r>
      <w:r w:rsidR="00662D88" w:rsidRPr="00050054">
        <w:rPr>
          <w:rFonts w:eastAsia="Times New Roman" w:cstheme="minorHAnsi"/>
        </w:rPr>
        <w:t>komorama zdravstvenih radnika</w:t>
      </w:r>
      <w:r w:rsidRPr="00050054">
        <w:rPr>
          <w:rFonts w:eastAsia="Times New Roman" w:cstheme="minorHAnsi"/>
        </w:rPr>
        <w:t xml:space="preserve"> u 2023. godini</w:t>
      </w:r>
      <w:r w:rsidR="00662D88" w:rsidRPr="00050054">
        <w:rPr>
          <w:rFonts w:eastAsia="Times New Roman" w:cstheme="minorHAnsi"/>
        </w:rPr>
        <w:t>.</w:t>
      </w:r>
      <w:r w:rsidRPr="00050054">
        <w:rPr>
          <w:rFonts w:eastAsia="Times New Roman" w:cstheme="minorHAnsi"/>
        </w:rPr>
        <w:t xml:space="preserve"> Kreiran je 1. farmakovigilancijski bilten i distribuiran putem sustava OPeN u siječnju 2024. godine.</w:t>
      </w:r>
      <w:r w:rsidR="000A17DE" w:rsidRPr="008516AB">
        <w:rPr>
          <w:rFonts w:eastAsia="Times New Roman" w:cstheme="minorHAnsi"/>
        </w:rPr>
        <w:t xml:space="preserve"> </w:t>
      </w:r>
      <w:r w:rsidR="00D75B83" w:rsidRPr="00050054">
        <w:rPr>
          <w:rFonts w:eastAsia="Times New Roman" w:cstheme="minorHAnsi"/>
        </w:rPr>
        <w:t>Na sastancima s djelatnicima carine i policije ponuđena je edukacija njihovih službenika. Provođenje edukacija planira se tijekom 2024.</w:t>
      </w:r>
      <w:r w:rsidR="000A17DE" w:rsidRPr="008516AB">
        <w:rPr>
          <w:rFonts w:eastAsia="Times New Roman" w:cstheme="minorHAnsi"/>
        </w:rPr>
        <w:t xml:space="preserve"> godine.</w:t>
      </w:r>
    </w:p>
    <w:p w14:paraId="32E4FF4B" w14:textId="77777777" w:rsidR="00D75B83" w:rsidRPr="004130E0" w:rsidRDefault="00D75B83" w:rsidP="00D75B83">
      <w:pPr>
        <w:spacing w:line="276" w:lineRule="auto"/>
        <w:jc w:val="both"/>
        <w:rPr>
          <w:rFonts w:ascii="Calibri" w:eastAsia="Calibri" w:hAnsi="Calibri" w:cs="Calibri"/>
        </w:rPr>
      </w:pPr>
    </w:p>
    <w:p w14:paraId="1622AA6E" w14:textId="77777777" w:rsidR="00D75B83" w:rsidRPr="00A34E8A" w:rsidRDefault="00D75B83" w:rsidP="00AC375F">
      <w:pPr>
        <w:numPr>
          <w:ilvl w:val="1"/>
          <w:numId w:val="45"/>
        </w:numPr>
        <w:spacing w:line="276" w:lineRule="auto"/>
        <w:ind w:left="360" w:firstLine="0"/>
        <w:jc w:val="both"/>
        <w:rPr>
          <w:rFonts w:ascii="Calibri" w:eastAsia="Calibri" w:hAnsi="Calibri" w:cs="Calibri"/>
          <w:i/>
        </w:rPr>
      </w:pPr>
      <w:r w:rsidRPr="00A34E8A">
        <w:rPr>
          <w:rFonts w:ascii="Calibri" w:eastAsia="Calibri" w:hAnsi="Calibri" w:cs="Calibri"/>
          <w:i/>
        </w:rPr>
        <w:t>Preuzimanje nadležnosti nad veterinarsko-medicinskim proizvodima</w:t>
      </w:r>
    </w:p>
    <w:p w14:paraId="4AF0EAB1" w14:textId="77777777" w:rsidR="00D75B83" w:rsidRDefault="00D75B83" w:rsidP="00D75B83">
      <w:pPr>
        <w:spacing w:line="276" w:lineRule="auto"/>
        <w:ind w:left="720" w:firstLine="394"/>
        <w:jc w:val="both"/>
        <w:rPr>
          <w:rFonts w:ascii="Calibri" w:eastAsia="Calibri" w:hAnsi="Calibri" w:cs="Calibri"/>
        </w:rPr>
      </w:pPr>
      <w:r>
        <w:rPr>
          <w:rFonts w:ascii="Calibri" w:eastAsia="Calibri" w:hAnsi="Calibri" w:cs="Calibri"/>
        </w:rPr>
        <w:t>Planirana realizacija u 2023</w:t>
      </w:r>
      <w:r w:rsidRPr="00CC4684">
        <w:rPr>
          <w:rFonts w:ascii="Calibri" w:eastAsia="Calibri" w:hAnsi="Calibri" w:cs="Calibri"/>
        </w:rPr>
        <w:t>. godini:</w:t>
      </w:r>
    </w:p>
    <w:p w14:paraId="17687300" w14:textId="77777777" w:rsidR="00D75B83" w:rsidRPr="00E07B27" w:rsidRDefault="00D75B83" w:rsidP="00D75B83">
      <w:pPr>
        <w:spacing w:line="276" w:lineRule="auto"/>
        <w:ind w:left="1114"/>
        <w:rPr>
          <w:rFonts w:ascii="Calibri" w:eastAsia="Calibri" w:hAnsi="Calibri" w:cs="Calibri"/>
        </w:rPr>
      </w:pPr>
      <w:r w:rsidRPr="009B413D">
        <w:rPr>
          <w:rFonts w:ascii="Calibri" w:eastAsia="Calibri" w:hAnsi="Calibri" w:cs="Calibri"/>
        </w:rPr>
        <w:t xml:space="preserve">• </w:t>
      </w:r>
      <w:r w:rsidRPr="00E07B27">
        <w:rPr>
          <w:rFonts w:ascii="Calibri" w:eastAsia="Calibri" w:hAnsi="Calibri" w:cs="Calibri"/>
        </w:rPr>
        <w:t>priprema i edukacija zaposlenika za sudjelovanje u postupcima odobravanja</w:t>
      </w:r>
    </w:p>
    <w:p w14:paraId="1D1093A7" w14:textId="77777777" w:rsidR="00D75B83" w:rsidRDefault="00D75B83" w:rsidP="00D75B83">
      <w:pPr>
        <w:spacing w:line="276" w:lineRule="auto"/>
        <w:ind w:left="1114"/>
        <w:rPr>
          <w:rFonts w:ascii="Calibri" w:eastAsia="Calibri" w:hAnsi="Calibri" w:cs="Calibri"/>
        </w:rPr>
      </w:pPr>
      <w:r w:rsidRPr="00E07B27">
        <w:rPr>
          <w:rFonts w:ascii="Calibri" w:eastAsia="Calibri" w:hAnsi="Calibri" w:cs="Calibri"/>
        </w:rPr>
        <w:t>veterinarsko-medicinskih proizvoda na razini europske unije</w:t>
      </w:r>
    </w:p>
    <w:p w14:paraId="3D21CBD1" w14:textId="77777777" w:rsidR="004134B3" w:rsidRDefault="00D75B83" w:rsidP="00D75B83">
      <w:pPr>
        <w:spacing w:line="276" w:lineRule="auto"/>
        <w:ind w:left="720" w:firstLine="394"/>
        <w:jc w:val="both"/>
        <w:rPr>
          <w:rFonts w:ascii="Calibri" w:eastAsia="Calibri" w:hAnsi="Calibri" w:cs="Calibri"/>
        </w:rPr>
      </w:pPr>
      <w:r w:rsidRPr="00050054">
        <w:rPr>
          <w:rFonts w:ascii="Calibri" w:eastAsia="Calibri" w:hAnsi="Calibri" w:cs="Calibri"/>
        </w:rPr>
        <w:t xml:space="preserve">Ocjena uspješnosti: </w:t>
      </w:r>
    </w:p>
    <w:p w14:paraId="1FFD408A" w14:textId="17B2B04A" w:rsidR="00D75B83" w:rsidRPr="00050054" w:rsidRDefault="00D75B83" w:rsidP="00D75B83">
      <w:pPr>
        <w:spacing w:line="276" w:lineRule="auto"/>
        <w:ind w:left="720" w:firstLine="394"/>
        <w:jc w:val="both"/>
        <w:rPr>
          <w:rFonts w:ascii="Calibri" w:eastAsia="Calibri" w:hAnsi="Calibri" w:cs="Calibri"/>
        </w:rPr>
      </w:pPr>
      <w:r w:rsidRPr="00050054">
        <w:rPr>
          <w:rFonts w:ascii="Calibri" w:eastAsia="Calibri" w:hAnsi="Calibri" w:cs="Calibri"/>
        </w:rPr>
        <w:t xml:space="preserve">Realizacija cilja u 2023. nije ispunjena. </w:t>
      </w:r>
    </w:p>
    <w:p w14:paraId="51A1C3ED" w14:textId="77777777" w:rsidR="00D75B83" w:rsidRDefault="00D75B83" w:rsidP="00B432FB">
      <w:pPr>
        <w:spacing w:line="276" w:lineRule="auto"/>
        <w:ind w:left="1114"/>
        <w:jc w:val="both"/>
        <w:rPr>
          <w:rFonts w:ascii="Calibri" w:eastAsia="Calibri" w:hAnsi="Calibri" w:cs="Calibri"/>
        </w:rPr>
      </w:pPr>
      <w:r w:rsidRPr="00050054">
        <w:rPr>
          <w:rFonts w:ascii="Calibri" w:eastAsia="Calibri" w:hAnsi="Calibri" w:cs="Calibri"/>
        </w:rPr>
        <w:t>Pisanje novog Zakona o veterinarskim lijekovima je u tijeku. Dogovoren je način i količina dokumentacije koju će preuzeti HALMED po izlasku novog Zakona o veterinarskim lijekovima. Dogovorene su prijelazne odredbe vezano uz prijelaz pojedinih nadležnosti na HALMED.</w:t>
      </w:r>
    </w:p>
    <w:p w14:paraId="2B6A0E49" w14:textId="77777777" w:rsidR="00D75B83" w:rsidRPr="00A34E8A" w:rsidRDefault="00D75B83" w:rsidP="00D75B83">
      <w:pPr>
        <w:pStyle w:val="Heading3"/>
        <w:rPr>
          <w:rFonts w:eastAsia="Calibri"/>
        </w:rPr>
      </w:pPr>
      <w:bookmarkStart w:id="379" w:name="_Toc134536524"/>
      <w:bookmarkStart w:id="380" w:name="_Toc165035563"/>
      <w:r>
        <w:rPr>
          <w:rFonts w:eastAsia="Calibri"/>
        </w:rPr>
        <w:t xml:space="preserve">Strateški cilj 2: </w:t>
      </w:r>
      <w:r w:rsidRPr="00A34E8A">
        <w:rPr>
          <w:rFonts w:eastAsia="Calibri"/>
        </w:rPr>
        <w:t>Doprinos europskoj regulatornoj mreži i operativna izvrsnost</w:t>
      </w:r>
      <w:bookmarkEnd w:id="379"/>
      <w:bookmarkEnd w:id="380"/>
      <w:r w:rsidRPr="00A34E8A">
        <w:rPr>
          <w:rFonts w:eastAsia="Calibri"/>
        </w:rPr>
        <w:t xml:space="preserve"> </w:t>
      </w:r>
    </w:p>
    <w:p w14:paraId="4A90520F" w14:textId="77777777" w:rsidR="00D75B83" w:rsidRDefault="00D75B83" w:rsidP="00D75B83">
      <w:pPr>
        <w:spacing w:line="276" w:lineRule="auto"/>
        <w:ind w:left="360"/>
        <w:jc w:val="both"/>
        <w:rPr>
          <w:rFonts w:ascii="Calibri" w:eastAsia="Calibri" w:hAnsi="Calibri" w:cs="Calibri"/>
          <w:i/>
        </w:rPr>
      </w:pPr>
      <w:r>
        <w:rPr>
          <w:rFonts w:ascii="Calibri" w:eastAsia="Calibri" w:hAnsi="Calibri" w:cs="Calibri"/>
          <w:i/>
        </w:rPr>
        <w:t xml:space="preserve">2.1. </w:t>
      </w:r>
      <w:r w:rsidRPr="00A34E8A">
        <w:rPr>
          <w:rFonts w:ascii="Calibri" w:eastAsia="Calibri" w:hAnsi="Calibri" w:cs="Calibri"/>
          <w:i/>
        </w:rPr>
        <w:t>Povećanje doprinosa odobravanju inovativnih lijekova u Europskoj uniji</w:t>
      </w:r>
    </w:p>
    <w:p w14:paraId="1DA8D594" w14:textId="77777777" w:rsidR="00D75B83" w:rsidRPr="004130E0" w:rsidRDefault="00D75B83" w:rsidP="00D75B83">
      <w:pPr>
        <w:spacing w:line="276" w:lineRule="auto"/>
        <w:ind w:left="720" w:firstLine="394"/>
        <w:jc w:val="both"/>
        <w:rPr>
          <w:rFonts w:ascii="Calibri" w:eastAsia="Calibri" w:hAnsi="Calibri" w:cs="Calibri"/>
        </w:rPr>
      </w:pPr>
      <w:r>
        <w:rPr>
          <w:rFonts w:ascii="Calibri" w:eastAsia="Calibri" w:hAnsi="Calibri" w:cs="Calibri"/>
        </w:rPr>
        <w:t>Planirana realizacija u 2023</w:t>
      </w:r>
      <w:r w:rsidRPr="00CC4684">
        <w:rPr>
          <w:rFonts w:ascii="Calibri" w:eastAsia="Calibri" w:hAnsi="Calibri" w:cs="Calibri"/>
        </w:rPr>
        <w:t>. godini:</w:t>
      </w:r>
    </w:p>
    <w:p w14:paraId="71165738" w14:textId="77777777" w:rsidR="00D75B83" w:rsidRPr="00E07B27" w:rsidRDefault="00D75B83" w:rsidP="00D75B83">
      <w:pPr>
        <w:spacing w:line="276" w:lineRule="auto"/>
        <w:ind w:left="1114"/>
        <w:jc w:val="both"/>
        <w:rPr>
          <w:rFonts w:ascii="Calibri" w:eastAsia="Calibri" w:hAnsi="Calibri" w:cs="Calibri"/>
        </w:rPr>
      </w:pPr>
      <w:r w:rsidRPr="009B413D">
        <w:rPr>
          <w:rFonts w:ascii="Calibri" w:eastAsia="Calibri" w:hAnsi="Calibri" w:cs="Calibri"/>
        </w:rPr>
        <w:t xml:space="preserve">• </w:t>
      </w:r>
      <w:r w:rsidRPr="00E07B27">
        <w:rPr>
          <w:rFonts w:ascii="Calibri" w:eastAsia="Calibri" w:hAnsi="Calibri" w:cs="Calibri"/>
        </w:rPr>
        <w:t>najmanje 6 započetih centraliziranih postupaka za inovativni lijek u ulozi izvjestitelja/</w:t>
      </w:r>
    </w:p>
    <w:p w14:paraId="011CF1FD" w14:textId="77777777" w:rsidR="00D75B83" w:rsidRPr="00E07B27" w:rsidRDefault="00D75B83" w:rsidP="00D75B83">
      <w:pPr>
        <w:spacing w:line="276" w:lineRule="auto"/>
        <w:ind w:left="1114"/>
        <w:jc w:val="both"/>
        <w:rPr>
          <w:rFonts w:ascii="Calibri" w:eastAsia="Calibri" w:hAnsi="Calibri" w:cs="Calibri"/>
        </w:rPr>
      </w:pPr>
      <w:r w:rsidRPr="00E07B27">
        <w:rPr>
          <w:rFonts w:ascii="Calibri" w:eastAsia="Calibri" w:hAnsi="Calibri" w:cs="Calibri"/>
        </w:rPr>
        <w:t>suizvjestitelja ili u ulozi ocjenitelja u multinacionalnom timu u kojem je druga država</w:t>
      </w:r>
    </w:p>
    <w:p w14:paraId="4E7C2717" w14:textId="77777777" w:rsidR="00D75B83" w:rsidRDefault="00D75B83" w:rsidP="00D75B83">
      <w:pPr>
        <w:spacing w:line="276" w:lineRule="auto"/>
        <w:ind w:left="1114"/>
        <w:jc w:val="both"/>
        <w:rPr>
          <w:rFonts w:ascii="Calibri" w:eastAsia="Calibri" w:hAnsi="Calibri" w:cs="Calibri"/>
        </w:rPr>
      </w:pPr>
      <w:r w:rsidRPr="00E07B27">
        <w:rPr>
          <w:rFonts w:ascii="Calibri" w:eastAsia="Calibri" w:hAnsi="Calibri" w:cs="Calibri"/>
        </w:rPr>
        <w:t>članica izvjestitelj ili suizvjestitelj</w:t>
      </w:r>
    </w:p>
    <w:p w14:paraId="5CDAEFB5" w14:textId="77777777" w:rsidR="002A4818" w:rsidRPr="002A4818" w:rsidRDefault="002A4818" w:rsidP="002A4818">
      <w:pPr>
        <w:pStyle w:val="Default"/>
        <w:spacing w:line="276" w:lineRule="auto"/>
        <w:ind w:left="408" w:firstLine="709"/>
        <w:jc w:val="both"/>
        <w:rPr>
          <w:rFonts w:ascii="Calibri" w:eastAsia="Calibri" w:hAnsi="Calibri" w:cs="Calibri"/>
          <w:sz w:val="22"/>
          <w:szCs w:val="22"/>
        </w:rPr>
      </w:pPr>
      <w:r w:rsidRPr="002A4818">
        <w:rPr>
          <w:rFonts w:ascii="Calibri" w:eastAsia="Calibri" w:hAnsi="Calibri" w:cs="Calibri"/>
          <w:sz w:val="22"/>
          <w:szCs w:val="22"/>
        </w:rPr>
        <w:lastRenderedPageBreak/>
        <w:t>Ocjena uspješnosti: Planirana realizacija cilja u 2023. godini je u potpunosti ispunjena.</w:t>
      </w:r>
    </w:p>
    <w:p w14:paraId="63EA6AD3" w14:textId="3BAEECFE" w:rsidR="00D75B83" w:rsidRPr="00112394" w:rsidRDefault="002A4818" w:rsidP="00050054">
      <w:pPr>
        <w:spacing w:line="276" w:lineRule="auto"/>
        <w:ind w:left="1134"/>
        <w:contextualSpacing/>
        <w:jc w:val="both"/>
      </w:pPr>
      <w:r w:rsidRPr="002A4818">
        <w:rPr>
          <w:rFonts w:ascii="Calibri" w:eastAsia="Calibri" w:hAnsi="Calibri" w:cs="Calibri"/>
        </w:rPr>
        <w:t>HALMED je u ulozi izvjestitelja/suizvjestitelja ili u ulozi ocjenitelja u multinacionalnom timu započeo 6 novih centraliziranih postupaka za inovativni lijek.</w:t>
      </w:r>
    </w:p>
    <w:p w14:paraId="3311038F" w14:textId="77777777" w:rsidR="00D75B83" w:rsidRPr="004130E0" w:rsidRDefault="00D75B83" w:rsidP="00D75B83">
      <w:pPr>
        <w:spacing w:line="276" w:lineRule="auto"/>
        <w:ind w:left="720"/>
        <w:jc w:val="both"/>
        <w:rPr>
          <w:rFonts w:ascii="Calibri" w:eastAsia="Calibri" w:hAnsi="Calibri" w:cs="Calibri"/>
        </w:rPr>
      </w:pPr>
    </w:p>
    <w:p w14:paraId="2EC255CC" w14:textId="77777777" w:rsidR="00D75B83" w:rsidRDefault="00D75B83" w:rsidP="00B432FB">
      <w:pPr>
        <w:spacing w:line="276" w:lineRule="auto"/>
        <w:ind w:left="360"/>
        <w:jc w:val="both"/>
        <w:rPr>
          <w:rFonts w:ascii="Calibri" w:eastAsia="Calibri" w:hAnsi="Calibri" w:cs="Calibri"/>
          <w:i/>
        </w:rPr>
      </w:pPr>
      <w:r>
        <w:rPr>
          <w:rFonts w:ascii="Calibri" w:eastAsia="Calibri" w:hAnsi="Calibri" w:cs="Calibri"/>
          <w:i/>
        </w:rPr>
        <w:t xml:space="preserve">2.2. </w:t>
      </w:r>
      <w:r w:rsidRPr="00A34E8A">
        <w:rPr>
          <w:rFonts w:ascii="Calibri" w:eastAsia="Calibri" w:hAnsi="Calibri" w:cs="Calibri"/>
          <w:i/>
        </w:rPr>
        <w:t>Povećanje doprinosa davanju znanstvenog savjeta u razvoju lijeka</w:t>
      </w:r>
    </w:p>
    <w:p w14:paraId="70624C92" w14:textId="77777777" w:rsidR="00D75B83" w:rsidRPr="004130E0" w:rsidRDefault="00D75B83" w:rsidP="00D75B83">
      <w:pPr>
        <w:spacing w:line="276" w:lineRule="auto"/>
        <w:ind w:left="1114"/>
        <w:jc w:val="both"/>
        <w:rPr>
          <w:rFonts w:ascii="Calibri" w:eastAsia="Calibri" w:hAnsi="Calibri" w:cs="Calibri"/>
        </w:rPr>
      </w:pPr>
      <w:r>
        <w:rPr>
          <w:rFonts w:ascii="Calibri" w:eastAsia="Calibri" w:hAnsi="Calibri" w:cs="Calibri"/>
        </w:rPr>
        <w:t>Planirana realizacija u 2023</w:t>
      </w:r>
      <w:r w:rsidRPr="00CC4684">
        <w:rPr>
          <w:rFonts w:ascii="Calibri" w:eastAsia="Calibri" w:hAnsi="Calibri" w:cs="Calibri"/>
        </w:rPr>
        <w:t>. godini:</w:t>
      </w:r>
    </w:p>
    <w:p w14:paraId="0620789A" w14:textId="34C752D5" w:rsidR="00D75B83" w:rsidRDefault="00D75B83" w:rsidP="00D75B83">
      <w:pPr>
        <w:spacing w:line="276" w:lineRule="auto"/>
        <w:ind w:left="1114"/>
        <w:jc w:val="both"/>
        <w:rPr>
          <w:rFonts w:ascii="Calibri" w:eastAsia="Calibri" w:hAnsi="Calibri" w:cs="Calibri"/>
        </w:rPr>
      </w:pPr>
      <w:r w:rsidRPr="002D6A14">
        <w:rPr>
          <w:rFonts w:ascii="Calibri" w:eastAsia="Calibri" w:hAnsi="Calibri" w:cs="Calibri"/>
        </w:rPr>
        <w:t xml:space="preserve">• najmanje </w:t>
      </w:r>
      <w:r>
        <w:rPr>
          <w:rFonts w:ascii="Calibri" w:eastAsia="Calibri" w:hAnsi="Calibri" w:cs="Calibri"/>
        </w:rPr>
        <w:t>43</w:t>
      </w:r>
      <w:r w:rsidRPr="002D6A14">
        <w:rPr>
          <w:rFonts w:ascii="Calibri" w:eastAsia="Calibri" w:hAnsi="Calibri" w:cs="Calibri"/>
        </w:rPr>
        <w:t xml:space="preserve"> započetih europskih postupaka znanstvenog savjeta godišnje u ulozi</w:t>
      </w:r>
      <w:r w:rsidRPr="002D6A14">
        <w:rPr>
          <w:rFonts w:ascii="Calibri" w:eastAsia="Calibri" w:hAnsi="Calibri" w:cs="Calibri"/>
        </w:rPr>
        <w:br/>
        <w:t>samostalnog koordinatora ili kao dio multinacionalnog tima u okviru SAWP-a</w:t>
      </w:r>
      <w:r w:rsidRPr="002D6A14">
        <w:rPr>
          <w:rFonts w:ascii="Calibri" w:eastAsia="Calibri" w:hAnsi="Calibri" w:cs="Calibri"/>
        </w:rPr>
        <w:br/>
        <w:t xml:space="preserve">• najmanje </w:t>
      </w:r>
      <w:r w:rsidRPr="00112394">
        <w:rPr>
          <w:rFonts w:ascii="Calibri" w:eastAsia="Calibri" w:hAnsi="Calibri" w:cs="Calibri"/>
        </w:rPr>
        <w:t>11 započetih europskih postupaka znanstvenog savjeta godišnje u ulozi</w:t>
      </w:r>
      <w:r w:rsidRPr="00112394">
        <w:rPr>
          <w:rFonts w:ascii="Calibri" w:eastAsia="Calibri" w:hAnsi="Calibri" w:cs="Calibri"/>
        </w:rPr>
        <w:br/>
        <w:t>recenzenta</w:t>
      </w:r>
    </w:p>
    <w:p w14:paraId="5DC18F84" w14:textId="77777777" w:rsidR="000D1F63" w:rsidRPr="00112394" w:rsidRDefault="000D1F63" w:rsidP="00D75B83">
      <w:pPr>
        <w:spacing w:line="276" w:lineRule="auto"/>
        <w:ind w:left="1114"/>
        <w:jc w:val="both"/>
        <w:rPr>
          <w:rFonts w:ascii="Calibri" w:eastAsia="Calibri" w:hAnsi="Calibri" w:cs="Calibri"/>
        </w:rPr>
      </w:pPr>
    </w:p>
    <w:p w14:paraId="7AD65090" w14:textId="77777777" w:rsidR="002A4818" w:rsidRPr="002A4818" w:rsidRDefault="00D75B83" w:rsidP="000D1F63">
      <w:pPr>
        <w:pStyle w:val="Default"/>
        <w:spacing w:before="0"/>
        <w:ind w:left="1134"/>
        <w:jc w:val="both"/>
        <w:rPr>
          <w:rFonts w:asciiTheme="minorHAnsi" w:hAnsiTheme="minorHAnsi"/>
          <w:bCs/>
          <w:color w:val="auto"/>
          <w:sz w:val="22"/>
          <w:szCs w:val="22"/>
        </w:rPr>
      </w:pPr>
      <w:r w:rsidRPr="00050054">
        <w:rPr>
          <w:rFonts w:ascii="Calibri" w:eastAsia="Calibri" w:hAnsi="Calibri" w:cs="Calibri"/>
          <w:sz w:val="22"/>
          <w:szCs w:val="22"/>
        </w:rPr>
        <w:t xml:space="preserve">Ocjena uspješnosti: </w:t>
      </w:r>
    </w:p>
    <w:p w14:paraId="3FC4EE32" w14:textId="77777777" w:rsidR="002A4818" w:rsidRPr="002A4818" w:rsidRDefault="002A4818" w:rsidP="000D1F63">
      <w:pPr>
        <w:pStyle w:val="Default"/>
        <w:spacing w:before="0"/>
        <w:ind w:left="1134"/>
        <w:jc w:val="both"/>
        <w:rPr>
          <w:rFonts w:asciiTheme="minorHAnsi" w:hAnsiTheme="minorHAnsi"/>
          <w:bCs/>
          <w:color w:val="auto"/>
          <w:sz w:val="22"/>
          <w:szCs w:val="22"/>
        </w:rPr>
      </w:pPr>
      <w:r w:rsidRPr="002A4818">
        <w:rPr>
          <w:rFonts w:asciiTheme="minorHAnsi" w:hAnsiTheme="minorHAnsi"/>
          <w:bCs/>
          <w:color w:val="auto"/>
          <w:sz w:val="22"/>
          <w:szCs w:val="22"/>
        </w:rPr>
        <w:t>Planirana realizacija cilja u 2023. godini je skoro u potpunosti ispunjena.</w:t>
      </w:r>
    </w:p>
    <w:p w14:paraId="00F2BA00" w14:textId="77777777" w:rsidR="002A4818" w:rsidRPr="002A4818" w:rsidRDefault="002A4818" w:rsidP="000D1F63">
      <w:pPr>
        <w:pStyle w:val="Default"/>
        <w:spacing w:before="0"/>
        <w:ind w:left="1134"/>
        <w:jc w:val="both"/>
        <w:rPr>
          <w:rFonts w:asciiTheme="minorHAnsi" w:hAnsiTheme="minorHAnsi"/>
          <w:bCs/>
          <w:color w:val="auto"/>
          <w:sz w:val="22"/>
          <w:szCs w:val="22"/>
        </w:rPr>
      </w:pPr>
      <w:r w:rsidRPr="002A4818">
        <w:rPr>
          <w:rFonts w:asciiTheme="minorHAnsi" w:hAnsiTheme="minorHAnsi"/>
          <w:bCs/>
          <w:color w:val="auto"/>
          <w:sz w:val="22"/>
          <w:szCs w:val="22"/>
        </w:rPr>
        <w:t>U skladu s raspoloživim resursima te manjim brojem zahtjeva za koji se mogao natjecati pri Europskoj agenciji za lijekove, HALMED je u ulozi samostalnog koordinatora ili kao dio multinacionalnog tima u okviru SAWP-a započeo 32 europska postupka znanstvenog savjeta i 8 postupaka znanstvenog savjeta u ulozi recenzenta.</w:t>
      </w:r>
    </w:p>
    <w:p w14:paraId="1A8D1B22" w14:textId="77777777" w:rsidR="00D75B83" w:rsidRPr="004130E0" w:rsidRDefault="00D75B83" w:rsidP="00D75B83">
      <w:pPr>
        <w:spacing w:line="276" w:lineRule="auto"/>
        <w:jc w:val="both"/>
        <w:rPr>
          <w:rFonts w:ascii="Calibri" w:eastAsia="Calibri" w:hAnsi="Calibri" w:cs="Calibri"/>
        </w:rPr>
      </w:pPr>
    </w:p>
    <w:p w14:paraId="3256A7A4" w14:textId="77777777" w:rsidR="00D75B83" w:rsidRDefault="00D75B83" w:rsidP="00B432FB">
      <w:pPr>
        <w:spacing w:line="276" w:lineRule="auto"/>
        <w:ind w:left="360"/>
        <w:jc w:val="both"/>
        <w:rPr>
          <w:rFonts w:ascii="Calibri" w:eastAsia="Calibri" w:hAnsi="Calibri" w:cs="Calibri"/>
          <w:i/>
        </w:rPr>
      </w:pPr>
      <w:r>
        <w:rPr>
          <w:rFonts w:ascii="Calibri" w:eastAsia="Calibri" w:hAnsi="Calibri" w:cs="Calibri"/>
          <w:i/>
        </w:rPr>
        <w:t xml:space="preserve">2.3. </w:t>
      </w:r>
      <w:r w:rsidRPr="00A34E8A">
        <w:rPr>
          <w:rFonts w:ascii="Calibri" w:eastAsia="Calibri" w:hAnsi="Calibri" w:cs="Calibri"/>
          <w:i/>
        </w:rPr>
        <w:t>Razvoj profesionalne ekspertize iz područja novih tehnologija</w:t>
      </w:r>
    </w:p>
    <w:p w14:paraId="416A1293" w14:textId="77777777" w:rsidR="00D75B83" w:rsidRPr="004130E0" w:rsidRDefault="00D75B83" w:rsidP="00B1566C">
      <w:pPr>
        <w:spacing w:line="276" w:lineRule="auto"/>
        <w:ind w:left="1111"/>
        <w:jc w:val="both"/>
        <w:rPr>
          <w:rFonts w:ascii="Calibri" w:eastAsia="Calibri" w:hAnsi="Calibri" w:cs="Calibri"/>
        </w:rPr>
      </w:pPr>
      <w:r>
        <w:rPr>
          <w:rFonts w:ascii="Calibri" w:eastAsia="Calibri" w:hAnsi="Calibri" w:cs="Calibri"/>
        </w:rPr>
        <w:t>Planirana realizacija u 2023</w:t>
      </w:r>
      <w:r w:rsidRPr="00CC4684">
        <w:rPr>
          <w:rFonts w:ascii="Calibri" w:eastAsia="Calibri" w:hAnsi="Calibri" w:cs="Calibri"/>
        </w:rPr>
        <w:t>. godini:</w:t>
      </w:r>
    </w:p>
    <w:p w14:paraId="1D575CA2" w14:textId="7D25B2DC" w:rsidR="00D75B83" w:rsidRDefault="00D75B83" w:rsidP="00AC375F">
      <w:pPr>
        <w:pStyle w:val="ListParagraph"/>
        <w:numPr>
          <w:ilvl w:val="0"/>
          <w:numId w:val="48"/>
        </w:numPr>
        <w:spacing w:before="0" w:after="0"/>
        <w:ind w:left="1560" w:hanging="357"/>
        <w:jc w:val="both"/>
        <w:rPr>
          <w:rFonts w:ascii="Calibri" w:eastAsia="Calibri" w:hAnsi="Calibri" w:cs="Calibri"/>
          <w:sz w:val="22"/>
        </w:rPr>
      </w:pPr>
      <w:r w:rsidRPr="00B1566C">
        <w:rPr>
          <w:rFonts w:ascii="Calibri" w:eastAsia="Calibri" w:hAnsi="Calibri" w:cs="Calibri"/>
          <w:sz w:val="22"/>
        </w:rPr>
        <w:t>sudjelovanje u najmanje jednom nacionalnom projektu iz područja digitalnog zdravlja</w:t>
      </w:r>
    </w:p>
    <w:p w14:paraId="698E419D" w14:textId="064C60CC" w:rsidR="0071707D" w:rsidRPr="00B1566C" w:rsidRDefault="0071707D" w:rsidP="00AC375F">
      <w:pPr>
        <w:pStyle w:val="ListParagraph"/>
        <w:numPr>
          <w:ilvl w:val="0"/>
          <w:numId w:val="48"/>
        </w:numPr>
        <w:ind w:left="1560"/>
        <w:jc w:val="both"/>
        <w:rPr>
          <w:rFonts w:ascii="Calibri" w:eastAsia="Calibri" w:hAnsi="Calibri" w:cs="Calibri"/>
          <w:sz w:val="22"/>
        </w:rPr>
      </w:pPr>
      <w:r>
        <w:rPr>
          <w:rFonts w:ascii="Calibri" w:eastAsia="Calibri" w:hAnsi="Calibri" w:cs="Calibri"/>
          <w:sz w:val="22"/>
        </w:rPr>
        <w:t xml:space="preserve">educirati </w:t>
      </w:r>
      <w:r w:rsidRPr="0071707D">
        <w:rPr>
          <w:rFonts w:ascii="Calibri" w:eastAsia="Calibri" w:hAnsi="Calibri" w:cs="Calibri"/>
          <w:sz w:val="22"/>
        </w:rPr>
        <w:t>najmanje tri djelatnika iz područja korištenja umjetne inteligencije i strojnog učenja u obradi farmakovigilancijskih podataka</w:t>
      </w:r>
    </w:p>
    <w:p w14:paraId="7FCAEC51" w14:textId="77777777" w:rsidR="000D1F63" w:rsidRDefault="00D75B83" w:rsidP="00D75B83">
      <w:pPr>
        <w:spacing w:line="276" w:lineRule="auto"/>
        <w:ind w:left="1114"/>
        <w:jc w:val="both"/>
      </w:pPr>
      <w:r w:rsidRPr="008516AB">
        <w:rPr>
          <w:rFonts w:ascii="Calibri" w:eastAsia="Calibri" w:hAnsi="Calibri" w:cs="Calibri"/>
        </w:rPr>
        <w:t>Ocjena uspješnosti:</w:t>
      </w:r>
      <w:r w:rsidR="0071707D" w:rsidRPr="008516AB">
        <w:t xml:space="preserve"> </w:t>
      </w:r>
    </w:p>
    <w:p w14:paraId="0B14C15D" w14:textId="2FF5B26E" w:rsidR="00D75B83" w:rsidRPr="008516AB" w:rsidRDefault="0071707D" w:rsidP="00D75B83">
      <w:pPr>
        <w:spacing w:line="276" w:lineRule="auto"/>
        <w:ind w:left="1114"/>
        <w:jc w:val="both"/>
        <w:rPr>
          <w:rFonts w:ascii="Calibri" w:eastAsia="Calibri" w:hAnsi="Calibri" w:cs="Calibri"/>
        </w:rPr>
      </w:pPr>
      <w:r w:rsidRPr="00050054">
        <w:rPr>
          <w:rFonts w:ascii="Calibri" w:eastAsia="Calibri" w:hAnsi="Calibri" w:cs="Calibri"/>
        </w:rPr>
        <w:t>Planirana realizacija cilja u 2023. godini nije u potpunosti ispunjena.</w:t>
      </w:r>
    </w:p>
    <w:p w14:paraId="64045A99" w14:textId="621C3F85" w:rsidR="0071707D" w:rsidRPr="00050054" w:rsidRDefault="00D75B83" w:rsidP="00B432FB">
      <w:pPr>
        <w:spacing w:line="276" w:lineRule="auto"/>
        <w:ind w:left="1114"/>
        <w:jc w:val="both"/>
      </w:pPr>
      <w:r w:rsidRPr="00050054">
        <w:t xml:space="preserve">HALMED </w:t>
      </w:r>
      <w:r w:rsidR="0071707D" w:rsidRPr="00050054">
        <w:t xml:space="preserve">je sudjelovao </w:t>
      </w:r>
      <w:r w:rsidRPr="00050054">
        <w:t>u projektu „e-Lijekovi – Integrirani informatički sustav za upravljanje lijekovima“ kao partner HZZO-u uz Ministarstvo zdravstva RH. Svrha projekta je ostvariti integrirano upravljanje podacima o lijekovima na nacionalnoj razini kako bi se omogućila jednostavna i sigurna razmjena informacija o lijekovima među raznim dionicima zdravstvenog sustava, racionalizacija resursa, unaprijedila sigurnost primjene lijekova i kako bi se doprinijelo daljnjem unapređenju čitavog zdravstvenog sustava.</w:t>
      </w:r>
    </w:p>
    <w:p w14:paraId="272AD6F7" w14:textId="02F37CEB" w:rsidR="0071707D" w:rsidRPr="0071707D" w:rsidRDefault="0071707D" w:rsidP="00B432FB">
      <w:pPr>
        <w:spacing w:line="276" w:lineRule="auto"/>
        <w:ind w:left="1114"/>
        <w:jc w:val="both"/>
      </w:pPr>
      <w:r w:rsidRPr="00050054">
        <w:t>Provedena je edukacija jednog djelatnika iz područja korištenja umjetne inteligencije i strojnog učenja u obradi farmakovigilancijskih podataka. Provođenje edukacija ostalih djelatnika planira se tijekom 2024. godine.</w:t>
      </w:r>
    </w:p>
    <w:p w14:paraId="6EE6832E" w14:textId="77777777" w:rsidR="00D75B83" w:rsidRPr="004130E0" w:rsidRDefault="00D75B83" w:rsidP="00D75B83">
      <w:pPr>
        <w:spacing w:line="276" w:lineRule="auto"/>
        <w:ind w:left="708"/>
        <w:jc w:val="both"/>
        <w:rPr>
          <w:rFonts w:ascii="Calibri" w:eastAsia="Calibri" w:hAnsi="Calibri" w:cs="Calibri"/>
        </w:rPr>
      </w:pPr>
    </w:p>
    <w:p w14:paraId="1C43637D" w14:textId="77777777" w:rsidR="00D75B83" w:rsidRDefault="00D75B83" w:rsidP="00B432FB">
      <w:pPr>
        <w:spacing w:line="276" w:lineRule="auto"/>
        <w:ind w:left="360"/>
        <w:jc w:val="both"/>
        <w:rPr>
          <w:rFonts w:ascii="Calibri" w:eastAsia="Calibri" w:hAnsi="Calibri" w:cs="Calibri"/>
          <w:i/>
        </w:rPr>
      </w:pPr>
      <w:r>
        <w:rPr>
          <w:rFonts w:ascii="Calibri" w:eastAsia="Calibri" w:hAnsi="Calibri" w:cs="Calibri"/>
          <w:i/>
        </w:rPr>
        <w:t xml:space="preserve">2.4. </w:t>
      </w:r>
      <w:r w:rsidRPr="00A34E8A">
        <w:rPr>
          <w:rFonts w:ascii="Calibri" w:eastAsia="Calibri" w:hAnsi="Calibri" w:cs="Calibri"/>
          <w:i/>
        </w:rPr>
        <w:t>Povećanje doprinosa sudjelovanju u europskim postupcima i projektima iz područja farmakovigilancije</w:t>
      </w:r>
    </w:p>
    <w:p w14:paraId="604C7BEA" w14:textId="77777777" w:rsidR="00D75B83" w:rsidRPr="004130E0" w:rsidRDefault="00D75B83" w:rsidP="00D75B83">
      <w:pPr>
        <w:spacing w:line="276" w:lineRule="auto"/>
        <w:ind w:left="1114"/>
        <w:jc w:val="both"/>
        <w:rPr>
          <w:rFonts w:ascii="Calibri" w:eastAsia="Calibri" w:hAnsi="Calibri" w:cs="Calibri"/>
        </w:rPr>
      </w:pPr>
      <w:r>
        <w:rPr>
          <w:rFonts w:ascii="Calibri" w:eastAsia="Calibri" w:hAnsi="Calibri" w:cs="Calibri"/>
        </w:rPr>
        <w:t>Planirana realizacija u 2023</w:t>
      </w:r>
      <w:r w:rsidRPr="00CC4684">
        <w:rPr>
          <w:rFonts w:ascii="Calibri" w:eastAsia="Calibri" w:hAnsi="Calibri" w:cs="Calibri"/>
        </w:rPr>
        <w:t>. godini:</w:t>
      </w:r>
    </w:p>
    <w:p w14:paraId="193191D4" w14:textId="18AEC512" w:rsidR="00AB4C5B" w:rsidRPr="00382D01" w:rsidRDefault="00D75B83" w:rsidP="00AC375F">
      <w:pPr>
        <w:pStyle w:val="ListParagraph"/>
        <w:numPr>
          <w:ilvl w:val="0"/>
          <w:numId w:val="49"/>
        </w:numPr>
        <w:spacing w:before="0" w:after="0"/>
        <w:ind w:left="1831" w:hanging="357"/>
        <w:jc w:val="both"/>
        <w:rPr>
          <w:rFonts w:ascii="Calibri" w:eastAsia="Calibri" w:hAnsi="Calibri" w:cs="Calibri"/>
          <w:sz w:val="22"/>
        </w:rPr>
      </w:pPr>
      <w:r w:rsidRPr="00382D01">
        <w:rPr>
          <w:rFonts w:ascii="Calibri" w:eastAsia="Calibri" w:hAnsi="Calibri" w:cs="Calibri"/>
          <w:sz w:val="22"/>
        </w:rPr>
        <w:t>najmanje jedan započeti arbitražni postupak u ulozi izvjestitelja/suizvjestitelja</w:t>
      </w:r>
    </w:p>
    <w:p w14:paraId="7D0A9D24" w14:textId="6F6F6AD3" w:rsidR="00AB4C5B" w:rsidRPr="00382D01" w:rsidRDefault="00D75B83" w:rsidP="00AC375F">
      <w:pPr>
        <w:pStyle w:val="ListParagraph"/>
        <w:numPr>
          <w:ilvl w:val="0"/>
          <w:numId w:val="49"/>
        </w:numPr>
        <w:jc w:val="both"/>
        <w:rPr>
          <w:rFonts w:ascii="Calibri" w:eastAsia="Calibri" w:hAnsi="Calibri" w:cs="Calibri"/>
          <w:sz w:val="22"/>
        </w:rPr>
      </w:pPr>
      <w:r w:rsidRPr="00382D01">
        <w:rPr>
          <w:rFonts w:ascii="Calibri" w:eastAsia="Calibri" w:hAnsi="Calibri" w:cs="Calibri"/>
          <w:sz w:val="22"/>
        </w:rPr>
        <w:t>najmanje dva započeta centralizirana postupka davanja odobrenja u ulozi izvjestitelja</w:t>
      </w:r>
      <w:r w:rsidR="00AB4C5B" w:rsidRPr="00382D01">
        <w:rPr>
          <w:rFonts w:ascii="Calibri" w:eastAsia="Calibri" w:hAnsi="Calibri" w:cs="Calibri"/>
          <w:sz w:val="22"/>
        </w:rPr>
        <w:t xml:space="preserve"> </w:t>
      </w:r>
      <w:r w:rsidRPr="00382D01">
        <w:rPr>
          <w:rFonts w:ascii="Calibri" w:eastAsia="Calibri" w:hAnsi="Calibri" w:cs="Calibri"/>
          <w:sz w:val="22"/>
        </w:rPr>
        <w:t>PRAC-a</w:t>
      </w:r>
    </w:p>
    <w:p w14:paraId="713AA11D" w14:textId="35907F0E" w:rsidR="00D75B83" w:rsidRPr="00382D01" w:rsidRDefault="00D75B83" w:rsidP="00AC375F">
      <w:pPr>
        <w:pStyle w:val="ListParagraph"/>
        <w:numPr>
          <w:ilvl w:val="0"/>
          <w:numId w:val="49"/>
        </w:numPr>
        <w:jc w:val="both"/>
        <w:rPr>
          <w:rFonts w:ascii="Calibri" w:eastAsia="Calibri" w:hAnsi="Calibri" w:cs="Calibri"/>
          <w:sz w:val="22"/>
        </w:rPr>
      </w:pPr>
      <w:r w:rsidRPr="00382D01">
        <w:rPr>
          <w:rFonts w:ascii="Calibri" w:eastAsia="Calibri" w:hAnsi="Calibri" w:cs="Calibri"/>
          <w:sz w:val="22"/>
        </w:rPr>
        <w:t>HALMED je zadužen za najmanje 36 PSUSA postupaka</w:t>
      </w:r>
    </w:p>
    <w:p w14:paraId="558FCC52" w14:textId="77777777" w:rsidR="000D1F63" w:rsidRDefault="00D75B83" w:rsidP="00D75B83">
      <w:pPr>
        <w:spacing w:line="276" w:lineRule="auto"/>
        <w:ind w:left="1114"/>
        <w:jc w:val="both"/>
        <w:rPr>
          <w:rFonts w:ascii="Calibri" w:eastAsia="Calibri" w:hAnsi="Calibri" w:cs="Calibri"/>
        </w:rPr>
      </w:pPr>
      <w:r w:rsidRPr="00CC4684">
        <w:rPr>
          <w:rFonts w:ascii="Calibri" w:eastAsia="Calibri" w:hAnsi="Calibri" w:cs="Calibri"/>
        </w:rPr>
        <w:t>Ocjena uspješnosti:</w:t>
      </w:r>
      <w:r w:rsidR="00AB4C5B">
        <w:rPr>
          <w:rFonts w:ascii="Calibri" w:eastAsia="Calibri" w:hAnsi="Calibri" w:cs="Calibri"/>
        </w:rPr>
        <w:t xml:space="preserve"> </w:t>
      </w:r>
    </w:p>
    <w:p w14:paraId="4F01ACB9" w14:textId="4088A787" w:rsidR="00D75B83" w:rsidRPr="004130E0" w:rsidRDefault="00AB4C5B" w:rsidP="00D75B83">
      <w:pPr>
        <w:spacing w:line="276" w:lineRule="auto"/>
        <w:ind w:left="1114"/>
        <w:jc w:val="both"/>
        <w:rPr>
          <w:rFonts w:ascii="Calibri" w:eastAsia="Calibri" w:hAnsi="Calibri" w:cs="Calibri"/>
        </w:rPr>
      </w:pPr>
      <w:r w:rsidRPr="00050054">
        <w:rPr>
          <w:rFonts w:ascii="Calibri" w:eastAsia="Calibri" w:hAnsi="Calibri" w:cs="Calibri"/>
        </w:rPr>
        <w:lastRenderedPageBreak/>
        <w:t>Planirana realizacija cilja u 2023. godini je u potpunosti ispunjena.</w:t>
      </w:r>
    </w:p>
    <w:p w14:paraId="0E4C0875" w14:textId="79F5CB04" w:rsidR="00D75B83" w:rsidRPr="004130E0" w:rsidRDefault="00D75B83" w:rsidP="00B432FB">
      <w:pPr>
        <w:spacing w:line="276" w:lineRule="auto"/>
        <w:ind w:left="1114"/>
        <w:jc w:val="both"/>
        <w:rPr>
          <w:rFonts w:ascii="Calibri" w:eastAsia="Calibri" w:hAnsi="Calibri" w:cs="Calibri"/>
        </w:rPr>
      </w:pPr>
      <w:r w:rsidRPr="00694F43">
        <w:rPr>
          <w:rFonts w:ascii="Calibri" w:eastAsia="Calibri" w:hAnsi="Calibri" w:cs="Calibri"/>
        </w:rPr>
        <w:t>HALMED je imenovan suizvjestiteljem u dva arbitražna postupka, sudjelovao je u dva centralizirana postupka davanja odobrenja u ulozi izvjestitelja</w:t>
      </w:r>
      <w:r w:rsidR="00AB4C5B" w:rsidRPr="00694F43">
        <w:rPr>
          <w:rFonts w:ascii="Calibri" w:eastAsia="Calibri" w:hAnsi="Calibri" w:cs="Calibri"/>
        </w:rPr>
        <w:t xml:space="preserve"> </w:t>
      </w:r>
      <w:r w:rsidRPr="00694F43">
        <w:rPr>
          <w:rFonts w:ascii="Calibri" w:eastAsia="Calibri" w:hAnsi="Calibri" w:cs="Calibri"/>
        </w:rPr>
        <w:t>PRAC-a, te preuzeo ulogu koordinatora projekta SAFE-CT unutar EU4Health programa Europske komisije, a koji se odnosi na uspostavljanje postupka ocjene sigurnosti u kliničkim ispitivanjima</w:t>
      </w:r>
      <w:r w:rsidR="00AB4C5B" w:rsidRPr="00694F43">
        <w:rPr>
          <w:rFonts w:ascii="Calibri" w:eastAsia="Calibri" w:hAnsi="Calibri" w:cs="Calibri"/>
        </w:rPr>
        <w:t>.</w:t>
      </w:r>
      <w:r w:rsidRPr="00694F43">
        <w:rPr>
          <w:rFonts w:ascii="Calibri" w:eastAsia="Calibri" w:hAnsi="Calibri" w:cs="Calibri"/>
        </w:rPr>
        <w:t xml:space="preserve"> Također, HALMED je bio zadužen za 43 djelatne tvari za ocjenu PSUR-a u PSUSA postupcima.</w:t>
      </w:r>
    </w:p>
    <w:p w14:paraId="4467D2EB" w14:textId="77777777" w:rsidR="00D75B83" w:rsidRPr="004130E0" w:rsidRDefault="00D75B83" w:rsidP="00D75B83">
      <w:pPr>
        <w:spacing w:line="276" w:lineRule="auto"/>
        <w:jc w:val="both"/>
        <w:rPr>
          <w:rFonts w:ascii="Calibri" w:eastAsia="Calibri" w:hAnsi="Calibri" w:cs="Calibri"/>
        </w:rPr>
      </w:pPr>
    </w:p>
    <w:p w14:paraId="5E1354FD" w14:textId="77777777" w:rsidR="00D75B83" w:rsidRDefault="00D75B83" w:rsidP="00B432FB">
      <w:pPr>
        <w:spacing w:line="276" w:lineRule="auto"/>
        <w:ind w:left="360"/>
        <w:jc w:val="both"/>
        <w:rPr>
          <w:rFonts w:ascii="Calibri" w:eastAsia="Calibri" w:hAnsi="Calibri" w:cs="Calibri"/>
          <w:i/>
        </w:rPr>
      </w:pPr>
      <w:r>
        <w:rPr>
          <w:rFonts w:ascii="Calibri" w:eastAsia="Calibri" w:hAnsi="Calibri" w:cs="Calibri"/>
          <w:i/>
        </w:rPr>
        <w:t xml:space="preserve">2.5. </w:t>
      </w:r>
      <w:r w:rsidRPr="00A34E8A">
        <w:rPr>
          <w:rFonts w:ascii="Calibri" w:eastAsia="Calibri" w:hAnsi="Calibri" w:cs="Calibri"/>
          <w:i/>
        </w:rPr>
        <w:t>Jačanje znanstvenih i regulatornih kapaciteta i sposobnosti u svrhu veće podrške europskoj mreži agencija za lijekove</w:t>
      </w:r>
    </w:p>
    <w:p w14:paraId="26B06306" w14:textId="77777777" w:rsidR="00D75B83" w:rsidRPr="004130E0" w:rsidRDefault="00D75B83" w:rsidP="00D75B83">
      <w:pPr>
        <w:spacing w:line="276" w:lineRule="auto"/>
        <w:ind w:left="1114"/>
        <w:jc w:val="both"/>
        <w:rPr>
          <w:rFonts w:ascii="Calibri" w:eastAsia="Calibri" w:hAnsi="Calibri" w:cs="Calibri"/>
        </w:rPr>
      </w:pPr>
      <w:r>
        <w:rPr>
          <w:rFonts w:ascii="Calibri" w:eastAsia="Calibri" w:hAnsi="Calibri" w:cs="Calibri"/>
        </w:rPr>
        <w:t>Planirana realizacija u 2023</w:t>
      </w:r>
      <w:r w:rsidRPr="00CC4684">
        <w:rPr>
          <w:rFonts w:ascii="Calibri" w:eastAsia="Calibri" w:hAnsi="Calibri" w:cs="Calibri"/>
        </w:rPr>
        <w:t>. godini:</w:t>
      </w:r>
    </w:p>
    <w:p w14:paraId="57D3B359" w14:textId="3C0D204C" w:rsidR="00D75B83" w:rsidRPr="00C037B0" w:rsidRDefault="00D75B83" w:rsidP="00AC375F">
      <w:pPr>
        <w:pStyle w:val="ListParagraph"/>
        <w:numPr>
          <w:ilvl w:val="1"/>
          <w:numId w:val="50"/>
        </w:numPr>
        <w:spacing w:before="0" w:after="0"/>
        <w:ind w:left="1434" w:hanging="357"/>
        <w:rPr>
          <w:rFonts w:ascii="Calibri" w:eastAsia="Calibri" w:hAnsi="Calibri" w:cs="Calibri"/>
          <w:sz w:val="22"/>
        </w:rPr>
      </w:pPr>
      <w:r w:rsidRPr="00C037B0">
        <w:rPr>
          <w:rFonts w:ascii="Calibri" w:eastAsia="Calibri" w:hAnsi="Calibri" w:cs="Calibri"/>
          <w:sz w:val="22"/>
        </w:rPr>
        <w:t>udio zaposlenika koji su educirani za aktivno sudjelovanje u centraliziranim postupcima</w:t>
      </w:r>
      <w:r w:rsidR="0071397F">
        <w:rPr>
          <w:rFonts w:ascii="Calibri" w:eastAsia="Calibri" w:hAnsi="Calibri" w:cs="Calibri"/>
          <w:sz w:val="22"/>
        </w:rPr>
        <w:t xml:space="preserve"> </w:t>
      </w:r>
      <w:r w:rsidRPr="00C037B0">
        <w:rPr>
          <w:rFonts w:ascii="Calibri" w:eastAsia="Calibri" w:hAnsi="Calibri" w:cs="Calibri"/>
          <w:sz w:val="22"/>
        </w:rPr>
        <w:t>za lijekove</w:t>
      </w:r>
    </w:p>
    <w:p w14:paraId="035E2DE0" w14:textId="791AC197" w:rsidR="0071397F" w:rsidRDefault="00D75B83" w:rsidP="00AC375F">
      <w:pPr>
        <w:pStyle w:val="ListParagraph"/>
        <w:numPr>
          <w:ilvl w:val="2"/>
          <w:numId w:val="51"/>
        </w:numPr>
        <w:rPr>
          <w:rFonts w:ascii="Calibri" w:eastAsia="Calibri" w:hAnsi="Calibri" w:cs="Calibri"/>
          <w:sz w:val="22"/>
        </w:rPr>
      </w:pPr>
      <w:r w:rsidRPr="00C037B0">
        <w:rPr>
          <w:rFonts w:ascii="Calibri" w:eastAsia="Calibri" w:hAnsi="Calibri" w:cs="Calibri"/>
          <w:sz w:val="22"/>
        </w:rPr>
        <w:t>Odsjek za ocjenu kakvoće lijekova: najmanje 50%</w:t>
      </w:r>
    </w:p>
    <w:p w14:paraId="6F9432D3" w14:textId="6E1AB5CF" w:rsidR="00D75B83" w:rsidRPr="00C037B0" w:rsidRDefault="00D75B83" w:rsidP="00AC375F">
      <w:pPr>
        <w:pStyle w:val="ListParagraph"/>
        <w:numPr>
          <w:ilvl w:val="2"/>
          <w:numId w:val="51"/>
        </w:numPr>
        <w:rPr>
          <w:rFonts w:ascii="Calibri" w:eastAsia="Calibri" w:hAnsi="Calibri" w:cs="Calibri"/>
          <w:sz w:val="22"/>
        </w:rPr>
      </w:pPr>
      <w:r w:rsidRPr="00C037B0">
        <w:rPr>
          <w:rFonts w:ascii="Calibri" w:eastAsia="Calibri" w:hAnsi="Calibri" w:cs="Calibri"/>
          <w:sz w:val="22"/>
        </w:rPr>
        <w:t>Odsjek za ocjenu sigurnosti i djelotvornosti lijekova:</w:t>
      </w:r>
    </w:p>
    <w:p w14:paraId="236EAC29" w14:textId="7FF49FD6" w:rsidR="00D75B83" w:rsidRPr="00C037B0" w:rsidRDefault="0071397F" w:rsidP="00C037B0">
      <w:pPr>
        <w:pStyle w:val="ListParagraph"/>
        <w:ind w:left="2160"/>
        <w:rPr>
          <w:rFonts w:ascii="Calibri" w:eastAsia="Calibri" w:hAnsi="Calibri" w:cs="Calibri"/>
          <w:sz w:val="22"/>
        </w:rPr>
      </w:pPr>
      <w:r w:rsidRPr="00F23E67">
        <w:rPr>
          <w:rFonts w:eastAsia="Calibri"/>
          <w:sz w:val="22"/>
        </w:rPr>
        <w:sym w:font="Symbol" w:char="F0A7"/>
      </w:r>
      <w:r>
        <w:rPr>
          <w:rFonts w:eastAsia="Calibri"/>
          <w:sz w:val="22"/>
        </w:rPr>
        <w:t xml:space="preserve"> </w:t>
      </w:r>
      <w:r w:rsidR="00D75B83" w:rsidRPr="00C037B0">
        <w:rPr>
          <w:rFonts w:ascii="Calibri" w:eastAsia="Calibri" w:hAnsi="Calibri" w:cs="Calibri"/>
          <w:sz w:val="22"/>
        </w:rPr>
        <w:t>Ocjena nekliničke dokumentacije: najmanje 70%</w:t>
      </w:r>
      <w:r w:rsidR="00D75B83" w:rsidRPr="00C037B0">
        <w:rPr>
          <w:rFonts w:ascii="Calibri" w:eastAsia="Calibri" w:hAnsi="Calibri" w:cs="Calibri"/>
          <w:sz w:val="22"/>
        </w:rPr>
        <w:br/>
      </w:r>
      <w:r w:rsidR="00D75B83" w:rsidRPr="00C037B0">
        <w:rPr>
          <w:rFonts w:eastAsia="Calibri"/>
          <w:sz w:val="22"/>
        </w:rPr>
        <w:sym w:font="Symbol" w:char="F0A7"/>
      </w:r>
      <w:r w:rsidR="00D75B83" w:rsidRPr="00C037B0">
        <w:rPr>
          <w:rFonts w:ascii="Calibri" w:eastAsia="Calibri" w:hAnsi="Calibri" w:cs="Calibri"/>
          <w:sz w:val="22"/>
        </w:rPr>
        <w:t xml:space="preserve"> Ocjena kliničke dokumentacije: najmanje 60%</w:t>
      </w:r>
      <w:r w:rsidR="00D75B83" w:rsidRPr="00C037B0">
        <w:rPr>
          <w:rFonts w:ascii="Calibri" w:eastAsia="Calibri" w:hAnsi="Calibri" w:cs="Calibri"/>
          <w:sz w:val="22"/>
        </w:rPr>
        <w:br/>
      </w:r>
      <w:r w:rsidR="00D75B83" w:rsidRPr="00C037B0">
        <w:rPr>
          <w:rFonts w:eastAsia="Calibri"/>
          <w:sz w:val="22"/>
        </w:rPr>
        <w:sym w:font="Symbol" w:char="F0A7"/>
      </w:r>
      <w:r w:rsidR="00D75B83" w:rsidRPr="00C037B0">
        <w:rPr>
          <w:rFonts w:ascii="Calibri" w:eastAsia="Calibri" w:hAnsi="Calibri" w:cs="Calibri"/>
          <w:sz w:val="22"/>
        </w:rPr>
        <w:t xml:space="preserve"> Ocjena farmakokinetike/farmakodinamike: najmanje 50%</w:t>
      </w:r>
    </w:p>
    <w:p w14:paraId="67CF5CC3" w14:textId="641999BB" w:rsidR="00D75B83" w:rsidRPr="00C037B0" w:rsidRDefault="00D75B83" w:rsidP="00AC375F">
      <w:pPr>
        <w:pStyle w:val="ListParagraph"/>
        <w:numPr>
          <w:ilvl w:val="2"/>
          <w:numId w:val="50"/>
        </w:numPr>
        <w:rPr>
          <w:rFonts w:ascii="Calibri" w:eastAsia="Calibri" w:hAnsi="Calibri" w:cs="Calibri"/>
          <w:sz w:val="22"/>
        </w:rPr>
      </w:pPr>
      <w:r w:rsidRPr="00C037B0">
        <w:rPr>
          <w:rFonts w:ascii="Calibri" w:eastAsia="Calibri" w:hAnsi="Calibri" w:cs="Calibri"/>
          <w:sz w:val="22"/>
        </w:rPr>
        <w:t>Odsjek za farmakovigilanciju i racionalnu farmakoterapiju: najmanje 60%</w:t>
      </w:r>
    </w:p>
    <w:p w14:paraId="192683B4" w14:textId="07C70085" w:rsidR="00D75B83" w:rsidRPr="00C037B0" w:rsidRDefault="00D75B83" w:rsidP="00AC375F">
      <w:pPr>
        <w:pStyle w:val="ListParagraph"/>
        <w:numPr>
          <w:ilvl w:val="1"/>
          <w:numId w:val="50"/>
        </w:numPr>
        <w:rPr>
          <w:rFonts w:ascii="Calibri" w:eastAsia="Calibri" w:hAnsi="Calibri" w:cs="Calibri"/>
          <w:sz w:val="22"/>
        </w:rPr>
      </w:pPr>
      <w:r w:rsidRPr="00C037B0">
        <w:rPr>
          <w:rFonts w:ascii="Calibri" w:eastAsia="Calibri" w:hAnsi="Calibri" w:cs="Calibri"/>
          <w:sz w:val="22"/>
        </w:rPr>
        <w:t>udio zaposlenika koji aktivno sudjeluju u inspekcijama u trećim zemljama:</w:t>
      </w:r>
    </w:p>
    <w:p w14:paraId="75974237" w14:textId="3D8E3F2D" w:rsidR="00D75B83" w:rsidRPr="00C037B0" w:rsidRDefault="00D75B83" w:rsidP="00AC375F">
      <w:pPr>
        <w:pStyle w:val="ListParagraph"/>
        <w:numPr>
          <w:ilvl w:val="1"/>
          <w:numId w:val="47"/>
        </w:numPr>
        <w:rPr>
          <w:rFonts w:ascii="Calibri" w:eastAsia="Calibri" w:hAnsi="Calibri" w:cs="Calibri"/>
          <w:sz w:val="22"/>
        </w:rPr>
      </w:pPr>
      <w:r w:rsidRPr="00C037B0">
        <w:rPr>
          <w:rFonts w:ascii="Calibri" w:eastAsia="Calibri" w:hAnsi="Calibri" w:cs="Calibri"/>
          <w:sz w:val="22"/>
        </w:rPr>
        <w:t>Odsjek za inspekcijske poslove: najmanje 70%</w:t>
      </w:r>
    </w:p>
    <w:p w14:paraId="5548A295" w14:textId="20C7EE5B" w:rsidR="00D75B83" w:rsidRPr="00C037B0" w:rsidRDefault="00D75B83" w:rsidP="00AC375F">
      <w:pPr>
        <w:pStyle w:val="ListParagraph"/>
        <w:numPr>
          <w:ilvl w:val="0"/>
          <w:numId w:val="47"/>
        </w:numPr>
        <w:spacing w:after="0" w:line="240" w:lineRule="auto"/>
        <w:ind w:left="1416"/>
        <w:rPr>
          <w:rFonts w:ascii="Calibri" w:eastAsia="Calibri" w:hAnsi="Calibri" w:cs="Calibri"/>
          <w:sz w:val="22"/>
        </w:rPr>
      </w:pPr>
      <w:r w:rsidRPr="001B2F7F">
        <w:rPr>
          <w:rFonts w:ascii="Calibri" w:eastAsia="Calibri" w:hAnsi="Calibri" w:cs="Calibri"/>
          <w:sz w:val="22"/>
          <w:szCs w:val="22"/>
        </w:rPr>
        <w:t>aktivno sudjelovanje u ocjeni/davanju znanstvenih savjeta pri EMA-i koji uključuju</w:t>
      </w:r>
      <w:r w:rsidR="00EF5040" w:rsidRPr="001B2F7F">
        <w:rPr>
          <w:rFonts w:ascii="Calibri" w:eastAsia="Calibri" w:hAnsi="Calibri" w:cs="Calibri"/>
          <w:sz w:val="22"/>
          <w:szCs w:val="22"/>
        </w:rPr>
        <w:t xml:space="preserve"> </w:t>
      </w:r>
      <w:r w:rsidRPr="00C037B0">
        <w:rPr>
          <w:rFonts w:ascii="Calibri" w:eastAsia="Calibri" w:hAnsi="Calibri" w:cs="Calibri"/>
          <w:sz w:val="22"/>
        </w:rPr>
        <w:t>modeliranje i simulaciju</w:t>
      </w:r>
    </w:p>
    <w:p w14:paraId="5E921A79" w14:textId="22B5F39D" w:rsidR="00D75B83" w:rsidRPr="00C037B0" w:rsidRDefault="00D75B83" w:rsidP="00AC375F">
      <w:pPr>
        <w:pStyle w:val="ListParagraph"/>
        <w:numPr>
          <w:ilvl w:val="0"/>
          <w:numId w:val="47"/>
        </w:numPr>
        <w:spacing w:before="0" w:after="0"/>
        <w:ind w:left="1417" w:hanging="357"/>
        <w:rPr>
          <w:rFonts w:ascii="Calibri" w:eastAsia="Calibri" w:hAnsi="Calibri" w:cs="Calibri"/>
          <w:sz w:val="22"/>
        </w:rPr>
      </w:pPr>
      <w:r w:rsidRPr="00C037B0">
        <w:rPr>
          <w:rFonts w:ascii="Calibri" w:eastAsia="Calibri" w:hAnsi="Calibri" w:cs="Calibri"/>
          <w:sz w:val="22"/>
        </w:rPr>
        <w:t>aktivno uključivanje u jedno novo dodatno znanstveno-stručno područje i/ili povećanje</w:t>
      </w:r>
      <w:r w:rsidR="00EF5040" w:rsidRPr="00C037B0">
        <w:rPr>
          <w:rFonts w:ascii="Calibri" w:eastAsia="Calibri" w:hAnsi="Calibri" w:cs="Calibri"/>
          <w:sz w:val="22"/>
        </w:rPr>
        <w:t xml:space="preserve"> </w:t>
      </w:r>
      <w:r w:rsidRPr="00C037B0">
        <w:rPr>
          <w:rFonts w:ascii="Calibri" w:eastAsia="Calibri" w:hAnsi="Calibri" w:cs="Calibri"/>
          <w:sz w:val="22"/>
        </w:rPr>
        <w:t>sudjelovanja u postupcima koji se provode pri EMA-i sukladno potrebama europske</w:t>
      </w:r>
      <w:r w:rsidR="00EF5040" w:rsidRPr="00C037B0">
        <w:rPr>
          <w:rFonts w:ascii="Calibri" w:eastAsia="Calibri" w:hAnsi="Calibri" w:cs="Calibri"/>
          <w:sz w:val="22"/>
        </w:rPr>
        <w:t xml:space="preserve"> </w:t>
      </w:r>
      <w:r w:rsidRPr="00C037B0">
        <w:rPr>
          <w:rFonts w:ascii="Calibri" w:eastAsia="Calibri" w:hAnsi="Calibri" w:cs="Calibri"/>
          <w:sz w:val="22"/>
        </w:rPr>
        <w:t>mreže agencija za lijekove</w:t>
      </w:r>
    </w:p>
    <w:p w14:paraId="260E86D3" w14:textId="77777777" w:rsidR="00D75B83" w:rsidRDefault="00D75B83" w:rsidP="00D75B83">
      <w:pPr>
        <w:spacing w:line="276" w:lineRule="auto"/>
        <w:ind w:left="1114"/>
        <w:jc w:val="both"/>
        <w:rPr>
          <w:rFonts w:ascii="Calibri" w:eastAsia="Calibri" w:hAnsi="Calibri" w:cs="Calibri"/>
        </w:rPr>
      </w:pPr>
    </w:p>
    <w:p w14:paraId="129D44F8" w14:textId="77777777" w:rsidR="000D1F63" w:rsidRDefault="00D75B83" w:rsidP="00D75B83">
      <w:pPr>
        <w:spacing w:line="276" w:lineRule="auto"/>
        <w:ind w:left="1134"/>
        <w:jc w:val="both"/>
        <w:rPr>
          <w:rFonts w:ascii="Calibri" w:eastAsia="Calibri" w:hAnsi="Calibri" w:cs="Calibri"/>
        </w:rPr>
      </w:pPr>
      <w:r w:rsidRPr="00CC4684">
        <w:rPr>
          <w:rFonts w:ascii="Calibri" w:eastAsia="Calibri" w:hAnsi="Calibri" w:cs="Calibri"/>
        </w:rPr>
        <w:t>Ocjena uspješnosti:</w:t>
      </w:r>
      <w:r>
        <w:rPr>
          <w:rFonts w:ascii="Calibri" w:eastAsia="Calibri" w:hAnsi="Calibri" w:cs="Calibri"/>
        </w:rPr>
        <w:t xml:space="preserve"> </w:t>
      </w:r>
    </w:p>
    <w:p w14:paraId="16571197" w14:textId="5E8E4295" w:rsidR="00D75B83" w:rsidRDefault="00D75B83" w:rsidP="00D75B83">
      <w:pPr>
        <w:spacing w:line="276" w:lineRule="auto"/>
        <w:ind w:left="1134"/>
        <w:jc w:val="both"/>
        <w:rPr>
          <w:rFonts w:ascii="Calibri" w:eastAsia="Calibri" w:hAnsi="Calibri" w:cs="Calibri"/>
        </w:rPr>
      </w:pPr>
      <w:r>
        <w:rPr>
          <w:rFonts w:ascii="Calibri" w:eastAsia="Calibri" w:hAnsi="Calibri" w:cs="Calibri"/>
        </w:rPr>
        <w:t xml:space="preserve">Cilj je u potpunosti izvršen. </w:t>
      </w:r>
    </w:p>
    <w:p w14:paraId="033785A7" w14:textId="77777777" w:rsidR="002A4818" w:rsidRPr="002577B7" w:rsidRDefault="002A4818" w:rsidP="002A4818">
      <w:pPr>
        <w:spacing w:line="276" w:lineRule="auto"/>
        <w:ind w:left="1114"/>
        <w:jc w:val="both"/>
        <w:rPr>
          <w:rFonts w:ascii="Calibri" w:eastAsia="Calibri" w:hAnsi="Calibri" w:cs="Calibri"/>
        </w:rPr>
      </w:pPr>
      <w:r w:rsidRPr="002577B7">
        <w:rPr>
          <w:rFonts w:ascii="Calibri" w:eastAsia="Calibri" w:hAnsi="Calibri" w:cs="Calibri"/>
        </w:rPr>
        <w:t>• udio zaposlenika koji su educirani za aktivno sudjelovanje u centraliziranim postupcima</w:t>
      </w:r>
      <w:r w:rsidRPr="002577B7">
        <w:rPr>
          <w:rFonts w:ascii="Calibri" w:eastAsia="Calibri" w:hAnsi="Calibri" w:cs="Calibri"/>
        </w:rPr>
        <w:br/>
        <w:t>za lijekove</w:t>
      </w:r>
    </w:p>
    <w:p w14:paraId="040F1916" w14:textId="77777777" w:rsidR="002A4818" w:rsidRPr="002577B7" w:rsidRDefault="002A4818" w:rsidP="002A4818">
      <w:pPr>
        <w:spacing w:line="276" w:lineRule="auto"/>
        <w:ind w:left="1416"/>
        <w:rPr>
          <w:rFonts w:ascii="Calibri" w:eastAsia="Calibri" w:hAnsi="Calibri" w:cs="Calibri"/>
        </w:rPr>
      </w:pPr>
      <w:r w:rsidRPr="002577B7">
        <w:rPr>
          <w:rFonts w:ascii="Calibri" w:eastAsia="Calibri" w:hAnsi="Calibri" w:cs="Calibri"/>
        </w:rPr>
        <w:t xml:space="preserve">o Odsjek za ocjenu kakvoće lijekova: </w:t>
      </w:r>
      <w:r w:rsidRPr="00EF182B">
        <w:rPr>
          <w:rFonts w:ascii="Calibri" w:eastAsia="Calibri" w:hAnsi="Calibri" w:cs="Calibri"/>
        </w:rPr>
        <w:t>70</w:t>
      </w:r>
      <w:r w:rsidRPr="002577B7">
        <w:rPr>
          <w:rFonts w:ascii="Calibri" w:eastAsia="Calibri" w:hAnsi="Calibri" w:cs="Calibri"/>
        </w:rPr>
        <w:t>%</w:t>
      </w:r>
      <w:r w:rsidRPr="002577B7">
        <w:rPr>
          <w:rFonts w:ascii="Calibri" w:eastAsia="Calibri" w:hAnsi="Calibri" w:cs="Calibri"/>
        </w:rPr>
        <w:br/>
        <w:t>o Odsjek za ocjenu sigurnosti i djelotvornosti lijekova:</w:t>
      </w:r>
    </w:p>
    <w:p w14:paraId="5242040F" w14:textId="77777777" w:rsidR="002A4818" w:rsidRPr="002577B7" w:rsidRDefault="002A4818" w:rsidP="002A4818">
      <w:pPr>
        <w:spacing w:line="276" w:lineRule="auto"/>
        <w:ind w:left="2124"/>
        <w:rPr>
          <w:rFonts w:ascii="Calibri" w:eastAsia="Calibri" w:hAnsi="Calibri" w:cs="Calibri"/>
        </w:rPr>
      </w:pPr>
      <w:r w:rsidRPr="002577B7">
        <w:rPr>
          <w:rFonts w:ascii="Calibri" w:eastAsia="Calibri" w:hAnsi="Calibri" w:cs="Calibri"/>
        </w:rPr>
        <w:sym w:font="Symbol" w:char="F0A7"/>
      </w:r>
      <w:r w:rsidRPr="002577B7">
        <w:rPr>
          <w:rFonts w:ascii="Calibri" w:eastAsia="Calibri" w:hAnsi="Calibri" w:cs="Calibri"/>
        </w:rPr>
        <w:t xml:space="preserve"> Ocjena nekliničke dokumentacije: </w:t>
      </w:r>
      <w:r w:rsidRPr="00EF182B">
        <w:rPr>
          <w:rFonts w:ascii="Calibri" w:eastAsia="Calibri" w:hAnsi="Calibri" w:cs="Calibri"/>
        </w:rPr>
        <w:t>10</w:t>
      </w:r>
      <w:r w:rsidRPr="002577B7">
        <w:rPr>
          <w:rFonts w:ascii="Calibri" w:eastAsia="Calibri" w:hAnsi="Calibri" w:cs="Calibri"/>
        </w:rPr>
        <w:t>0%</w:t>
      </w:r>
      <w:r w:rsidRPr="002577B7">
        <w:rPr>
          <w:rFonts w:ascii="Calibri" w:eastAsia="Calibri" w:hAnsi="Calibri" w:cs="Calibri"/>
        </w:rPr>
        <w:br/>
      </w:r>
      <w:r w:rsidRPr="002577B7">
        <w:rPr>
          <w:rFonts w:ascii="Calibri" w:eastAsia="Calibri" w:hAnsi="Calibri" w:cs="Calibri"/>
        </w:rPr>
        <w:sym w:font="Symbol" w:char="F0A7"/>
      </w:r>
      <w:r w:rsidRPr="002577B7">
        <w:rPr>
          <w:rFonts w:ascii="Calibri" w:eastAsia="Calibri" w:hAnsi="Calibri" w:cs="Calibri"/>
        </w:rPr>
        <w:t xml:space="preserve"> Ocjena kliničke dokumentacije: </w:t>
      </w:r>
      <w:r w:rsidRPr="00EF182B">
        <w:rPr>
          <w:rFonts w:ascii="Calibri" w:eastAsia="Calibri" w:hAnsi="Calibri" w:cs="Calibri"/>
        </w:rPr>
        <w:t>75</w:t>
      </w:r>
      <w:r w:rsidRPr="002577B7">
        <w:rPr>
          <w:rFonts w:ascii="Calibri" w:eastAsia="Calibri" w:hAnsi="Calibri" w:cs="Calibri"/>
        </w:rPr>
        <w:t>%</w:t>
      </w:r>
      <w:r w:rsidRPr="002577B7">
        <w:rPr>
          <w:rFonts w:ascii="Calibri" w:eastAsia="Calibri" w:hAnsi="Calibri" w:cs="Calibri"/>
        </w:rPr>
        <w:br/>
      </w:r>
      <w:r w:rsidRPr="002577B7">
        <w:rPr>
          <w:rFonts w:ascii="Calibri" w:eastAsia="Calibri" w:hAnsi="Calibri" w:cs="Calibri"/>
        </w:rPr>
        <w:sym w:font="Symbol" w:char="F0A7"/>
      </w:r>
      <w:r w:rsidRPr="002577B7">
        <w:rPr>
          <w:rFonts w:ascii="Calibri" w:eastAsia="Calibri" w:hAnsi="Calibri" w:cs="Calibri"/>
        </w:rPr>
        <w:t xml:space="preserve"> Ocjena farmakokinetike/farmakodinamike: </w:t>
      </w:r>
      <w:r w:rsidRPr="00EF182B">
        <w:rPr>
          <w:rFonts w:ascii="Calibri" w:eastAsia="Calibri" w:hAnsi="Calibri" w:cs="Calibri"/>
        </w:rPr>
        <w:t>7</w:t>
      </w:r>
      <w:r w:rsidRPr="002577B7">
        <w:rPr>
          <w:rFonts w:ascii="Calibri" w:eastAsia="Calibri" w:hAnsi="Calibri" w:cs="Calibri"/>
        </w:rPr>
        <w:t>5%</w:t>
      </w:r>
    </w:p>
    <w:p w14:paraId="136CB59E" w14:textId="27036A11" w:rsidR="00D75B83" w:rsidRPr="00694F43" w:rsidRDefault="00D75B83" w:rsidP="00AC375F">
      <w:pPr>
        <w:pStyle w:val="ListParagraph"/>
        <w:numPr>
          <w:ilvl w:val="2"/>
          <w:numId w:val="52"/>
        </w:numPr>
        <w:spacing w:before="0" w:after="0"/>
        <w:rPr>
          <w:rFonts w:ascii="Calibri" w:eastAsia="Calibri" w:hAnsi="Calibri" w:cs="Calibri"/>
          <w:sz w:val="22"/>
        </w:rPr>
      </w:pPr>
      <w:r w:rsidRPr="00694F43">
        <w:rPr>
          <w:rFonts w:ascii="Calibri" w:eastAsia="Calibri" w:hAnsi="Calibri" w:cs="Calibri"/>
          <w:sz w:val="22"/>
        </w:rPr>
        <w:t>Odsjek za farmakovigilanciju i racionalnu farmakoterapiju: 80%</w:t>
      </w:r>
    </w:p>
    <w:p w14:paraId="4C8034C1" w14:textId="36F9674D" w:rsidR="00D75B83" w:rsidRPr="00821307" w:rsidRDefault="00D75B83" w:rsidP="00AC375F">
      <w:pPr>
        <w:pStyle w:val="ListParagraph"/>
        <w:numPr>
          <w:ilvl w:val="1"/>
          <w:numId w:val="52"/>
        </w:numPr>
        <w:spacing w:before="0" w:after="0"/>
        <w:rPr>
          <w:rFonts w:ascii="Calibri" w:eastAsia="Calibri" w:hAnsi="Calibri" w:cs="Calibri"/>
          <w:sz w:val="22"/>
        </w:rPr>
      </w:pPr>
      <w:r w:rsidRPr="00821307">
        <w:rPr>
          <w:rFonts w:ascii="Calibri" w:eastAsia="Calibri" w:hAnsi="Calibri" w:cs="Calibri"/>
          <w:sz w:val="22"/>
        </w:rPr>
        <w:t>udio zaposlenika koji aktivno sudjeluju u inspekcijama u trećim zemljama:</w:t>
      </w:r>
    </w:p>
    <w:p w14:paraId="6D74BF74" w14:textId="4EF755AF" w:rsidR="00D75B83" w:rsidRPr="00821307" w:rsidRDefault="00D75B83" w:rsidP="00AC375F">
      <w:pPr>
        <w:pStyle w:val="ListParagraph"/>
        <w:numPr>
          <w:ilvl w:val="2"/>
          <w:numId w:val="52"/>
        </w:numPr>
        <w:spacing w:before="0" w:after="0"/>
        <w:rPr>
          <w:rFonts w:ascii="Calibri" w:eastAsia="Calibri" w:hAnsi="Calibri" w:cs="Calibri"/>
          <w:sz w:val="22"/>
        </w:rPr>
      </w:pPr>
      <w:r w:rsidRPr="00821307">
        <w:rPr>
          <w:rFonts w:ascii="Calibri" w:eastAsia="Calibri" w:hAnsi="Calibri" w:cs="Calibri"/>
          <w:sz w:val="22"/>
        </w:rPr>
        <w:t>Odsjek za inspekcijske poslove: 100%</w:t>
      </w:r>
    </w:p>
    <w:p w14:paraId="019EF64A" w14:textId="2F7E250F" w:rsidR="00050054" w:rsidRPr="002D0FD3" w:rsidRDefault="00050054" w:rsidP="00B76A1D">
      <w:pPr>
        <w:pStyle w:val="ListParagraph"/>
        <w:spacing w:before="0" w:after="0"/>
        <w:jc w:val="both"/>
        <w:rPr>
          <w:rFonts w:ascii="Calibri" w:eastAsia="Calibri" w:hAnsi="Calibri" w:cs="Calibri"/>
          <w:sz w:val="22"/>
          <w:highlight w:val="yellow"/>
        </w:rPr>
      </w:pPr>
      <w:r w:rsidRPr="00821307">
        <w:rPr>
          <w:rFonts w:ascii="Calibri" w:eastAsia="Calibri" w:hAnsi="Calibri" w:cs="Calibri"/>
          <w:sz w:val="22"/>
        </w:rPr>
        <w:t>U 2023. godini HALMED je po prvi dobio pri CHMP-u ocjenu nove djelatne tvari u svojstvu izvjestitelja, uključio se u ocjenu zahtjeva za izmjenu iako inicijalno nije sudjelovao u postupku ocjene u ulozi izvjestitelja, dodatno preuzeo ocjenu većeg broja zahtjeva s novom djelatnom tvari</w:t>
      </w:r>
      <w:r w:rsidRPr="00050054">
        <w:rPr>
          <w:rFonts w:ascii="Calibri" w:eastAsia="Calibri" w:hAnsi="Calibri" w:cs="Calibri"/>
          <w:sz w:val="22"/>
        </w:rPr>
        <w:t xml:space="preserve"> za lijekove s različitim ATK skupinama.</w:t>
      </w:r>
    </w:p>
    <w:p w14:paraId="54E7F76E" w14:textId="643EA0CD" w:rsidR="00D75B83" w:rsidRPr="00DF0619" w:rsidRDefault="00D75B83" w:rsidP="00D75B83">
      <w:pPr>
        <w:pStyle w:val="Heading3"/>
        <w:rPr>
          <w:rFonts w:eastAsia="Calibri"/>
        </w:rPr>
      </w:pPr>
      <w:bookmarkStart w:id="381" w:name="_Toc134536525"/>
      <w:bookmarkStart w:id="382" w:name="_Toc165035564"/>
      <w:r w:rsidRPr="00DF0619">
        <w:rPr>
          <w:rFonts w:eastAsia="Calibri"/>
        </w:rPr>
        <w:lastRenderedPageBreak/>
        <w:t>Strateški cilj 3: Jačanje uloge HALMED-a, regulatornog okvira i optimiranje procesa</w:t>
      </w:r>
      <w:bookmarkEnd w:id="381"/>
      <w:bookmarkEnd w:id="382"/>
    </w:p>
    <w:p w14:paraId="620C17B1" w14:textId="77777777" w:rsidR="00D75B83" w:rsidRDefault="00D75B83" w:rsidP="000E1B0A">
      <w:pPr>
        <w:spacing w:line="276" w:lineRule="auto"/>
        <w:ind w:left="360"/>
        <w:jc w:val="both"/>
        <w:rPr>
          <w:rFonts w:ascii="Calibri" w:eastAsia="Calibri" w:hAnsi="Calibri" w:cs="Calibri"/>
          <w:i/>
        </w:rPr>
      </w:pPr>
      <w:r>
        <w:rPr>
          <w:rFonts w:ascii="Calibri" w:eastAsia="Calibri" w:hAnsi="Calibri" w:cs="Calibri"/>
          <w:i/>
        </w:rPr>
        <w:t xml:space="preserve">3.1 </w:t>
      </w:r>
      <w:r w:rsidRPr="00A34E8A">
        <w:rPr>
          <w:rFonts w:ascii="Calibri" w:eastAsia="Calibri" w:hAnsi="Calibri" w:cs="Calibri"/>
          <w:i/>
        </w:rPr>
        <w:t>Osiguranje učinkovite provedbe novog europskog zakonodavstva za medicinske proizvode</w:t>
      </w:r>
    </w:p>
    <w:p w14:paraId="04F5CE40" w14:textId="77777777" w:rsidR="00D75B83" w:rsidRPr="004130E0" w:rsidRDefault="00D75B83" w:rsidP="00D75B83">
      <w:pPr>
        <w:spacing w:line="276" w:lineRule="auto"/>
        <w:ind w:left="1114"/>
        <w:jc w:val="both"/>
        <w:rPr>
          <w:rFonts w:ascii="Calibri" w:eastAsia="Calibri" w:hAnsi="Calibri" w:cs="Calibri"/>
        </w:rPr>
      </w:pPr>
      <w:r>
        <w:rPr>
          <w:rFonts w:ascii="Calibri" w:eastAsia="Calibri" w:hAnsi="Calibri" w:cs="Calibri"/>
        </w:rPr>
        <w:t>Planirana realizacija u 2023</w:t>
      </w:r>
      <w:r w:rsidRPr="00CC4684">
        <w:rPr>
          <w:rFonts w:ascii="Calibri" w:eastAsia="Calibri" w:hAnsi="Calibri" w:cs="Calibri"/>
        </w:rPr>
        <w:t>. godini:</w:t>
      </w:r>
    </w:p>
    <w:p w14:paraId="51ED8A42" w14:textId="0AAAB695" w:rsidR="00D75B83" w:rsidRDefault="00D75B83" w:rsidP="000E1B0A">
      <w:pPr>
        <w:spacing w:line="276" w:lineRule="auto"/>
        <w:ind w:left="1114"/>
        <w:rPr>
          <w:rFonts w:ascii="Calibri" w:eastAsia="Calibri" w:hAnsi="Calibri" w:cs="Calibri"/>
        </w:rPr>
      </w:pPr>
      <w:r w:rsidRPr="002D6A14">
        <w:rPr>
          <w:rFonts w:ascii="Calibri" w:eastAsia="Calibri" w:hAnsi="Calibri" w:cs="Calibri"/>
        </w:rPr>
        <w:t xml:space="preserve">• </w:t>
      </w:r>
      <w:r>
        <w:rPr>
          <w:rFonts w:ascii="Calibri" w:eastAsia="Calibri" w:hAnsi="Calibri" w:cs="Calibri"/>
        </w:rPr>
        <w:t>8</w:t>
      </w:r>
      <w:r w:rsidRPr="002D6A14">
        <w:rPr>
          <w:rFonts w:ascii="Calibri" w:eastAsia="Calibri" w:hAnsi="Calibri" w:cs="Calibri"/>
        </w:rPr>
        <w:t>0% proizvođača, ovlaštenih zastupnika i uvoznika sa sjedištem u RH registrirano je u</w:t>
      </w:r>
      <w:r w:rsidRPr="002D6A14">
        <w:rPr>
          <w:rFonts w:ascii="Calibri" w:eastAsia="Calibri" w:hAnsi="Calibri" w:cs="Calibri"/>
        </w:rPr>
        <w:br/>
        <w:t>bazi Eudamed</w:t>
      </w:r>
      <w:r w:rsidRPr="002D6A14">
        <w:rPr>
          <w:rFonts w:ascii="Calibri" w:eastAsia="Calibri" w:hAnsi="Calibri" w:cs="Calibri"/>
        </w:rPr>
        <w:br/>
        <w:t xml:space="preserve">• </w:t>
      </w:r>
      <w:r>
        <w:rPr>
          <w:rFonts w:ascii="Calibri" w:eastAsia="Calibri" w:hAnsi="Calibri" w:cs="Calibri"/>
        </w:rPr>
        <w:t>8</w:t>
      </w:r>
      <w:r w:rsidRPr="002D6A14">
        <w:rPr>
          <w:rFonts w:ascii="Calibri" w:eastAsia="Calibri" w:hAnsi="Calibri" w:cs="Calibri"/>
        </w:rPr>
        <w:t>0% distributera medicinskih proizvoda u RH registrirano je u registru distributera</w:t>
      </w:r>
      <w:r w:rsidRPr="002D6A14">
        <w:rPr>
          <w:rFonts w:ascii="Calibri" w:eastAsia="Calibri" w:hAnsi="Calibri" w:cs="Calibri"/>
        </w:rPr>
        <w:br/>
        <w:t>HALMED-a</w:t>
      </w:r>
      <w:r w:rsidRPr="002D6A14">
        <w:rPr>
          <w:rFonts w:ascii="Calibri" w:eastAsia="Calibri" w:hAnsi="Calibri" w:cs="Calibri"/>
        </w:rPr>
        <w:br/>
      </w:r>
    </w:p>
    <w:p w14:paraId="61ED06FB" w14:textId="77777777" w:rsidR="002A4818" w:rsidRDefault="00D75B83" w:rsidP="00B432FB">
      <w:pPr>
        <w:spacing w:line="276" w:lineRule="auto"/>
        <w:ind w:left="1114"/>
        <w:jc w:val="both"/>
        <w:rPr>
          <w:rFonts w:ascii="Calibri" w:eastAsia="Calibri" w:hAnsi="Calibri" w:cs="Calibri"/>
        </w:rPr>
      </w:pPr>
      <w:r w:rsidRPr="00CC4684">
        <w:rPr>
          <w:rFonts w:ascii="Calibri" w:eastAsia="Calibri" w:hAnsi="Calibri" w:cs="Calibri"/>
        </w:rPr>
        <w:t>Ocjena uspješnosti</w:t>
      </w:r>
      <w:r w:rsidR="002A4818">
        <w:rPr>
          <w:rFonts w:ascii="Calibri" w:eastAsia="Calibri" w:hAnsi="Calibri" w:cs="Calibri"/>
        </w:rPr>
        <w:t>:</w:t>
      </w:r>
    </w:p>
    <w:p w14:paraId="35CD08FF" w14:textId="77777777" w:rsidR="002A4818" w:rsidRDefault="002A4818" w:rsidP="00B432FB">
      <w:pPr>
        <w:spacing w:line="276" w:lineRule="auto"/>
        <w:ind w:left="1114"/>
        <w:jc w:val="both"/>
        <w:rPr>
          <w:rFonts w:ascii="Calibri" w:eastAsia="Calibri" w:hAnsi="Calibri" w:cs="Calibri"/>
        </w:rPr>
      </w:pPr>
      <w:r w:rsidRPr="002A4818">
        <w:rPr>
          <w:rFonts w:ascii="Calibri" w:eastAsia="Calibri" w:hAnsi="Calibri" w:cs="Calibri"/>
        </w:rPr>
        <w:t xml:space="preserve">Planirana realizacija nije ispunjena </w:t>
      </w:r>
      <w:r>
        <w:rPr>
          <w:rFonts w:ascii="Calibri" w:eastAsia="Calibri" w:hAnsi="Calibri" w:cs="Calibri"/>
        </w:rPr>
        <w:t>obzirom da</w:t>
      </w:r>
      <w:r w:rsidRPr="002A4818">
        <w:rPr>
          <w:rFonts w:ascii="Calibri" w:eastAsia="Calibri" w:hAnsi="Calibri" w:cs="Calibri"/>
        </w:rPr>
        <w:t xml:space="preserve"> Eudamed i dalje nije u potpunosti funkcionalan te je upis </w:t>
      </w:r>
      <w:r>
        <w:rPr>
          <w:rFonts w:ascii="Calibri" w:eastAsia="Calibri" w:hAnsi="Calibri" w:cs="Calibri"/>
        </w:rPr>
        <w:t xml:space="preserve">gospodarskih subjekata </w:t>
      </w:r>
      <w:r w:rsidRPr="002A4818">
        <w:rPr>
          <w:rFonts w:ascii="Calibri" w:eastAsia="Calibri" w:hAnsi="Calibri" w:cs="Calibri"/>
        </w:rPr>
        <w:t>u bazu na dobrovoljnoj osnovi. U nedostatku podzakonskog propisa koji bi trebao urediti mjerila za upis distributera u registar distributera isti još uvijek nije uspostavljen</w:t>
      </w:r>
      <w:r>
        <w:rPr>
          <w:rFonts w:ascii="Calibri" w:eastAsia="Calibri" w:hAnsi="Calibri" w:cs="Calibri"/>
        </w:rPr>
        <w:t>.</w:t>
      </w:r>
    </w:p>
    <w:p w14:paraId="5E9D4A79" w14:textId="77777777" w:rsidR="00D75B83" w:rsidRPr="004130E0" w:rsidRDefault="00D75B83" w:rsidP="00D75B83">
      <w:pPr>
        <w:spacing w:line="276" w:lineRule="auto"/>
        <w:ind w:left="1114"/>
        <w:jc w:val="both"/>
        <w:rPr>
          <w:rFonts w:ascii="Calibri" w:eastAsia="Calibri" w:hAnsi="Calibri" w:cs="Calibri"/>
        </w:rPr>
      </w:pPr>
    </w:p>
    <w:p w14:paraId="533EF639" w14:textId="77777777" w:rsidR="00D75B83" w:rsidRDefault="00D75B83" w:rsidP="000E1B0A">
      <w:pPr>
        <w:spacing w:line="276" w:lineRule="auto"/>
        <w:ind w:left="360"/>
        <w:jc w:val="both"/>
        <w:rPr>
          <w:rFonts w:ascii="Calibri" w:eastAsia="Calibri" w:hAnsi="Calibri" w:cs="Calibri"/>
          <w:i/>
        </w:rPr>
      </w:pPr>
      <w:r>
        <w:rPr>
          <w:rFonts w:ascii="Calibri" w:eastAsia="Calibri" w:hAnsi="Calibri" w:cs="Calibri"/>
          <w:i/>
        </w:rPr>
        <w:t xml:space="preserve">3.2 </w:t>
      </w:r>
      <w:r w:rsidRPr="00A34E8A">
        <w:rPr>
          <w:rFonts w:ascii="Calibri" w:eastAsia="Calibri" w:hAnsi="Calibri" w:cs="Calibri"/>
          <w:i/>
        </w:rPr>
        <w:t>Jačan</w:t>
      </w:r>
      <w:r>
        <w:rPr>
          <w:rFonts w:ascii="Calibri" w:eastAsia="Calibri" w:hAnsi="Calibri" w:cs="Calibri"/>
          <w:i/>
        </w:rPr>
        <w:t>je nacionalne prepoznatljivosti</w:t>
      </w:r>
    </w:p>
    <w:p w14:paraId="3178C29F" w14:textId="77777777" w:rsidR="00D75B83" w:rsidRPr="004130E0" w:rsidRDefault="00D75B83" w:rsidP="00D75B83">
      <w:pPr>
        <w:spacing w:line="276" w:lineRule="auto"/>
        <w:ind w:left="1114"/>
        <w:jc w:val="both"/>
        <w:rPr>
          <w:rFonts w:ascii="Calibri" w:eastAsia="Calibri" w:hAnsi="Calibri" w:cs="Calibri"/>
        </w:rPr>
      </w:pPr>
      <w:r>
        <w:rPr>
          <w:rFonts w:ascii="Calibri" w:eastAsia="Calibri" w:hAnsi="Calibri" w:cs="Calibri"/>
        </w:rPr>
        <w:t>Planirana realizacija u 2023</w:t>
      </w:r>
      <w:r w:rsidRPr="00CC4684">
        <w:rPr>
          <w:rFonts w:ascii="Calibri" w:eastAsia="Calibri" w:hAnsi="Calibri" w:cs="Calibri"/>
        </w:rPr>
        <w:t>. godini:</w:t>
      </w:r>
    </w:p>
    <w:p w14:paraId="00CF2668" w14:textId="77777777" w:rsidR="00D75B83" w:rsidRDefault="00D75B83" w:rsidP="00D75B83">
      <w:pPr>
        <w:spacing w:line="276" w:lineRule="auto"/>
        <w:ind w:left="1114"/>
        <w:rPr>
          <w:rFonts w:ascii="Calibri" w:eastAsia="Calibri" w:hAnsi="Calibri" w:cs="Calibri"/>
        </w:rPr>
      </w:pPr>
      <w:r w:rsidRPr="002D6A14">
        <w:rPr>
          <w:rFonts w:ascii="Calibri" w:eastAsia="Calibri" w:hAnsi="Calibri" w:cs="Calibri"/>
        </w:rPr>
        <w:t xml:space="preserve">• provedene su najmanje </w:t>
      </w:r>
      <w:r>
        <w:rPr>
          <w:rFonts w:ascii="Calibri" w:eastAsia="Calibri" w:hAnsi="Calibri" w:cs="Calibri"/>
        </w:rPr>
        <w:t>4</w:t>
      </w:r>
      <w:r w:rsidRPr="002D6A14">
        <w:rPr>
          <w:rFonts w:ascii="Calibri" w:eastAsia="Calibri" w:hAnsi="Calibri" w:cs="Calibri"/>
        </w:rPr>
        <w:t xml:space="preserve"> javnozdravstvene aktivnosti samostalno ili u suradnji s drugim</w:t>
      </w:r>
      <w:r>
        <w:rPr>
          <w:rFonts w:ascii="Calibri" w:eastAsia="Calibri" w:hAnsi="Calibri" w:cs="Calibri"/>
        </w:rPr>
        <w:t xml:space="preserve"> </w:t>
      </w:r>
      <w:r w:rsidRPr="002D6A14">
        <w:rPr>
          <w:rFonts w:ascii="Calibri" w:eastAsia="Calibri" w:hAnsi="Calibri" w:cs="Calibri"/>
        </w:rPr>
        <w:t>tijelima i dionicima u zdravstvenom sustavu</w:t>
      </w:r>
      <w:r w:rsidRPr="002D6A14">
        <w:rPr>
          <w:rFonts w:ascii="Calibri" w:eastAsia="Calibri" w:hAnsi="Calibri" w:cs="Calibri"/>
        </w:rPr>
        <w:br/>
        <w:t xml:space="preserve">• U godišnjoj anketi o zadovoljstvu korisnika usluga HALMED-a najmanje </w:t>
      </w:r>
      <w:r>
        <w:rPr>
          <w:rFonts w:ascii="Calibri" w:eastAsia="Calibri" w:hAnsi="Calibri" w:cs="Calibri"/>
        </w:rPr>
        <w:t>4</w:t>
      </w:r>
      <w:r w:rsidRPr="002D6A14">
        <w:rPr>
          <w:rFonts w:ascii="Calibri" w:eastAsia="Calibri" w:hAnsi="Calibri" w:cs="Calibri"/>
        </w:rPr>
        <w:t xml:space="preserve"> aspekta rada</w:t>
      </w:r>
      <w:r w:rsidRPr="002D6A14">
        <w:rPr>
          <w:rFonts w:ascii="Calibri" w:eastAsia="Calibri" w:hAnsi="Calibri" w:cs="Calibri"/>
        </w:rPr>
        <w:br/>
        <w:t>HALMED-a ocijenjena su ocjenama izvrsno ili vrlo dobro u više od 90% odgovora</w:t>
      </w:r>
    </w:p>
    <w:p w14:paraId="260112B0" w14:textId="77777777" w:rsidR="00D75B83" w:rsidRDefault="00D75B83" w:rsidP="00D75B83">
      <w:pPr>
        <w:spacing w:line="276" w:lineRule="auto"/>
        <w:ind w:left="1114"/>
        <w:jc w:val="both"/>
        <w:rPr>
          <w:rFonts w:ascii="Calibri" w:eastAsia="Calibri" w:hAnsi="Calibri" w:cs="Calibri"/>
        </w:rPr>
      </w:pPr>
    </w:p>
    <w:p w14:paraId="51A70B7F" w14:textId="77777777" w:rsidR="000D1F63" w:rsidRDefault="00D75B83" w:rsidP="00D75B83">
      <w:pPr>
        <w:spacing w:line="276" w:lineRule="auto"/>
        <w:ind w:left="302" w:firstLine="708"/>
        <w:jc w:val="both"/>
        <w:rPr>
          <w:rFonts w:ascii="Calibri" w:eastAsia="Calibri" w:hAnsi="Calibri" w:cs="Calibri"/>
        </w:rPr>
      </w:pPr>
      <w:r w:rsidRPr="00CC4684">
        <w:rPr>
          <w:rFonts w:ascii="Calibri" w:eastAsia="Calibri" w:hAnsi="Calibri" w:cs="Calibri"/>
        </w:rPr>
        <w:t>Ocjena uspješnosti:</w:t>
      </w:r>
      <w:r>
        <w:rPr>
          <w:rFonts w:ascii="Calibri" w:eastAsia="Calibri" w:hAnsi="Calibri" w:cs="Calibri"/>
        </w:rPr>
        <w:t xml:space="preserve"> </w:t>
      </w:r>
    </w:p>
    <w:p w14:paraId="1236B88B" w14:textId="754E2324" w:rsidR="00D75B83" w:rsidRPr="0080326E" w:rsidRDefault="00D75B83" w:rsidP="00D75B83">
      <w:pPr>
        <w:spacing w:line="276" w:lineRule="auto"/>
        <w:ind w:left="302" w:firstLine="708"/>
        <w:jc w:val="both"/>
        <w:rPr>
          <w:rFonts w:ascii="Calibri" w:eastAsia="Calibri" w:hAnsi="Calibri" w:cs="Calibri"/>
        </w:rPr>
      </w:pPr>
      <w:r w:rsidRPr="0080326E">
        <w:rPr>
          <w:rFonts w:ascii="Calibri" w:eastAsia="Calibri" w:hAnsi="Calibri" w:cs="Calibri"/>
        </w:rPr>
        <w:t>Planirana realizacija cilja u 2023. godini je u potpunosti ispunjena.</w:t>
      </w:r>
    </w:p>
    <w:p w14:paraId="585259DD" w14:textId="77777777" w:rsidR="00D75B83" w:rsidRPr="0080326E" w:rsidRDefault="00D75B83" w:rsidP="000E1B0A">
      <w:pPr>
        <w:spacing w:line="276" w:lineRule="auto"/>
        <w:ind w:left="1010"/>
        <w:jc w:val="both"/>
        <w:rPr>
          <w:rFonts w:ascii="Calibri" w:eastAsia="Calibri" w:hAnsi="Calibri" w:cs="Calibri"/>
        </w:rPr>
      </w:pPr>
      <w:r w:rsidRPr="0080326E">
        <w:rPr>
          <w:rFonts w:ascii="Calibri" w:eastAsia="Calibri" w:hAnsi="Calibri" w:cs="Calibri"/>
        </w:rPr>
        <w:t>U suradnji s HFD-om provedena je javnoedukativna kampanja o važnosti prijavljivanja sumnji na nuspojave lijekova. Jednako tako, putem internetskih stranica HALMED-a i komunikacije s medijima provedene su javnozdravstvene aktivnosti u svrhu osvješćivanja o važnosti cijepljenja, rizicima krivotvorenih lijekova te racionalne primjene antimikrobnih lijekova.</w:t>
      </w:r>
    </w:p>
    <w:p w14:paraId="5BB90653" w14:textId="31E603AE" w:rsidR="00D75B83" w:rsidRDefault="00D75B83" w:rsidP="002A4818">
      <w:pPr>
        <w:spacing w:line="276" w:lineRule="auto"/>
        <w:ind w:left="1010"/>
        <w:jc w:val="both"/>
        <w:rPr>
          <w:rFonts w:ascii="Calibri" w:eastAsia="Calibri" w:hAnsi="Calibri" w:cs="Calibri"/>
        </w:rPr>
      </w:pPr>
      <w:r w:rsidRPr="0080326E">
        <w:rPr>
          <w:rFonts w:ascii="Calibri" w:eastAsia="Calibri" w:hAnsi="Calibri" w:cs="Calibri"/>
        </w:rPr>
        <w:t xml:space="preserve">U godišnjoj anketi o zadovoljstvu korisnika usluga HALMED-a ocjenama izvrsno ili vrlo dobro u više od 90% odgovora ocijenjeno je šest aspekta rada HALMED-a: </w:t>
      </w:r>
      <w:r w:rsidR="002A4818" w:rsidRPr="002A4818">
        <w:rPr>
          <w:rFonts w:ascii="Calibri" w:eastAsia="Calibri" w:hAnsi="Calibri" w:cs="Calibri"/>
        </w:rPr>
        <w:t>ljubaznost, uslužnost i pristupačnost djelatnika HALMED-a (97,42%), osposobljenost djelatnika HALMED-a koji pružaju uslugu (96,39%), brzina odgovora djelatnika HALMED-a na upite korisnika (95,36%), stupanj profesionalnosti djelatnika HALMED-a u odgovorima na službene pritužbe (94,33%), jasnoća odgovora djelatnika HALMED-a na upite korisnika (93,30%), postupak zaprimanja zahtjeva od strane HALMED-a (92,27%) dok je aspekt informiranost o uslugama koje pruža HALMED 85,05% ispitanika ocijenilo s izvrsno ili vrlo dobro.</w:t>
      </w:r>
    </w:p>
    <w:p w14:paraId="6027FAFB" w14:textId="77777777" w:rsidR="0040735B" w:rsidRPr="004130E0" w:rsidRDefault="0040735B" w:rsidP="002A4818">
      <w:pPr>
        <w:spacing w:line="276" w:lineRule="auto"/>
        <w:ind w:left="1010"/>
        <w:jc w:val="both"/>
        <w:rPr>
          <w:rFonts w:ascii="Calibri" w:eastAsia="Calibri" w:hAnsi="Calibri" w:cs="Calibri"/>
        </w:rPr>
      </w:pPr>
    </w:p>
    <w:p w14:paraId="64348ADF" w14:textId="77777777" w:rsidR="00D75B83" w:rsidRDefault="00D75B83" w:rsidP="000E1B0A">
      <w:pPr>
        <w:spacing w:line="276" w:lineRule="auto"/>
        <w:ind w:left="360"/>
        <w:jc w:val="both"/>
        <w:rPr>
          <w:rFonts w:ascii="Calibri" w:eastAsia="Calibri" w:hAnsi="Calibri" w:cs="Calibri"/>
          <w:i/>
        </w:rPr>
      </w:pPr>
      <w:r>
        <w:rPr>
          <w:rFonts w:ascii="Calibri" w:eastAsia="Calibri" w:hAnsi="Calibri" w:cs="Calibri"/>
          <w:i/>
        </w:rPr>
        <w:t xml:space="preserve">3.3. </w:t>
      </w:r>
      <w:r w:rsidRPr="00A34E8A">
        <w:rPr>
          <w:rFonts w:ascii="Calibri" w:eastAsia="Calibri" w:hAnsi="Calibri" w:cs="Calibri"/>
          <w:i/>
        </w:rPr>
        <w:t>e-HALMED - transformacija poslovnih procesa u cilju elektroničkog poslovanja</w:t>
      </w:r>
    </w:p>
    <w:p w14:paraId="4EC07C5B" w14:textId="77777777" w:rsidR="00D75B83" w:rsidRPr="004130E0" w:rsidRDefault="00D75B83" w:rsidP="00D75B83">
      <w:pPr>
        <w:spacing w:line="276" w:lineRule="auto"/>
        <w:ind w:left="1114"/>
        <w:jc w:val="both"/>
        <w:rPr>
          <w:rFonts w:ascii="Calibri" w:eastAsia="Calibri" w:hAnsi="Calibri" w:cs="Calibri"/>
        </w:rPr>
      </w:pPr>
      <w:r>
        <w:rPr>
          <w:rFonts w:ascii="Calibri" w:eastAsia="Calibri" w:hAnsi="Calibri" w:cs="Calibri"/>
        </w:rPr>
        <w:t>Planirana realizacija u 2023</w:t>
      </w:r>
      <w:r w:rsidRPr="00CC4684">
        <w:rPr>
          <w:rFonts w:ascii="Calibri" w:eastAsia="Calibri" w:hAnsi="Calibri" w:cs="Calibri"/>
        </w:rPr>
        <w:t>. godini:</w:t>
      </w:r>
    </w:p>
    <w:p w14:paraId="496F85C0" w14:textId="77777777" w:rsidR="00D75B83" w:rsidRDefault="00D75B83" w:rsidP="00D75B83">
      <w:pPr>
        <w:spacing w:line="276" w:lineRule="auto"/>
        <w:ind w:left="1114"/>
        <w:jc w:val="both"/>
        <w:rPr>
          <w:rFonts w:ascii="Calibri" w:eastAsia="Calibri" w:hAnsi="Calibri" w:cs="Calibri"/>
        </w:rPr>
      </w:pPr>
      <w:r w:rsidRPr="002D6A14">
        <w:rPr>
          <w:rFonts w:ascii="Calibri" w:eastAsia="Calibri" w:hAnsi="Calibri" w:cs="Calibri"/>
        </w:rPr>
        <w:t xml:space="preserve">• </w:t>
      </w:r>
      <w:r w:rsidRPr="00E07B27">
        <w:rPr>
          <w:rFonts w:ascii="Calibri" w:eastAsia="Calibri" w:hAnsi="Calibri" w:cs="Calibri"/>
        </w:rPr>
        <w:t>osigurana sredstva i pokrenuti procesi razvoja platforme i povezanih sustava</w:t>
      </w:r>
    </w:p>
    <w:p w14:paraId="566AF6A8" w14:textId="77777777" w:rsidR="00D75B83" w:rsidRDefault="00D75B83" w:rsidP="00D75B83">
      <w:pPr>
        <w:spacing w:line="276" w:lineRule="auto"/>
        <w:ind w:left="1114"/>
        <w:jc w:val="both"/>
        <w:rPr>
          <w:rFonts w:ascii="Calibri" w:eastAsia="Calibri" w:hAnsi="Calibri" w:cs="Calibri"/>
        </w:rPr>
      </w:pPr>
    </w:p>
    <w:p w14:paraId="62298025" w14:textId="77777777" w:rsidR="000D1F63" w:rsidRDefault="00D75B83" w:rsidP="0040735B">
      <w:pPr>
        <w:spacing w:line="276" w:lineRule="auto"/>
        <w:ind w:left="1114"/>
        <w:jc w:val="both"/>
      </w:pPr>
      <w:r w:rsidRPr="00CC4684">
        <w:rPr>
          <w:rFonts w:ascii="Calibri" w:eastAsia="Calibri" w:hAnsi="Calibri" w:cs="Calibri"/>
        </w:rPr>
        <w:t>Ocjena uspješnosti:</w:t>
      </w:r>
      <w:r w:rsidRPr="00DF0619">
        <w:t xml:space="preserve"> </w:t>
      </w:r>
    </w:p>
    <w:p w14:paraId="2776A5E4" w14:textId="0A1BA8DB" w:rsidR="0040735B" w:rsidRDefault="0040735B" w:rsidP="0040735B">
      <w:pPr>
        <w:spacing w:line="276" w:lineRule="auto"/>
        <w:ind w:left="1114"/>
        <w:jc w:val="both"/>
        <w:rPr>
          <w:rFonts w:ascii="Calibri" w:eastAsia="Calibri" w:hAnsi="Calibri" w:cs="Calibri"/>
        </w:rPr>
      </w:pPr>
      <w:r>
        <w:rPr>
          <w:rFonts w:ascii="Calibri" w:eastAsia="Calibri" w:hAnsi="Calibri" w:cs="Calibri"/>
        </w:rPr>
        <w:t>U cilju daljnjeg razvoja digitalnih usluga izrađen je kompletni</w:t>
      </w:r>
      <w:r w:rsidRPr="00F55907">
        <w:rPr>
          <w:rFonts w:ascii="Calibri" w:eastAsia="Calibri" w:hAnsi="Calibri" w:cs="Calibri"/>
        </w:rPr>
        <w:t xml:space="preserve"> vizualni redizajn aplikacije</w:t>
      </w:r>
      <w:r>
        <w:rPr>
          <w:rFonts w:ascii="Calibri" w:eastAsia="Calibri" w:hAnsi="Calibri" w:cs="Calibri"/>
        </w:rPr>
        <w:t xml:space="preserve"> za prijavu sumnji na nuspojave za zdravstvene radnike (OPeN) koji je obuhvatio </w:t>
      </w:r>
      <w:r w:rsidRPr="00F55907">
        <w:rPr>
          <w:rFonts w:ascii="Calibri" w:eastAsia="Calibri" w:hAnsi="Calibri" w:cs="Calibri"/>
        </w:rPr>
        <w:t>korisničko sučelj</w:t>
      </w:r>
      <w:r>
        <w:rPr>
          <w:rFonts w:ascii="Calibri" w:eastAsia="Calibri" w:hAnsi="Calibri" w:cs="Calibri"/>
        </w:rPr>
        <w:t>e</w:t>
      </w:r>
      <w:r w:rsidRPr="00F55907">
        <w:rPr>
          <w:rFonts w:ascii="Calibri" w:eastAsia="Calibri" w:hAnsi="Calibri" w:cs="Calibri"/>
        </w:rPr>
        <w:t xml:space="preserve"> </w:t>
      </w:r>
      <w:r w:rsidRPr="00F55907">
        <w:rPr>
          <w:rFonts w:ascii="Calibri" w:eastAsia="Calibri" w:hAnsi="Calibri" w:cs="Calibri"/>
        </w:rPr>
        <w:lastRenderedPageBreak/>
        <w:t>i sv</w:t>
      </w:r>
      <w:r>
        <w:rPr>
          <w:rFonts w:ascii="Calibri" w:eastAsia="Calibri" w:hAnsi="Calibri" w:cs="Calibri"/>
        </w:rPr>
        <w:t>e</w:t>
      </w:r>
      <w:r w:rsidRPr="00F55907">
        <w:rPr>
          <w:rFonts w:ascii="Calibri" w:eastAsia="Calibri" w:hAnsi="Calibri" w:cs="Calibri"/>
        </w:rPr>
        <w:t xml:space="preserve"> njegov</w:t>
      </w:r>
      <w:r>
        <w:rPr>
          <w:rFonts w:ascii="Calibri" w:eastAsia="Calibri" w:hAnsi="Calibri" w:cs="Calibri"/>
        </w:rPr>
        <w:t>e</w:t>
      </w:r>
      <w:r w:rsidRPr="00F55907">
        <w:rPr>
          <w:rFonts w:ascii="Calibri" w:eastAsia="Calibri" w:hAnsi="Calibri" w:cs="Calibri"/>
        </w:rPr>
        <w:t xml:space="preserve"> elemen</w:t>
      </w:r>
      <w:r>
        <w:rPr>
          <w:rFonts w:ascii="Calibri" w:eastAsia="Calibri" w:hAnsi="Calibri" w:cs="Calibri"/>
        </w:rPr>
        <w:t>te</w:t>
      </w:r>
      <w:r w:rsidRPr="00F55907">
        <w:rPr>
          <w:rFonts w:ascii="Calibri" w:eastAsia="Calibri" w:hAnsi="Calibri" w:cs="Calibri"/>
        </w:rPr>
        <w:t xml:space="preserve"> za interni i vanjski dio aplikacije. Osim vizualnih promjena i optimizacije funkcionalnosti i sučelja izvršena je i prilagodba za digitalnu pristupačnost sukladno Zakonu o pristupačnosti mrežnih stranica i programskih rješenja za pokretne uređaje tijela javnog sektora te implementirana pravila iz Standarda za razvoj javnih eUsluga u RH</w:t>
      </w:r>
      <w:r>
        <w:rPr>
          <w:rFonts w:ascii="Calibri" w:eastAsia="Calibri" w:hAnsi="Calibri" w:cs="Calibri"/>
        </w:rPr>
        <w:t>,</w:t>
      </w:r>
      <w:r w:rsidRPr="00F55907">
        <w:rPr>
          <w:rFonts w:ascii="Calibri" w:eastAsia="Calibri" w:hAnsi="Calibri" w:cs="Calibri"/>
        </w:rPr>
        <w:t xml:space="preserve"> poput spajanja na NIAS sustav autentifikacije i OIB registar te uvođenje navigacijske trake usluge e-Građani.</w:t>
      </w:r>
    </w:p>
    <w:p w14:paraId="0DC6DB25" w14:textId="77777777" w:rsidR="0040735B" w:rsidRDefault="0040735B" w:rsidP="0040735B">
      <w:pPr>
        <w:spacing w:line="276" w:lineRule="auto"/>
        <w:ind w:left="1114"/>
        <w:jc w:val="both"/>
        <w:rPr>
          <w:rFonts w:ascii="Calibri" w:eastAsia="Calibri" w:hAnsi="Calibri" w:cs="Calibri"/>
        </w:rPr>
      </w:pPr>
      <w:r>
        <w:rPr>
          <w:rFonts w:ascii="Calibri" w:eastAsia="Calibri" w:hAnsi="Calibri" w:cs="Calibri"/>
        </w:rPr>
        <w:t xml:space="preserve">Nadograđen je interni </w:t>
      </w:r>
      <w:r w:rsidRPr="00F55907">
        <w:rPr>
          <w:rFonts w:ascii="Calibri" w:eastAsia="Calibri" w:hAnsi="Calibri" w:cs="Calibri"/>
        </w:rPr>
        <w:t xml:space="preserve">i javni dio sustava HALMED Ekstranet portal </w:t>
      </w:r>
      <w:r>
        <w:rPr>
          <w:rFonts w:ascii="Calibri" w:eastAsia="Calibri" w:hAnsi="Calibri" w:cs="Calibri"/>
        </w:rPr>
        <w:t xml:space="preserve">koji je </w:t>
      </w:r>
      <w:r w:rsidRPr="00F55907">
        <w:rPr>
          <w:rFonts w:ascii="Calibri" w:eastAsia="Calibri" w:hAnsi="Calibri" w:cs="Calibri"/>
        </w:rPr>
        <w:t xml:space="preserve">integriran na Državnu sabirnicu (Government Service Bus - GSB) koja osigurava sigurnu razmjenu podataka i dohvat podataka iz različitih izvora (javnih registara) između pojedinih tijela javnog sektora. U sustavu HALMED Ekstranet portal putem Državne sabirnice koristi </w:t>
      </w:r>
      <w:r>
        <w:rPr>
          <w:rFonts w:ascii="Calibri" w:eastAsia="Calibri" w:hAnsi="Calibri" w:cs="Calibri"/>
        </w:rPr>
        <w:t xml:space="preserve">se </w:t>
      </w:r>
      <w:r w:rsidRPr="00F55907">
        <w:rPr>
          <w:rFonts w:ascii="Calibri" w:eastAsia="Calibri" w:hAnsi="Calibri" w:cs="Calibri"/>
        </w:rPr>
        <w:t>OIB registar preko sustava NIAS i sustava e-Građani za dohvaćanje i provjeru vjerodostojnosti podataka o organizacijama, ovlaštenicima i korisnicima za pravne i fizičke osobe</w:t>
      </w:r>
      <w:r>
        <w:rPr>
          <w:rFonts w:ascii="Calibri" w:eastAsia="Calibri" w:hAnsi="Calibri" w:cs="Calibri"/>
        </w:rPr>
        <w:t xml:space="preserve"> te je povezan</w:t>
      </w:r>
      <w:r w:rsidRPr="00F55907">
        <w:rPr>
          <w:rFonts w:ascii="Calibri" w:eastAsia="Calibri" w:hAnsi="Calibri" w:cs="Calibri"/>
        </w:rPr>
        <w:t xml:space="preserve"> na modul</w:t>
      </w:r>
      <w:r>
        <w:rPr>
          <w:rFonts w:ascii="Calibri" w:eastAsia="Calibri" w:hAnsi="Calibri" w:cs="Calibri"/>
        </w:rPr>
        <w:t>e</w:t>
      </w:r>
      <w:r w:rsidRPr="00F55907">
        <w:rPr>
          <w:rFonts w:ascii="Calibri" w:eastAsia="Calibri" w:hAnsi="Calibri" w:cs="Calibri"/>
        </w:rPr>
        <w:t xml:space="preserve"> e-Ovlaštenje </w:t>
      </w:r>
      <w:r>
        <w:rPr>
          <w:rFonts w:ascii="Calibri" w:eastAsia="Calibri" w:hAnsi="Calibri" w:cs="Calibri"/>
        </w:rPr>
        <w:t xml:space="preserve">i </w:t>
      </w:r>
      <w:r w:rsidRPr="00F55907">
        <w:rPr>
          <w:rFonts w:ascii="Calibri" w:eastAsia="Calibri" w:hAnsi="Calibri" w:cs="Calibri"/>
        </w:rPr>
        <w:t>e-Poslovanje.</w:t>
      </w:r>
      <w:r>
        <w:rPr>
          <w:rFonts w:ascii="Calibri" w:eastAsia="Calibri" w:hAnsi="Calibri" w:cs="Calibri"/>
        </w:rPr>
        <w:t xml:space="preserve"> Za potrebe predaje zahtjeva za davanjem suglasnosti za uvoz i unos lijekova razvijen je novi modul za izradu liste lijekova za koje se traži suglasnost u XML formatu iz već postojećih podataka o lijekovima za koje je ranije tražena suglasnost ili su odobreni za stavljanje u promet nacionalnim i europskim postupcima davanja odobrenja. </w:t>
      </w:r>
    </w:p>
    <w:p w14:paraId="20D1E094" w14:textId="200C95EF" w:rsidR="0040735B" w:rsidRPr="004130E0" w:rsidRDefault="0040735B" w:rsidP="0040735B">
      <w:pPr>
        <w:spacing w:line="276" w:lineRule="auto"/>
        <w:ind w:left="1114"/>
        <w:jc w:val="both"/>
        <w:rPr>
          <w:rFonts w:ascii="Calibri" w:eastAsia="Calibri" w:hAnsi="Calibri" w:cs="Calibri"/>
        </w:rPr>
      </w:pPr>
      <w:r>
        <w:rPr>
          <w:rFonts w:ascii="Calibri" w:eastAsia="Calibri" w:hAnsi="Calibri" w:cs="Calibri"/>
        </w:rPr>
        <w:t xml:space="preserve">U sklopu realizacije projekta eLijekovi razvijen je set servisa za automatsko slanje podataka iz poslovnih aplikacija HALMED-a u bazu podataka eLijekovi kako bi se proces ubrzao i optimizirao te osigurala kvaliteta podataka i njihov integritet. </w:t>
      </w:r>
    </w:p>
    <w:p w14:paraId="2EA141D8" w14:textId="77777777" w:rsidR="0040735B" w:rsidRPr="004130E0" w:rsidRDefault="0040735B" w:rsidP="0040735B">
      <w:pPr>
        <w:spacing w:line="276" w:lineRule="auto"/>
        <w:ind w:left="1114"/>
        <w:jc w:val="both"/>
        <w:rPr>
          <w:rFonts w:ascii="Calibri" w:eastAsia="Calibri" w:hAnsi="Calibri" w:cs="Calibri"/>
        </w:rPr>
      </w:pPr>
    </w:p>
    <w:p w14:paraId="7DD446F8" w14:textId="77777777" w:rsidR="00D75B83" w:rsidRDefault="00D75B83" w:rsidP="000E1B0A">
      <w:pPr>
        <w:spacing w:line="276" w:lineRule="auto"/>
        <w:ind w:left="360"/>
        <w:jc w:val="both"/>
        <w:rPr>
          <w:rFonts w:ascii="Calibri" w:eastAsia="Calibri" w:hAnsi="Calibri" w:cs="Calibri"/>
          <w:i/>
        </w:rPr>
      </w:pPr>
      <w:r>
        <w:rPr>
          <w:rFonts w:ascii="Calibri" w:eastAsia="Calibri" w:hAnsi="Calibri" w:cs="Calibri"/>
          <w:i/>
        </w:rPr>
        <w:t xml:space="preserve">3.4. </w:t>
      </w:r>
      <w:r w:rsidRPr="00A34E8A">
        <w:rPr>
          <w:rFonts w:ascii="Calibri" w:eastAsia="Calibri" w:hAnsi="Calibri" w:cs="Calibri"/>
          <w:i/>
        </w:rPr>
        <w:t>Održivo samofinanciranje</w:t>
      </w:r>
    </w:p>
    <w:p w14:paraId="53B39FF0" w14:textId="77777777" w:rsidR="00D75B83" w:rsidRPr="004130E0" w:rsidRDefault="00D75B83" w:rsidP="00D75B83">
      <w:pPr>
        <w:spacing w:line="276" w:lineRule="auto"/>
        <w:ind w:left="1114"/>
        <w:jc w:val="both"/>
        <w:rPr>
          <w:rFonts w:ascii="Calibri" w:eastAsia="Calibri" w:hAnsi="Calibri" w:cs="Calibri"/>
        </w:rPr>
      </w:pPr>
      <w:r>
        <w:rPr>
          <w:rFonts w:ascii="Calibri" w:eastAsia="Calibri" w:hAnsi="Calibri" w:cs="Calibri"/>
        </w:rPr>
        <w:t>Planirana realizacija u 2023</w:t>
      </w:r>
      <w:r w:rsidRPr="00CC4684">
        <w:rPr>
          <w:rFonts w:ascii="Calibri" w:eastAsia="Calibri" w:hAnsi="Calibri" w:cs="Calibri"/>
        </w:rPr>
        <w:t>. godini:</w:t>
      </w:r>
    </w:p>
    <w:p w14:paraId="2D0BA02B" w14:textId="2DC2D5E8" w:rsidR="00D75B83" w:rsidRDefault="00D75B83" w:rsidP="00D75B83">
      <w:pPr>
        <w:spacing w:line="276" w:lineRule="auto"/>
        <w:ind w:left="1114"/>
        <w:rPr>
          <w:rFonts w:ascii="Calibri" w:eastAsia="Calibri" w:hAnsi="Calibri" w:cs="Calibri"/>
        </w:rPr>
      </w:pPr>
      <w:r w:rsidRPr="002D6A14">
        <w:rPr>
          <w:rFonts w:ascii="Calibri" w:eastAsia="Calibri" w:hAnsi="Calibri" w:cs="Calibri"/>
        </w:rPr>
        <w:t>• ostvaren rast prihoda od europskih poslova i projekata za 13% u odnosu na planiranu</w:t>
      </w:r>
      <w:r w:rsidRPr="002D6A14">
        <w:rPr>
          <w:rFonts w:ascii="Calibri" w:eastAsia="Calibri" w:hAnsi="Calibri" w:cs="Calibri"/>
        </w:rPr>
        <w:br/>
        <w:t>202</w:t>
      </w:r>
      <w:r w:rsidR="00EE6D1D">
        <w:rPr>
          <w:rFonts w:ascii="Calibri" w:eastAsia="Calibri" w:hAnsi="Calibri" w:cs="Calibri"/>
        </w:rPr>
        <w:t>2</w:t>
      </w:r>
      <w:r w:rsidRPr="002D6A14">
        <w:rPr>
          <w:rFonts w:ascii="Calibri" w:eastAsia="Calibri" w:hAnsi="Calibri" w:cs="Calibri"/>
        </w:rPr>
        <w:t>. godinu</w:t>
      </w:r>
      <w:r w:rsidRPr="002D6A14">
        <w:rPr>
          <w:rFonts w:ascii="Calibri" w:eastAsia="Calibri" w:hAnsi="Calibri" w:cs="Calibri"/>
        </w:rPr>
        <w:br/>
        <w:t>• ostvaren prihod od nacionalnih poslova na razini planirane 202</w:t>
      </w:r>
      <w:r w:rsidR="00EE6D1D">
        <w:rPr>
          <w:rFonts w:ascii="Calibri" w:eastAsia="Calibri" w:hAnsi="Calibri" w:cs="Calibri"/>
        </w:rPr>
        <w:t>2</w:t>
      </w:r>
      <w:r w:rsidRPr="002D6A14">
        <w:rPr>
          <w:rFonts w:ascii="Calibri" w:eastAsia="Calibri" w:hAnsi="Calibri" w:cs="Calibri"/>
        </w:rPr>
        <w:t>. godine</w:t>
      </w:r>
      <w:r w:rsidRPr="002D6A14">
        <w:rPr>
          <w:rFonts w:ascii="Calibri" w:eastAsia="Calibri" w:hAnsi="Calibri" w:cs="Calibri"/>
        </w:rPr>
        <w:br/>
        <w:t xml:space="preserve">• rast troškova </w:t>
      </w:r>
      <w:r w:rsidR="002A4818">
        <w:rPr>
          <w:rFonts w:ascii="Calibri" w:eastAsia="Calibri" w:hAnsi="Calibri" w:cs="Calibri"/>
        </w:rPr>
        <w:t xml:space="preserve">poslovanja </w:t>
      </w:r>
      <w:r w:rsidRPr="002D6A14">
        <w:rPr>
          <w:rFonts w:ascii="Calibri" w:eastAsia="Calibri" w:hAnsi="Calibri" w:cs="Calibri"/>
        </w:rPr>
        <w:t>do najviše 2% u odnosu na planirane u 202</w:t>
      </w:r>
      <w:r w:rsidR="00EE6D1D">
        <w:rPr>
          <w:rFonts w:ascii="Calibri" w:eastAsia="Calibri" w:hAnsi="Calibri" w:cs="Calibri"/>
        </w:rPr>
        <w:t>2</w:t>
      </w:r>
      <w:r w:rsidRPr="002D6A14">
        <w:rPr>
          <w:rFonts w:ascii="Calibri" w:eastAsia="Calibri" w:hAnsi="Calibri" w:cs="Calibri"/>
        </w:rPr>
        <w:t>. godini</w:t>
      </w:r>
    </w:p>
    <w:p w14:paraId="320C4D44" w14:textId="77777777" w:rsidR="00D75B83" w:rsidRDefault="00D75B83" w:rsidP="00D75B83">
      <w:pPr>
        <w:spacing w:line="276" w:lineRule="auto"/>
        <w:ind w:left="1114"/>
        <w:jc w:val="both"/>
        <w:rPr>
          <w:rFonts w:ascii="Calibri" w:eastAsia="Calibri" w:hAnsi="Calibri" w:cs="Calibri"/>
        </w:rPr>
      </w:pPr>
    </w:p>
    <w:p w14:paraId="1CFCF3A9" w14:textId="487DD7DF" w:rsidR="00D75B83" w:rsidRDefault="00D75B83" w:rsidP="000D1F63">
      <w:pPr>
        <w:ind w:left="1114"/>
        <w:jc w:val="both"/>
        <w:rPr>
          <w:rFonts w:ascii="Calibri" w:eastAsia="Calibri" w:hAnsi="Calibri" w:cs="Calibri"/>
        </w:rPr>
      </w:pPr>
      <w:r w:rsidRPr="00CC4684">
        <w:rPr>
          <w:rFonts w:ascii="Calibri" w:eastAsia="Calibri" w:hAnsi="Calibri" w:cs="Calibri"/>
        </w:rPr>
        <w:t>Ocjena uspješnosti:</w:t>
      </w:r>
      <w:r>
        <w:rPr>
          <w:rFonts w:ascii="Calibri" w:eastAsia="Calibri" w:hAnsi="Calibri" w:cs="Calibri"/>
        </w:rPr>
        <w:t xml:space="preserve"> Planirana realizacija cilja u 2023. godini  u potpunosti je izvršena</w:t>
      </w:r>
      <w:r w:rsidR="00EE6D1D">
        <w:rPr>
          <w:rFonts w:ascii="Calibri" w:eastAsia="Calibri" w:hAnsi="Calibri" w:cs="Calibri"/>
        </w:rPr>
        <w:t xml:space="preserve"> te su ostvareni iznad planirani rezultati</w:t>
      </w:r>
    </w:p>
    <w:p w14:paraId="2F1C5896" w14:textId="6D255948" w:rsidR="00D75B83" w:rsidRPr="00EE6D1D" w:rsidRDefault="00D75B83" w:rsidP="00AC375F">
      <w:pPr>
        <w:pStyle w:val="ListParagraph"/>
        <w:numPr>
          <w:ilvl w:val="0"/>
          <w:numId w:val="46"/>
        </w:numPr>
        <w:spacing w:before="0" w:after="0" w:line="240" w:lineRule="auto"/>
        <w:jc w:val="both"/>
        <w:rPr>
          <w:rFonts w:ascii="Calibri" w:eastAsia="Calibri" w:hAnsi="Calibri" w:cs="Calibri"/>
          <w:sz w:val="22"/>
          <w:szCs w:val="22"/>
        </w:rPr>
      </w:pPr>
      <w:r w:rsidRPr="00EE6D1D">
        <w:rPr>
          <w:rFonts w:ascii="Calibri" w:eastAsia="Calibri" w:hAnsi="Calibri" w:cs="Calibri"/>
          <w:sz w:val="22"/>
          <w:szCs w:val="22"/>
        </w:rPr>
        <w:t xml:space="preserve">ostvaren je porast prihoda od europskih poslova za </w:t>
      </w:r>
      <w:r w:rsidR="00EE6D1D" w:rsidRPr="00EE6D1D">
        <w:rPr>
          <w:rFonts w:ascii="Calibri" w:eastAsia="Calibri" w:hAnsi="Calibri" w:cs="Calibri"/>
          <w:sz w:val="22"/>
          <w:szCs w:val="22"/>
        </w:rPr>
        <w:t>34</w:t>
      </w:r>
      <w:r w:rsidRPr="00EE6D1D">
        <w:rPr>
          <w:rFonts w:ascii="Calibri" w:eastAsia="Calibri" w:hAnsi="Calibri" w:cs="Calibri"/>
          <w:sz w:val="22"/>
          <w:szCs w:val="22"/>
        </w:rPr>
        <w:t>% u odnosu na planiranu 2022. godinu</w:t>
      </w:r>
    </w:p>
    <w:p w14:paraId="6D7F4330" w14:textId="1D825119" w:rsidR="00D75B83" w:rsidRPr="00EE6D1D" w:rsidRDefault="00D75B83" w:rsidP="00AC375F">
      <w:pPr>
        <w:pStyle w:val="ListParagraph"/>
        <w:numPr>
          <w:ilvl w:val="0"/>
          <w:numId w:val="46"/>
        </w:numPr>
        <w:spacing w:before="0" w:after="0" w:line="240" w:lineRule="auto"/>
        <w:jc w:val="both"/>
        <w:rPr>
          <w:rFonts w:ascii="Calibri" w:eastAsia="Calibri" w:hAnsi="Calibri" w:cs="Calibri"/>
          <w:sz w:val="22"/>
          <w:szCs w:val="22"/>
        </w:rPr>
      </w:pPr>
      <w:r w:rsidRPr="00EE6D1D">
        <w:rPr>
          <w:rFonts w:ascii="Calibri" w:eastAsia="Calibri" w:hAnsi="Calibri" w:cs="Calibri"/>
          <w:sz w:val="22"/>
          <w:szCs w:val="22"/>
        </w:rPr>
        <w:t>ostvaren je prihod od nacionalnih poslova veći za 1</w:t>
      </w:r>
      <w:r w:rsidR="00EE6D1D" w:rsidRPr="00EE6D1D">
        <w:rPr>
          <w:rFonts w:ascii="Calibri" w:eastAsia="Calibri" w:hAnsi="Calibri" w:cs="Calibri"/>
          <w:sz w:val="22"/>
          <w:szCs w:val="22"/>
        </w:rPr>
        <w:t>0</w:t>
      </w:r>
      <w:r w:rsidRPr="00EE6D1D">
        <w:rPr>
          <w:rFonts w:ascii="Calibri" w:eastAsia="Calibri" w:hAnsi="Calibri" w:cs="Calibri"/>
          <w:sz w:val="22"/>
          <w:szCs w:val="22"/>
        </w:rPr>
        <w:t>% u odnosu na planiranu 2022.godinu</w:t>
      </w:r>
    </w:p>
    <w:p w14:paraId="46417A54" w14:textId="1C9D3AD4" w:rsidR="00D75B83" w:rsidRDefault="00EE6D1D" w:rsidP="00AC375F">
      <w:pPr>
        <w:pStyle w:val="ListParagraph"/>
        <w:numPr>
          <w:ilvl w:val="0"/>
          <w:numId w:val="46"/>
        </w:numPr>
        <w:spacing w:before="0" w:after="0" w:line="240" w:lineRule="auto"/>
        <w:jc w:val="both"/>
        <w:rPr>
          <w:rFonts w:ascii="Calibri" w:eastAsia="Calibri" w:hAnsi="Calibri" w:cs="Calibri"/>
          <w:sz w:val="22"/>
          <w:szCs w:val="22"/>
        </w:rPr>
      </w:pPr>
      <w:r w:rsidRPr="00EE6D1D">
        <w:rPr>
          <w:rFonts w:ascii="Calibri" w:eastAsia="Calibri" w:hAnsi="Calibri" w:cs="Calibri"/>
          <w:sz w:val="22"/>
          <w:szCs w:val="22"/>
        </w:rPr>
        <w:t>rast troškova poslovanja kretao se proporcionalno rastu poslovnih prihoda a realizirana je i minimalna dobit</w:t>
      </w:r>
      <w:r w:rsidR="00D75B83" w:rsidRPr="00EE6D1D">
        <w:rPr>
          <w:rFonts w:ascii="Calibri" w:eastAsia="Calibri" w:hAnsi="Calibri" w:cs="Calibri"/>
          <w:sz w:val="22"/>
          <w:szCs w:val="22"/>
        </w:rPr>
        <w:t>.</w:t>
      </w:r>
    </w:p>
    <w:p w14:paraId="56E687CB" w14:textId="77777777" w:rsidR="000D1F63" w:rsidRPr="00EE6D1D" w:rsidRDefault="000D1F63" w:rsidP="000D1F63">
      <w:pPr>
        <w:pStyle w:val="ListParagraph"/>
        <w:spacing w:before="0" w:after="0" w:line="240" w:lineRule="auto"/>
        <w:ind w:left="1834"/>
        <w:jc w:val="both"/>
        <w:rPr>
          <w:rFonts w:ascii="Calibri" w:eastAsia="Calibri" w:hAnsi="Calibri" w:cs="Calibri"/>
          <w:sz w:val="22"/>
          <w:szCs w:val="22"/>
        </w:rPr>
      </w:pPr>
    </w:p>
    <w:p w14:paraId="58FEC5F3" w14:textId="77777777" w:rsidR="00D75B83" w:rsidRDefault="00D75B83" w:rsidP="000E1B0A">
      <w:pPr>
        <w:spacing w:line="276" w:lineRule="auto"/>
        <w:ind w:left="360"/>
        <w:jc w:val="both"/>
        <w:rPr>
          <w:rFonts w:ascii="Calibri" w:eastAsia="Calibri" w:hAnsi="Calibri" w:cs="Calibri"/>
          <w:i/>
        </w:rPr>
      </w:pPr>
      <w:r>
        <w:rPr>
          <w:rFonts w:ascii="Calibri" w:eastAsia="Calibri" w:hAnsi="Calibri" w:cs="Calibri"/>
          <w:i/>
        </w:rPr>
        <w:t>3.5. R</w:t>
      </w:r>
      <w:r w:rsidRPr="00A34E8A">
        <w:rPr>
          <w:rFonts w:ascii="Calibri" w:eastAsia="Calibri" w:hAnsi="Calibri" w:cs="Calibri"/>
          <w:i/>
        </w:rPr>
        <w:t xml:space="preserve">ješavanje prostornih kapaciteta za obavljanje djelatnosti </w:t>
      </w:r>
    </w:p>
    <w:p w14:paraId="40FCE886" w14:textId="77777777" w:rsidR="00D75B83" w:rsidRPr="004130E0" w:rsidRDefault="00D75B83" w:rsidP="00D75B83">
      <w:pPr>
        <w:spacing w:line="276" w:lineRule="auto"/>
        <w:ind w:left="1114"/>
        <w:jc w:val="both"/>
        <w:rPr>
          <w:rFonts w:ascii="Calibri" w:eastAsia="Calibri" w:hAnsi="Calibri" w:cs="Calibri"/>
        </w:rPr>
      </w:pPr>
      <w:r>
        <w:rPr>
          <w:rFonts w:ascii="Calibri" w:eastAsia="Calibri" w:hAnsi="Calibri" w:cs="Calibri"/>
        </w:rPr>
        <w:t>Planirana realizacija u 2023</w:t>
      </w:r>
      <w:r w:rsidRPr="00CC4684">
        <w:rPr>
          <w:rFonts w:ascii="Calibri" w:eastAsia="Calibri" w:hAnsi="Calibri" w:cs="Calibri"/>
        </w:rPr>
        <w:t>. godini:</w:t>
      </w:r>
    </w:p>
    <w:p w14:paraId="41713013" w14:textId="77777777" w:rsidR="00D75B83" w:rsidRPr="00E07B27" w:rsidRDefault="00D75B83" w:rsidP="00D75B83">
      <w:pPr>
        <w:spacing w:line="276" w:lineRule="auto"/>
        <w:ind w:left="1114"/>
        <w:rPr>
          <w:rFonts w:ascii="Calibri" w:eastAsia="Calibri" w:hAnsi="Calibri" w:cs="Calibri"/>
        </w:rPr>
      </w:pPr>
      <w:r w:rsidRPr="002D6A14">
        <w:rPr>
          <w:rFonts w:ascii="Calibri" w:eastAsia="Calibri" w:hAnsi="Calibri" w:cs="Calibri"/>
        </w:rPr>
        <w:t xml:space="preserve">• </w:t>
      </w:r>
      <w:r w:rsidRPr="00E07B27">
        <w:rPr>
          <w:rFonts w:ascii="Calibri" w:eastAsia="Calibri" w:hAnsi="Calibri" w:cs="Calibri"/>
        </w:rPr>
        <w:t>Prezentacija Elaborata o optimalnim resursima i organizacijskim tijekovima</w:t>
      </w:r>
    </w:p>
    <w:p w14:paraId="2E4E291D" w14:textId="77777777" w:rsidR="00D75B83" w:rsidRPr="00E07B27" w:rsidRDefault="00D75B83" w:rsidP="00D75B83">
      <w:pPr>
        <w:spacing w:line="276" w:lineRule="auto"/>
        <w:ind w:left="1114"/>
        <w:rPr>
          <w:rFonts w:ascii="Calibri" w:eastAsia="Calibri" w:hAnsi="Calibri" w:cs="Calibri"/>
        </w:rPr>
      </w:pPr>
      <w:r w:rsidRPr="00E07B27">
        <w:rPr>
          <w:rFonts w:ascii="Calibri" w:eastAsia="Calibri" w:hAnsi="Calibri" w:cs="Calibri"/>
        </w:rPr>
        <w:t>Upravnom vijeću HALMED-a</w:t>
      </w:r>
    </w:p>
    <w:p w14:paraId="078BF9B5" w14:textId="77777777" w:rsidR="00D75B83" w:rsidRPr="00E07B27" w:rsidRDefault="00D75B83" w:rsidP="00D75B83">
      <w:pPr>
        <w:spacing w:line="276" w:lineRule="auto"/>
        <w:ind w:left="1114"/>
        <w:rPr>
          <w:rFonts w:ascii="Calibri" w:eastAsia="Calibri" w:hAnsi="Calibri" w:cs="Calibri"/>
        </w:rPr>
      </w:pPr>
      <w:r w:rsidRPr="00E07B27">
        <w:rPr>
          <w:rFonts w:ascii="Calibri" w:eastAsia="Calibri" w:hAnsi="Calibri" w:cs="Calibri"/>
        </w:rPr>
        <w:t>• Izrada i prezentacija Upravnom vijeću HALMED-a Elaborata o isplativosti kapitalnog</w:t>
      </w:r>
    </w:p>
    <w:p w14:paraId="1FF742C3" w14:textId="4C24BE93" w:rsidR="00D75B83" w:rsidRDefault="000D1F63" w:rsidP="00D75B83">
      <w:pPr>
        <w:spacing w:line="276" w:lineRule="auto"/>
        <w:ind w:left="1114"/>
        <w:rPr>
          <w:rFonts w:ascii="Calibri" w:eastAsia="Calibri" w:hAnsi="Calibri" w:cs="Calibri"/>
        </w:rPr>
      </w:pPr>
      <w:r>
        <w:rPr>
          <w:rFonts w:ascii="Calibri" w:eastAsia="Calibri" w:hAnsi="Calibri" w:cs="Calibri"/>
        </w:rPr>
        <w:t>u</w:t>
      </w:r>
      <w:r w:rsidR="00D75B83" w:rsidRPr="00E07B27">
        <w:rPr>
          <w:rFonts w:ascii="Calibri" w:eastAsia="Calibri" w:hAnsi="Calibri" w:cs="Calibri"/>
        </w:rPr>
        <w:t>laganja</w:t>
      </w:r>
    </w:p>
    <w:p w14:paraId="6BC8FA8B" w14:textId="77777777" w:rsidR="00D75B83" w:rsidRDefault="00D75B83" w:rsidP="00D75B83">
      <w:pPr>
        <w:spacing w:line="276" w:lineRule="auto"/>
        <w:ind w:left="1114"/>
        <w:rPr>
          <w:rFonts w:ascii="Calibri" w:eastAsia="Calibri" w:hAnsi="Calibri" w:cs="Calibri"/>
        </w:rPr>
      </w:pPr>
    </w:p>
    <w:p w14:paraId="024DDDF4" w14:textId="77777777" w:rsidR="00D75B83" w:rsidRPr="004130E0" w:rsidRDefault="00D75B83" w:rsidP="00D75B83">
      <w:pPr>
        <w:spacing w:line="276" w:lineRule="auto"/>
        <w:ind w:left="1114"/>
        <w:jc w:val="both"/>
        <w:rPr>
          <w:rFonts w:ascii="Calibri" w:eastAsia="Calibri" w:hAnsi="Calibri" w:cs="Calibri"/>
        </w:rPr>
      </w:pPr>
      <w:r w:rsidRPr="00CC4684">
        <w:rPr>
          <w:rFonts w:ascii="Calibri" w:eastAsia="Calibri" w:hAnsi="Calibri" w:cs="Calibri"/>
        </w:rPr>
        <w:t>Ocjena uspješnosti:</w:t>
      </w:r>
    </w:p>
    <w:p w14:paraId="5D5856EE" w14:textId="77777777" w:rsidR="00527E83" w:rsidRPr="00CD285E" w:rsidRDefault="00527E83" w:rsidP="00527E83">
      <w:pPr>
        <w:spacing w:line="276" w:lineRule="auto"/>
        <w:ind w:left="1114"/>
        <w:jc w:val="both"/>
        <w:rPr>
          <w:rFonts w:ascii="Calibri" w:eastAsia="Calibri" w:hAnsi="Calibri" w:cs="Calibri"/>
        </w:rPr>
      </w:pPr>
      <w:r w:rsidRPr="00CD285E">
        <w:rPr>
          <w:rFonts w:ascii="Calibri" w:eastAsia="Calibri" w:hAnsi="Calibri" w:cs="Calibri"/>
        </w:rPr>
        <w:t xml:space="preserve">Početkom 2023. godine na snagu je stupio novi Zakon o radu kojim je </w:t>
      </w:r>
      <w:r>
        <w:rPr>
          <w:rFonts w:ascii="Calibri" w:eastAsia="Calibri" w:hAnsi="Calibri" w:cs="Calibri"/>
        </w:rPr>
        <w:t xml:space="preserve">propisana mogućnost </w:t>
      </w:r>
      <w:r w:rsidRPr="00CD285E">
        <w:rPr>
          <w:rFonts w:ascii="Calibri" w:eastAsia="Calibri" w:hAnsi="Calibri" w:cs="Calibri"/>
        </w:rPr>
        <w:t>rad</w:t>
      </w:r>
      <w:r>
        <w:rPr>
          <w:rFonts w:ascii="Calibri" w:eastAsia="Calibri" w:hAnsi="Calibri" w:cs="Calibri"/>
        </w:rPr>
        <w:t>a</w:t>
      </w:r>
      <w:r w:rsidRPr="00CD285E">
        <w:rPr>
          <w:rFonts w:ascii="Calibri" w:eastAsia="Calibri" w:hAnsi="Calibri" w:cs="Calibri"/>
        </w:rPr>
        <w:t xml:space="preserve"> na izdvojenom mjestu rada te je Agencija izmijenila Pravilnik o radu na način da je </w:t>
      </w:r>
      <w:r>
        <w:rPr>
          <w:rFonts w:ascii="Calibri" w:eastAsia="Calibri" w:hAnsi="Calibri" w:cs="Calibri"/>
        </w:rPr>
        <w:lastRenderedPageBreak/>
        <w:t xml:space="preserve">zaposlenicima </w:t>
      </w:r>
      <w:r w:rsidRPr="00CD285E">
        <w:rPr>
          <w:rFonts w:ascii="Calibri" w:eastAsia="Calibri" w:hAnsi="Calibri" w:cs="Calibri"/>
        </w:rPr>
        <w:t>omogućen rad na izdvojenom mjestu rada</w:t>
      </w:r>
      <w:r>
        <w:rPr>
          <w:rFonts w:ascii="Calibri" w:eastAsia="Calibri" w:hAnsi="Calibri" w:cs="Calibri"/>
        </w:rPr>
        <w:t xml:space="preserve"> i to </w:t>
      </w:r>
      <w:r w:rsidRPr="00CD285E">
        <w:rPr>
          <w:rFonts w:ascii="Calibri" w:eastAsia="Calibri" w:hAnsi="Calibri" w:cs="Calibri"/>
        </w:rPr>
        <w:t>1 radni dan tjedno</w:t>
      </w:r>
      <w:r>
        <w:rPr>
          <w:rFonts w:ascii="Calibri" w:eastAsia="Calibri" w:hAnsi="Calibri" w:cs="Calibri"/>
        </w:rPr>
        <w:t>. Navedeno trajanje rada na izdvojenom mjestu rada zaposlenika</w:t>
      </w:r>
      <w:r w:rsidRPr="00CD285E">
        <w:rPr>
          <w:rFonts w:ascii="Calibri" w:eastAsia="Calibri" w:hAnsi="Calibri" w:cs="Calibri"/>
        </w:rPr>
        <w:t xml:space="preserve"> </w:t>
      </w:r>
      <w:r>
        <w:rPr>
          <w:rFonts w:ascii="Calibri" w:eastAsia="Calibri" w:hAnsi="Calibri" w:cs="Calibri"/>
        </w:rPr>
        <w:t xml:space="preserve">Agencije </w:t>
      </w:r>
      <w:r w:rsidRPr="00CD285E">
        <w:rPr>
          <w:rFonts w:ascii="Calibri" w:eastAsia="Calibri" w:hAnsi="Calibri" w:cs="Calibri"/>
        </w:rPr>
        <w:t xml:space="preserve">nije dovoljan za donošenje odluke o smanjenju potreba za </w:t>
      </w:r>
      <w:r>
        <w:rPr>
          <w:rFonts w:ascii="Calibri" w:eastAsia="Calibri" w:hAnsi="Calibri" w:cs="Calibri"/>
        </w:rPr>
        <w:t xml:space="preserve">zakupljenim </w:t>
      </w:r>
      <w:r w:rsidRPr="00CD285E">
        <w:rPr>
          <w:rFonts w:ascii="Calibri" w:eastAsia="Calibri" w:hAnsi="Calibri" w:cs="Calibri"/>
        </w:rPr>
        <w:t>poslovnim prostorom.</w:t>
      </w:r>
    </w:p>
    <w:p w14:paraId="210BD350" w14:textId="158BBE59" w:rsidR="00527E83" w:rsidRPr="00CD285E" w:rsidRDefault="00527E83" w:rsidP="00527E83">
      <w:pPr>
        <w:spacing w:line="276" w:lineRule="auto"/>
        <w:ind w:left="1114"/>
        <w:jc w:val="both"/>
        <w:rPr>
          <w:rFonts w:ascii="Calibri" w:eastAsia="Calibri" w:hAnsi="Calibri" w:cs="Calibri"/>
        </w:rPr>
      </w:pPr>
      <w:r w:rsidRPr="00CD285E">
        <w:rPr>
          <w:rFonts w:ascii="Calibri" w:eastAsia="Calibri" w:hAnsi="Calibri" w:cs="Calibri"/>
        </w:rPr>
        <w:t xml:space="preserve">U cilju dugoročnog rješavanja prostornih kapaciteta za obavljanje djelatnosti u 2023. godini Agencija je </w:t>
      </w:r>
      <w:r>
        <w:rPr>
          <w:rFonts w:ascii="Calibri" w:eastAsia="Calibri" w:hAnsi="Calibri" w:cs="Calibri"/>
        </w:rPr>
        <w:t xml:space="preserve">održala sastanke </w:t>
      </w:r>
      <w:r w:rsidRPr="00CD285E">
        <w:rPr>
          <w:rFonts w:ascii="Calibri" w:eastAsia="Calibri" w:hAnsi="Calibri" w:cs="Calibri"/>
        </w:rPr>
        <w:t xml:space="preserve">s Upravnim vijećem i Ministarstvom zdravstva </w:t>
      </w:r>
      <w:r>
        <w:rPr>
          <w:rFonts w:ascii="Calibri" w:eastAsia="Calibri" w:hAnsi="Calibri" w:cs="Calibri"/>
        </w:rPr>
        <w:t xml:space="preserve">u svezi </w:t>
      </w:r>
      <w:r w:rsidRPr="00CD285E">
        <w:rPr>
          <w:rFonts w:ascii="Calibri" w:eastAsia="Calibri" w:hAnsi="Calibri" w:cs="Calibri"/>
        </w:rPr>
        <w:t>pr</w:t>
      </w:r>
      <w:r>
        <w:rPr>
          <w:rFonts w:ascii="Calibri" w:eastAsia="Calibri" w:hAnsi="Calibri" w:cs="Calibri"/>
        </w:rPr>
        <w:t>ij</w:t>
      </w:r>
      <w:r w:rsidRPr="00CD285E">
        <w:rPr>
          <w:rFonts w:ascii="Calibri" w:eastAsia="Calibri" w:hAnsi="Calibri" w:cs="Calibri"/>
        </w:rPr>
        <w:t>edloga kupnje poslovnog prostora</w:t>
      </w:r>
      <w:r>
        <w:rPr>
          <w:rFonts w:ascii="Calibri" w:eastAsia="Calibri" w:hAnsi="Calibri" w:cs="Calibri"/>
        </w:rPr>
        <w:t xml:space="preserve"> za potrebe Agencije</w:t>
      </w:r>
      <w:r w:rsidRPr="00CD285E">
        <w:rPr>
          <w:rFonts w:ascii="Calibri" w:eastAsia="Calibri" w:hAnsi="Calibri" w:cs="Calibri"/>
        </w:rPr>
        <w:t xml:space="preserve"> te </w:t>
      </w:r>
      <w:r w:rsidR="00355A12">
        <w:rPr>
          <w:rFonts w:ascii="Calibri" w:eastAsia="Calibri" w:hAnsi="Calibri" w:cs="Calibri"/>
        </w:rPr>
        <w:t xml:space="preserve">je naručena </w:t>
      </w:r>
      <w:r w:rsidRPr="00CD285E">
        <w:rPr>
          <w:rFonts w:ascii="Calibri" w:eastAsia="Calibri" w:hAnsi="Calibri" w:cs="Calibri"/>
        </w:rPr>
        <w:t>izrad</w:t>
      </w:r>
      <w:r w:rsidR="00355A12">
        <w:rPr>
          <w:rFonts w:ascii="Calibri" w:eastAsia="Calibri" w:hAnsi="Calibri" w:cs="Calibri"/>
        </w:rPr>
        <w:t>a</w:t>
      </w:r>
      <w:r w:rsidRPr="00CD285E">
        <w:rPr>
          <w:rFonts w:ascii="Calibri" w:eastAsia="Calibri" w:hAnsi="Calibri" w:cs="Calibri"/>
        </w:rPr>
        <w:t xml:space="preserve"> Studije isplativosti</w:t>
      </w:r>
      <w:r>
        <w:rPr>
          <w:rFonts w:ascii="Calibri" w:eastAsia="Calibri" w:hAnsi="Calibri" w:cs="Calibri"/>
        </w:rPr>
        <w:t>.</w:t>
      </w:r>
      <w:r w:rsidRPr="00CD285E">
        <w:rPr>
          <w:rFonts w:ascii="Calibri" w:eastAsia="Calibri" w:hAnsi="Calibri" w:cs="Calibri"/>
        </w:rPr>
        <w:t xml:space="preserve">  </w:t>
      </w:r>
    </w:p>
    <w:p w14:paraId="5DB65849" w14:textId="55F57192" w:rsidR="00527E83" w:rsidRDefault="00527E83" w:rsidP="00527E83">
      <w:pPr>
        <w:spacing w:line="276" w:lineRule="auto"/>
        <w:ind w:left="1114"/>
        <w:jc w:val="both"/>
        <w:rPr>
          <w:rFonts w:ascii="Calibri" w:eastAsia="Calibri" w:hAnsi="Calibri" w:cs="Calibri"/>
        </w:rPr>
      </w:pPr>
      <w:r w:rsidRPr="00CD285E">
        <w:rPr>
          <w:rFonts w:ascii="Calibri" w:eastAsia="Calibri" w:hAnsi="Calibri" w:cs="Calibri"/>
        </w:rPr>
        <w:t xml:space="preserve">Rješavanje imovinsko-pravnih odnosa koji se odnose na lokaciju Ksaverska cesta 4, gdje je  sjedište Agencije te na kojoj </w:t>
      </w:r>
      <w:r>
        <w:rPr>
          <w:rFonts w:ascii="Calibri" w:eastAsia="Calibri" w:hAnsi="Calibri" w:cs="Calibri"/>
        </w:rPr>
        <w:t xml:space="preserve">lokaciji </w:t>
      </w:r>
      <w:r w:rsidRPr="00CD285E">
        <w:rPr>
          <w:rFonts w:ascii="Calibri" w:eastAsia="Calibri" w:hAnsi="Calibri" w:cs="Calibri"/>
        </w:rPr>
        <w:t>postoji mogućnosti dogradnje poslovnog prostora</w:t>
      </w:r>
      <w:r w:rsidR="00355A12">
        <w:rPr>
          <w:rFonts w:ascii="Calibri" w:eastAsia="Calibri" w:hAnsi="Calibri" w:cs="Calibri"/>
        </w:rPr>
        <w:t>,</w:t>
      </w:r>
      <w:r w:rsidRPr="00CD285E">
        <w:rPr>
          <w:rFonts w:ascii="Calibri" w:eastAsia="Calibri" w:hAnsi="Calibri" w:cs="Calibri"/>
        </w:rPr>
        <w:t xml:space="preserve"> u tijeku je postupak za naknadu oduzete imovine</w:t>
      </w:r>
      <w:r>
        <w:rPr>
          <w:rFonts w:ascii="Calibri" w:eastAsia="Calibri" w:hAnsi="Calibri" w:cs="Calibri"/>
        </w:rPr>
        <w:t>/nekretnine</w:t>
      </w:r>
      <w:r w:rsidRPr="00CD285E">
        <w:rPr>
          <w:rFonts w:ascii="Calibri" w:eastAsia="Calibri" w:hAnsi="Calibri" w:cs="Calibri"/>
        </w:rPr>
        <w:t>. U mjesecu studenom 2022. godine Grad Zagreb, Gradski ured za opću up</w:t>
      </w:r>
      <w:r>
        <w:rPr>
          <w:rFonts w:ascii="Calibri" w:eastAsia="Calibri" w:hAnsi="Calibri" w:cs="Calibri"/>
        </w:rPr>
        <w:t>ravu i imovinsko-pravne poslove</w:t>
      </w:r>
      <w:r w:rsidRPr="00CD285E">
        <w:rPr>
          <w:rFonts w:ascii="Calibri" w:eastAsia="Calibri" w:hAnsi="Calibri" w:cs="Calibri"/>
        </w:rPr>
        <w:t xml:space="preserve"> u postupku za naknadu oduzete imovine povodom zahtjeva Prvostolnog kaptola zagrebačkog donio je djelomično rješenje kojim se zahtjev Prvostolnog kaptola zagrebačkog za naturalni povrat dijela zemljišta na lokaciji Ksaverska cesta 4 odbija. </w:t>
      </w:r>
      <w:r>
        <w:rPr>
          <w:rFonts w:ascii="Calibri" w:eastAsia="Calibri" w:hAnsi="Calibri" w:cs="Calibri"/>
        </w:rPr>
        <w:t>Na navedeno djelomično rješenje Prvostolni kaptol zagrebački je u prosincu 2022. godine uložio žalbu Ministarstvu pravosuđa i uprave te je u tijeku  postupak po žalbi.</w:t>
      </w:r>
    </w:p>
    <w:p w14:paraId="17C2BD82" w14:textId="77777777" w:rsidR="00CD285E" w:rsidRPr="004130E0" w:rsidRDefault="00CD285E" w:rsidP="00D75B83">
      <w:pPr>
        <w:spacing w:line="276" w:lineRule="auto"/>
        <w:ind w:left="1114"/>
        <w:jc w:val="both"/>
        <w:rPr>
          <w:rFonts w:ascii="Calibri" w:eastAsia="Calibri" w:hAnsi="Calibri" w:cs="Calibri"/>
        </w:rPr>
      </w:pPr>
    </w:p>
    <w:p w14:paraId="276551BB" w14:textId="77777777" w:rsidR="00D75B83" w:rsidRDefault="00D75B83" w:rsidP="000E1B0A">
      <w:pPr>
        <w:spacing w:line="276" w:lineRule="auto"/>
        <w:ind w:left="360"/>
        <w:jc w:val="both"/>
        <w:rPr>
          <w:rFonts w:ascii="Calibri" w:eastAsia="Calibri" w:hAnsi="Calibri" w:cs="Calibri"/>
          <w:i/>
        </w:rPr>
      </w:pPr>
      <w:r>
        <w:rPr>
          <w:rFonts w:ascii="Calibri" w:eastAsia="Calibri" w:hAnsi="Calibri" w:cs="Calibri"/>
          <w:i/>
        </w:rPr>
        <w:t xml:space="preserve">3.6. </w:t>
      </w:r>
      <w:r w:rsidRPr="00A34E8A">
        <w:rPr>
          <w:rFonts w:ascii="Calibri" w:eastAsia="Calibri" w:hAnsi="Calibri" w:cs="Calibri"/>
          <w:i/>
        </w:rPr>
        <w:t>Razvoj ljudskih potencijala</w:t>
      </w:r>
    </w:p>
    <w:p w14:paraId="74FD41AE" w14:textId="77777777" w:rsidR="00D75B83" w:rsidRPr="004130E0" w:rsidRDefault="00D75B83" w:rsidP="00D75B83">
      <w:pPr>
        <w:spacing w:line="276" w:lineRule="auto"/>
        <w:ind w:left="1114"/>
        <w:jc w:val="both"/>
        <w:rPr>
          <w:rFonts w:ascii="Calibri" w:eastAsia="Calibri" w:hAnsi="Calibri" w:cs="Calibri"/>
        </w:rPr>
      </w:pPr>
      <w:r>
        <w:rPr>
          <w:rFonts w:ascii="Calibri" w:eastAsia="Calibri" w:hAnsi="Calibri" w:cs="Calibri"/>
        </w:rPr>
        <w:t>Planirana realizacija u 2023</w:t>
      </w:r>
      <w:r w:rsidRPr="00CC4684">
        <w:rPr>
          <w:rFonts w:ascii="Calibri" w:eastAsia="Calibri" w:hAnsi="Calibri" w:cs="Calibri"/>
        </w:rPr>
        <w:t>. godini:</w:t>
      </w:r>
    </w:p>
    <w:p w14:paraId="32CDACBE" w14:textId="77777777" w:rsidR="00D75B83" w:rsidRPr="00E07B27" w:rsidRDefault="00D75B83" w:rsidP="00D75B83">
      <w:pPr>
        <w:spacing w:line="276" w:lineRule="auto"/>
        <w:ind w:left="1114"/>
        <w:jc w:val="both"/>
        <w:rPr>
          <w:rFonts w:ascii="Calibri" w:eastAsia="Calibri" w:hAnsi="Calibri" w:cs="Calibri"/>
        </w:rPr>
      </w:pPr>
      <w:r w:rsidRPr="002D6A14">
        <w:rPr>
          <w:rFonts w:ascii="Calibri" w:eastAsia="Calibri" w:hAnsi="Calibri" w:cs="Calibri"/>
        </w:rPr>
        <w:t xml:space="preserve">• </w:t>
      </w:r>
      <w:r w:rsidRPr="00E07B27">
        <w:rPr>
          <w:rFonts w:ascii="Calibri" w:eastAsia="Calibri" w:hAnsi="Calibri" w:cs="Calibri"/>
        </w:rPr>
        <w:t>provođenje mentorskog programa za 2 zaposlenika i završetak mentorskog perioda za</w:t>
      </w:r>
    </w:p>
    <w:p w14:paraId="1768CAAB" w14:textId="77777777" w:rsidR="00D75B83" w:rsidRDefault="00D75B83" w:rsidP="00D75B83">
      <w:pPr>
        <w:spacing w:line="276" w:lineRule="auto"/>
        <w:ind w:left="1114"/>
        <w:jc w:val="both"/>
        <w:rPr>
          <w:rFonts w:ascii="Calibri" w:eastAsia="Calibri" w:hAnsi="Calibri" w:cs="Calibri"/>
        </w:rPr>
      </w:pPr>
      <w:r w:rsidRPr="00E07B27">
        <w:rPr>
          <w:rFonts w:ascii="Calibri" w:eastAsia="Calibri" w:hAnsi="Calibri" w:cs="Calibri"/>
        </w:rPr>
        <w:t>1 zaposlenika</w:t>
      </w:r>
    </w:p>
    <w:p w14:paraId="2A33CD33" w14:textId="77777777" w:rsidR="00D75B83" w:rsidRDefault="00D75B83" w:rsidP="00D75B83">
      <w:pPr>
        <w:spacing w:line="276" w:lineRule="auto"/>
        <w:ind w:left="1114"/>
        <w:jc w:val="both"/>
        <w:rPr>
          <w:rFonts w:ascii="Calibri" w:eastAsia="Calibri" w:hAnsi="Calibri" w:cs="Calibri"/>
        </w:rPr>
      </w:pPr>
    </w:p>
    <w:p w14:paraId="3B522E20" w14:textId="77777777" w:rsidR="00631A4C" w:rsidRDefault="00D75B83" w:rsidP="00D75B83">
      <w:pPr>
        <w:spacing w:line="276" w:lineRule="auto"/>
        <w:ind w:left="1114"/>
        <w:jc w:val="both"/>
        <w:rPr>
          <w:rFonts w:ascii="Calibri" w:eastAsia="Calibri" w:hAnsi="Calibri" w:cs="Calibri"/>
        </w:rPr>
      </w:pPr>
      <w:r w:rsidRPr="00CC4684">
        <w:rPr>
          <w:rFonts w:ascii="Calibri" w:eastAsia="Calibri" w:hAnsi="Calibri" w:cs="Calibri"/>
        </w:rPr>
        <w:t>Ocjena uspješnosti:</w:t>
      </w:r>
      <w:r>
        <w:rPr>
          <w:rFonts w:ascii="Calibri" w:eastAsia="Calibri" w:hAnsi="Calibri" w:cs="Calibri"/>
        </w:rPr>
        <w:t xml:space="preserve"> </w:t>
      </w:r>
    </w:p>
    <w:p w14:paraId="504B6290" w14:textId="4A5720B0" w:rsidR="00D75B83" w:rsidRPr="004130E0" w:rsidRDefault="00D75B83" w:rsidP="00D75B83">
      <w:pPr>
        <w:spacing w:line="276" w:lineRule="auto"/>
        <w:ind w:left="1114"/>
        <w:jc w:val="both"/>
        <w:rPr>
          <w:rFonts w:ascii="Calibri" w:eastAsia="Calibri" w:hAnsi="Calibri" w:cs="Calibri"/>
        </w:rPr>
      </w:pPr>
      <w:r w:rsidRPr="00631A4C">
        <w:rPr>
          <w:rFonts w:ascii="Calibri" w:eastAsia="Calibri" w:hAnsi="Calibri" w:cs="Calibri"/>
        </w:rPr>
        <w:t>Tijekom 2023</w:t>
      </w:r>
      <w:r w:rsidR="00355A12">
        <w:rPr>
          <w:rFonts w:ascii="Calibri" w:eastAsia="Calibri" w:hAnsi="Calibri" w:cs="Calibri"/>
        </w:rPr>
        <w:t>.</w:t>
      </w:r>
      <w:r w:rsidRPr="00631A4C">
        <w:rPr>
          <w:rFonts w:ascii="Calibri" w:eastAsia="Calibri" w:hAnsi="Calibri" w:cs="Calibri"/>
        </w:rPr>
        <w:t xml:space="preserve"> godine su ukupno tri djelatnika bila u mentorskom periodu za poslove inspektora dobre proizvođačke prakse. </w:t>
      </w:r>
      <w:r w:rsidR="00355A12">
        <w:rPr>
          <w:rFonts w:ascii="Calibri" w:eastAsia="Calibri" w:hAnsi="Calibri" w:cs="Calibri"/>
        </w:rPr>
        <w:t>K</w:t>
      </w:r>
      <w:r w:rsidRPr="00631A4C">
        <w:rPr>
          <w:rFonts w:ascii="Calibri" w:eastAsia="Calibri" w:hAnsi="Calibri" w:cs="Calibri"/>
        </w:rPr>
        <w:t xml:space="preserve">rajem godine jedan djelatnik </w:t>
      </w:r>
      <w:r w:rsidR="00355A12">
        <w:rPr>
          <w:rFonts w:ascii="Calibri" w:eastAsia="Calibri" w:hAnsi="Calibri" w:cs="Calibri"/>
        </w:rPr>
        <w:t xml:space="preserve">je </w:t>
      </w:r>
      <w:r w:rsidRPr="00631A4C">
        <w:rPr>
          <w:rFonts w:ascii="Calibri" w:eastAsia="Calibri" w:hAnsi="Calibri" w:cs="Calibri"/>
        </w:rPr>
        <w:t xml:space="preserve">uspješno završio mentorski period </w:t>
      </w:r>
      <w:r w:rsidR="00355A12">
        <w:rPr>
          <w:rFonts w:ascii="Calibri" w:eastAsia="Calibri" w:hAnsi="Calibri" w:cs="Calibri"/>
        </w:rPr>
        <w:t xml:space="preserve">i </w:t>
      </w:r>
      <w:r w:rsidRPr="00631A4C">
        <w:rPr>
          <w:rFonts w:ascii="Calibri" w:eastAsia="Calibri" w:hAnsi="Calibri" w:cs="Calibri"/>
        </w:rPr>
        <w:t>položio planirani ispit te je cilj uspješno realiziran.</w:t>
      </w:r>
      <w:r>
        <w:rPr>
          <w:rFonts w:ascii="Calibri" w:eastAsia="Calibri" w:hAnsi="Calibri" w:cs="Calibri"/>
        </w:rPr>
        <w:t xml:space="preserve"> </w:t>
      </w:r>
    </w:p>
    <w:p w14:paraId="622520D7" w14:textId="77777777" w:rsidR="00D75B83" w:rsidRDefault="00D75B83" w:rsidP="00D75B83">
      <w:pPr>
        <w:pStyle w:val="Default"/>
        <w:jc w:val="both"/>
        <w:rPr>
          <w:rFonts w:asciiTheme="minorHAnsi" w:hAnsiTheme="minorHAnsi" w:cstheme="minorHAnsi"/>
          <w:bCs/>
          <w:color w:val="auto"/>
          <w:sz w:val="20"/>
          <w:szCs w:val="20"/>
        </w:rPr>
      </w:pPr>
    </w:p>
    <w:p w14:paraId="22908248" w14:textId="77777777" w:rsidR="00D75B83" w:rsidRDefault="00D75B83">
      <w:pPr>
        <w:rPr>
          <w:rFonts w:eastAsiaTheme="majorEastAsia" w:cstheme="minorHAnsi"/>
          <w:bCs/>
          <w:color w:val="4472C4" w:themeColor="accent5"/>
          <w:sz w:val="32"/>
          <w:szCs w:val="32"/>
        </w:rPr>
      </w:pPr>
      <w:r>
        <w:br w:type="page"/>
      </w:r>
    </w:p>
    <w:p w14:paraId="78385900" w14:textId="771959A2" w:rsidR="00D75B83" w:rsidRDefault="00D75B83" w:rsidP="00D75B83">
      <w:pPr>
        <w:pStyle w:val="Heading2"/>
      </w:pPr>
      <w:bookmarkStart w:id="383" w:name="_Toc165035565"/>
      <w:r w:rsidRPr="00451234">
        <w:lastRenderedPageBreak/>
        <w:t xml:space="preserve">Privitak </w:t>
      </w:r>
      <w:r>
        <w:t>5</w:t>
      </w:r>
      <w:r w:rsidRPr="00451234">
        <w:t>.</w:t>
      </w:r>
      <w:r>
        <w:t xml:space="preserve"> Analiza odnosa nacionalnih i europskih poslova</w:t>
      </w:r>
      <w:bookmarkEnd w:id="383"/>
    </w:p>
    <w:p w14:paraId="3E034EAE" w14:textId="77777777" w:rsidR="00DE4EF2" w:rsidRDefault="00DE4EF2" w:rsidP="00DE4EF2">
      <w:pPr>
        <w:spacing w:line="276" w:lineRule="auto"/>
        <w:jc w:val="both"/>
      </w:pPr>
      <w:r>
        <w:t>Izvori prihoda HALMED-a su nacionalni poslovi utvrđeni Zakonom o lijekovima, Zakonom o medicinskim proizvodima i Zakonom o veterinarsko-medicinskim proizvodima te europski konkurentni poslovi i sudjelujući projekti po raspisanim natječajima EMA-e , EK te WHO.</w:t>
      </w:r>
    </w:p>
    <w:p w14:paraId="1FEE4107" w14:textId="24F8CB77" w:rsidR="00DE4EF2" w:rsidRDefault="00DE4EF2" w:rsidP="00DE4EF2">
      <w:pPr>
        <w:spacing w:line="276" w:lineRule="auto"/>
        <w:jc w:val="both"/>
      </w:pPr>
      <w:r>
        <w:t>HALMED kontinuirano sudjeluje i bilježi rast udjela prihoda s EU tržišta, konkurirajući pri tome  referencama te cijenom svojih usluga drugim nacionalnim agencijama. U tu svrhu HALMED znatna poslovna sredstva ulaže u razvoj, edukaciju i stručno usavršavanje kadrova te modernizaciju opreme.</w:t>
      </w:r>
    </w:p>
    <w:p w14:paraId="12417EE4" w14:textId="77777777" w:rsidR="00DE4EF2" w:rsidRDefault="00DE4EF2" w:rsidP="00DE4EF2">
      <w:pPr>
        <w:spacing w:line="276" w:lineRule="auto"/>
        <w:jc w:val="both"/>
      </w:pPr>
      <w:r>
        <w:t>Struktura izvora prihoda i njihova realizacija vidljiva je iz Tablice 1. i Tablice 2. ovog Privitka</w:t>
      </w:r>
    </w:p>
    <w:p w14:paraId="75ADA008" w14:textId="77777777" w:rsidR="00DE4EF2" w:rsidRDefault="00DE4EF2" w:rsidP="00DE4EF2">
      <w:pPr>
        <w:spacing w:line="276" w:lineRule="auto"/>
        <w:jc w:val="both"/>
      </w:pPr>
    </w:p>
    <w:p w14:paraId="20E13D62" w14:textId="578D1579" w:rsidR="00DE4EF2" w:rsidRDefault="00DE4EF2" w:rsidP="00DE4EF2">
      <w:pPr>
        <w:rPr>
          <w:b/>
        </w:rPr>
      </w:pPr>
      <w:r w:rsidRPr="005A0AF4">
        <w:rPr>
          <w:b/>
        </w:rPr>
        <w:t>Tablica 1.</w:t>
      </w:r>
      <w:r>
        <w:rPr>
          <w:b/>
        </w:rPr>
        <w:t xml:space="preserve"> </w:t>
      </w:r>
      <w:r w:rsidRPr="005A0AF4">
        <w:rPr>
          <w:b/>
        </w:rPr>
        <w:t xml:space="preserve">Prikaz ostvarenja prihoda od nacionalnih i europskih poslova </w:t>
      </w:r>
      <w:r>
        <w:rPr>
          <w:b/>
        </w:rPr>
        <w:t xml:space="preserve">i projekata </w:t>
      </w:r>
      <w:r w:rsidRPr="005A0AF4">
        <w:rPr>
          <w:b/>
        </w:rPr>
        <w:t xml:space="preserve">za </w:t>
      </w:r>
      <w:r>
        <w:rPr>
          <w:b/>
        </w:rPr>
        <w:t>I-XII /</w:t>
      </w:r>
      <w:r w:rsidRPr="005A0AF4">
        <w:rPr>
          <w:b/>
        </w:rPr>
        <w:t>20</w:t>
      </w:r>
      <w:r>
        <w:rPr>
          <w:b/>
        </w:rPr>
        <w:t>23</w:t>
      </w:r>
      <w:r w:rsidRPr="005A0AF4">
        <w:rPr>
          <w:b/>
        </w:rPr>
        <w:t xml:space="preserve">. </w:t>
      </w:r>
      <w:r>
        <w:rPr>
          <w:b/>
        </w:rPr>
        <w:t xml:space="preserve">g.  </w:t>
      </w:r>
    </w:p>
    <w:p w14:paraId="5A7DA689" w14:textId="77777777" w:rsidR="00DE4EF2" w:rsidRDefault="00DE4EF2" w:rsidP="00DE4EF2">
      <w:pPr>
        <w:rPr>
          <w:b/>
        </w:rPr>
      </w:pPr>
    </w:p>
    <w:tbl>
      <w:tblPr>
        <w:tblW w:w="9073" w:type="dxa"/>
        <w:tblInd w:w="93" w:type="dxa"/>
        <w:tblLook w:val="04A0" w:firstRow="1" w:lastRow="0" w:firstColumn="1" w:lastColumn="0" w:noHBand="0" w:noVBand="1"/>
      </w:tblPr>
      <w:tblGrid>
        <w:gridCol w:w="3661"/>
        <w:gridCol w:w="1804"/>
        <w:gridCol w:w="1804"/>
        <w:gridCol w:w="902"/>
        <w:gridCol w:w="902"/>
      </w:tblGrid>
      <w:tr w:rsidR="00DE4EF2" w:rsidRPr="00893132" w14:paraId="4DCB7C18" w14:textId="77777777" w:rsidTr="00E24E11">
        <w:trPr>
          <w:trHeight w:val="332"/>
        </w:trPr>
        <w:tc>
          <w:tcPr>
            <w:tcW w:w="3661" w:type="dxa"/>
            <w:tcBorders>
              <w:top w:val="single" w:sz="4" w:space="0" w:color="auto"/>
              <w:left w:val="single" w:sz="4" w:space="0" w:color="auto"/>
              <w:bottom w:val="single" w:sz="4" w:space="0" w:color="auto"/>
              <w:right w:val="single" w:sz="4" w:space="0" w:color="auto"/>
            </w:tcBorders>
            <w:shd w:val="clear" w:color="000000" w:fill="A3E7FF"/>
            <w:noWrap/>
            <w:vAlign w:val="bottom"/>
            <w:hideMark/>
          </w:tcPr>
          <w:p w14:paraId="7BFC906B" w14:textId="77777777" w:rsidR="00DE4EF2" w:rsidRPr="00145971" w:rsidRDefault="00DE4EF2" w:rsidP="00E24E11">
            <w:pPr>
              <w:jc w:val="center"/>
              <w:rPr>
                <w:rFonts w:eastAsia="Times New Roman" w:cs="Times New Roman"/>
                <w:b/>
                <w:color w:val="000000"/>
                <w:sz w:val="18"/>
                <w:szCs w:val="18"/>
                <w:lang w:eastAsia="hr-HR"/>
              </w:rPr>
            </w:pPr>
            <w:r w:rsidRPr="00145971">
              <w:rPr>
                <w:rFonts w:eastAsia="Times New Roman" w:cs="Times New Roman"/>
                <w:b/>
                <w:color w:val="000000"/>
                <w:sz w:val="18"/>
                <w:szCs w:val="18"/>
                <w:lang w:eastAsia="hr-HR"/>
              </w:rPr>
              <w:t>IZVORI SREDSTAVA</w:t>
            </w:r>
          </w:p>
        </w:tc>
        <w:tc>
          <w:tcPr>
            <w:tcW w:w="1804" w:type="dxa"/>
            <w:tcBorders>
              <w:top w:val="single" w:sz="4" w:space="0" w:color="auto"/>
              <w:left w:val="nil"/>
              <w:bottom w:val="single" w:sz="4" w:space="0" w:color="auto"/>
              <w:right w:val="single" w:sz="4" w:space="0" w:color="auto"/>
            </w:tcBorders>
            <w:shd w:val="clear" w:color="000000" w:fill="A3E7FF"/>
            <w:noWrap/>
            <w:vAlign w:val="bottom"/>
            <w:hideMark/>
          </w:tcPr>
          <w:p w14:paraId="233D6570" w14:textId="77777777" w:rsidR="00DE4EF2" w:rsidRPr="00145971" w:rsidRDefault="00DE4EF2" w:rsidP="00E24E11">
            <w:pPr>
              <w:jc w:val="center"/>
              <w:rPr>
                <w:rFonts w:eastAsia="Times New Roman" w:cs="Times New Roman"/>
                <w:b/>
                <w:color w:val="000000"/>
                <w:sz w:val="18"/>
                <w:szCs w:val="18"/>
                <w:lang w:eastAsia="hr-HR"/>
              </w:rPr>
            </w:pPr>
            <w:r w:rsidRPr="00145971">
              <w:rPr>
                <w:rFonts w:eastAsia="Times New Roman" w:cs="Times New Roman"/>
                <w:b/>
                <w:color w:val="000000"/>
                <w:sz w:val="18"/>
                <w:szCs w:val="18"/>
                <w:lang w:eastAsia="hr-HR"/>
              </w:rPr>
              <w:t>PLANIRANO</w:t>
            </w:r>
          </w:p>
        </w:tc>
        <w:tc>
          <w:tcPr>
            <w:tcW w:w="1804" w:type="dxa"/>
            <w:tcBorders>
              <w:top w:val="single" w:sz="4" w:space="0" w:color="auto"/>
              <w:left w:val="nil"/>
              <w:bottom w:val="single" w:sz="4" w:space="0" w:color="auto"/>
              <w:right w:val="single" w:sz="4" w:space="0" w:color="auto"/>
            </w:tcBorders>
            <w:shd w:val="clear" w:color="000000" w:fill="A3E7FF"/>
            <w:noWrap/>
            <w:vAlign w:val="bottom"/>
            <w:hideMark/>
          </w:tcPr>
          <w:p w14:paraId="05694A3D" w14:textId="77777777" w:rsidR="00DE4EF2" w:rsidRPr="00145971" w:rsidRDefault="00DE4EF2" w:rsidP="00E24E11">
            <w:pPr>
              <w:jc w:val="center"/>
              <w:rPr>
                <w:rFonts w:eastAsia="Times New Roman" w:cs="Times New Roman"/>
                <w:b/>
                <w:color w:val="000000"/>
                <w:sz w:val="18"/>
                <w:szCs w:val="18"/>
                <w:lang w:eastAsia="hr-HR"/>
              </w:rPr>
            </w:pPr>
            <w:r w:rsidRPr="00145971">
              <w:rPr>
                <w:rFonts w:eastAsia="Times New Roman" w:cs="Times New Roman"/>
                <w:b/>
                <w:color w:val="000000"/>
                <w:sz w:val="18"/>
                <w:szCs w:val="18"/>
                <w:lang w:eastAsia="hr-HR"/>
              </w:rPr>
              <w:t>OSTVARENO</w:t>
            </w:r>
          </w:p>
        </w:tc>
        <w:tc>
          <w:tcPr>
            <w:tcW w:w="902" w:type="dxa"/>
            <w:tcBorders>
              <w:top w:val="single" w:sz="4" w:space="0" w:color="auto"/>
              <w:left w:val="nil"/>
              <w:bottom w:val="single" w:sz="4" w:space="0" w:color="auto"/>
              <w:right w:val="single" w:sz="4" w:space="0" w:color="auto"/>
            </w:tcBorders>
            <w:shd w:val="clear" w:color="000000" w:fill="A3E7FF"/>
            <w:noWrap/>
            <w:vAlign w:val="bottom"/>
            <w:hideMark/>
          </w:tcPr>
          <w:p w14:paraId="3351C3C1" w14:textId="77777777" w:rsidR="00DE4EF2" w:rsidRPr="00145971" w:rsidRDefault="00DE4EF2" w:rsidP="00E24E11">
            <w:pPr>
              <w:jc w:val="center"/>
              <w:rPr>
                <w:rFonts w:eastAsia="Times New Roman" w:cs="Times New Roman"/>
                <w:b/>
                <w:color w:val="000000"/>
                <w:sz w:val="18"/>
                <w:szCs w:val="18"/>
                <w:lang w:eastAsia="hr-HR"/>
              </w:rPr>
            </w:pPr>
            <w:r w:rsidRPr="00145971">
              <w:rPr>
                <w:rFonts w:eastAsia="Times New Roman" w:cs="Times New Roman"/>
                <w:b/>
                <w:color w:val="000000"/>
                <w:sz w:val="18"/>
                <w:szCs w:val="18"/>
                <w:lang w:eastAsia="hr-HR"/>
              </w:rPr>
              <w:t>INDEKS</w:t>
            </w:r>
          </w:p>
        </w:tc>
        <w:tc>
          <w:tcPr>
            <w:tcW w:w="902" w:type="dxa"/>
            <w:tcBorders>
              <w:top w:val="single" w:sz="4" w:space="0" w:color="auto"/>
              <w:left w:val="nil"/>
              <w:bottom w:val="single" w:sz="4" w:space="0" w:color="auto"/>
              <w:right w:val="single" w:sz="4" w:space="0" w:color="auto"/>
            </w:tcBorders>
            <w:shd w:val="clear" w:color="000000" w:fill="A3E7FF"/>
            <w:noWrap/>
            <w:vAlign w:val="bottom"/>
            <w:hideMark/>
          </w:tcPr>
          <w:p w14:paraId="62CF826D" w14:textId="77777777" w:rsidR="00DE4EF2" w:rsidRPr="00145971" w:rsidRDefault="00DE4EF2" w:rsidP="00E24E11">
            <w:pPr>
              <w:jc w:val="center"/>
              <w:rPr>
                <w:rFonts w:eastAsia="Times New Roman" w:cs="Times New Roman"/>
                <w:b/>
                <w:color w:val="000000"/>
                <w:sz w:val="18"/>
                <w:szCs w:val="18"/>
                <w:lang w:eastAsia="hr-HR"/>
              </w:rPr>
            </w:pPr>
            <w:r w:rsidRPr="00145971">
              <w:rPr>
                <w:rFonts w:eastAsia="Times New Roman" w:cs="Times New Roman"/>
                <w:b/>
                <w:color w:val="000000"/>
                <w:sz w:val="18"/>
                <w:szCs w:val="18"/>
                <w:lang w:eastAsia="hr-HR"/>
              </w:rPr>
              <w:t>UDIO</w:t>
            </w:r>
          </w:p>
        </w:tc>
      </w:tr>
      <w:tr w:rsidR="00DE4EF2" w:rsidRPr="00893132" w14:paraId="48BA3AA5" w14:textId="77777777" w:rsidTr="00E24E11">
        <w:trPr>
          <w:trHeight w:val="332"/>
        </w:trPr>
        <w:tc>
          <w:tcPr>
            <w:tcW w:w="3661" w:type="dxa"/>
            <w:tcBorders>
              <w:top w:val="nil"/>
              <w:left w:val="single" w:sz="4" w:space="0" w:color="auto"/>
              <w:bottom w:val="single" w:sz="4" w:space="0" w:color="auto"/>
              <w:right w:val="single" w:sz="4" w:space="0" w:color="auto"/>
            </w:tcBorders>
            <w:shd w:val="clear" w:color="auto" w:fill="auto"/>
            <w:noWrap/>
            <w:vAlign w:val="bottom"/>
            <w:hideMark/>
          </w:tcPr>
          <w:p w14:paraId="12647F29" w14:textId="77777777" w:rsidR="00DE4EF2" w:rsidRPr="00145971" w:rsidRDefault="00DE4EF2" w:rsidP="00E24E11">
            <w:pPr>
              <w:rPr>
                <w:rFonts w:eastAsia="Times New Roman" w:cs="Times New Roman"/>
                <w:b/>
                <w:color w:val="000000"/>
                <w:sz w:val="18"/>
                <w:szCs w:val="18"/>
                <w:lang w:eastAsia="hr-HR"/>
              </w:rPr>
            </w:pPr>
            <w:r w:rsidRPr="00145971">
              <w:rPr>
                <w:rFonts w:eastAsia="Times New Roman" w:cs="Times New Roman"/>
                <w:b/>
                <w:color w:val="000000"/>
                <w:sz w:val="18"/>
                <w:szCs w:val="18"/>
                <w:lang w:eastAsia="hr-HR"/>
              </w:rPr>
              <w:t>Prihodi od nacionalnih poslova</w:t>
            </w:r>
          </w:p>
        </w:tc>
        <w:tc>
          <w:tcPr>
            <w:tcW w:w="1804" w:type="dxa"/>
            <w:tcBorders>
              <w:top w:val="single" w:sz="4" w:space="0" w:color="auto"/>
              <w:left w:val="nil"/>
              <w:bottom w:val="single" w:sz="4" w:space="0" w:color="auto"/>
              <w:right w:val="single" w:sz="4" w:space="0" w:color="auto"/>
            </w:tcBorders>
            <w:shd w:val="clear" w:color="auto" w:fill="auto"/>
            <w:noWrap/>
            <w:vAlign w:val="bottom"/>
          </w:tcPr>
          <w:p w14:paraId="346F0496" w14:textId="77777777" w:rsidR="00DE4EF2" w:rsidRPr="009E2597" w:rsidRDefault="00DE4EF2" w:rsidP="00E24E11">
            <w:pPr>
              <w:jc w:val="center"/>
              <w:rPr>
                <w:rFonts w:eastAsia="Times New Roman" w:cs="Times New Roman"/>
                <w:b/>
                <w:color w:val="000000"/>
                <w:sz w:val="18"/>
                <w:szCs w:val="18"/>
                <w:lang w:eastAsia="hr-HR"/>
              </w:rPr>
            </w:pPr>
            <w:r>
              <w:rPr>
                <w:rFonts w:eastAsia="Times New Roman" w:cs="Times New Roman"/>
                <w:b/>
                <w:color w:val="000000"/>
                <w:sz w:val="18"/>
                <w:szCs w:val="18"/>
                <w:lang w:eastAsia="hr-HR"/>
              </w:rPr>
              <w:t>9.612.985</w:t>
            </w:r>
          </w:p>
        </w:tc>
        <w:tc>
          <w:tcPr>
            <w:tcW w:w="1804" w:type="dxa"/>
            <w:tcBorders>
              <w:top w:val="single" w:sz="4" w:space="0" w:color="auto"/>
              <w:left w:val="nil"/>
              <w:bottom w:val="single" w:sz="4" w:space="0" w:color="auto"/>
              <w:right w:val="single" w:sz="4" w:space="0" w:color="auto"/>
            </w:tcBorders>
            <w:shd w:val="clear" w:color="auto" w:fill="auto"/>
            <w:noWrap/>
            <w:vAlign w:val="bottom"/>
          </w:tcPr>
          <w:p w14:paraId="220FCD47" w14:textId="77777777" w:rsidR="00DE4EF2" w:rsidRPr="009E2597" w:rsidRDefault="00DE4EF2" w:rsidP="00E24E11">
            <w:pPr>
              <w:jc w:val="center"/>
              <w:rPr>
                <w:rFonts w:eastAsia="Times New Roman" w:cs="Times New Roman"/>
                <w:b/>
                <w:color w:val="000000"/>
                <w:sz w:val="18"/>
                <w:szCs w:val="18"/>
                <w:lang w:eastAsia="hr-HR"/>
              </w:rPr>
            </w:pPr>
            <w:r>
              <w:rPr>
                <w:rFonts w:eastAsia="Times New Roman" w:cs="Times New Roman"/>
                <w:b/>
                <w:color w:val="000000"/>
                <w:sz w:val="18"/>
                <w:szCs w:val="18"/>
                <w:lang w:eastAsia="hr-HR"/>
              </w:rPr>
              <w:t>9.527.343</w:t>
            </w:r>
          </w:p>
        </w:tc>
        <w:tc>
          <w:tcPr>
            <w:tcW w:w="902" w:type="dxa"/>
            <w:tcBorders>
              <w:top w:val="nil"/>
              <w:left w:val="nil"/>
              <w:bottom w:val="single" w:sz="4" w:space="0" w:color="auto"/>
              <w:right w:val="single" w:sz="4" w:space="0" w:color="auto"/>
            </w:tcBorders>
            <w:shd w:val="clear" w:color="auto" w:fill="auto"/>
            <w:noWrap/>
            <w:vAlign w:val="bottom"/>
          </w:tcPr>
          <w:p w14:paraId="5342EE04" w14:textId="77777777" w:rsidR="00DE4EF2" w:rsidRPr="00145971" w:rsidRDefault="00DE4EF2" w:rsidP="00E24E11">
            <w:pPr>
              <w:jc w:val="center"/>
              <w:rPr>
                <w:rFonts w:eastAsia="Times New Roman" w:cs="Times New Roman"/>
                <w:b/>
                <w:color w:val="000000"/>
                <w:sz w:val="18"/>
                <w:szCs w:val="18"/>
                <w:lang w:eastAsia="hr-HR"/>
              </w:rPr>
            </w:pPr>
            <w:r>
              <w:rPr>
                <w:rFonts w:eastAsia="Times New Roman" w:cs="Times New Roman"/>
                <w:b/>
                <w:color w:val="000000"/>
                <w:sz w:val="18"/>
                <w:szCs w:val="18"/>
                <w:lang w:eastAsia="hr-HR"/>
              </w:rPr>
              <w:t>99</w:t>
            </w:r>
          </w:p>
        </w:tc>
        <w:tc>
          <w:tcPr>
            <w:tcW w:w="902" w:type="dxa"/>
            <w:tcBorders>
              <w:top w:val="nil"/>
              <w:left w:val="nil"/>
              <w:bottom w:val="single" w:sz="4" w:space="0" w:color="auto"/>
              <w:right w:val="single" w:sz="4" w:space="0" w:color="auto"/>
            </w:tcBorders>
            <w:shd w:val="clear" w:color="auto" w:fill="auto"/>
            <w:noWrap/>
            <w:vAlign w:val="bottom"/>
          </w:tcPr>
          <w:p w14:paraId="49B1E565" w14:textId="77777777" w:rsidR="00DE4EF2" w:rsidRPr="00145971" w:rsidRDefault="00DE4EF2" w:rsidP="00E24E11">
            <w:pPr>
              <w:jc w:val="center"/>
              <w:rPr>
                <w:rFonts w:eastAsia="Times New Roman" w:cs="Times New Roman"/>
                <w:b/>
                <w:color w:val="000000"/>
                <w:sz w:val="18"/>
                <w:szCs w:val="18"/>
                <w:lang w:eastAsia="hr-HR"/>
              </w:rPr>
            </w:pPr>
            <w:r>
              <w:rPr>
                <w:rFonts w:eastAsia="Times New Roman" w:cs="Times New Roman"/>
                <w:b/>
                <w:color w:val="000000"/>
                <w:sz w:val="18"/>
                <w:szCs w:val="18"/>
                <w:lang w:eastAsia="hr-HR"/>
              </w:rPr>
              <w:t>75%</w:t>
            </w:r>
          </w:p>
        </w:tc>
      </w:tr>
      <w:tr w:rsidR="00DE4EF2" w:rsidRPr="00893132" w14:paraId="20FA171B" w14:textId="77777777" w:rsidTr="00E24E11">
        <w:trPr>
          <w:trHeight w:val="348"/>
        </w:trPr>
        <w:tc>
          <w:tcPr>
            <w:tcW w:w="3661" w:type="dxa"/>
            <w:tcBorders>
              <w:top w:val="nil"/>
              <w:left w:val="single" w:sz="4" w:space="0" w:color="auto"/>
              <w:bottom w:val="single" w:sz="4" w:space="0" w:color="auto"/>
              <w:right w:val="single" w:sz="4" w:space="0" w:color="auto"/>
            </w:tcBorders>
            <w:shd w:val="clear" w:color="auto" w:fill="auto"/>
            <w:noWrap/>
            <w:vAlign w:val="bottom"/>
            <w:hideMark/>
          </w:tcPr>
          <w:p w14:paraId="2B689573" w14:textId="77777777" w:rsidR="00DE4EF2" w:rsidRPr="00145971" w:rsidRDefault="00DE4EF2" w:rsidP="00E24E11">
            <w:pPr>
              <w:rPr>
                <w:rFonts w:eastAsia="Times New Roman" w:cs="Times New Roman"/>
                <w:b/>
                <w:color w:val="000000"/>
                <w:sz w:val="18"/>
                <w:szCs w:val="18"/>
                <w:lang w:eastAsia="hr-HR"/>
              </w:rPr>
            </w:pPr>
            <w:r w:rsidRPr="00145971">
              <w:rPr>
                <w:rFonts w:eastAsia="Times New Roman" w:cs="Times New Roman"/>
                <w:b/>
                <w:color w:val="000000"/>
                <w:sz w:val="18"/>
                <w:szCs w:val="18"/>
                <w:lang w:eastAsia="hr-HR"/>
              </w:rPr>
              <w:t>Prihodi od europskih poslova i projekata</w:t>
            </w:r>
          </w:p>
        </w:tc>
        <w:tc>
          <w:tcPr>
            <w:tcW w:w="1804" w:type="dxa"/>
            <w:tcBorders>
              <w:top w:val="single" w:sz="4" w:space="0" w:color="auto"/>
              <w:left w:val="nil"/>
              <w:bottom w:val="single" w:sz="4" w:space="0" w:color="auto"/>
              <w:right w:val="single" w:sz="4" w:space="0" w:color="auto"/>
            </w:tcBorders>
            <w:shd w:val="clear" w:color="auto" w:fill="auto"/>
            <w:noWrap/>
            <w:vAlign w:val="bottom"/>
          </w:tcPr>
          <w:p w14:paraId="663A1785" w14:textId="77777777" w:rsidR="00DE4EF2" w:rsidRPr="009E2597" w:rsidRDefault="00DE4EF2" w:rsidP="00E24E11">
            <w:pPr>
              <w:jc w:val="center"/>
              <w:rPr>
                <w:rFonts w:eastAsia="Times New Roman" w:cs="Times New Roman"/>
                <w:b/>
                <w:color w:val="000000"/>
                <w:sz w:val="18"/>
                <w:szCs w:val="18"/>
                <w:lang w:eastAsia="hr-HR"/>
              </w:rPr>
            </w:pPr>
            <w:r>
              <w:rPr>
                <w:rFonts w:eastAsia="Times New Roman" w:cs="Times New Roman"/>
                <w:b/>
                <w:color w:val="000000"/>
                <w:sz w:val="18"/>
                <w:szCs w:val="18"/>
                <w:lang w:eastAsia="hr-HR"/>
              </w:rPr>
              <w:t>3.163.884</w:t>
            </w:r>
          </w:p>
        </w:tc>
        <w:tc>
          <w:tcPr>
            <w:tcW w:w="1804" w:type="dxa"/>
            <w:tcBorders>
              <w:top w:val="single" w:sz="4" w:space="0" w:color="auto"/>
              <w:left w:val="nil"/>
              <w:bottom w:val="single" w:sz="4" w:space="0" w:color="auto"/>
              <w:right w:val="single" w:sz="4" w:space="0" w:color="auto"/>
            </w:tcBorders>
            <w:shd w:val="clear" w:color="auto" w:fill="auto"/>
            <w:noWrap/>
            <w:vAlign w:val="bottom"/>
          </w:tcPr>
          <w:p w14:paraId="5DA532BD" w14:textId="77777777" w:rsidR="00DE4EF2" w:rsidRDefault="00DE4EF2" w:rsidP="00E24E11">
            <w:pPr>
              <w:jc w:val="center"/>
              <w:rPr>
                <w:rFonts w:eastAsia="Times New Roman" w:cs="Times New Roman"/>
                <w:b/>
                <w:color w:val="000000"/>
                <w:sz w:val="18"/>
                <w:szCs w:val="18"/>
                <w:lang w:eastAsia="hr-HR"/>
              </w:rPr>
            </w:pPr>
          </w:p>
          <w:p w14:paraId="25986C4E" w14:textId="77777777" w:rsidR="00DE4EF2" w:rsidRPr="009E2597" w:rsidRDefault="00DE4EF2" w:rsidP="00E24E11">
            <w:pPr>
              <w:jc w:val="center"/>
              <w:rPr>
                <w:rFonts w:eastAsia="Times New Roman" w:cs="Times New Roman"/>
                <w:b/>
                <w:color w:val="000000"/>
                <w:sz w:val="18"/>
                <w:szCs w:val="18"/>
                <w:lang w:eastAsia="hr-HR"/>
              </w:rPr>
            </w:pPr>
            <w:r>
              <w:rPr>
                <w:rFonts w:eastAsia="Times New Roman" w:cs="Times New Roman"/>
                <w:b/>
                <w:color w:val="000000"/>
                <w:sz w:val="18"/>
                <w:szCs w:val="18"/>
                <w:lang w:eastAsia="hr-HR"/>
              </w:rPr>
              <w:t>3.231.535</w:t>
            </w:r>
          </w:p>
        </w:tc>
        <w:tc>
          <w:tcPr>
            <w:tcW w:w="902" w:type="dxa"/>
            <w:tcBorders>
              <w:top w:val="nil"/>
              <w:left w:val="nil"/>
              <w:bottom w:val="single" w:sz="4" w:space="0" w:color="auto"/>
              <w:right w:val="single" w:sz="4" w:space="0" w:color="auto"/>
            </w:tcBorders>
            <w:shd w:val="clear" w:color="auto" w:fill="auto"/>
            <w:noWrap/>
            <w:vAlign w:val="bottom"/>
          </w:tcPr>
          <w:p w14:paraId="637FB889" w14:textId="77777777" w:rsidR="00DE4EF2" w:rsidRPr="00145971" w:rsidRDefault="00DE4EF2" w:rsidP="00E24E11">
            <w:pPr>
              <w:jc w:val="center"/>
              <w:rPr>
                <w:rFonts w:eastAsia="Times New Roman" w:cs="Times New Roman"/>
                <w:b/>
                <w:color w:val="000000"/>
                <w:sz w:val="18"/>
                <w:szCs w:val="18"/>
                <w:lang w:eastAsia="hr-HR"/>
              </w:rPr>
            </w:pPr>
            <w:r>
              <w:rPr>
                <w:rFonts w:eastAsia="Times New Roman" w:cs="Times New Roman"/>
                <w:b/>
                <w:color w:val="000000"/>
                <w:sz w:val="18"/>
                <w:szCs w:val="18"/>
                <w:lang w:eastAsia="hr-HR"/>
              </w:rPr>
              <w:t>102</w:t>
            </w:r>
          </w:p>
        </w:tc>
        <w:tc>
          <w:tcPr>
            <w:tcW w:w="902" w:type="dxa"/>
            <w:tcBorders>
              <w:top w:val="nil"/>
              <w:left w:val="nil"/>
              <w:bottom w:val="single" w:sz="4" w:space="0" w:color="auto"/>
              <w:right w:val="single" w:sz="4" w:space="0" w:color="auto"/>
            </w:tcBorders>
            <w:shd w:val="clear" w:color="auto" w:fill="auto"/>
            <w:noWrap/>
            <w:vAlign w:val="bottom"/>
          </w:tcPr>
          <w:p w14:paraId="35D7558F" w14:textId="77777777" w:rsidR="00DE4EF2" w:rsidRPr="00145971" w:rsidRDefault="00DE4EF2" w:rsidP="00E24E11">
            <w:pPr>
              <w:jc w:val="center"/>
              <w:rPr>
                <w:rFonts w:eastAsia="Times New Roman" w:cs="Times New Roman"/>
                <w:b/>
                <w:color w:val="000000"/>
                <w:sz w:val="18"/>
                <w:szCs w:val="18"/>
                <w:lang w:eastAsia="hr-HR"/>
              </w:rPr>
            </w:pPr>
            <w:r>
              <w:rPr>
                <w:rFonts w:eastAsia="Times New Roman" w:cs="Times New Roman"/>
                <w:b/>
                <w:color w:val="000000"/>
                <w:sz w:val="18"/>
                <w:szCs w:val="18"/>
                <w:lang w:eastAsia="hr-HR"/>
              </w:rPr>
              <w:t>25%</w:t>
            </w:r>
          </w:p>
        </w:tc>
      </w:tr>
      <w:tr w:rsidR="00DE4EF2" w:rsidRPr="00893132" w14:paraId="5738DF64" w14:textId="77777777" w:rsidTr="00E24E11">
        <w:trPr>
          <w:trHeight w:val="332"/>
        </w:trPr>
        <w:tc>
          <w:tcPr>
            <w:tcW w:w="366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5553D94" w14:textId="77777777" w:rsidR="00DE4EF2" w:rsidRPr="00145971" w:rsidRDefault="00DE4EF2" w:rsidP="00E24E11">
            <w:pPr>
              <w:rPr>
                <w:rFonts w:eastAsia="Times New Roman" w:cs="Times New Roman"/>
                <w:b/>
                <w:color w:val="000000"/>
                <w:sz w:val="18"/>
                <w:szCs w:val="18"/>
                <w:lang w:eastAsia="hr-HR"/>
              </w:rPr>
            </w:pPr>
            <w:r w:rsidRPr="00145971">
              <w:rPr>
                <w:rFonts w:eastAsia="Times New Roman" w:cs="Times New Roman"/>
                <w:b/>
                <w:color w:val="000000"/>
                <w:sz w:val="18"/>
                <w:szCs w:val="18"/>
                <w:lang w:eastAsia="hr-HR"/>
              </w:rPr>
              <w:t>UKUPNO:</w:t>
            </w:r>
          </w:p>
        </w:tc>
        <w:tc>
          <w:tcPr>
            <w:tcW w:w="1804" w:type="dxa"/>
            <w:tcBorders>
              <w:top w:val="single" w:sz="4" w:space="0" w:color="auto"/>
              <w:left w:val="nil"/>
              <w:bottom w:val="single" w:sz="4" w:space="0" w:color="auto"/>
              <w:right w:val="single" w:sz="4" w:space="0" w:color="auto"/>
            </w:tcBorders>
            <w:shd w:val="clear" w:color="000000" w:fill="D9D9D9"/>
            <w:noWrap/>
            <w:vAlign w:val="bottom"/>
          </w:tcPr>
          <w:p w14:paraId="22281748" w14:textId="77777777" w:rsidR="00DE4EF2" w:rsidRPr="00145971" w:rsidRDefault="00DE4EF2" w:rsidP="00E24E11">
            <w:pPr>
              <w:jc w:val="center"/>
              <w:rPr>
                <w:rFonts w:eastAsia="Times New Roman" w:cs="Times New Roman"/>
                <w:b/>
                <w:color w:val="000000"/>
                <w:sz w:val="18"/>
                <w:szCs w:val="18"/>
                <w:lang w:eastAsia="hr-HR"/>
              </w:rPr>
            </w:pPr>
            <w:r>
              <w:rPr>
                <w:rFonts w:eastAsia="Times New Roman" w:cs="Times New Roman"/>
                <w:b/>
                <w:color w:val="000000"/>
                <w:sz w:val="18"/>
                <w:szCs w:val="18"/>
                <w:lang w:eastAsia="hr-HR"/>
              </w:rPr>
              <w:t>12.776.869</w:t>
            </w:r>
          </w:p>
        </w:tc>
        <w:tc>
          <w:tcPr>
            <w:tcW w:w="1804" w:type="dxa"/>
            <w:tcBorders>
              <w:top w:val="single" w:sz="4" w:space="0" w:color="auto"/>
              <w:left w:val="nil"/>
              <w:bottom w:val="single" w:sz="4" w:space="0" w:color="auto"/>
              <w:right w:val="single" w:sz="4" w:space="0" w:color="auto"/>
            </w:tcBorders>
            <w:shd w:val="clear" w:color="000000" w:fill="D9D9D9"/>
            <w:noWrap/>
            <w:vAlign w:val="bottom"/>
          </w:tcPr>
          <w:p w14:paraId="7711E7B1" w14:textId="77777777" w:rsidR="00DE4EF2" w:rsidRPr="00145971" w:rsidRDefault="00DE4EF2" w:rsidP="00E24E11">
            <w:pPr>
              <w:jc w:val="center"/>
              <w:rPr>
                <w:rFonts w:eastAsia="Times New Roman" w:cs="Times New Roman"/>
                <w:b/>
                <w:color w:val="000000"/>
                <w:sz w:val="18"/>
                <w:szCs w:val="18"/>
                <w:lang w:eastAsia="hr-HR"/>
              </w:rPr>
            </w:pPr>
            <w:r>
              <w:rPr>
                <w:rFonts w:eastAsia="Times New Roman" w:cs="Times New Roman"/>
                <w:b/>
                <w:color w:val="000000"/>
                <w:sz w:val="18"/>
                <w:szCs w:val="18"/>
                <w:lang w:eastAsia="hr-HR"/>
              </w:rPr>
              <w:t>12.758.878</w:t>
            </w:r>
          </w:p>
        </w:tc>
        <w:tc>
          <w:tcPr>
            <w:tcW w:w="902" w:type="dxa"/>
            <w:tcBorders>
              <w:top w:val="nil"/>
              <w:left w:val="nil"/>
              <w:bottom w:val="single" w:sz="4" w:space="0" w:color="auto"/>
              <w:right w:val="single" w:sz="4" w:space="0" w:color="auto"/>
            </w:tcBorders>
            <w:shd w:val="clear" w:color="000000" w:fill="D9D9D9"/>
            <w:noWrap/>
            <w:vAlign w:val="bottom"/>
          </w:tcPr>
          <w:p w14:paraId="04F25688" w14:textId="77777777" w:rsidR="00DE4EF2" w:rsidRPr="00145971" w:rsidRDefault="00DE4EF2" w:rsidP="00E24E11">
            <w:pPr>
              <w:jc w:val="center"/>
              <w:rPr>
                <w:rFonts w:eastAsia="Times New Roman" w:cs="Times New Roman"/>
                <w:b/>
                <w:color w:val="000000"/>
                <w:sz w:val="18"/>
                <w:szCs w:val="18"/>
                <w:lang w:eastAsia="hr-HR"/>
              </w:rPr>
            </w:pPr>
            <w:r>
              <w:rPr>
                <w:rFonts w:eastAsia="Times New Roman" w:cs="Times New Roman"/>
                <w:b/>
                <w:color w:val="000000"/>
                <w:sz w:val="18"/>
                <w:szCs w:val="18"/>
                <w:lang w:eastAsia="hr-HR"/>
              </w:rPr>
              <w:t>100</w:t>
            </w:r>
          </w:p>
        </w:tc>
        <w:tc>
          <w:tcPr>
            <w:tcW w:w="902" w:type="dxa"/>
            <w:tcBorders>
              <w:top w:val="nil"/>
              <w:left w:val="nil"/>
              <w:bottom w:val="single" w:sz="4" w:space="0" w:color="auto"/>
              <w:right w:val="single" w:sz="4" w:space="0" w:color="auto"/>
            </w:tcBorders>
            <w:shd w:val="clear" w:color="000000" w:fill="D9D9D9"/>
            <w:noWrap/>
            <w:vAlign w:val="bottom"/>
          </w:tcPr>
          <w:p w14:paraId="5FEE622A" w14:textId="77777777" w:rsidR="00DE4EF2" w:rsidRPr="00145971" w:rsidRDefault="00DE4EF2" w:rsidP="00E24E11">
            <w:pPr>
              <w:jc w:val="center"/>
              <w:rPr>
                <w:rFonts w:eastAsia="Times New Roman" w:cs="Times New Roman"/>
                <w:b/>
                <w:color w:val="000000"/>
                <w:sz w:val="18"/>
                <w:szCs w:val="18"/>
                <w:lang w:eastAsia="hr-HR"/>
              </w:rPr>
            </w:pPr>
            <w:r>
              <w:rPr>
                <w:rFonts w:eastAsia="Times New Roman" w:cs="Times New Roman"/>
                <w:b/>
                <w:color w:val="000000"/>
                <w:sz w:val="18"/>
                <w:szCs w:val="18"/>
                <w:lang w:eastAsia="hr-HR"/>
              </w:rPr>
              <w:t>100%</w:t>
            </w:r>
          </w:p>
        </w:tc>
      </w:tr>
    </w:tbl>
    <w:p w14:paraId="3BDEDC04" w14:textId="77777777" w:rsidR="00DE4EF2" w:rsidRDefault="00DE4EF2" w:rsidP="00DE4EF2"/>
    <w:p w14:paraId="6FAB5360" w14:textId="77777777" w:rsidR="00DE4EF2" w:rsidRDefault="00DE4EF2" w:rsidP="00DE4EF2">
      <w:pPr>
        <w:spacing w:line="276" w:lineRule="auto"/>
        <w:jc w:val="both"/>
      </w:pPr>
      <w:r>
        <w:t>Ostvareni prihodi od redovitih usluga propisanih spomenutim zakonima te europskih poslova  realizirani su u visini planiranih.  Gledajući izvorno prihode  , nacionalni poslovi ostvareni su s 99% , dok su europski konkurentni poslovi ostvareni sa 102% u odnosu na planirane.</w:t>
      </w:r>
    </w:p>
    <w:p w14:paraId="1AAA867C" w14:textId="77777777" w:rsidR="00DE4EF2" w:rsidRDefault="00DE4EF2" w:rsidP="00DE4EF2">
      <w:pPr>
        <w:spacing w:line="276" w:lineRule="auto"/>
        <w:jc w:val="both"/>
      </w:pPr>
      <w:r>
        <w:t>Udio europskih konkurentnih poslova u ukupnim prihodima iznosi 25%.</w:t>
      </w:r>
    </w:p>
    <w:p w14:paraId="1AF5F939" w14:textId="77777777" w:rsidR="00DE4EF2" w:rsidRDefault="00DE4EF2" w:rsidP="00DE4EF2">
      <w:pPr>
        <w:spacing w:line="276" w:lineRule="auto"/>
        <w:jc w:val="both"/>
      </w:pPr>
    </w:p>
    <w:p w14:paraId="6966BFB2" w14:textId="77777777" w:rsidR="00DE4EF2" w:rsidRDefault="00DE4EF2" w:rsidP="00DE4EF2">
      <w:pPr>
        <w:jc w:val="both"/>
        <w:rPr>
          <w:rFonts w:cstheme="minorHAnsi"/>
          <w:b/>
        </w:rPr>
      </w:pPr>
      <w:r>
        <w:rPr>
          <w:rFonts w:cstheme="minorHAnsi"/>
          <w:b/>
        </w:rPr>
        <w:t>Tablica 2.</w:t>
      </w:r>
      <w:r w:rsidRPr="006C363E">
        <w:rPr>
          <w:rFonts w:cstheme="minorHAnsi"/>
          <w:b/>
        </w:rPr>
        <w:t xml:space="preserve"> Pr</w:t>
      </w:r>
      <w:r>
        <w:rPr>
          <w:rFonts w:cstheme="minorHAnsi"/>
          <w:b/>
        </w:rPr>
        <w:t xml:space="preserve">ikaz ostvarenja </w:t>
      </w:r>
      <w:r w:rsidRPr="006C363E">
        <w:rPr>
          <w:rFonts w:cstheme="minorHAnsi"/>
          <w:b/>
        </w:rPr>
        <w:t xml:space="preserve"> konkurentnih poslova</w:t>
      </w:r>
      <w:r>
        <w:rPr>
          <w:rFonts w:cstheme="minorHAnsi"/>
          <w:b/>
        </w:rPr>
        <w:t xml:space="preserve"> i projekata prema vrsti usluge </w:t>
      </w:r>
      <w:r w:rsidRPr="00CE3116">
        <w:rPr>
          <w:rFonts w:cstheme="minorHAnsi"/>
          <w:b/>
        </w:rPr>
        <w:t>za I-</w:t>
      </w:r>
      <w:r>
        <w:rPr>
          <w:rFonts w:cstheme="minorHAnsi"/>
          <w:b/>
        </w:rPr>
        <w:t>XII</w:t>
      </w:r>
      <w:r w:rsidRPr="00CE3116">
        <w:rPr>
          <w:rFonts w:cstheme="minorHAnsi"/>
          <w:b/>
        </w:rPr>
        <w:t>/2023.g.</w:t>
      </w:r>
      <w:r>
        <w:rPr>
          <w:rFonts w:cstheme="minorHAnsi"/>
          <w:b/>
        </w:rPr>
        <w:t xml:space="preserve">                             </w:t>
      </w:r>
    </w:p>
    <w:tbl>
      <w:tblPr>
        <w:tblW w:w="9072" w:type="dxa"/>
        <w:tblInd w:w="108" w:type="dxa"/>
        <w:tblLook w:val="04A0" w:firstRow="1" w:lastRow="0" w:firstColumn="1" w:lastColumn="0" w:noHBand="0" w:noVBand="1"/>
      </w:tblPr>
      <w:tblGrid>
        <w:gridCol w:w="532"/>
        <w:gridCol w:w="4713"/>
        <w:gridCol w:w="1985"/>
        <w:gridCol w:w="1842"/>
      </w:tblGrid>
      <w:tr w:rsidR="00DE4EF2" w14:paraId="50B0E0C3" w14:textId="77777777" w:rsidTr="00E24E11">
        <w:trPr>
          <w:trHeight w:val="55"/>
        </w:trPr>
        <w:tc>
          <w:tcPr>
            <w:tcW w:w="532" w:type="dxa"/>
            <w:tcBorders>
              <w:bottom w:val="single" w:sz="8" w:space="0" w:color="auto"/>
            </w:tcBorders>
            <w:noWrap/>
            <w:vAlign w:val="bottom"/>
            <w:hideMark/>
          </w:tcPr>
          <w:p w14:paraId="25D4EE27" w14:textId="77777777" w:rsidR="00DE4EF2" w:rsidRDefault="00DE4EF2" w:rsidP="00E24E11">
            <w:pPr>
              <w:rPr>
                <w:rFonts w:ascii="Times New Roman" w:hAnsi="Times New Roman" w:cs="Times New Roman"/>
              </w:rPr>
            </w:pPr>
          </w:p>
        </w:tc>
        <w:tc>
          <w:tcPr>
            <w:tcW w:w="4713" w:type="dxa"/>
            <w:tcBorders>
              <w:bottom w:val="single" w:sz="8" w:space="0" w:color="auto"/>
            </w:tcBorders>
            <w:noWrap/>
            <w:vAlign w:val="bottom"/>
            <w:hideMark/>
          </w:tcPr>
          <w:p w14:paraId="74C10384" w14:textId="77777777" w:rsidR="00DE4EF2" w:rsidRDefault="00DE4EF2" w:rsidP="00E24E11">
            <w:pPr>
              <w:rPr>
                <w:sz w:val="20"/>
                <w:szCs w:val="20"/>
                <w:lang w:eastAsia="hr-HR"/>
              </w:rPr>
            </w:pPr>
          </w:p>
        </w:tc>
        <w:tc>
          <w:tcPr>
            <w:tcW w:w="1985" w:type="dxa"/>
            <w:tcBorders>
              <w:bottom w:val="single" w:sz="8" w:space="0" w:color="auto"/>
            </w:tcBorders>
            <w:noWrap/>
            <w:vAlign w:val="bottom"/>
            <w:hideMark/>
          </w:tcPr>
          <w:p w14:paraId="2BB0C562" w14:textId="77777777" w:rsidR="00DE4EF2" w:rsidRDefault="00DE4EF2" w:rsidP="00E24E11">
            <w:pPr>
              <w:rPr>
                <w:sz w:val="20"/>
                <w:szCs w:val="20"/>
                <w:lang w:eastAsia="hr-HR"/>
              </w:rPr>
            </w:pPr>
          </w:p>
        </w:tc>
        <w:tc>
          <w:tcPr>
            <w:tcW w:w="1842" w:type="dxa"/>
            <w:tcBorders>
              <w:bottom w:val="single" w:sz="8" w:space="0" w:color="auto"/>
            </w:tcBorders>
            <w:noWrap/>
            <w:vAlign w:val="bottom"/>
            <w:hideMark/>
          </w:tcPr>
          <w:p w14:paraId="3790FFC4" w14:textId="77777777" w:rsidR="00DE4EF2" w:rsidRDefault="00DE4EF2" w:rsidP="00E24E11">
            <w:pPr>
              <w:rPr>
                <w:sz w:val="20"/>
                <w:szCs w:val="20"/>
                <w:lang w:eastAsia="hr-HR"/>
              </w:rPr>
            </w:pPr>
          </w:p>
        </w:tc>
      </w:tr>
      <w:tr w:rsidR="00DE4EF2" w14:paraId="1E54364C" w14:textId="77777777" w:rsidTr="00E24E11">
        <w:trPr>
          <w:trHeight w:val="508"/>
        </w:trPr>
        <w:tc>
          <w:tcPr>
            <w:tcW w:w="532" w:type="dxa"/>
            <w:tcBorders>
              <w:top w:val="single" w:sz="8" w:space="0" w:color="auto"/>
              <w:left w:val="single" w:sz="8" w:space="0" w:color="auto"/>
              <w:bottom w:val="single" w:sz="4" w:space="0" w:color="auto"/>
              <w:right w:val="single" w:sz="4" w:space="0" w:color="auto"/>
            </w:tcBorders>
            <w:shd w:val="clear" w:color="auto" w:fill="A3E7FF"/>
            <w:noWrap/>
            <w:vAlign w:val="center"/>
            <w:hideMark/>
          </w:tcPr>
          <w:p w14:paraId="2CAB7B86" w14:textId="77777777" w:rsidR="00DE4EF2" w:rsidRPr="00145971" w:rsidRDefault="00DE4EF2" w:rsidP="00E24E11">
            <w:pPr>
              <w:jc w:val="both"/>
              <w:rPr>
                <w:rFonts w:eastAsia="Times New Roman" w:cstheme="minorHAnsi"/>
                <w:b/>
                <w:bCs/>
                <w:color w:val="000000"/>
                <w:sz w:val="18"/>
                <w:szCs w:val="18"/>
                <w:lang w:eastAsia="hr-HR"/>
              </w:rPr>
            </w:pPr>
            <w:r w:rsidRPr="00145971">
              <w:rPr>
                <w:rFonts w:eastAsia="Times New Roman" w:cstheme="minorHAnsi"/>
                <w:b/>
                <w:bCs/>
                <w:color w:val="000000"/>
                <w:sz w:val="18"/>
                <w:szCs w:val="18"/>
                <w:lang w:eastAsia="hr-HR"/>
              </w:rPr>
              <w:t>Rbr.</w:t>
            </w:r>
          </w:p>
        </w:tc>
        <w:tc>
          <w:tcPr>
            <w:tcW w:w="4713" w:type="dxa"/>
            <w:tcBorders>
              <w:top w:val="single" w:sz="8" w:space="0" w:color="auto"/>
              <w:left w:val="nil"/>
              <w:bottom w:val="single" w:sz="4" w:space="0" w:color="auto"/>
              <w:right w:val="single" w:sz="4" w:space="0" w:color="auto"/>
            </w:tcBorders>
            <w:shd w:val="clear" w:color="auto" w:fill="A3E7FF"/>
            <w:noWrap/>
            <w:vAlign w:val="center"/>
            <w:hideMark/>
          </w:tcPr>
          <w:p w14:paraId="49AE7F9F" w14:textId="77777777" w:rsidR="00DE4EF2" w:rsidRPr="00145971" w:rsidRDefault="00DE4EF2" w:rsidP="00E24E11">
            <w:pPr>
              <w:jc w:val="center"/>
              <w:rPr>
                <w:rFonts w:eastAsia="Times New Roman" w:cstheme="minorHAnsi"/>
                <w:b/>
                <w:bCs/>
                <w:color w:val="000000"/>
                <w:sz w:val="18"/>
                <w:szCs w:val="18"/>
                <w:lang w:eastAsia="hr-HR"/>
              </w:rPr>
            </w:pPr>
            <w:r w:rsidRPr="00145971">
              <w:rPr>
                <w:rFonts w:eastAsia="Times New Roman" w:cstheme="minorHAnsi"/>
                <w:b/>
                <w:bCs/>
                <w:color w:val="000000"/>
                <w:sz w:val="18"/>
                <w:szCs w:val="18"/>
                <w:lang w:eastAsia="hr-HR"/>
              </w:rPr>
              <w:t>NAZIV USLUGE</w:t>
            </w:r>
          </w:p>
        </w:tc>
        <w:tc>
          <w:tcPr>
            <w:tcW w:w="1985" w:type="dxa"/>
            <w:tcBorders>
              <w:top w:val="single" w:sz="8" w:space="0" w:color="auto"/>
              <w:left w:val="nil"/>
              <w:bottom w:val="single" w:sz="4" w:space="0" w:color="auto"/>
              <w:right w:val="single" w:sz="4" w:space="0" w:color="auto"/>
            </w:tcBorders>
            <w:shd w:val="clear" w:color="auto" w:fill="A3E7FF"/>
            <w:noWrap/>
            <w:vAlign w:val="center"/>
            <w:hideMark/>
          </w:tcPr>
          <w:p w14:paraId="4662DC97" w14:textId="77777777" w:rsidR="00DE4EF2" w:rsidRPr="00145971" w:rsidRDefault="00DE4EF2" w:rsidP="00E24E11">
            <w:pPr>
              <w:jc w:val="center"/>
              <w:rPr>
                <w:rFonts w:eastAsia="Times New Roman" w:cstheme="minorHAnsi"/>
                <w:b/>
                <w:bCs/>
                <w:color w:val="000000"/>
                <w:sz w:val="18"/>
                <w:szCs w:val="18"/>
                <w:lang w:eastAsia="hr-HR"/>
              </w:rPr>
            </w:pPr>
            <w:r w:rsidRPr="00145971">
              <w:rPr>
                <w:rFonts w:eastAsia="Times New Roman" w:cstheme="minorHAnsi"/>
                <w:b/>
                <w:bCs/>
                <w:color w:val="000000"/>
                <w:sz w:val="18"/>
                <w:szCs w:val="18"/>
                <w:lang w:eastAsia="hr-HR"/>
              </w:rPr>
              <w:t>OSTVARENO</w:t>
            </w:r>
          </w:p>
        </w:tc>
        <w:tc>
          <w:tcPr>
            <w:tcW w:w="1842" w:type="dxa"/>
            <w:tcBorders>
              <w:top w:val="single" w:sz="8" w:space="0" w:color="auto"/>
              <w:left w:val="nil"/>
              <w:bottom w:val="single" w:sz="4" w:space="0" w:color="auto"/>
              <w:right w:val="single" w:sz="8" w:space="0" w:color="auto"/>
            </w:tcBorders>
            <w:shd w:val="clear" w:color="auto" w:fill="A3E7FF"/>
            <w:vAlign w:val="center"/>
            <w:hideMark/>
          </w:tcPr>
          <w:p w14:paraId="59B560EC" w14:textId="77777777" w:rsidR="00DE4EF2" w:rsidRPr="00145971" w:rsidRDefault="00DE4EF2" w:rsidP="00E24E11">
            <w:pPr>
              <w:jc w:val="center"/>
              <w:rPr>
                <w:rFonts w:eastAsia="Times New Roman" w:cstheme="minorHAnsi"/>
                <w:b/>
                <w:bCs/>
                <w:color w:val="000000"/>
                <w:sz w:val="18"/>
                <w:szCs w:val="18"/>
                <w:lang w:eastAsia="hr-HR"/>
              </w:rPr>
            </w:pPr>
            <w:r w:rsidRPr="00145971">
              <w:rPr>
                <w:rFonts w:eastAsia="Times New Roman" w:cstheme="minorHAnsi"/>
                <w:b/>
                <w:bCs/>
                <w:color w:val="000000"/>
                <w:sz w:val="18"/>
                <w:szCs w:val="18"/>
                <w:lang w:eastAsia="hr-HR"/>
              </w:rPr>
              <w:t>UDIO</w:t>
            </w:r>
          </w:p>
        </w:tc>
      </w:tr>
      <w:tr w:rsidR="00DE4EF2" w:rsidRPr="00A331FD" w14:paraId="7F36E3BB" w14:textId="77777777" w:rsidTr="00E24E11">
        <w:trPr>
          <w:trHeight w:val="350"/>
        </w:trPr>
        <w:tc>
          <w:tcPr>
            <w:tcW w:w="532" w:type="dxa"/>
            <w:tcBorders>
              <w:top w:val="nil"/>
              <w:left w:val="single" w:sz="8" w:space="0" w:color="auto"/>
              <w:bottom w:val="single" w:sz="4" w:space="0" w:color="auto"/>
              <w:right w:val="single" w:sz="4" w:space="0" w:color="auto"/>
            </w:tcBorders>
            <w:noWrap/>
            <w:vAlign w:val="center"/>
            <w:hideMark/>
          </w:tcPr>
          <w:p w14:paraId="1FB3BF0E" w14:textId="77777777" w:rsidR="00DE4EF2" w:rsidRPr="00145971" w:rsidRDefault="00DE4EF2" w:rsidP="00E24E11">
            <w:pPr>
              <w:jc w:val="both"/>
              <w:rPr>
                <w:rFonts w:eastAsia="Times New Roman" w:cstheme="minorHAnsi"/>
                <w:b/>
                <w:bCs/>
                <w:color w:val="000000"/>
                <w:sz w:val="18"/>
                <w:szCs w:val="18"/>
                <w:lang w:eastAsia="hr-HR"/>
              </w:rPr>
            </w:pPr>
            <w:r w:rsidRPr="00145971">
              <w:rPr>
                <w:rFonts w:eastAsia="Times New Roman" w:cstheme="minorHAnsi"/>
                <w:b/>
                <w:bCs/>
                <w:color w:val="000000"/>
                <w:sz w:val="18"/>
                <w:szCs w:val="18"/>
                <w:lang w:eastAsia="hr-HR"/>
              </w:rPr>
              <w:t>1.</w:t>
            </w:r>
          </w:p>
        </w:tc>
        <w:tc>
          <w:tcPr>
            <w:tcW w:w="4713" w:type="dxa"/>
            <w:tcBorders>
              <w:top w:val="nil"/>
              <w:left w:val="nil"/>
              <w:bottom w:val="single" w:sz="4" w:space="0" w:color="auto"/>
              <w:right w:val="single" w:sz="4" w:space="0" w:color="auto"/>
            </w:tcBorders>
            <w:vAlign w:val="bottom"/>
            <w:hideMark/>
          </w:tcPr>
          <w:p w14:paraId="4DB52D77" w14:textId="77777777" w:rsidR="00DE4EF2" w:rsidRPr="00145971" w:rsidRDefault="00DE4EF2" w:rsidP="00E24E11">
            <w:pPr>
              <w:jc w:val="both"/>
              <w:rPr>
                <w:rFonts w:eastAsia="Times New Roman" w:cstheme="minorHAnsi"/>
                <w:b/>
                <w:bCs/>
                <w:color w:val="000000"/>
                <w:sz w:val="18"/>
                <w:szCs w:val="18"/>
                <w:lang w:eastAsia="hr-HR"/>
              </w:rPr>
            </w:pPr>
            <w:r w:rsidRPr="00145971">
              <w:rPr>
                <w:rFonts w:eastAsia="Times New Roman" w:cstheme="minorHAnsi"/>
                <w:b/>
                <w:bCs/>
                <w:color w:val="000000"/>
                <w:sz w:val="18"/>
                <w:szCs w:val="18"/>
                <w:lang w:eastAsia="hr-HR"/>
              </w:rPr>
              <w:t>Davanje</w:t>
            </w:r>
            <w:r>
              <w:rPr>
                <w:rFonts w:eastAsia="Times New Roman" w:cstheme="minorHAnsi"/>
                <w:b/>
                <w:bCs/>
                <w:color w:val="000000"/>
                <w:sz w:val="18"/>
                <w:szCs w:val="18"/>
                <w:lang w:eastAsia="hr-HR"/>
              </w:rPr>
              <w:t xml:space="preserve"> znanstve</w:t>
            </w:r>
            <w:r w:rsidRPr="00145971">
              <w:rPr>
                <w:rFonts w:eastAsia="Times New Roman" w:cstheme="minorHAnsi"/>
                <w:b/>
                <w:bCs/>
                <w:color w:val="000000"/>
                <w:sz w:val="18"/>
                <w:szCs w:val="18"/>
                <w:lang w:eastAsia="hr-HR"/>
              </w:rPr>
              <w:t>nog savjeta (SAWP)</w:t>
            </w:r>
            <w:r>
              <w:rPr>
                <w:rFonts w:eastAsia="Times New Roman" w:cstheme="minorHAnsi"/>
                <w:b/>
                <w:bCs/>
                <w:color w:val="000000"/>
                <w:sz w:val="18"/>
                <w:szCs w:val="18"/>
                <w:lang w:eastAsia="hr-HR"/>
              </w:rPr>
              <w:t xml:space="preserve"> EMA</w:t>
            </w:r>
          </w:p>
        </w:tc>
        <w:tc>
          <w:tcPr>
            <w:tcW w:w="1985" w:type="dxa"/>
            <w:tcBorders>
              <w:top w:val="nil"/>
              <w:left w:val="nil"/>
              <w:bottom w:val="single" w:sz="4" w:space="0" w:color="auto"/>
              <w:right w:val="single" w:sz="4" w:space="0" w:color="auto"/>
            </w:tcBorders>
            <w:shd w:val="clear" w:color="auto" w:fill="FFFFFF"/>
            <w:noWrap/>
            <w:vAlign w:val="bottom"/>
          </w:tcPr>
          <w:p w14:paraId="3A9DFC9B" w14:textId="77777777" w:rsidR="00DE4EF2" w:rsidRPr="00C81A60" w:rsidRDefault="00DE4EF2" w:rsidP="00E24E11">
            <w:pPr>
              <w:jc w:val="center"/>
              <w:rPr>
                <w:rFonts w:eastAsia="Times New Roman" w:cstheme="minorHAnsi"/>
                <w:b/>
                <w:bCs/>
                <w:color w:val="000000"/>
                <w:sz w:val="18"/>
                <w:szCs w:val="18"/>
                <w:lang w:eastAsia="hr-HR"/>
              </w:rPr>
            </w:pPr>
            <w:r w:rsidRPr="00C81A60">
              <w:rPr>
                <w:rFonts w:eastAsia="Times New Roman" w:cstheme="minorHAnsi"/>
                <w:b/>
                <w:bCs/>
                <w:color w:val="000000"/>
                <w:sz w:val="18"/>
                <w:szCs w:val="18"/>
                <w:lang w:eastAsia="hr-HR"/>
              </w:rPr>
              <w:t>486.296</w:t>
            </w:r>
          </w:p>
        </w:tc>
        <w:tc>
          <w:tcPr>
            <w:tcW w:w="1842" w:type="dxa"/>
            <w:tcBorders>
              <w:top w:val="nil"/>
              <w:left w:val="nil"/>
              <w:bottom w:val="single" w:sz="4" w:space="0" w:color="auto"/>
              <w:right w:val="single" w:sz="8" w:space="0" w:color="auto"/>
            </w:tcBorders>
            <w:noWrap/>
            <w:vAlign w:val="center"/>
          </w:tcPr>
          <w:p w14:paraId="59F09FFF" w14:textId="77777777" w:rsidR="00DE4EF2" w:rsidRPr="00DD09D2" w:rsidRDefault="00DE4EF2" w:rsidP="00E24E11">
            <w:pPr>
              <w:jc w:val="center"/>
              <w:rPr>
                <w:rFonts w:eastAsia="Times New Roman" w:cstheme="minorHAnsi"/>
                <w:b/>
                <w:bCs/>
                <w:color w:val="000000"/>
                <w:sz w:val="18"/>
                <w:szCs w:val="18"/>
                <w:lang w:eastAsia="hr-HR"/>
              </w:rPr>
            </w:pPr>
            <w:r w:rsidRPr="00DD09D2">
              <w:rPr>
                <w:rFonts w:eastAsia="Times New Roman" w:cstheme="minorHAnsi"/>
                <w:b/>
                <w:bCs/>
                <w:color w:val="000000"/>
                <w:sz w:val="18"/>
                <w:szCs w:val="18"/>
                <w:lang w:eastAsia="hr-HR"/>
              </w:rPr>
              <w:t>1</w:t>
            </w:r>
            <w:r>
              <w:rPr>
                <w:rFonts w:eastAsia="Times New Roman" w:cstheme="minorHAnsi"/>
                <w:b/>
                <w:bCs/>
                <w:color w:val="000000"/>
                <w:sz w:val="18"/>
                <w:szCs w:val="18"/>
                <w:lang w:eastAsia="hr-HR"/>
              </w:rPr>
              <w:t>5</w:t>
            </w:r>
            <w:r w:rsidRPr="00DD09D2">
              <w:rPr>
                <w:rFonts w:eastAsia="Times New Roman" w:cstheme="minorHAnsi"/>
                <w:b/>
                <w:bCs/>
                <w:color w:val="000000"/>
                <w:sz w:val="18"/>
                <w:szCs w:val="18"/>
                <w:lang w:eastAsia="hr-HR"/>
              </w:rPr>
              <w:t>%</w:t>
            </w:r>
          </w:p>
        </w:tc>
      </w:tr>
      <w:tr w:rsidR="00DE4EF2" w:rsidRPr="00A331FD" w14:paraId="6D98C5E3" w14:textId="77777777" w:rsidTr="00E24E11">
        <w:trPr>
          <w:trHeight w:val="350"/>
        </w:trPr>
        <w:tc>
          <w:tcPr>
            <w:tcW w:w="532" w:type="dxa"/>
            <w:tcBorders>
              <w:top w:val="nil"/>
              <w:left w:val="single" w:sz="8" w:space="0" w:color="auto"/>
              <w:bottom w:val="single" w:sz="4" w:space="0" w:color="auto"/>
              <w:right w:val="single" w:sz="4" w:space="0" w:color="auto"/>
            </w:tcBorders>
            <w:noWrap/>
            <w:vAlign w:val="center"/>
            <w:hideMark/>
          </w:tcPr>
          <w:p w14:paraId="77CB84ED" w14:textId="77777777" w:rsidR="00DE4EF2" w:rsidRPr="00145971" w:rsidRDefault="00DE4EF2" w:rsidP="00E24E11">
            <w:pPr>
              <w:jc w:val="both"/>
              <w:rPr>
                <w:rFonts w:eastAsia="Times New Roman" w:cstheme="minorHAnsi"/>
                <w:b/>
                <w:bCs/>
                <w:color w:val="000000"/>
                <w:sz w:val="18"/>
                <w:szCs w:val="18"/>
                <w:lang w:eastAsia="hr-HR"/>
              </w:rPr>
            </w:pPr>
            <w:r>
              <w:rPr>
                <w:rFonts w:eastAsia="Times New Roman" w:cstheme="minorHAnsi"/>
                <w:b/>
                <w:bCs/>
                <w:color w:val="000000"/>
                <w:sz w:val="18"/>
                <w:szCs w:val="18"/>
                <w:lang w:eastAsia="hr-HR"/>
              </w:rPr>
              <w:t>2</w:t>
            </w:r>
            <w:r w:rsidRPr="00145971">
              <w:rPr>
                <w:rFonts w:eastAsia="Times New Roman" w:cstheme="minorHAnsi"/>
                <w:b/>
                <w:bCs/>
                <w:color w:val="000000"/>
                <w:sz w:val="18"/>
                <w:szCs w:val="18"/>
                <w:lang w:eastAsia="hr-HR"/>
              </w:rPr>
              <w:t>.</w:t>
            </w:r>
          </w:p>
        </w:tc>
        <w:tc>
          <w:tcPr>
            <w:tcW w:w="4713" w:type="dxa"/>
            <w:tcBorders>
              <w:top w:val="nil"/>
              <w:left w:val="nil"/>
              <w:bottom w:val="single" w:sz="4" w:space="0" w:color="auto"/>
              <w:right w:val="single" w:sz="4" w:space="0" w:color="auto"/>
            </w:tcBorders>
            <w:vAlign w:val="bottom"/>
            <w:hideMark/>
          </w:tcPr>
          <w:p w14:paraId="55B76C03" w14:textId="77777777" w:rsidR="00DE4EF2" w:rsidRPr="00145971" w:rsidRDefault="00DE4EF2" w:rsidP="00E24E11">
            <w:pPr>
              <w:jc w:val="both"/>
              <w:rPr>
                <w:rFonts w:eastAsia="Times New Roman" w:cstheme="minorHAnsi"/>
                <w:b/>
                <w:color w:val="000000"/>
                <w:sz w:val="18"/>
                <w:szCs w:val="18"/>
                <w:lang w:eastAsia="hr-HR"/>
              </w:rPr>
            </w:pPr>
            <w:r w:rsidRPr="00145971">
              <w:rPr>
                <w:rFonts w:eastAsia="Times New Roman" w:cstheme="minorHAnsi"/>
                <w:b/>
                <w:color w:val="000000"/>
                <w:sz w:val="18"/>
                <w:szCs w:val="18"/>
                <w:lang w:eastAsia="hr-HR"/>
              </w:rPr>
              <w:t>Ocjena PSUR/PSUSA (PRAC),</w:t>
            </w:r>
            <w:r>
              <w:rPr>
                <w:rFonts w:eastAsia="Times New Roman" w:cstheme="minorHAnsi"/>
                <w:b/>
                <w:color w:val="000000"/>
                <w:sz w:val="18"/>
                <w:szCs w:val="18"/>
                <w:lang w:eastAsia="hr-HR"/>
              </w:rPr>
              <w:t xml:space="preserve">prema ugovoru s </w:t>
            </w:r>
            <w:r w:rsidRPr="00145971">
              <w:rPr>
                <w:rFonts w:eastAsia="Times New Roman" w:cstheme="minorHAnsi"/>
                <w:b/>
                <w:color w:val="000000"/>
                <w:sz w:val="18"/>
                <w:szCs w:val="18"/>
                <w:lang w:eastAsia="hr-HR"/>
              </w:rPr>
              <w:t>EMA</w:t>
            </w:r>
          </w:p>
        </w:tc>
        <w:tc>
          <w:tcPr>
            <w:tcW w:w="1985" w:type="dxa"/>
            <w:tcBorders>
              <w:top w:val="nil"/>
              <w:left w:val="nil"/>
              <w:bottom w:val="single" w:sz="4" w:space="0" w:color="auto"/>
              <w:right w:val="single" w:sz="4" w:space="0" w:color="auto"/>
            </w:tcBorders>
            <w:shd w:val="clear" w:color="auto" w:fill="FFFFFF"/>
            <w:noWrap/>
            <w:vAlign w:val="center"/>
          </w:tcPr>
          <w:p w14:paraId="78B788ED" w14:textId="77777777" w:rsidR="00DE4EF2" w:rsidRPr="00C81A60" w:rsidRDefault="00DE4EF2" w:rsidP="00E24E11">
            <w:pPr>
              <w:jc w:val="center"/>
              <w:rPr>
                <w:rFonts w:eastAsia="Times New Roman" w:cstheme="minorHAnsi"/>
                <w:b/>
                <w:bCs/>
                <w:sz w:val="18"/>
                <w:szCs w:val="18"/>
                <w:lang w:eastAsia="hr-HR"/>
              </w:rPr>
            </w:pPr>
            <w:r w:rsidRPr="00C81A60">
              <w:rPr>
                <w:rFonts w:eastAsia="Times New Roman" w:cstheme="minorHAnsi"/>
                <w:b/>
                <w:bCs/>
                <w:sz w:val="18"/>
                <w:szCs w:val="18"/>
                <w:lang w:eastAsia="hr-HR"/>
              </w:rPr>
              <w:t>415.292</w:t>
            </w:r>
          </w:p>
        </w:tc>
        <w:tc>
          <w:tcPr>
            <w:tcW w:w="1842" w:type="dxa"/>
            <w:tcBorders>
              <w:top w:val="nil"/>
              <w:left w:val="nil"/>
              <w:bottom w:val="single" w:sz="4" w:space="0" w:color="auto"/>
              <w:right w:val="single" w:sz="8" w:space="0" w:color="auto"/>
            </w:tcBorders>
            <w:noWrap/>
            <w:vAlign w:val="center"/>
          </w:tcPr>
          <w:p w14:paraId="340CE422" w14:textId="77777777" w:rsidR="00DE4EF2" w:rsidRPr="00DD09D2" w:rsidRDefault="00DE4EF2" w:rsidP="00E24E11">
            <w:pPr>
              <w:jc w:val="center"/>
              <w:rPr>
                <w:rFonts w:eastAsia="Times New Roman" w:cstheme="minorHAnsi"/>
                <w:b/>
                <w:bCs/>
                <w:color w:val="000000"/>
                <w:sz w:val="18"/>
                <w:szCs w:val="18"/>
                <w:lang w:eastAsia="hr-HR"/>
              </w:rPr>
            </w:pPr>
            <w:r w:rsidRPr="00DD09D2">
              <w:rPr>
                <w:rFonts w:eastAsia="Times New Roman" w:cstheme="minorHAnsi"/>
                <w:b/>
                <w:bCs/>
                <w:color w:val="000000"/>
                <w:sz w:val="18"/>
                <w:szCs w:val="18"/>
                <w:lang w:eastAsia="hr-HR"/>
              </w:rPr>
              <w:t>1</w:t>
            </w:r>
            <w:r>
              <w:rPr>
                <w:rFonts w:eastAsia="Times New Roman" w:cstheme="minorHAnsi"/>
                <w:b/>
                <w:bCs/>
                <w:color w:val="000000"/>
                <w:sz w:val="18"/>
                <w:szCs w:val="18"/>
                <w:lang w:eastAsia="hr-HR"/>
              </w:rPr>
              <w:t>3</w:t>
            </w:r>
            <w:r w:rsidRPr="00DD09D2">
              <w:rPr>
                <w:rFonts w:eastAsia="Times New Roman" w:cstheme="minorHAnsi"/>
                <w:b/>
                <w:bCs/>
                <w:color w:val="000000"/>
                <w:sz w:val="18"/>
                <w:szCs w:val="18"/>
                <w:lang w:eastAsia="hr-HR"/>
              </w:rPr>
              <w:t>%</w:t>
            </w:r>
          </w:p>
        </w:tc>
      </w:tr>
      <w:tr w:rsidR="00DE4EF2" w:rsidRPr="00A331FD" w14:paraId="10A5013A" w14:textId="77777777" w:rsidTr="00E24E11">
        <w:trPr>
          <w:trHeight w:val="350"/>
        </w:trPr>
        <w:tc>
          <w:tcPr>
            <w:tcW w:w="532" w:type="dxa"/>
            <w:tcBorders>
              <w:top w:val="nil"/>
              <w:left w:val="single" w:sz="8" w:space="0" w:color="auto"/>
              <w:bottom w:val="single" w:sz="4" w:space="0" w:color="auto"/>
              <w:right w:val="single" w:sz="4" w:space="0" w:color="auto"/>
            </w:tcBorders>
            <w:noWrap/>
            <w:vAlign w:val="center"/>
            <w:hideMark/>
          </w:tcPr>
          <w:p w14:paraId="18EC97FE" w14:textId="77777777" w:rsidR="00DE4EF2" w:rsidRPr="00145971" w:rsidRDefault="00DE4EF2" w:rsidP="00E24E11">
            <w:pPr>
              <w:jc w:val="both"/>
              <w:rPr>
                <w:rFonts w:eastAsia="Times New Roman" w:cstheme="minorHAnsi"/>
                <w:b/>
                <w:bCs/>
                <w:color w:val="000000"/>
                <w:sz w:val="18"/>
                <w:szCs w:val="18"/>
                <w:lang w:eastAsia="hr-HR"/>
              </w:rPr>
            </w:pPr>
            <w:r>
              <w:rPr>
                <w:rFonts w:eastAsia="Times New Roman" w:cstheme="minorHAnsi"/>
                <w:b/>
                <w:bCs/>
                <w:color w:val="000000"/>
                <w:sz w:val="18"/>
                <w:szCs w:val="18"/>
                <w:lang w:eastAsia="hr-HR"/>
              </w:rPr>
              <w:t>3</w:t>
            </w:r>
            <w:r w:rsidRPr="00145971">
              <w:rPr>
                <w:rFonts w:eastAsia="Times New Roman" w:cstheme="minorHAnsi"/>
                <w:b/>
                <w:bCs/>
                <w:color w:val="000000"/>
                <w:sz w:val="18"/>
                <w:szCs w:val="18"/>
                <w:lang w:eastAsia="hr-HR"/>
              </w:rPr>
              <w:t>.</w:t>
            </w:r>
          </w:p>
        </w:tc>
        <w:tc>
          <w:tcPr>
            <w:tcW w:w="4713" w:type="dxa"/>
            <w:tcBorders>
              <w:top w:val="nil"/>
              <w:left w:val="nil"/>
              <w:bottom w:val="single" w:sz="4" w:space="0" w:color="auto"/>
              <w:right w:val="single" w:sz="4" w:space="0" w:color="auto"/>
            </w:tcBorders>
            <w:vAlign w:val="center"/>
            <w:hideMark/>
          </w:tcPr>
          <w:p w14:paraId="478FAEEF" w14:textId="77777777" w:rsidR="00DE4EF2" w:rsidRPr="00145971" w:rsidRDefault="00DE4EF2" w:rsidP="00E24E11">
            <w:pPr>
              <w:jc w:val="both"/>
              <w:rPr>
                <w:rFonts w:eastAsia="Times New Roman" w:cstheme="minorHAnsi"/>
                <w:b/>
                <w:color w:val="1A1A1A"/>
                <w:sz w:val="18"/>
                <w:szCs w:val="18"/>
                <w:lang w:eastAsia="hr-HR"/>
              </w:rPr>
            </w:pPr>
            <w:r w:rsidRPr="00145971">
              <w:rPr>
                <w:rFonts w:eastAsia="Times New Roman" w:cstheme="minorHAnsi"/>
                <w:b/>
                <w:color w:val="1A1A1A"/>
                <w:sz w:val="18"/>
                <w:szCs w:val="18"/>
                <w:lang w:eastAsia="hr-HR"/>
              </w:rPr>
              <w:t>Godišnje pristojbe, EMA</w:t>
            </w:r>
          </w:p>
        </w:tc>
        <w:tc>
          <w:tcPr>
            <w:tcW w:w="1985" w:type="dxa"/>
            <w:tcBorders>
              <w:top w:val="nil"/>
              <w:left w:val="nil"/>
              <w:bottom w:val="single" w:sz="4" w:space="0" w:color="auto"/>
              <w:right w:val="single" w:sz="4" w:space="0" w:color="auto"/>
            </w:tcBorders>
            <w:shd w:val="clear" w:color="auto" w:fill="FFFFFF"/>
            <w:noWrap/>
            <w:vAlign w:val="center"/>
          </w:tcPr>
          <w:p w14:paraId="6E36E17C" w14:textId="77777777" w:rsidR="00DE4EF2" w:rsidRPr="00C81A60" w:rsidRDefault="00DE4EF2" w:rsidP="00E24E11">
            <w:pPr>
              <w:jc w:val="center"/>
              <w:rPr>
                <w:rFonts w:eastAsia="Times New Roman" w:cstheme="minorHAnsi"/>
                <w:b/>
                <w:color w:val="000000"/>
                <w:sz w:val="18"/>
                <w:szCs w:val="18"/>
                <w:lang w:eastAsia="hr-HR"/>
              </w:rPr>
            </w:pPr>
            <w:r w:rsidRPr="00C81A60">
              <w:rPr>
                <w:rFonts w:eastAsia="Times New Roman" w:cstheme="minorHAnsi"/>
                <w:b/>
                <w:color w:val="000000"/>
                <w:sz w:val="18"/>
                <w:szCs w:val="18"/>
                <w:lang w:eastAsia="hr-HR"/>
              </w:rPr>
              <w:t>153.615</w:t>
            </w:r>
          </w:p>
        </w:tc>
        <w:tc>
          <w:tcPr>
            <w:tcW w:w="1842" w:type="dxa"/>
            <w:tcBorders>
              <w:top w:val="nil"/>
              <w:left w:val="nil"/>
              <w:bottom w:val="single" w:sz="4" w:space="0" w:color="auto"/>
              <w:right w:val="single" w:sz="8" w:space="0" w:color="auto"/>
            </w:tcBorders>
            <w:noWrap/>
            <w:vAlign w:val="center"/>
          </w:tcPr>
          <w:p w14:paraId="4A754A02" w14:textId="77777777" w:rsidR="00DE4EF2" w:rsidRPr="00DD09D2" w:rsidRDefault="00DE4EF2" w:rsidP="00E24E11">
            <w:pPr>
              <w:jc w:val="center"/>
              <w:rPr>
                <w:rFonts w:eastAsia="Times New Roman" w:cstheme="minorHAnsi"/>
                <w:b/>
                <w:bCs/>
                <w:color w:val="000000"/>
                <w:sz w:val="18"/>
                <w:szCs w:val="18"/>
                <w:lang w:eastAsia="hr-HR"/>
              </w:rPr>
            </w:pPr>
            <w:r>
              <w:rPr>
                <w:rFonts w:eastAsia="Times New Roman" w:cstheme="minorHAnsi"/>
                <w:b/>
                <w:bCs/>
                <w:color w:val="000000"/>
                <w:sz w:val="18"/>
                <w:szCs w:val="18"/>
                <w:lang w:eastAsia="hr-HR"/>
              </w:rPr>
              <w:t>5</w:t>
            </w:r>
            <w:r w:rsidRPr="00DD09D2">
              <w:rPr>
                <w:rFonts w:eastAsia="Times New Roman" w:cstheme="minorHAnsi"/>
                <w:b/>
                <w:bCs/>
                <w:color w:val="000000"/>
                <w:sz w:val="18"/>
                <w:szCs w:val="18"/>
                <w:lang w:eastAsia="hr-HR"/>
              </w:rPr>
              <w:t>%</w:t>
            </w:r>
          </w:p>
        </w:tc>
      </w:tr>
      <w:tr w:rsidR="00DE4EF2" w:rsidRPr="00A331FD" w14:paraId="64D7C269" w14:textId="77777777" w:rsidTr="00E24E11">
        <w:trPr>
          <w:trHeight w:val="350"/>
        </w:trPr>
        <w:tc>
          <w:tcPr>
            <w:tcW w:w="532" w:type="dxa"/>
            <w:tcBorders>
              <w:top w:val="nil"/>
              <w:left w:val="single" w:sz="8" w:space="0" w:color="auto"/>
              <w:bottom w:val="single" w:sz="4" w:space="0" w:color="auto"/>
              <w:right w:val="single" w:sz="4" w:space="0" w:color="auto"/>
            </w:tcBorders>
            <w:noWrap/>
            <w:vAlign w:val="center"/>
            <w:hideMark/>
          </w:tcPr>
          <w:p w14:paraId="252CC106" w14:textId="77777777" w:rsidR="00DE4EF2" w:rsidRPr="00145971" w:rsidRDefault="00DE4EF2" w:rsidP="00E24E11">
            <w:pPr>
              <w:jc w:val="both"/>
              <w:rPr>
                <w:rFonts w:eastAsia="Times New Roman" w:cstheme="minorHAnsi"/>
                <w:b/>
                <w:bCs/>
                <w:color w:val="000000"/>
                <w:sz w:val="18"/>
                <w:szCs w:val="18"/>
                <w:lang w:eastAsia="hr-HR"/>
              </w:rPr>
            </w:pPr>
            <w:r>
              <w:rPr>
                <w:rFonts w:eastAsia="Times New Roman" w:cstheme="minorHAnsi"/>
                <w:b/>
                <w:bCs/>
                <w:color w:val="000000"/>
                <w:sz w:val="18"/>
                <w:szCs w:val="18"/>
                <w:lang w:eastAsia="hr-HR"/>
              </w:rPr>
              <w:t>4</w:t>
            </w:r>
            <w:r w:rsidRPr="00145971">
              <w:rPr>
                <w:rFonts w:eastAsia="Times New Roman" w:cstheme="minorHAnsi"/>
                <w:b/>
                <w:bCs/>
                <w:color w:val="000000"/>
                <w:sz w:val="18"/>
                <w:szCs w:val="18"/>
                <w:lang w:eastAsia="hr-HR"/>
              </w:rPr>
              <w:t>.</w:t>
            </w:r>
          </w:p>
        </w:tc>
        <w:tc>
          <w:tcPr>
            <w:tcW w:w="4713" w:type="dxa"/>
            <w:tcBorders>
              <w:top w:val="nil"/>
              <w:left w:val="nil"/>
              <w:bottom w:val="single" w:sz="4" w:space="0" w:color="auto"/>
              <w:right w:val="single" w:sz="4" w:space="0" w:color="auto"/>
            </w:tcBorders>
            <w:vAlign w:val="center"/>
            <w:hideMark/>
          </w:tcPr>
          <w:p w14:paraId="40F5CA70" w14:textId="77777777" w:rsidR="00DE4EF2" w:rsidRPr="00145971" w:rsidRDefault="00DE4EF2" w:rsidP="00E24E11">
            <w:pPr>
              <w:jc w:val="both"/>
              <w:rPr>
                <w:rFonts w:eastAsia="Times New Roman" w:cstheme="minorHAnsi"/>
                <w:b/>
                <w:color w:val="1A1A1A"/>
                <w:sz w:val="18"/>
                <w:szCs w:val="18"/>
                <w:lang w:eastAsia="hr-HR"/>
              </w:rPr>
            </w:pPr>
            <w:r w:rsidRPr="00145971">
              <w:rPr>
                <w:rFonts w:eastAsia="Times New Roman" w:cstheme="minorHAnsi"/>
                <w:b/>
                <w:color w:val="000000"/>
                <w:sz w:val="18"/>
                <w:szCs w:val="18"/>
                <w:lang w:eastAsia="hr-HR"/>
              </w:rPr>
              <w:t xml:space="preserve">RMS - </w:t>
            </w:r>
            <w:r>
              <w:rPr>
                <w:rFonts w:eastAsia="Times New Roman" w:cstheme="minorHAnsi"/>
                <w:b/>
                <w:color w:val="000000"/>
                <w:sz w:val="18"/>
                <w:szCs w:val="18"/>
                <w:lang w:eastAsia="hr-HR"/>
              </w:rPr>
              <w:t>d</w:t>
            </w:r>
            <w:r w:rsidRPr="00145971">
              <w:rPr>
                <w:rFonts w:eastAsia="Times New Roman" w:cstheme="minorHAnsi"/>
                <w:b/>
                <w:color w:val="000000"/>
                <w:sz w:val="18"/>
                <w:szCs w:val="18"/>
                <w:lang w:eastAsia="hr-HR"/>
              </w:rPr>
              <w:t>avanje odobrenja</w:t>
            </w:r>
          </w:p>
        </w:tc>
        <w:tc>
          <w:tcPr>
            <w:tcW w:w="1985" w:type="dxa"/>
            <w:tcBorders>
              <w:top w:val="nil"/>
              <w:left w:val="nil"/>
              <w:bottom w:val="single" w:sz="4" w:space="0" w:color="auto"/>
              <w:right w:val="single" w:sz="4" w:space="0" w:color="auto"/>
            </w:tcBorders>
            <w:shd w:val="clear" w:color="auto" w:fill="FFFFFF"/>
            <w:noWrap/>
            <w:vAlign w:val="center"/>
          </w:tcPr>
          <w:p w14:paraId="3063FA90" w14:textId="77777777" w:rsidR="00DE4EF2" w:rsidRPr="00C81A60" w:rsidRDefault="00DE4EF2" w:rsidP="00E24E11">
            <w:pPr>
              <w:jc w:val="center"/>
              <w:rPr>
                <w:rFonts w:eastAsia="Times New Roman" w:cstheme="minorHAnsi"/>
                <w:b/>
                <w:color w:val="000000"/>
                <w:sz w:val="18"/>
                <w:szCs w:val="18"/>
                <w:lang w:eastAsia="hr-HR"/>
              </w:rPr>
            </w:pPr>
            <w:r>
              <w:rPr>
                <w:rFonts w:eastAsia="Times New Roman" w:cstheme="minorHAnsi"/>
                <w:b/>
                <w:color w:val="000000"/>
                <w:sz w:val="18"/>
                <w:szCs w:val="18"/>
                <w:lang w:eastAsia="hr-HR"/>
              </w:rPr>
              <w:t>523.326</w:t>
            </w:r>
          </w:p>
        </w:tc>
        <w:tc>
          <w:tcPr>
            <w:tcW w:w="1842" w:type="dxa"/>
            <w:tcBorders>
              <w:top w:val="nil"/>
              <w:left w:val="nil"/>
              <w:bottom w:val="single" w:sz="4" w:space="0" w:color="auto"/>
              <w:right w:val="single" w:sz="8" w:space="0" w:color="auto"/>
            </w:tcBorders>
            <w:noWrap/>
            <w:vAlign w:val="center"/>
          </w:tcPr>
          <w:p w14:paraId="069031EB" w14:textId="77777777" w:rsidR="00DE4EF2" w:rsidRPr="00DD09D2" w:rsidRDefault="00DE4EF2" w:rsidP="00E24E11">
            <w:pPr>
              <w:jc w:val="center"/>
              <w:rPr>
                <w:rFonts w:eastAsia="Times New Roman" w:cstheme="minorHAnsi"/>
                <w:b/>
                <w:bCs/>
                <w:color w:val="000000"/>
                <w:sz w:val="18"/>
                <w:szCs w:val="18"/>
                <w:lang w:eastAsia="hr-HR"/>
              </w:rPr>
            </w:pPr>
            <w:r>
              <w:rPr>
                <w:rFonts w:eastAsia="Times New Roman" w:cstheme="minorHAnsi"/>
                <w:b/>
                <w:bCs/>
                <w:color w:val="000000"/>
                <w:sz w:val="18"/>
                <w:szCs w:val="18"/>
                <w:lang w:eastAsia="hr-HR"/>
              </w:rPr>
              <w:t>16</w:t>
            </w:r>
            <w:r w:rsidRPr="00DD09D2">
              <w:rPr>
                <w:rFonts w:eastAsia="Times New Roman" w:cstheme="minorHAnsi"/>
                <w:b/>
                <w:bCs/>
                <w:color w:val="000000"/>
                <w:sz w:val="18"/>
                <w:szCs w:val="18"/>
                <w:lang w:eastAsia="hr-HR"/>
              </w:rPr>
              <w:t>%</w:t>
            </w:r>
          </w:p>
        </w:tc>
      </w:tr>
      <w:tr w:rsidR="00DE4EF2" w:rsidRPr="00A331FD" w14:paraId="12E55EB6" w14:textId="77777777" w:rsidTr="00E24E11">
        <w:trPr>
          <w:trHeight w:val="350"/>
        </w:trPr>
        <w:tc>
          <w:tcPr>
            <w:tcW w:w="532" w:type="dxa"/>
            <w:tcBorders>
              <w:top w:val="nil"/>
              <w:left w:val="single" w:sz="8" w:space="0" w:color="auto"/>
              <w:bottom w:val="single" w:sz="4" w:space="0" w:color="auto"/>
              <w:right w:val="single" w:sz="4" w:space="0" w:color="auto"/>
            </w:tcBorders>
            <w:noWrap/>
            <w:vAlign w:val="center"/>
          </w:tcPr>
          <w:p w14:paraId="444A1F45" w14:textId="77777777" w:rsidR="00DE4EF2" w:rsidRPr="00145971" w:rsidRDefault="00DE4EF2" w:rsidP="00E24E11">
            <w:pPr>
              <w:jc w:val="both"/>
              <w:rPr>
                <w:rFonts w:eastAsia="Times New Roman" w:cstheme="minorHAnsi"/>
                <w:b/>
                <w:bCs/>
                <w:color w:val="000000"/>
                <w:sz w:val="18"/>
                <w:szCs w:val="18"/>
                <w:lang w:eastAsia="hr-HR"/>
              </w:rPr>
            </w:pPr>
            <w:r>
              <w:rPr>
                <w:rFonts w:eastAsia="Times New Roman" w:cstheme="minorHAnsi"/>
                <w:b/>
                <w:bCs/>
                <w:color w:val="000000"/>
                <w:sz w:val="18"/>
                <w:szCs w:val="18"/>
                <w:lang w:eastAsia="hr-HR"/>
              </w:rPr>
              <w:t>5</w:t>
            </w:r>
            <w:r w:rsidRPr="00145971">
              <w:rPr>
                <w:rFonts w:eastAsia="Times New Roman" w:cstheme="minorHAnsi"/>
                <w:b/>
                <w:bCs/>
                <w:color w:val="000000"/>
                <w:sz w:val="18"/>
                <w:szCs w:val="18"/>
                <w:lang w:eastAsia="hr-HR"/>
              </w:rPr>
              <w:t>.</w:t>
            </w:r>
          </w:p>
        </w:tc>
        <w:tc>
          <w:tcPr>
            <w:tcW w:w="4713" w:type="dxa"/>
            <w:tcBorders>
              <w:top w:val="nil"/>
              <w:left w:val="nil"/>
              <w:bottom w:val="single" w:sz="4" w:space="0" w:color="auto"/>
              <w:right w:val="single" w:sz="4" w:space="0" w:color="auto"/>
            </w:tcBorders>
            <w:vAlign w:val="center"/>
          </w:tcPr>
          <w:p w14:paraId="6A9E6DD5" w14:textId="77777777" w:rsidR="00DE4EF2" w:rsidRPr="00145971" w:rsidRDefault="00DE4EF2" w:rsidP="00E24E11">
            <w:pPr>
              <w:jc w:val="both"/>
              <w:rPr>
                <w:rFonts w:eastAsia="Times New Roman" w:cstheme="minorHAnsi"/>
                <w:b/>
                <w:color w:val="1A1A1A"/>
                <w:sz w:val="18"/>
                <w:szCs w:val="18"/>
                <w:lang w:eastAsia="hr-HR"/>
              </w:rPr>
            </w:pPr>
            <w:r w:rsidRPr="00145971">
              <w:rPr>
                <w:rFonts w:eastAsia="Times New Roman" w:cstheme="minorHAnsi"/>
                <w:b/>
                <w:color w:val="1A1A1A"/>
                <w:sz w:val="18"/>
                <w:szCs w:val="18"/>
                <w:lang w:eastAsia="hr-HR"/>
              </w:rPr>
              <w:t xml:space="preserve">RMS-izmjene odobrenja </w:t>
            </w:r>
          </w:p>
        </w:tc>
        <w:tc>
          <w:tcPr>
            <w:tcW w:w="1985" w:type="dxa"/>
            <w:tcBorders>
              <w:top w:val="nil"/>
              <w:left w:val="nil"/>
              <w:bottom w:val="single" w:sz="4" w:space="0" w:color="auto"/>
              <w:right w:val="single" w:sz="4" w:space="0" w:color="auto"/>
            </w:tcBorders>
            <w:shd w:val="clear" w:color="auto" w:fill="FFFFFF"/>
            <w:noWrap/>
            <w:vAlign w:val="center"/>
          </w:tcPr>
          <w:p w14:paraId="5AE8876D" w14:textId="77777777" w:rsidR="00DE4EF2" w:rsidRPr="00C81A60" w:rsidRDefault="00DE4EF2" w:rsidP="00E24E11">
            <w:pPr>
              <w:jc w:val="center"/>
              <w:rPr>
                <w:rFonts w:eastAsia="Times New Roman" w:cstheme="minorHAnsi"/>
                <w:b/>
                <w:color w:val="000000"/>
                <w:sz w:val="18"/>
                <w:szCs w:val="18"/>
                <w:lang w:eastAsia="hr-HR"/>
              </w:rPr>
            </w:pPr>
            <w:r>
              <w:rPr>
                <w:rFonts w:eastAsia="Times New Roman" w:cstheme="minorHAnsi"/>
                <w:b/>
                <w:color w:val="000000"/>
                <w:sz w:val="18"/>
                <w:szCs w:val="18"/>
                <w:lang w:eastAsia="hr-HR"/>
              </w:rPr>
              <w:t>235.451</w:t>
            </w:r>
          </w:p>
        </w:tc>
        <w:tc>
          <w:tcPr>
            <w:tcW w:w="1842" w:type="dxa"/>
            <w:tcBorders>
              <w:top w:val="nil"/>
              <w:left w:val="nil"/>
              <w:bottom w:val="single" w:sz="4" w:space="0" w:color="auto"/>
              <w:right w:val="single" w:sz="8" w:space="0" w:color="auto"/>
            </w:tcBorders>
            <w:noWrap/>
            <w:vAlign w:val="center"/>
          </w:tcPr>
          <w:p w14:paraId="25A054E3" w14:textId="77777777" w:rsidR="00DE4EF2" w:rsidRPr="00DD09D2" w:rsidRDefault="00DE4EF2" w:rsidP="00E24E11">
            <w:pPr>
              <w:jc w:val="center"/>
              <w:rPr>
                <w:rFonts w:eastAsia="Times New Roman" w:cstheme="minorHAnsi"/>
                <w:b/>
                <w:bCs/>
                <w:color w:val="000000"/>
                <w:sz w:val="18"/>
                <w:szCs w:val="18"/>
                <w:lang w:eastAsia="hr-HR"/>
              </w:rPr>
            </w:pPr>
            <w:r w:rsidRPr="00DD09D2">
              <w:rPr>
                <w:rFonts w:eastAsia="Times New Roman" w:cstheme="minorHAnsi"/>
                <w:b/>
                <w:bCs/>
                <w:color w:val="000000"/>
                <w:sz w:val="18"/>
                <w:szCs w:val="18"/>
                <w:lang w:eastAsia="hr-HR"/>
              </w:rPr>
              <w:t>7%</w:t>
            </w:r>
          </w:p>
        </w:tc>
      </w:tr>
      <w:tr w:rsidR="00DE4EF2" w:rsidRPr="00A331FD" w14:paraId="5BC0B3C8" w14:textId="77777777" w:rsidTr="00E24E11">
        <w:trPr>
          <w:trHeight w:val="350"/>
        </w:trPr>
        <w:tc>
          <w:tcPr>
            <w:tcW w:w="532" w:type="dxa"/>
            <w:tcBorders>
              <w:top w:val="nil"/>
              <w:left w:val="single" w:sz="8" w:space="0" w:color="auto"/>
              <w:bottom w:val="single" w:sz="4" w:space="0" w:color="auto"/>
              <w:right w:val="single" w:sz="4" w:space="0" w:color="auto"/>
            </w:tcBorders>
            <w:noWrap/>
            <w:vAlign w:val="center"/>
          </w:tcPr>
          <w:p w14:paraId="046F2238" w14:textId="77777777" w:rsidR="00DE4EF2" w:rsidRDefault="00DE4EF2" w:rsidP="00E24E11">
            <w:pPr>
              <w:jc w:val="both"/>
              <w:rPr>
                <w:rFonts w:eastAsia="Times New Roman" w:cstheme="minorHAnsi"/>
                <w:b/>
                <w:bCs/>
                <w:color w:val="000000"/>
                <w:sz w:val="18"/>
                <w:szCs w:val="18"/>
                <w:lang w:eastAsia="hr-HR"/>
              </w:rPr>
            </w:pPr>
            <w:r>
              <w:rPr>
                <w:rFonts w:eastAsia="Times New Roman" w:cstheme="minorHAnsi"/>
                <w:b/>
                <w:bCs/>
                <w:color w:val="000000"/>
                <w:sz w:val="18"/>
                <w:szCs w:val="18"/>
                <w:lang w:eastAsia="hr-HR"/>
              </w:rPr>
              <w:t>6.</w:t>
            </w:r>
          </w:p>
        </w:tc>
        <w:tc>
          <w:tcPr>
            <w:tcW w:w="4713" w:type="dxa"/>
            <w:tcBorders>
              <w:top w:val="nil"/>
              <w:left w:val="nil"/>
              <w:bottom w:val="single" w:sz="4" w:space="0" w:color="auto"/>
              <w:right w:val="single" w:sz="4" w:space="0" w:color="auto"/>
            </w:tcBorders>
            <w:vAlign w:val="center"/>
          </w:tcPr>
          <w:p w14:paraId="3680775D" w14:textId="77777777" w:rsidR="00DE4EF2" w:rsidRPr="00145971" w:rsidRDefault="00DE4EF2" w:rsidP="00E24E11">
            <w:pPr>
              <w:jc w:val="both"/>
              <w:rPr>
                <w:rFonts w:eastAsia="Times New Roman" w:cstheme="minorHAnsi"/>
                <w:b/>
                <w:color w:val="1A1A1A"/>
                <w:sz w:val="18"/>
                <w:szCs w:val="18"/>
                <w:lang w:eastAsia="hr-HR"/>
              </w:rPr>
            </w:pPr>
            <w:r>
              <w:rPr>
                <w:rFonts w:eastAsia="Times New Roman" w:cstheme="minorHAnsi"/>
                <w:b/>
                <w:color w:val="1A1A1A"/>
                <w:sz w:val="18"/>
                <w:szCs w:val="18"/>
                <w:lang w:eastAsia="hr-HR"/>
              </w:rPr>
              <w:t>RMS-obnova odobrenja</w:t>
            </w:r>
          </w:p>
        </w:tc>
        <w:tc>
          <w:tcPr>
            <w:tcW w:w="1985" w:type="dxa"/>
            <w:tcBorders>
              <w:top w:val="nil"/>
              <w:left w:val="nil"/>
              <w:bottom w:val="single" w:sz="4" w:space="0" w:color="auto"/>
              <w:right w:val="single" w:sz="4" w:space="0" w:color="auto"/>
            </w:tcBorders>
            <w:shd w:val="clear" w:color="auto" w:fill="FFFFFF"/>
            <w:noWrap/>
            <w:vAlign w:val="center"/>
          </w:tcPr>
          <w:p w14:paraId="79700D63" w14:textId="77777777" w:rsidR="00DE4EF2" w:rsidRPr="00C81A60" w:rsidRDefault="00DE4EF2" w:rsidP="00E24E11">
            <w:pPr>
              <w:jc w:val="center"/>
              <w:rPr>
                <w:rFonts w:eastAsia="Times New Roman" w:cstheme="minorHAnsi"/>
                <w:b/>
                <w:color w:val="000000"/>
                <w:sz w:val="18"/>
                <w:szCs w:val="18"/>
                <w:lang w:eastAsia="hr-HR"/>
              </w:rPr>
            </w:pPr>
            <w:r>
              <w:rPr>
                <w:rFonts w:eastAsia="Times New Roman" w:cstheme="minorHAnsi"/>
                <w:b/>
                <w:color w:val="000000"/>
                <w:sz w:val="18"/>
                <w:szCs w:val="18"/>
                <w:lang w:eastAsia="hr-HR"/>
              </w:rPr>
              <w:t>138.563</w:t>
            </w:r>
          </w:p>
        </w:tc>
        <w:tc>
          <w:tcPr>
            <w:tcW w:w="1842" w:type="dxa"/>
            <w:tcBorders>
              <w:top w:val="nil"/>
              <w:left w:val="nil"/>
              <w:bottom w:val="single" w:sz="4" w:space="0" w:color="auto"/>
              <w:right w:val="single" w:sz="8" w:space="0" w:color="auto"/>
            </w:tcBorders>
            <w:noWrap/>
            <w:vAlign w:val="center"/>
          </w:tcPr>
          <w:p w14:paraId="5ABE90AA" w14:textId="77777777" w:rsidR="00DE4EF2" w:rsidRPr="00DD09D2" w:rsidRDefault="00DE4EF2" w:rsidP="00E24E11">
            <w:pPr>
              <w:jc w:val="center"/>
              <w:rPr>
                <w:rFonts w:eastAsia="Times New Roman" w:cstheme="minorHAnsi"/>
                <w:b/>
                <w:bCs/>
                <w:color w:val="000000"/>
                <w:sz w:val="18"/>
                <w:szCs w:val="18"/>
                <w:lang w:eastAsia="hr-HR"/>
              </w:rPr>
            </w:pPr>
            <w:r>
              <w:rPr>
                <w:rFonts w:eastAsia="Times New Roman" w:cstheme="minorHAnsi"/>
                <w:b/>
                <w:bCs/>
                <w:color w:val="000000"/>
                <w:sz w:val="18"/>
                <w:szCs w:val="18"/>
                <w:lang w:eastAsia="hr-HR"/>
              </w:rPr>
              <w:t>4</w:t>
            </w:r>
            <w:r w:rsidRPr="00DD09D2">
              <w:rPr>
                <w:rFonts w:eastAsia="Times New Roman" w:cstheme="minorHAnsi"/>
                <w:b/>
                <w:bCs/>
                <w:color w:val="000000"/>
                <w:sz w:val="18"/>
                <w:szCs w:val="18"/>
                <w:lang w:eastAsia="hr-HR"/>
              </w:rPr>
              <w:t>%</w:t>
            </w:r>
          </w:p>
        </w:tc>
      </w:tr>
      <w:tr w:rsidR="00DE4EF2" w:rsidRPr="00A331FD" w14:paraId="681E3983" w14:textId="77777777" w:rsidTr="00E24E11">
        <w:trPr>
          <w:trHeight w:val="350"/>
        </w:trPr>
        <w:tc>
          <w:tcPr>
            <w:tcW w:w="532" w:type="dxa"/>
            <w:tcBorders>
              <w:top w:val="nil"/>
              <w:left w:val="single" w:sz="8" w:space="0" w:color="auto"/>
              <w:bottom w:val="single" w:sz="4" w:space="0" w:color="auto"/>
              <w:right w:val="single" w:sz="4" w:space="0" w:color="auto"/>
            </w:tcBorders>
            <w:noWrap/>
            <w:vAlign w:val="center"/>
            <w:hideMark/>
          </w:tcPr>
          <w:p w14:paraId="0ABDDA53" w14:textId="77777777" w:rsidR="00DE4EF2" w:rsidRPr="00145971" w:rsidRDefault="00DE4EF2" w:rsidP="00E24E11">
            <w:pPr>
              <w:jc w:val="both"/>
              <w:rPr>
                <w:rFonts w:eastAsia="Times New Roman" w:cstheme="minorHAnsi"/>
                <w:b/>
                <w:bCs/>
                <w:color w:val="000000"/>
                <w:sz w:val="18"/>
                <w:szCs w:val="18"/>
                <w:lang w:eastAsia="hr-HR"/>
              </w:rPr>
            </w:pPr>
            <w:r>
              <w:rPr>
                <w:rFonts w:eastAsia="Times New Roman" w:cstheme="minorHAnsi"/>
                <w:b/>
                <w:bCs/>
                <w:color w:val="000000"/>
                <w:sz w:val="18"/>
                <w:szCs w:val="18"/>
                <w:lang w:eastAsia="hr-HR"/>
              </w:rPr>
              <w:t>7</w:t>
            </w:r>
            <w:r w:rsidRPr="00145971">
              <w:rPr>
                <w:rFonts w:eastAsia="Times New Roman" w:cstheme="minorHAnsi"/>
                <w:b/>
                <w:bCs/>
                <w:color w:val="000000"/>
                <w:sz w:val="18"/>
                <w:szCs w:val="18"/>
                <w:lang w:eastAsia="hr-HR"/>
              </w:rPr>
              <w:t>.</w:t>
            </w:r>
          </w:p>
        </w:tc>
        <w:tc>
          <w:tcPr>
            <w:tcW w:w="4713" w:type="dxa"/>
            <w:tcBorders>
              <w:top w:val="nil"/>
              <w:left w:val="nil"/>
              <w:bottom w:val="single" w:sz="4" w:space="0" w:color="auto"/>
              <w:right w:val="single" w:sz="4" w:space="0" w:color="auto"/>
            </w:tcBorders>
            <w:vAlign w:val="center"/>
            <w:hideMark/>
          </w:tcPr>
          <w:p w14:paraId="306D4D63" w14:textId="77777777" w:rsidR="00DE4EF2" w:rsidRPr="00145971" w:rsidRDefault="00DE4EF2" w:rsidP="00E24E11">
            <w:pPr>
              <w:jc w:val="both"/>
              <w:rPr>
                <w:rFonts w:eastAsia="Times New Roman" w:cstheme="minorHAnsi"/>
                <w:b/>
                <w:sz w:val="18"/>
                <w:szCs w:val="18"/>
                <w:lang w:eastAsia="hr-HR"/>
              </w:rPr>
            </w:pPr>
            <w:r>
              <w:rPr>
                <w:rFonts w:eastAsia="Times New Roman" w:cstheme="minorHAnsi"/>
                <w:b/>
                <w:sz w:val="18"/>
                <w:szCs w:val="18"/>
                <w:lang w:eastAsia="hr-HR"/>
              </w:rPr>
              <w:t xml:space="preserve">Provjera dobre proizvođačke prakse, </w:t>
            </w:r>
            <w:r w:rsidRPr="00145971">
              <w:rPr>
                <w:rFonts w:eastAsia="Times New Roman" w:cstheme="minorHAnsi"/>
                <w:b/>
                <w:sz w:val="18"/>
                <w:szCs w:val="18"/>
                <w:lang w:eastAsia="hr-HR"/>
              </w:rPr>
              <w:t xml:space="preserve">GMP inspekcije </w:t>
            </w:r>
          </w:p>
        </w:tc>
        <w:tc>
          <w:tcPr>
            <w:tcW w:w="1985" w:type="dxa"/>
            <w:tcBorders>
              <w:top w:val="nil"/>
              <w:left w:val="nil"/>
              <w:bottom w:val="single" w:sz="4" w:space="0" w:color="auto"/>
              <w:right w:val="single" w:sz="4" w:space="0" w:color="auto"/>
            </w:tcBorders>
            <w:shd w:val="clear" w:color="auto" w:fill="FFFFFF"/>
            <w:noWrap/>
            <w:vAlign w:val="center"/>
          </w:tcPr>
          <w:p w14:paraId="6C3EA162" w14:textId="77777777" w:rsidR="00DE4EF2" w:rsidRPr="00C81A60" w:rsidRDefault="00DE4EF2" w:rsidP="00E24E11">
            <w:pPr>
              <w:jc w:val="center"/>
              <w:rPr>
                <w:rFonts w:eastAsia="Times New Roman" w:cstheme="minorHAnsi"/>
                <w:b/>
                <w:sz w:val="18"/>
                <w:szCs w:val="18"/>
                <w:lang w:eastAsia="hr-HR"/>
              </w:rPr>
            </w:pPr>
            <w:r>
              <w:rPr>
                <w:rFonts w:eastAsia="Times New Roman" w:cstheme="minorHAnsi"/>
                <w:b/>
                <w:sz w:val="18"/>
                <w:szCs w:val="18"/>
                <w:lang w:eastAsia="hr-HR"/>
              </w:rPr>
              <w:t>211.912</w:t>
            </w:r>
          </w:p>
        </w:tc>
        <w:tc>
          <w:tcPr>
            <w:tcW w:w="1842" w:type="dxa"/>
            <w:tcBorders>
              <w:top w:val="nil"/>
              <w:left w:val="nil"/>
              <w:bottom w:val="single" w:sz="4" w:space="0" w:color="auto"/>
              <w:right w:val="single" w:sz="8" w:space="0" w:color="auto"/>
            </w:tcBorders>
            <w:noWrap/>
            <w:vAlign w:val="center"/>
          </w:tcPr>
          <w:p w14:paraId="39C22550" w14:textId="77777777" w:rsidR="00DE4EF2" w:rsidRPr="00DD09D2" w:rsidRDefault="00DE4EF2" w:rsidP="00E24E11">
            <w:pPr>
              <w:jc w:val="center"/>
              <w:rPr>
                <w:rFonts w:eastAsia="Times New Roman" w:cstheme="minorHAnsi"/>
                <w:b/>
                <w:bCs/>
                <w:color w:val="000000"/>
                <w:sz w:val="18"/>
                <w:szCs w:val="18"/>
                <w:lang w:eastAsia="hr-HR"/>
              </w:rPr>
            </w:pPr>
            <w:r>
              <w:rPr>
                <w:rFonts w:eastAsia="Times New Roman" w:cstheme="minorHAnsi"/>
                <w:b/>
                <w:bCs/>
                <w:color w:val="000000"/>
                <w:sz w:val="18"/>
                <w:szCs w:val="18"/>
                <w:lang w:eastAsia="hr-HR"/>
              </w:rPr>
              <w:t>7</w:t>
            </w:r>
            <w:r w:rsidRPr="00DD09D2">
              <w:rPr>
                <w:rFonts w:eastAsia="Times New Roman" w:cstheme="minorHAnsi"/>
                <w:b/>
                <w:bCs/>
                <w:color w:val="000000"/>
                <w:sz w:val="18"/>
                <w:szCs w:val="18"/>
                <w:lang w:eastAsia="hr-HR"/>
              </w:rPr>
              <w:t>%</w:t>
            </w:r>
          </w:p>
        </w:tc>
      </w:tr>
      <w:tr w:rsidR="00DE4EF2" w:rsidRPr="00A331FD" w14:paraId="3781FBD3" w14:textId="77777777" w:rsidTr="00E24E11">
        <w:trPr>
          <w:trHeight w:val="350"/>
        </w:trPr>
        <w:tc>
          <w:tcPr>
            <w:tcW w:w="532" w:type="dxa"/>
            <w:tcBorders>
              <w:top w:val="nil"/>
              <w:left w:val="single" w:sz="8" w:space="0" w:color="auto"/>
              <w:bottom w:val="single" w:sz="4" w:space="0" w:color="auto"/>
              <w:right w:val="single" w:sz="4" w:space="0" w:color="auto"/>
            </w:tcBorders>
            <w:noWrap/>
            <w:vAlign w:val="center"/>
          </w:tcPr>
          <w:p w14:paraId="6A91536B" w14:textId="77777777" w:rsidR="00DE4EF2" w:rsidRDefault="00DE4EF2" w:rsidP="00E24E11">
            <w:pPr>
              <w:jc w:val="both"/>
              <w:rPr>
                <w:rFonts w:eastAsia="Times New Roman" w:cstheme="minorHAnsi"/>
                <w:b/>
                <w:bCs/>
                <w:color w:val="000000"/>
                <w:sz w:val="18"/>
                <w:szCs w:val="18"/>
                <w:lang w:eastAsia="hr-HR"/>
              </w:rPr>
            </w:pPr>
            <w:r>
              <w:rPr>
                <w:rFonts w:eastAsia="Times New Roman" w:cstheme="minorHAnsi"/>
                <w:b/>
                <w:bCs/>
                <w:color w:val="000000"/>
                <w:sz w:val="18"/>
                <w:szCs w:val="18"/>
                <w:lang w:eastAsia="hr-HR"/>
              </w:rPr>
              <w:t>8</w:t>
            </w:r>
          </w:p>
        </w:tc>
        <w:tc>
          <w:tcPr>
            <w:tcW w:w="4713" w:type="dxa"/>
            <w:tcBorders>
              <w:top w:val="nil"/>
              <w:left w:val="nil"/>
              <w:bottom w:val="single" w:sz="4" w:space="0" w:color="auto"/>
              <w:right w:val="single" w:sz="4" w:space="0" w:color="auto"/>
            </w:tcBorders>
            <w:vAlign w:val="center"/>
          </w:tcPr>
          <w:p w14:paraId="643A213C" w14:textId="77777777" w:rsidR="00DE4EF2" w:rsidRDefault="00DE4EF2" w:rsidP="00E24E11">
            <w:pPr>
              <w:jc w:val="both"/>
              <w:rPr>
                <w:rFonts w:eastAsia="Times New Roman" w:cstheme="minorHAnsi"/>
                <w:b/>
                <w:sz w:val="18"/>
                <w:szCs w:val="18"/>
                <w:lang w:eastAsia="hr-HR"/>
              </w:rPr>
            </w:pPr>
            <w:r>
              <w:rPr>
                <w:rFonts w:eastAsia="Times New Roman" w:cstheme="minorHAnsi"/>
                <w:b/>
                <w:sz w:val="18"/>
                <w:szCs w:val="18"/>
                <w:lang w:eastAsia="hr-HR"/>
              </w:rPr>
              <w:t>Ispitivanja za EDQM prema Ugovoru</w:t>
            </w:r>
          </w:p>
        </w:tc>
        <w:tc>
          <w:tcPr>
            <w:tcW w:w="1985" w:type="dxa"/>
            <w:tcBorders>
              <w:top w:val="nil"/>
              <w:left w:val="nil"/>
              <w:bottom w:val="single" w:sz="4" w:space="0" w:color="auto"/>
              <w:right w:val="single" w:sz="4" w:space="0" w:color="auto"/>
            </w:tcBorders>
            <w:shd w:val="clear" w:color="auto" w:fill="FFFFFF"/>
            <w:noWrap/>
            <w:vAlign w:val="center"/>
          </w:tcPr>
          <w:p w14:paraId="2519F42F" w14:textId="77777777" w:rsidR="00DE4EF2" w:rsidRDefault="00DE4EF2" w:rsidP="00E24E11">
            <w:pPr>
              <w:jc w:val="center"/>
              <w:rPr>
                <w:rFonts w:eastAsia="Times New Roman" w:cstheme="minorHAnsi"/>
                <w:b/>
                <w:sz w:val="18"/>
                <w:szCs w:val="18"/>
                <w:lang w:eastAsia="hr-HR"/>
              </w:rPr>
            </w:pPr>
            <w:r>
              <w:rPr>
                <w:rFonts w:eastAsia="Times New Roman" w:cstheme="minorHAnsi"/>
                <w:b/>
                <w:sz w:val="18"/>
                <w:szCs w:val="18"/>
                <w:lang w:eastAsia="hr-HR"/>
              </w:rPr>
              <w:t>22.027</w:t>
            </w:r>
          </w:p>
        </w:tc>
        <w:tc>
          <w:tcPr>
            <w:tcW w:w="1842" w:type="dxa"/>
            <w:tcBorders>
              <w:top w:val="nil"/>
              <w:left w:val="nil"/>
              <w:bottom w:val="single" w:sz="4" w:space="0" w:color="auto"/>
              <w:right w:val="single" w:sz="8" w:space="0" w:color="auto"/>
            </w:tcBorders>
            <w:noWrap/>
            <w:vAlign w:val="center"/>
          </w:tcPr>
          <w:p w14:paraId="6FB96C70" w14:textId="77777777" w:rsidR="00DE4EF2" w:rsidRPr="00DD09D2" w:rsidRDefault="00DE4EF2" w:rsidP="00E24E11">
            <w:pPr>
              <w:jc w:val="center"/>
              <w:rPr>
                <w:rFonts w:eastAsia="Times New Roman" w:cstheme="minorHAnsi"/>
                <w:b/>
                <w:bCs/>
                <w:color w:val="000000"/>
                <w:sz w:val="18"/>
                <w:szCs w:val="18"/>
                <w:lang w:eastAsia="hr-HR"/>
              </w:rPr>
            </w:pPr>
          </w:p>
        </w:tc>
      </w:tr>
      <w:tr w:rsidR="00DE4EF2" w:rsidRPr="00A331FD" w14:paraId="4835FB24" w14:textId="77777777" w:rsidTr="00E24E11">
        <w:trPr>
          <w:trHeight w:val="350"/>
        </w:trPr>
        <w:tc>
          <w:tcPr>
            <w:tcW w:w="532" w:type="dxa"/>
            <w:tcBorders>
              <w:top w:val="nil"/>
              <w:left w:val="single" w:sz="8" w:space="0" w:color="auto"/>
              <w:bottom w:val="single" w:sz="4" w:space="0" w:color="auto"/>
              <w:right w:val="single" w:sz="4" w:space="0" w:color="auto"/>
            </w:tcBorders>
            <w:noWrap/>
            <w:vAlign w:val="center"/>
          </w:tcPr>
          <w:p w14:paraId="10A6A04D" w14:textId="77777777" w:rsidR="00DE4EF2" w:rsidRDefault="00DE4EF2" w:rsidP="00E24E11">
            <w:pPr>
              <w:jc w:val="both"/>
              <w:rPr>
                <w:rFonts w:eastAsia="Times New Roman" w:cstheme="minorHAnsi"/>
                <w:b/>
                <w:bCs/>
                <w:color w:val="000000"/>
                <w:sz w:val="18"/>
                <w:szCs w:val="18"/>
                <w:lang w:eastAsia="hr-HR"/>
              </w:rPr>
            </w:pPr>
            <w:r>
              <w:rPr>
                <w:rFonts w:eastAsia="Times New Roman" w:cstheme="minorHAnsi"/>
                <w:b/>
                <w:bCs/>
                <w:color w:val="000000"/>
                <w:sz w:val="18"/>
                <w:szCs w:val="18"/>
                <w:lang w:eastAsia="hr-HR"/>
              </w:rPr>
              <w:t>9.</w:t>
            </w:r>
          </w:p>
        </w:tc>
        <w:tc>
          <w:tcPr>
            <w:tcW w:w="4713" w:type="dxa"/>
            <w:tcBorders>
              <w:top w:val="nil"/>
              <w:left w:val="nil"/>
              <w:bottom w:val="single" w:sz="4" w:space="0" w:color="auto"/>
              <w:right w:val="single" w:sz="4" w:space="0" w:color="auto"/>
            </w:tcBorders>
            <w:vAlign w:val="center"/>
          </w:tcPr>
          <w:p w14:paraId="63606ADC" w14:textId="77777777" w:rsidR="00DE4EF2" w:rsidRDefault="00DE4EF2" w:rsidP="00E24E11">
            <w:pPr>
              <w:jc w:val="both"/>
              <w:rPr>
                <w:rFonts w:eastAsia="Times New Roman" w:cstheme="minorHAnsi"/>
                <w:b/>
                <w:sz w:val="18"/>
                <w:szCs w:val="18"/>
                <w:lang w:eastAsia="hr-HR"/>
              </w:rPr>
            </w:pPr>
            <w:r>
              <w:rPr>
                <w:rFonts w:eastAsia="Times New Roman" w:cstheme="minorHAnsi"/>
                <w:b/>
                <w:sz w:val="18"/>
                <w:szCs w:val="18"/>
                <w:lang w:eastAsia="hr-HR"/>
              </w:rPr>
              <w:t>Ocjena dokumentacije o lijeku u CP postupku</w:t>
            </w:r>
          </w:p>
        </w:tc>
        <w:tc>
          <w:tcPr>
            <w:tcW w:w="1985" w:type="dxa"/>
            <w:tcBorders>
              <w:top w:val="nil"/>
              <w:left w:val="nil"/>
              <w:bottom w:val="single" w:sz="4" w:space="0" w:color="auto"/>
              <w:right w:val="single" w:sz="4" w:space="0" w:color="auto"/>
            </w:tcBorders>
            <w:shd w:val="clear" w:color="auto" w:fill="FFFFFF"/>
            <w:noWrap/>
            <w:vAlign w:val="center"/>
          </w:tcPr>
          <w:p w14:paraId="04F05F4E" w14:textId="77777777" w:rsidR="00DE4EF2" w:rsidRPr="00C81A60" w:rsidRDefault="00DE4EF2" w:rsidP="00E24E11">
            <w:pPr>
              <w:jc w:val="center"/>
              <w:rPr>
                <w:rFonts w:eastAsia="Times New Roman" w:cstheme="minorHAnsi"/>
                <w:b/>
                <w:sz w:val="18"/>
                <w:szCs w:val="18"/>
                <w:lang w:eastAsia="hr-HR"/>
              </w:rPr>
            </w:pPr>
            <w:r w:rsidRPr="00C81A60">
              <w:rPr>
                <w:rFonts w:eastAsia="Times New Roman" w:cstheme="minorHAnsi"/>
                <w:b/>
                <w:sz w:val="18"/>
                <w:szCs w:val="18"/>
                <w:lang w:eastAsia="hr-HR"/>
              </w:rPr>
              <w:t>503.998</w:t>
            </w:r>
          </w:p>
        </w:tc>
        <w:tc>
          <w:tcPr>
            <w:tcW w:w="1842" w:type="dxa"/>
            <w:tcBorders>
              <w:top w:val="nil"/>
              <w:left w:val="nil"/>
              <w:bottom w:val="single" w:sz="4" w:space="0" w:color="auto"/>
              <w:right w:val="single" w:sz="8" w:space="0" w:color="auto"/>
            </w:tcBorders>
            <w:noWrap/>
            <w:vAlign w:val="center"/>
          </w:tcPr>
          <w:p w14:paraId="1484DD99" w14:textId="77777777" w:rsidR="00DE4EF2" w:rsidRPr="00DD09D2" w:rsidRDefault="00DE4EF2" w:rsidP="00E24E11">
            <w:pPr>
              <w:jc w:val="center"/>
              <w:rPr>
                <w:rFonts w:eastAsia="Times New Roman" w:cstheme="minorHAnsi"/>
                <w:b/>
                <w:bCs/>
                <w:color w:val="000000"/>
                <w:sz w:val="18"/>
                <w:szCs w:val="18"/>
                <w:lang w:eastAsia="hr-HR"/>
              </w:rPr>
            </w:pPr>
            <w:r w:rsidRPr="00DD09D2">
              <w:rPr>
                <w:rFonts w:eastAsia="Times New Roman" w:cstheme="minorHAnsi"/>
                <w:b/>
                <w:bCs/>
                <w:color w:val="000000"/>
                <w:sz w:val="18"/>
                <w:szCs w:val="18"/>
                <w:lang w:eastAsia="hr-HR"/>
              </w:rPr>
              <w:t>1</w:t>
            </w:r>
            <w:r>
              <w:rPr>
                <w:rFonts w:eastAsia="Times New Roman" w:cstheme="minorHAnsi"/>
                <w:b/>
                <w:bCs/>
                <w:color w:val="000000"/>
                <w:sz w:val="18"/>
                <w:szCs w:val="18"/>
                <w:lang w:eastAsia="hr-HR"/>
              </w:rPr>
              <w:t>6</w:t>
            </w:r>
            <w:r w:rsidRPr="00DD09D2">
              <w:rPr>
                <w:rFonts w:eastAsia="Times New Roman" w:cstheme="minorHAnsi"/>
                <w:b/>
                <w:bCs/>
                <w:color w:val="000000"/>
                <w:sz w:val="18"/>
                <w:szCs w:val="18"/>
                <w:lang w:eastAsia="hr-HR"/>
              </w:rPr>
              <w:t>%</w:t>
            </w:r>
          </w:p>
        </w:tc>
      </w:tr>
      <w:tr w:rsidR="00DE4EF2" w:rsidRPr="00A331FD" w14:paraId="2F6E3FA3" w14:textId="77777777" w:rsidTr="00E24E11">
        <w:trPr>
          <w:trHeight w:val="350"/>
        </w:trPr>
        <w:tc>
          <w:tcPr>
            <w:tcW w:w="532" w:type="dxa"/>
            <w:tcBorders>
              <w:top w:val="nil"/>
              <w:left w:val="single" w:sz="8" w:space="0" w:color="auto"/>
              <w:bottom w:val="single" w:sz="4" w:space="0" w:color="auto"/>
              <w:right w:val="single" w:sz="4" w:space="0" w:color="auto"/>
            </w:tcBorders>
            <w:noWrap/>
            <w:vAlign w:val="center"/>
          </w:tcPr>
          <w:p w14:paraId="59F075A2" w14:textId="77777777" w:rsidR="00DE4EF2" w:rsidRDefault="00DE4EF2" w:rsidP="00E24E11">
            <w:pPr>
              <w:jc w:val="both"/>
              <w:rPr>
                <w:rFonts w:eastAsia="Times New Roman" w:cstheme="minorHAnsi"/>
                <w:b/>
                <w:bCs/>
                <w:color w:val="000000"/>
                <w:sz w:val="18"/>
                <w:szCs w:val="18"/>
                <w:lang w:eastAsia="hr-HR"/>
              </w:rPr>
            </w:pPr>
            <w:r>
              <w:rPr>
                <w:rFonts w:eastAsia="Times New Roman" w:cstheme="minorHAnsi"/>
                <w:b/>
                <w:bCs/>
                <w:color w:val="000000"/>
                <w:sz w:val="18"/>
                <w:szCs w:val="18"/>
                <w:lang w:eastAsia="hr-HR"/>
              </w:rPr>
              <w:t>10.</w:t>
            </w:r>
          </w:p>
        </w:tc>
        <w:tc>
          <w:tcPr>
            <w:tcW w:w="4713" w:type="dxa"/>
            <w:tcBorders>
              <w:top w:val="nil"/>
              <w:left w:val="nil"/>
              <w:bottom w:val="single" w:sz="4" w:space="0" w:color="auto"/>
              <w:right w:val="single" w:sz="4" w:space="0" w:color="auto"/>
            </w:tcBorders>
            <w:vAlign w:val="center"/>
          </w:tcPr>
          <w:p w14:paraId="78DDB4B8" w14:textId="77777777" w:rsidR="00DE4EF2" w:rsidRDefault="00DE4EF2" w:rsidP="00E24E11">
            <w:pPr>
              <w:jc w:val="both"/>
              <w:rPr>
                <w:rFonts w:eastAsia="Times New Roman" w:cstheme="minorHAnsi"/>
                <w:b/>
                <w:sz w:val="18"/>
                <w:szCs w:val="18"/>
                <w:lang w:eastAsia="hr-HR"/>
              </w:rPr>
            </w:pPr>
            <w:r>
              <w:rPr>
                <w:rFonts w:eastAsia="Times New Roman" w:cstheme="minorHAnsi"/>
                <w:b/>
                <w:sz w:val="18"/>
                <w:szCs w:val="18"/>
                <w:lang w:eastAsia="hr-HR"/>
              </w:rPr>
              <w:t>Ocjena dokumentacije  u arbitražnom postupku (EMA )</w:t>
            </w:r>
          </w:p>
        </w:tc>
        <w:tc>
          <w:tcPr>
            <w:tcW w:w="1985" w:type="dxa"/>
            <w:tcBorders>
              <w:top w:val="nil"/>
              <w:left w:val="nil"/>
              <w:bottom w:val="single" w:sz="4" w:space="0" w:color="auto"/>
              <w:right w:val="single" w:sz="4" w:space="0" w:color="auto"/>
            </w:tcBorders>
            <w:shd w:val="clear" w:color="auto" w:fill="FFFFFF"/>
            <w:noWrap/>
            <w:vAlign w:val="center"/>
          </w:tcPr>
          <w:p w14:paraId="6C6AF41F" w14:textId="77777777" w:rsidR="00DE4EF2" w:rsidRPr="00C81A60" w:rsidRDefault="00DE4EF2" w:rsidP="00E24E11">
            <w:pPr>
              <w:jc w:val="center"/>
              <w:rPr>
                <w:rFonts w:eastAsia="Times New Roman" w:cstheme="minorHAnsi"/>
                <w:b/>
                <w:sz w:val="18"/>
                <w:szCs w:val="18"/>
                <w:lang w:eastAsia="hr-HR"/>
              </w:rPr>
            </w:pPr>
            <w:r w:rsidRPr="00C81A60">
              <w:rPr>
                <w:rFonts w:eastAsia="Times New Roman" w:cstheme="minorHAnsi"/>
                <w:b/>
                <w:sz w:val="18"/>
                <w:szCs w:val="18"/>
                <w:lang w:eastAsia="hr-HR"/>
              </w:rPr>
              <w:t>63.575</w:t>
            </w:r>
          </w:p>
        </w:tc>
        <w:tc>
          <w:tcPr>
            <w:tcW w:w="1842" w:type="dxa"/>
            <w:tcBorders>
              <w:top w:val="nil"/>
              <w:left w:val="nil"/>
              <w:bottom w:val="single" w:sz="4" w:space="0" w:color="auto"/>
              <w:right w:val="single" w:sz="8" w:space="0" w:color="auto"/>
            </w:tcBorders>
            <w:noWrap/>
            <w:vAlign w:val="center"/>
          </w:tcPr>
          <w:p w14:paraId="5E243E13" w14:textId="77777777" w:rsidR="00DE4EF2" w:rsidRPr="00DD09D2" w:rsidRDefault="00DE4EF2" w:rsidP="00E24E11">
            <w:pPr>
              <w:jc w:val="center"/>
              <w:rPr>
                <w:rFonts w:eastAsia="Times New Roman" w:cstheme="minorHAnsi"/>
                <w:b/>
                <w:bCs/>
                <w:color w:val="000000"/>
                <w:sz w:val="18"/>
                <w:szCs w:val="18"/>
                <w:lang w:eastAsia="hr-HR"/>
              </w:rPr>
            </w:pPr>
            <w:r w:rsidRPr="00DD09D2">
              <w:rPr>
                <w:rFonts w:eastAsia="Times New Roman" w:cstheme="minorHAnsi"/>
                <w:b/>
                <w:bCs/>
                <w:color w:val="000000"/>
                <w:sz w:val="18"/>
                <w:szCs w:val="18"/>
                <w:lang w:eastAsia="hr-HR"/>
              </w:rPr>
              <w:t>2%</w:t>
            </w:r>
          </w:p>
        </w:tc>
      </w:tr>
      <w:tr w:rsidR="00DE4EF2" w:rsidRPr="00A331FD" w14:paraId="0BF6104D" w14:textId="77777777" w:rsidTr="00E24E11">
        <w:trPr>
          <w:trHeight w:val="350"/>
        </w:trPr>
        <w:tc>
          <w:tcPr>
            <w:tcW w:w="532" w:type="dxa"/>
            <w:tcBorders>
              <w:top w:val="nil"/>
              <w:left w:val="single" w:sz="8" w:space="0" w:color="auto"/>
              <w:bottom w:val="single" w:sz="4" w:space="0" w:color="auto"/>
              <w:right w:val="single" w:sz="4" w:space="0" w:color="auto"/>
            </w:tcBorders>
            <w:noWrap/>
            <w:vAlign w:val="center"/>
          </w:tcPr>
          <w:p w14:paraId="338C16CC" w14:textId="77777777" w:rsidR="00DE4EF2" w:rsidRDefault="00DE4EF2" w:rsidP="00E24E11">
            <w:pPr>
              <w:jc w:val="both"/>
              <w:rPr>
                <w:rFonts w:eastAsia="Times New Roman" w:cstheme="minorHAnsi"/>
                <w:b/>
                <w:bCs/>
                <w:color w:val="000000"/>
                <w:sz w:val="18"/>
                <w:szCs w:val="18"/>
                <w:lang w:eastAsia="hr-HR"/>
              </w:rPr>
            </w:pPr>
            <w:r>
              <w:rPr>
                <w:rFonts w:eastAsia="Times New Roman" w:cstheme="minorHAnsi"/>
                <w:b/>
                <w:bCs/>
                <w:color w:val="000000"/>
                <w:sz w:val="18"/>
                <w:szCs w:val="18"/>
                <w:lang w:eastAsia="hr-HR"/>
              </w:rPr>
              <w:t>11.</w:t>
            </w:r>
          </w:p>
        </w:tc>
        <w:tc>
          <w:tcPr>
            <w:tcW w:w="4713" w:type="dxa"/>
            <w:tcBorders>
              <w:top w:val="nil"/>
              <w:left w:val="nil"/>
              <w:bottom w:val="single" w:sz="4" w:space="0" w:color="auto"/>
              <w:right w:val="single" w:sz="4" w:space="0" w:color="auto"/>
            </w:tcBorders>
            <w:vAlign w:val="center"/>
          </w:tcPr>
          <w:p w14:paraId="20536DFF" w14:textId="77777777" w:rsidR="00DE4EF2" w:rsidRDefault="00DE4EF2" w:rsidP="00E24E11">
            <w:pPr>
              <w:jc w:val="both"/>
              <w:rPr>
                <w:rFonts w:eastAsia="Times New Roman" w:cstheme="minorHAnsi"/>
                <w:b/>
                <w:sz w:val="18"/>
                <w:szCs w:val="18"/>
                <w:lang w:eastAsia="hr-HR"/>
              </w:rPr>
            </w:pPr>
            <w:r>
              <w:rPr>
                <w:rFonts w:eastAsia="Times New Roman" w:cstheme="minorHAnsi"/>
                <w:b/>
                <w:sz w:val="18"/>
                <w:szCs w:val="18"/>
                <w:lang w:eastAsia="hr-HR"/>
              </w:rPr>
              <w:t>Ocjena dokumentacije o djelat. tvari za izdavanje CEP-a</w:t>
            </w:r>
          </w:p>
        </w:tc>
        <w:tc>
          <w:tcPr>
            <w:tcW w:w="1985" w:type="dxa"/>
            <w:tcBorders>
              <w:top w:val="nil"/>
              <w:left w:val="nil"/>
              <w:bottom w:val="single" w:sz="4" w:space="0" w:color="auto"/>
              <w:right w:val="single" w:sz="4" w:space="0" w:color="auto"/>
            </w:tcBorders>
            <w:shd w:val="clear" w:color="auto" w:fill="FFFFFF"/>
            <w:noWrap/>
            <w:vAlign w:val="center"/>
          </w:tcPr>
          <w:p w14:paraId="3BAF99F7" w14:textId="77777777" w:rsidR="00DE4EF2" w:rsidRPr="00C81A60" w:rsidRDefault="00DE4EF2" w:rsidP="00E24E11">
            <w:pPr>
              <w:jc w:val="center"/>
              <w:rPr>
                <w:rFonts w:eastAsia="Times New Roman" w:cstheme="minorHAnsi"/>
                <w:b/>
                <w:sz w:val="18"/>
                <w:szCs w:val="18"/>
                <w:lang w:eastAsia="hr-HR"/>
              </w:rPr>
            </w:pPr>
            <w:r w:rsidRPr="00C81A60">
              <w:rPr>
                <w:rFonts w:eastAsia="Times New Roman" w:cstheme="minorHAnsi"/>
                <w:b/>
                <w:sz w:val="18"/>
                <w:szCs w:val="18"/>
                <w:lang w:eastAsia="hr-HR"/>
              </w:rPr>
              <w:t>3.200</w:t>
            </w:r>
          </w:p>
        </w:tc>
        <w:tc>
          <w:tcPr>
            <w:tcW w:w="1842" w:type="dxa"/>
            <w:tcBorders>
              <w:top w:val="nil"/>
              <w:left w:val="nil"/>
              <w:bottom w:val="single" w:sz="4" w:space="0" w:color="auto"/>
              <w:right w:val="single" w:sz="8" w:space="0" w:color="auto"/>
            </w:tcBorders>
            <w:noWrap/>
            <w:vAlign w:val="center"/>
          </w:tcPr>
          <w:p w14:paraId="5AB279C3" w14:textId="77777777" w:rsidR="00DE4EF2" w:rsidRPr="00DD09D2" w:rsidRDefault="00DE4EF2" w:rsidP="00E24E11">
            <w:pPr>
              <w:jc w:val="center"/>
              <w:rPr>
                <w:rFonts w:eastAsia="Times New Roman" w:cstheme="minorHAnsi"/>
                <w:b/>
                <w:bCs/>
                <w:color w:val="000000"/>
                <w:sz w:val="18"/>
                <w:szCs w:val="18"/>
                <w:lang w:eastAsia="hr-HR"/>
              </w:rPr>
            </w:pPr>
          </w:p>
        </w:tc>
      </w:tr>
      <w:tr w:rsidR="00DE4EF2" w:rsidRPr="00A331FD" w14:paraId="09F8E756" w14:textId="77777777" w:rsidTr="00E24E11">
        <w:trPr>
          <w:trHeight w:val="350"/>
        </w:trPr>
        <w:tc>
          <w:tcPr>
            <w:tcW w:w="532" w:type="dxa"/>
            <w:tcBorders>
              <w:top w:val="nil"/>
              <w:left w:val="single" w:sz="8" w:space="0" w:color="auto"/>
              <w:bottom w:val="single" w:sz="4" w:space="0" w:color="auto"/>
              <w:right w:val="single" w:sz="4" w:space="0" w:color="auto"/>
            </w:tcBorders>
            <w:noWrap/>
            <w:vAlign w:val="center"/>
          </w:tcPr>
          <w:p w14:paraId="79DC0102" w14:textId="77777777" w:rsidR="00DE4EF2" w:rsidRDefault="00DE4EF2" w:rsidP="00E24E11">
            <w:pPr>
              <w:jc w:val="both"/>
              <w:rPr>
                <w:rFonts w:eastAsia="Times New Roman" w:cstheme="minorHAnsi"/>
                <w:b/>
                <w:bCs/>
                <w:color w:val="000000"/>
                <w:sz w:val="18"/>
                <w:szCs w:val="18"/>
                <w:lang w:eastAsia="hr-HR"/>
              </w:rPr>
            </w:pPr>
            <w:r>
              <w:rPr>
                <w:rFonts w:eastAsia="Times New Roman" w:cstheme="minorHAnsi"/>
                <w:b/>
                <w:bCs/>
                <w:color w:val="000000"/>
                <w:sz w:val="18"/>
                <w:szCs w:val="18"/>
                <w:lang w:eastAsia="hr-HR"/>
              </w:rPr>
              <w:t>12.</w:t>
            </w:r>
          </w:p>
        </w:tc>
        <w:tc>
          <w:tcPr>
            <w:tcW w:w="4713" w:type="dxa"/>
            <w:tcBorders>
              <w:top w:val="nil"/>
              <w:left w:val="nil"/>
              <w:bottom w:val="single" w:sz="4" w:space="0" w:color="auto"/>
              <w:right w:val="single" w:sz="4" w:space="0" w:color="auto"/>
            </w:tcBorders>
            <w:vAlign w:val="center"/>
          </w:tcPr>
          <w:p w14:paraId="081F9BEC" w14:textId="77777777" w:rsidR="00DE4EF2" w:rsidRDefault="00DE4EF2" w:rsidP="00E24E11">
            <w:pPr>
              <w:jc w:val="both"/>
              <w:rPr>
                <w:rFonts w:eastAsia="Times New Roman" w:cstheme="minorHAnsi"/>
                <w:b/>
                <w:sz w:val="18"/>
                <w:szCs w:val="18"/>
                <w:lang w:eastAsia="hr-HR"/>
              </w:rPr>
            </w:pPr>
            <w:r>
              <w:rPr>
                <w:rFonts w:eastAsia="Times New Roman" w:cstheme="minorHAnsi"/>
                <w:b/>
                <w:sz w:val="18"/>
                <w:szCs w:val="18"/>
                <w:lang w:eastAsia="hr-HR"/>
              </w:rPr>
              <w:t>Prihodi od projekata UNICOM/ACCESS</w:t>
            </w:r>
          </w:p>
        </w:tc>
        <w:tc>
          <w:tcPr>
            <w:tcW w:w="1985" w:type="dxa"/>
            <w:tcBorders>
              <w:top w:val="nil"/>
              <w:left w:val="nil"/>
              <w:bottom w:val="single" w:sz="4" w:space="0" w:color="auto"/>
              <w:right w:val="single" w:sz="4" w:space="0" w:color="auto"/>
            </w:tcBorders>
            <w:shd w:val="clear" w:color="auto" w:fill="FFFFFF"/>
            <w:noWrap/>
            <w:vAlign w:val="center"/>
          </w:tcPr>
          <w:p w14:paraId="3FAD5951" w14:textId="77777777" w:rsidR="00DE4EF2" w:rsidRPr="00C81A60" w:rsidRDefault="00DE4EF2" w:rsidP="00E24E11">
            <w:pPr>
              <w:jc w:val="center"/>
              <w:rPr>
                <w:rFonts w:eastAsia="Times New Roman" w:cstheme="minorHAnsi"/>
                <w:b/>
                <w:sz w:val="18"/>
                <w:szCs w:val="18"/>
                <w:lang w:eastAsia="hr-HR"/>
              </w:rPr>
            </w:pPr>
            <w:r w:rsidRPr="00C81A60">
              <w:rPr>
                <w:rFonts w:eastAsia="Times New Roman" w:cstheme="minorHAnsi"/>
                <w:b/>
                <w:sz w:val="18"/>
                <w:szCs w:val="18"/>
                <w:lang w:eastAsia="hr-HR"/>
              </w:rPr>
              <w:t>474.280</w:t>
            </w:r>
          </w:p>
        </w:tc>
        <w:tc>
          <w:tcPr>
            <w:tcW w:w="1842" w:type="dxa"/>
            <w:tcBorders>
              <w:top w:val="nil"/>
              <w:left w:val="nil"/>
              <w:bottom w:val="single" w:sz="4" w:space="0" w:color="auto"/>
              <w:right w:val="single" w:sz="8" w:space="0" w:color="auto"/>
            </w:tcBorders>
            <w:noWrap/>
            <w:vAlign w:val="center"/>
          </w:tcPr>
          <w:p w14:paraId="7848552F" w14:textId="77777777" w:rsidR="00DE4EF2" w:rsidRPr="00DD09D2" w:rsidRDefault="00DE4EF2" w:rsidP="00E24E11">
            <w:pPr>
              <w:jc w:val="center"/>
              <w:rPr>
                <w:rFonts w:eastAsia="Times New Roman" w:cstheme="minorHAnsi"/>
                <w:b/>
                <w:bCs/>
                <w:color w:val="000000"/>
                <w:sz w:val="18"/>
                <w:szCs w:val="18"/>
                <w:lang w:eastAsia="hr-HR"/>
              </w:rPr>
            </w:pPr>
            <w:r w:rsidRPr="00DD09D2">
              <w:rPr>
                <w:rFonts w:eastAsia="Times New Roman" w:cstheme="minorHAnsi"/>
                <w:b/>
                <w:bCs/>
                <w:color w:val="000000"/>
                <w:sz w:val="18"/>
                <w:szCs w:val="18"/>
                <w:lang w:eastAsia="hr-HR"/>
              </w:rPr>
              <w:t>1</w:t>
            </w:r>
            <w:r>
              <w:rPr>
                <w:rFonts w:eastAsia="Times New Roman" w:cstheme="minorHAnsi"/>
                <w:b/>
                <w:bCs/>
                <w:color w:val="000000"/>
                <w:sz w:val="18"/>
                <w:szCs w:val="18"/>
                <w:lang w:eastAsia="hr-HR"/>
              </w:rPr>
              <w:t>5</w:t>
            </w:r>
            <w:r w:rsidRPr="00DD09D2">
              <w:rPr>
                <w:rFonts w:eastAsia="Times New Roman" w:cstheme="minorHAnsi"/>
                <w:b/>
                <w:bCs/>
                <w:color w:val="000000"/>
                <w:sz w:val="18"/>
                <w:szCs w:val="18"/>
                <w:lang w:eastAsia="hr-HR"/>
              </w:rPr>
              <w:t>%</w:t>
            </w:r>
          </w:p>
        </w:tc>
      </w:tr>
      <w:tr w:rsidR="00DE4EF2" w:rsidRPr="00A331FD" w14:paraId="0DD28F84" w14:textId="77777777" w:rsidTr="00E24E11">
        <w:trPr>
          <w:trHeight w:val="330"/>
        </w:trPr>
        <w:tc>
          <w:tcPr>
            <w:tcW w:w="5245" w:type="dxa"/>
            <w:gridSpan w:val="2"/>
            <w:tcBorders>
              <w:top w:val="single" w:sz="4" w:space="0" w:color="auto"/>
              <w:left w:val="single" w:sz="8" w:space="0" w:color="auto"/>
              <w:bottom w:val="single" w:sz="8" w:space="0" w:color="auto"/>
              <w:right w:val="single" w:sz="4" w:space="0" w:color="auto"/>
            </w:tcBorders>
            <w:shd w:val="clear" w:color="auto" w:fill="D9D9D9"/>
            <w:noWrap/>
            <w:vAlign w:val="bottom"/>
            <w:hideMark/>
          </w:tcPr>
          <w:p w14:paraId="2CCF7A14" w14:textId="77777777" w:rsidR="00DE4EF2" w:rsidRPr="00145971" w:rsidRDefault="00DE4EF2" w:rsidP="00E24E11">
            <w:pPr>
              <w:rPr>
                <w:rFonts w:eastAsia="Times New Roman" w:cstheme="minorHAnsi"/>
                <w:b/>
                <w:bCs/>
                <w:color w:val="000000"/>
                <w:sz w:val="18"/>
                <w:szCs w:val="18"/>
                <w:lang w:eastAsia="hr-HR"/>
              </w:rPr>
            </w:pPr>
            <w:r w:rsidRPr="00145971">
              <w:rPr>
                <w:rFonts w:eastAsia="Times New Roman" w:cstheme="minorHAnsi"/>
                <w:b/>
                <w:bCs/>
                <w:color w:val="000000"/>
                <w:sz w:val="18"/>
                <w:szCs w:val="18"/>
                <w:lang w:eastAsia="hr-HR"/>
              </w:rPr>
              <w:t>UKUPNI PRIHODI OD EU KONKURENTNIH POSLOVA</w:t>
            </w:r>
            <w:r>
              <w:rPr>
                <w:rFonts w:eastAsia="Times New Roman" w:cstheme="minorHAnsi"/>
                <w:b/>
                <w:bCs/>
                <w:color w:val="000000"/>
                <w:sz w:val="18"/>
                <w:szCs w:val="18"/>
                <w:lang w:eastAsia="hr-HR"/>
              </w:rPr>
              <w:t xml:space="preserve"> I PROJEKATA:</w:t>
            </w:r>
          </w:p>
        </w:tc>
        <w:tc>
          <w:tcPr>
            <w:tcW w:w="1985" w:type="dxa"/>
            <w:tcBorders>
              <w:top w:val="nil"/>
              <w:left w:val="nil"/>
              <w:bottom w:val="single" w:sz="8" w:space="0" w:color="auto"/>
              <w:right w:val="single" w:sz="4" w:space="0" w:color="auto"/>
            </w:tcBorders>
            <w:shd w:val="clear" w:color="auto" w:fill="D9D9D9"/>
            <w:noWrap/>
            <w:vAlign w:val="bottom"/>
          </w:tcPr>
          <w:p w14:paraId="2E8B0EB5" w14:textId="77777777" w:rsidR="00DE4EF2" w:rsidRPr="00C81A60" w:rsidRDefault="00DE4EF2" w:rsidP="00E24E11">
            <w:pPr>
              <w:jc w:val="center"/>
              <w:rPr>
                <w:rFonts w:eastAsia="Times New Roman" w:cstheme="minorHAnsi"/>
                <w:b/>
                <w:bCs/>
                <w:color w:val="000000"/>
                <w:sz w:val="18"/>
                <w:szCs w:val="18"/>
                <w:lang w:eastAsia="hr-HR"/>
              </w:rPr>
            </w:pPr>
            <w:r w:rsidRPr="00C81A60">
              <w:rPr>
                <w:rFonts w:eastAsia="Times New Roman" w:cstheme="minorHAnsi"/>
                <w:b/>
                <w:bCs/>
                <w:color w:val="000000"/>
                <w:sz w:val="18"/>
                <w:szCs w:val="18"/>
                <w:lang w:eastAsia="hr-HR"/>
              </w:rPr>
              <w:t>3.231.535</w:t>
            </w:r>
          </w:p>
        </w:tc>
        <w:tc>
          <w:tcPr>
            <w:tcW w:w="1842" w:type="dxa"/>
            <w:tcBorders>
              <w:top w:val="nil"/>
              <w:left w:val="nil"/>
              <w:bottom w:val="single" w:sz="8" w:space="0" w:color="auto"/>
              <w:right w:val="single" w:sz="8" w:space="0" w:color="auto"/>
            </w:tcBorders>
            <w:shd w:val="clear" w:color="auto" w:fill="D9D9D9"/>
            <w:noWrap/>
            <w:vAlign w:val="center"/>
          </w:tcPr>
          <w:p w14:paraId="27C00D7F" w14:textId="77777777" w:rsidR="00DE4EF2" w:rsidRPr="00AE68DB" w:rsidRDefault="00DE4EF2" w:rsidP="00E24E11">
            <w:pPr>
              <w:jc w:val="center"/>
              <w:rPr>
                <w:rFonts w:eastAsia="Times New Roman" w:cstheme="minorHAnsi"/>
                <w:b/>
                <w:bCs/>
                <w:color w:val="000000"/>
                <w:sz w:val="18"/>
                <w:szCs w:val="18"/>
                <w:lang w:eastAsia="hr-HR"/>
              </w:rPr>
            </w:pPr>
            <w:r w:rsidRPr="00AE68DB">
              <w:rPr>
                <w:rFonts w:eastAsia="Times New Roman" w:cstheme="minorHAnsi"/>
                <w:b/>
                <w:bCs/>
                <w:color w:val="000000"/>
                <w:sz w:val="18"/>
                <w:szCs w:val="18"/>
                <w:lang w:eastAsia="hr-HR"/>
              </w:rPr>
              <w:t>100%</w:t>
            </w:r>
          </w:p>
        </w:tc>
      </w:tr>
    </w:tbl>
    <w:p w14:paraId="61D86E47" w14:textId="77777777" w:rsidR="00DE4EF2" w:rsidRDefault="00DE4EF2" w:rsidP="00DE4EF2"/>
    <w:p w14:paraId="470B83E4" w14:textId="77777777" w:rsidR="00DE4EF2" w:rsidRDefault="00DE4EF2" w:rsidP="00DE4EF2">
      <w:pPr>
        <w:spacing w:line="276" w:lineRule="auto"/>
        <w:jc w:val="both"/>
      </w:pPr>
      <w:r w:rsidRPr="00E923B0">
        <w:t>U strukturi prihoda</w:t>
      </w:r>
      <w:r>
        <w:t xml:space="preserve"> od europskih konkurentnih poslova (Tablica 2.)  najveći udio prihoda ostvaren je ulogom HALMED-a kao RMS u davanju, izmjenama i obnovama odobrenja za stavljanje lijeka u promet (27%), zatim ocjena dokumentacije o lijeku u CP postupku (16% ), znanstvenog savjeta o pitanjima vezanim uz razvoj </w:t>
      </w:r>
      <w:r>
        <w:lastRenderedPageBreak/>
        <w:t>lijekova (15%),</w:t>
      </w:r>
      <w:r w:rsidRPr="00DD09D2">
        <w:t xml:space="preserve"> </w:t>
      </w:r>
      <w:r>
        <w:t>prihodi od projekata (15%) , aktivnostima HALMED-a u davanju ocjena PSUR/PSUSA prema ugovoru s EMA (13%) te ostali poslovi vidljivo iz Tablice 2.</w:t>
      </w:r>
    </w:p>
    <w:p w14:paraId="1FCFA376" w14:textId="77777777" w:rsidR="00DE4EF2" w:rsidRDefault="00DE4EF2" w:rsidP="00DE4EF2">
      <w:pPr>
        <w:spacing w:line="276" w:lineRule="auto"/>
        <w:jc w:val="both"/>
      </w:pPr>
    </w:p>
    <w:p w14:paraId="7BBEB357" w14:textId="77777777" w:rsidR="00DE4EF2" w:rsidRDefault="00DE4EF2" w:rsidP="00DE4EF2">
      <w:pPr>
        <w:spacing w:line="276" w:lineRule="auto"/>
        <w:jc w:val="both"/>
      </w:pPr>
      <w:r>
        <w:t>Slijedi grafički prikaz ostvarenja prihoda prema njegovim izvorima.</w:t>
      </w:r>
    </w:p>
    <w:p w14:paraId="5DF309C3" w14:textId="77777777" w:rsidR="00DE4EF2" w:rsidRDefault="00DE4EF2" w:rsidP="00DE4EF2">
      <w:pPr>
        <w:rPr>
          <w:b/>
        </w:rPr>
      </w:pPr>
    </w:p>
    <w:p w14:paraId="4FCA731A" w14:textId="77777777" w:rsidR="00DE4EF2" w:rsidRDefault="00DE4EF2" w:rsidP="00DE4EF2">
      <w:pPr>
        <w:rPr>
          <w:b/>
        </w:rPr>
      </w:pPr>
      <w:r w:rsidRPr="003A40E2">
        <w:rPr>
          <w:b/>
        </w:rPr>
        <w:t>Slika 1.</w:t>
      </w:r>
      <w:r w:rsidRPr="00067B57">
        <w:rPr>
          <w:b/>
        </w:rPr>
        <w:t xml:space="preserve"> Grafički prikaz ostvarenja prihoda od nacionalnih i europskih poslova</w:t>
      </w:r>
      <w:r>
        <w:rPr>
          <w:b/>
        </w:rPr>
        <w:t xml:space="preserve"> i projekata</w:t>
      </w:r>
    </w:p>
    <w:p w14:paraId="24AE908D" w14:textId="77777777" w:rsidR="00DE4EF2" w:rsidRDefault="00DE4EF2" w:rsidP="00DE4EF2">
      <w:pPr>
        <w:rPr>
          <w:b/>
        </w:rPr>
      </w:pPr>
    </w:p>
    <w:p w14:paraId="57EC3E79" w14:textId="77777777" w:rsidR="00DE4EF2" w:rsidRPr="003E3365" w:rsidRDefault="00DE4EF2" w:rsidP="00DE4EF2">
      <w:pPr>
        <w:rPr>
          <w:rFonts w:ascii="Calibri" w:eastAsia="Times New Roman" w:hAnsi="Calibri" w:cs="Calibri"/>
          <w:b/>
          <w:bCs/>
          <w:color w:val="000000"/>
          <w:sz w:val="18"/>
          <w:szCs w:val="18"/>
          <w:lang w:eastAsia="hr-HR"/>
        </w:rPr>
      </w:pPr>
      <w:r w:rsidRPr="003E3365">
        <w:rPr>
          <w:rFonts w:ascii="Calibri" w:eastAsia="Times New Roman" w:hAnsi="Calibri" w:cs="Calibri"/>
          <w:b/>
          <w:bCs/>
          <w:color w:val="000000"/>
          <w:sz w:val="18"/>
          <w:szCs w:val="18"/>
          <w:lang w:eastAsia="hr-HR"/>
        </w:rPr>
        <w:t> </w:t>
      </w:r>
    </w:p>
    <w:p w14:paraId="1D258C37" w14:textId="77777777" w:rsidR="00DE4EF2" w:rsidRDefault="00DE4EF2" w:rsidP="00DE4EF2">
      <w:r>
        <w:rPr>
          <w:noProof/>
          <w:lang w:eastAsia="hr-HR"/>
        </w:rPr>
        <w:drawing>
          <wp:inline distT="0" distB="0" distL="0" distR="0" wp14:anchorId="5C014A89" wp14:editId="389542DC">
            <wp:extent cx="5793740" cy="3270738"/>
            <wp:effectExtent l="0" t="0" r="16510" b="63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4480CECE" w14:textId="77777777" w:rsidR="00DE4EF2" w:rsidRPr="00051533" w:rsidRDefault="00DE4EF2" w:rsidP="00DE4EF2"/>
    <w:p w14:paraId="1C8A90DA" w14:textId="77777777" w:rsidR="00DE4EF2" w:rsidRDefault="00DE4EF2" w:rsidP="00DE4EF2"/>
    <w:p w14:paraId="006F5886" w14:textId="77777777" w:rsidR="002C4F50" w:rsidRDefault="00DE4EF2" w:rsidP="00E242A7">
      <w:pPr>
        <w:pStyle w:val="Heading2"/>
        <w:rPr>
          <w:rFonts w:eastAsia="Times New Roman"/>
          <w:sz w:val="18"/>
          <w:szCs w:val="18"/>
        </w:rPr>
        <w:sectPr w:rsidR="002C4F50" w:rsidSect="00694559">
          <w:headerReference w:type="default" r:id="rId44"/>
          <w:footerReference w:type="default" r:id="rId45"/>
          <w:pgSz w:w="11906" w:h="16838"/>
          <w:pgMar w:top="1417" w:right="991" w:bottom="1417" w:left="1417" w:header="708" w:footer="708" w:gutter="0"/>
          <w:cols w:space="708"/>
          <w:docGrid w:linePitch="360"/>
        </w:sectPr>
      </w:pPr>
      <w:r>
        <w:rPr>
          <w:rFonts w:eastAsia="Times New Roman"/>
          <w:sz w:val="18"/>
          <w:szCs w:val="18"/>
        </w:rPr>
        <w:br w:type="page"/>
      </w:r>
      <w:bookmarkStart w:id="384" w:name="_Toc50541014"/>
    </w:p>
    <w:p w14:paraId="20127B85" w14:textId="42B9B3BE" w:rsidR="00E242A7" w:rsidRPr="000F3B33" w:rsidRDefault="00E242A7" w:rsidP="00E242A7">
      <w:pPr>
        <w:pStyle w:val="Heading2"/>
      </w:pPr>
      <w:bookmarkStart w:id="385" w:name="_Toc165035566"/>
      <w:r w:rsidRPr="00CE0E5E">
        <w:lastRenderedPageBreak/>
        <w:t>Privitak 6.</w:t>
      </w:r>
      <w:r w:rsidRPr="000F3B33">
        <w:t xml:space="preserve"> </w:t>
      </w:r>
      <w:r>
        <w:t>Pregled sklopljenih ugovora o javnoj nabavi i okvirnih sporazuma i njihovog izvršenja za 2023.</w:t>
      </w:r>
      <w:r w:rsidR="00DF2920">
        <w:t xml:space="preserve"> </w:t>
      </w:r>
      <w:r>
        <w:t>godinu</w:t>
      </w:r>
      <w:bookmarkEnd w:id="385"/>
      <w:r>
        <w:t xml:space="preserve"> </w:t>
      </w:r>
      <w:bookmarkEnd w:id="38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26"/>
        <w:gridCol w:w="2653"/>
        <w:gridCol w:w="1601"/>
        <w:gridCol w:w="1133"/>
        <w:gridCol w:w="1237"/>
        <w:gridCol w:w="1452"/>
        <w:gridCol w:w="1083"/>
        <w:gridCol w:w="1083"/>
        <w:gridCol w:w="1629"/>
      </w:tblGrid>
      <w:tr w:rsidR="002C4F50" w:rsidRPr="00437CA7" w14:paraId="160561CF" w14:textId="77777777" w:rsidTr="00DE0B61">
        <w:trPr>
          <w:trHeight w:val="284"/>
          <w:tblHeader/>
          <w:jc w:val="center"/>
        </w:trPr>
        <w:tc>
          <w:tcPr>
            <w:tcW w:w="284" w:type="pct"/>
            <w:vAlign w:val="center"/>
          </w:tcPr>
          <w:p w14:paraId="37AD7A01" w14:textId="77777777" w:rsidR="002C4F50" w:rsidRPr="00437CA7" w:rsidRDefault="002C4F50" w:rsidP="00D331BE">
            <w:pPr>
              <w:jc w:val="center"/>
              <w:rPr>
                <w:rFonts w:cs="Calibri"/>
                <w:b/>
                <w:bCs/>
                <w:sz w:val="20"/>
                <w:szCs w:val="20"/>
              </w:rPr>
            </w:pPr>
            <w:r w:rsidRPr="00437CA7">
              <w:rPr>
                <w:rFonts w:cs="Calibri"/>
                <w:b/>
                <w:bCs/>
                <w:sz w:val="20"/>
                <w:szCs w:val="20"/>
              </w:rPr>
              <w:t>Redni broj</w:t>
            </w:r>
          </w:p>
        </w:tc>
        <w:tc>
          <w:tcPr>
            <w:tcW w:w="474" w:type="pct"/>
            <w:vAlign w:val="center"/>
          </w:tcPr>
          <w:p w14:paraId="152E4FF5" w14:textId="77777777" w:rsidR="002C4F50" w:rsidRPr="00437CA7" w:rsidRDefault="002C4F50" w:rsidP="00D331BE">
            <w:pPr>
              <w:jc w:val="center"/>
              <w:rPr>
                <w:rFonts w:cs="Calibri"/>
                <w:b/>
                <w:bCs/>
                <w:sz w:val="20"/>
                <w:szCs w:val="20"/>
              </w:rPr>
            </w:pPr>
            <w:r w:rsidRPr="00437CA7">
              <w:rPr>
                <w:rFonts w:cs="Calibri"/>
                <w:b/>
                <w:bCs/>
                <w:sz w:val="20"/>
                <w:szCs w:val="20"/>
              </w:rPr>
              <w:t>Evidencijski broj nabave</w:t>
            </w:r>
          </w:p>
        </w:tc>
        <w:tc>
          <w:tcPr>
            <w:tcW w:w="948" w:type="pct"/>
            <w:vAlign w:val="center"/>
          </w:tcPr>
          <w:p w14:paraId="2CBE2A72" w14:textId="77777777" w:rsidR="002C4F50" w:rsidRPr="00437CA7" w:rsidRDefault="002C4F50" w:rsidP="00D331BE">
            <w:pPr>
              <w:jc w:val="center"/>
              <w:rPr>
                <w:rFonts w:cs="Calibri"/>
                <w:b/>
                <w:bCs/>
                <w:sz w:val="20"/>
                <w:szCs w:val="20"/>
              </w:rPr>
            </w:pPr>
            <w:r w:rsidRPr="00437CA7">
              <w:rPr>
                <w:rFonts w:cs="Calibri"/>
                <w:b/>
                <w:bCs/>
                <w:sz w:val="20"/>
                <w:szCs w:val="20"/>
              </w:rPr>
              <w:t>Predmet ugovora</w:t>
            </w:r>
          </w:p>
        </w:tc>
        <w:tc>
          <w:tcPr>
            <w:tcW w:w="572" w:type="pct"/>
            <w:vAlign w:val="center"/>
          </w:tcPr>
          <w:p w14:paraId="166F12FC" w14:textId="77777777" w:rsidR="002C4F50" w:rsidRPr="00437CA7" w:rsidRDefault="002C4F50" w:rsidP="00D331BE">
            <w:pPr>
              <w:jc w:val="center"/>
              <w:rPr>
                <w:rFonts w:cs="Calibri"/>
                <w:b/>
                <w:bCs/>
                <w:sz w:val="20"/>
                <w:szCs w:val="20"/>
              </w:rPr>
            </w:pPr>
            <w:r w:rsidRPr="00437CA7">
              <w:rPr>
                <w:rFonts w:cs="Calibri"/>
                <w:b/>
                <w:bCs/>
                <w:sz w:val="20"/>
                <w:szCs w:val="20"/>
              </w:rPr>
              <w:t>Vrsta provedenog postupka</w:t>
            </w:r>
          </w:p>
        </w:tc>
        <w:tc>
          <w:tcPr>
            <w:tcW w:w="405" w:type="pct"/>
            <w:vAlign w:val="center"/>
          </w:tcPr>
          <w:p w14:paraId="3E381089" w14:textId="77777777" w:rsidR="002C4F50" w:rsidRPr="00437CA7" w:rsidRDefault="002C4F50" w:rsidP="00D331BE">
            <w:pPr>
              <w:jc w:val="center"/>
              <w:rPr>
                <w:rFonts w:cs="Calibri"/>
                <w:b/>
                <w:bCs/>
                <w:sz w:val="20"/>
                <w:szCs w:val="20"/>
              </w:rPr>
            </w:pPr>
            <w:r w:rsidRPr="00437CA7">
              <w:rPr>
                <w:rFonts w:cs="Calibri"/>
                <w:b/>
                <w:bCs/>
                <w:sz w:val="20"/>
                <w:szCs w:val="20"/>
              </w:rPr>
              <w:t>Datum sklapanja ugovora</w:t>
            </w:r>
          </w:p>
        </w:tc>
        <w:tc>
          <w:tcPr>
            <w:tcW w:w="442" w:type="pct"/>
            <w:vAlign w:val="center"/>
          </w:tcPr>
          <w:p w14:paraId="07DF1A16" w14:textId="77777777" w:rsidR="002C4F50" w:rsidRPr="00437CA7" w:rsidRDefault="002C4F50" w:rsidP="00D331BE">
            <w:pPr>
              <w:jc w:val="center"/>
              <w:rPr>
                <w:rFonts w:cs="Calibri"/>
                <w:b/>
                <w:bCs/>
                <w:sz w:val="20"/>
                <w:szCs w:val="20"/>
              </w:rPr>
            </w:pPr>
            <w:r w:rsidRPr="00437CA7">
              <w:rPr>
                <w:rFonts w:cs="Calibri"/>
                <w:b/>
                <w:bCs/>
                <w:sz w:val="20"/>
                <w:szCs w:val="20"/>
              </w:rPr>
              <w:t xml:space="preserve">Iznos sklopljenog ugovora s PDV-om </w:t>
            </w:r>
          </w:p>
        </w:tc>
        <w:tc>
          <w:tcPr>
            <w:tcW w:w="519" w:type="pct"/>
            <w:vAlign w:val="center"/>
          </w:tcPr>
          <w:p w14:paraId="14F867F4" w14:textId="77777777" w:rsidR="002C4F50" w:rsidRPr="00437CA7" w:rsidRDefault="002C4F50" w:rsidP="00D331BE">
            <w:pPr>
              <w:jc w:val="center"/>
              <w:rPr>
                <w:rFonts w:cs="Calibri"/>
                <w:b/>
                <w:bCs/>
                <w:sz w:val="20"/>
                <w:szCs w:val="20"/>
              </w:rPr>
            </w:pPr>
            <w:r w:rsidRPr="00437CA7">
              <w:rPr>
                <w:rFonts w:cs="Calibri"/>
                <w:b/>
                <w:bCs/>
                <w:sz w:val="20"/>
                <w:szCs w:val="20"/>
              </w:rPr>
              <w:t>Konačni isplaćeni iznos po ugovoru s PDV-om*</w:t>
            </w:r>
          </w:p>
        </w:tc>
        <w:tc>
          <w:tcPr>
            <w:tcW w:w="387" w:type="pct"/>
            <w:vAlign w:val="center"/>
          </w:tcPr>
          <w:p w14:paraId="18B8CAB1" w14:textId="77777777" w:rsidR="002C4F50" w:rsidRPr="00437CA7" w:rsidRDefault="002C4F50" w:rsidP="00D331BE">
            <w:pPr>
              <w:jc w:val="center"/>
              <w:rPr>
                <w:rFonts w:cs="Calibri"/>
                <w:b/>
                <w:bCs/>
                <w:sz w:val="20"/>
                <w:szCs w:val="20"/>
              </w:rPr>
            </w:pPr>
            <w:r w:rsidRPr="00437CA7">
              <w:rPr>
                <w:rFonts w:cs="Calibri"/>
                <w:b/>
                <w:bCs/>
                <w:sz w:val="20"/>
                <w:szCs w:val="20"/>
              </w:rPr>
              <w:t>Razdoblje na koje je sklopljen ugovor</w:t>
            </w:r>
          </w:p>
        </w:tc>
        <w:tc>
          <w:tcPr>
            <w:tcW w:w="387" w:type="pct"/>
            <w:vAlign w:val="center"/>
          </w:tcPr>
          <w:p w14:paraId="0444B3FB" w14:textId="77777777" w:rsidR="002C4F50" w:rsidRPr="00437CA7" w:rsidRDefault="002C4F50" w:rsidP="00D331BE">
            <w:pPr>
              <w:jc w:val="center"/>
              <w:rPr>
                <w:rFonts w:cs="Calibri"/>
                <w:b/>
                <w:bCs/>
                <w:sz w:val="20"/>
                <w:szCs w:val="20"/>
              </w:rPr>
            </w:pPr>
            <w:r w:rsidRPr="00437CA7">
              <w:rPr>
                <w:rFonts w:cs="Calibri"/>
                <w:b/>
                <w:bCs/>
                <w:sz w:val="20"/>
                <w:szCs w:val="20"/>
              </w:rPr>
              <w:t>Konačni datum isporuke</w:t>
            </w:r>
          </w:p>
        </w:tc>
        <w:tc>
          <w:tcPr>
            <w:tcW w:w="582" w:type="pct"/>
            <w:vAlign w:val="center"/>
          </w:tcPr>
          <w:p w14:paraId="5AB96931" w14:textId="77777777" w:rsidR="002C4F50" w:rsidRPr="00437CA7" w:rsidRDefault="002C4F50" w:rsidP="00D331BE">
            <w:pPr>
              <w:jc w:val="center"/>
              <w:rPr>
                <w:rFonts w:cs="Calibri"/>
                <w:b/>
                <w:bCs/>
                <w:sz w:val="20"/>
                <w:szCs w:val="20"/>
              </w:rPr>
            </w:pPr>
            <w:r w:rsidRPr="00437CA7">
              <w:rPr>
                <w:rFonts w:cs="Calibri"/>
                <w:b/>
                <w:bCs/>
                <w:sz w:val="20"/>
                <w:szCs w:val="20"/>
              </w:rPr>
              <w:t>Naziv ponuditelja s kojima je sklopljen ugovor</w:t>
            </w:r>
          </w:p>
        </w:tc>
      </w:tr>
      <w:tr w:rsidR="002C4F50" w:rsidRPr="00437CA7" w14:paraId="648E2987" w14:textId="77777777" w:rsidTr="00DE0B61">
        <w:trPr>
          <w:trHeight w:val="284"/>
          <w:jc w:val="center"/>
        </w:trPr>
        <w:tc>
          <w:tcPr>
            <w:tcW w:w="284" w:type="pct"/>
            <w:vAlign w:val="center"/>
          </w:tcPr>
          <w:p w14:paraId="6785EFFA" w14:textId="77777777" w:rsidR="002C4F50" w:rsidRPr="00437CA7" w:rsidRDefault="002C4F50" w:rsidP="00AC375F">
            <w:pPr>
              <w:numPr>
                <w:ilvl w:val="0"/>
                <w:numId w:val="56"/>
              </w:numPr>
              <w:jc w:val="center"/>
              <w:rPr>
                <w:rFonts w:cs="Calibri"/>
                <w:sz w:val="20"/>
                <w:szCs w:val="20"/>
              </w:rPr>
            </w:pPr>
          </w:p>
        </w:tc>
        <w:tc>
          <w:tcPr>
            <w:tcW w:w="474" w:type="pct"/>
            <w:vAlign w:val="center"/>
          </w:tcPr>
          <w:p w14:paraId="1854495A" w14:textId="77777777" w:rsidR="002C4F50" w:rsidRPr="00437CA7" w:rsidRDefault="002C4F50" w:rsidP="00D331BE">
            <w:pPr>
              <w:pStyle w:val="NoSpacing"/>
              <w:rPr>
                <w:rFonts w:cs="Calibri"/>
                <w:sz w:val="18"/>
                <w:szCs w:val="18"/>
                <w:lang w:eastAsia="hr-HR"/>
              </w:rPr>
            </w:pPr>
            <w:r>
              <w:rPr>
                <w:rFonts w:cs="Calibri"/>
                <w:sz w:val="18"/>
                <w:szCs w:val="18"/>
                <w:lang w:eastAsia="hr-HR"/>
              </w:rPr>
              <w:t>4.2-23</w:t>
            </w:r>
          </w:p>
        </w:tc>
        <w:tc>
          <w:tcPr>
            <w:tcW w:w="948" w:type="pct"/>
            <w:vAlign w:val="center"/>
          </w:tcPr>
          <w:p w14:paraId="748EBB03" w14:textId="77777777" w:rsidR="002C4F50" w:rsidRPr="00437CA7" w:rsidRDefault="002C4F50" w:rsidP="00D331BE">
            <w:pPr>
              <w:pStyle w:val="NoSpacing"/>
              <w:rPr>
                <w:rFonts w:cs="Calibri"/>
                <w:sz w:val="18"/>
                <w:szCs w:val="18"/>
                <w:lang w:eastAsia="hr-HR"/>
              </w:rPr>
            </w:pPr>
            <w:r>
              <w:rPr>
                <w:rFonts w:cs="Calibri"/>
                <w:sz w:val="18"/>
                <w:szCs w:val="18"/>
                <w:lang w:eastAsia="hr-HR"/>
              </w:rPr>
              <w:t>Umjeravanje i održavanje kromatografa Agilent</w:t>
            </w:r>
          </w:p>
        </w:tc>
        <w:tc>
          <w:tcPr>
            <w:tcW w:w="572" w:type="pct"/>
            <w:vAlign w:val="center"/>
          </w:tcPr>
          <w:p w14:paraId="22A96092" w14:textId="77777777" w:rsidR="002C4F50" w:rsidRPr="00437CA7" w:rsidRDefault="002C4F50" w:rsidP="00D331BE">
            <w:pPr>
              <w:pStyle w:val="NoSpacing"/>
              <w:rPr>
                <w:rFonts w:cs="Calibri"/>
                <w:sz w:val="18"/>
                <w:szCs w:val="18"/>
                <w:lang w:eastAsia="hr-HR"/>
              </w:rPr>
            </w:pPr>
            <w:r>
              <w:rPr>
                <w:rFonts w:cs="Calibri"/>
                <w:sz w:val="18"/>
                <w:szCs w:val="18"/>
                <w:lang w:eastAsia="hr-HR"/>
              </w:rPr>
              <w:t>Otvoreni postupak</w:t>
            </w:r>
          </w:p>
        </w:tc>
        <w:tc>
          <w:tcPr>
            <w:tcW w:w="405" w:type="pct"/>
            <w:vAlign w:val="center"/>
          </w:tcPr>
          <w:p w14:paraId="56EA8BE4" w14:textId="77777777" w:rsidR="002C4F50" w:rsidRPr="00437CA7" w:rsidRDefault="002C4F50" w:rsidP="00D331BE">
            <w:pPr>
              <w:pStyle w:val="NoSpacing"/>
              <w:rPr>
                <w:rFonts w:cs="Calibri"/>
                <w:sz w:val="18"/>
                <w:szCs w:val="18"/>
                <w:lang w:eastAsia="hr-HR"/>
              </w:rPr>
            </w:pPr>
            <w:r>
              <w:rPr>
                <w:rFonts w:cs="Calibri"/>
                <w:sz w:val="18"/>
                <w:szCs w:val="18"/>
                <w:lang w:eastAsia="hr-HR"/>
              </w:rPr>
              <w:t>10.01.2023.</w:t>
            </w:r>
          </w:p>
        </w:tc>
        <w:tc>
          <w:tcPr>
            <w:tcW w:w="442" w:type="pct"/>
            <w:vAlign w:val="center"/>
          </w:tcPr>
          <w:p w14:paraId="7F059546" w14:textId="77777777" w:rsidR="002C4F50" w:rsidRPr="00437CA7" w:rsidRDefault="002C4F50" w:rsidP="00D331BE">
            <w:pPr>
              <w:pStyle w:val="NoSpacing"/>
              <w:jc w:val="right"/>
              <w:rPr>
                <w:rFonts w:cs="Calibri"/>
                <w:sz w:val="18"/>
                <w:szCs w:val="18"/>
                <w:lang w:eastAsia="hr-HR"/>
              </w:rPr>
            </w:pPr>
            <w:r>
              <w:rPr>
                <w:rFonts w:cs="Calibri"/>
                <w:sz w:val="18"/>
                <w:szCs w:val="18"/>
                <w:lang w:eastAsia="hr-HR"/>
              </w:rPr>
              <w:t>72.677 eur</w:t>
            </w:r>
          </w:p>
        </w:tc>
        <w:tc>
          <w:tcPr>
            <w:tcW w:w="519" w:type="pct"/>
            <w:vAlign w:val="center"/>
          </w:tcPr>
          <w:p w14:paraId="143C8A68" w14:textId="77777777" w:rsidR="002C4F50" w:rsidRPr="00437CA7" w:rsidRDefault="002C4F50" w:rsidP="00D331BE">
            <w:pPr>
              <w:pStyle w:val="NoSpacing"/>
              <w:jc w:val="right"/>
              <w:rPr>
                <w:rFonts w:cs="Calibri"/>
                <w:sz w:val="18"/>
                <w:szCs w:val="18"/>
                <w:lang w:eastAsia="hr-HR"/>
              </w:rPr>
            </w:pPr>
            <w:r>
              <w:rPr>
                <w:rFonts w:cs="Calibri"/>
                <w:sz w:val="18"/>
                <w:szCs w:val="18"/>
                <w:lang w:eastAsia="hr-HR"/>
              </w:rPr>
              <w:t>72.677 eur</w:t>
            </w:r>
          </w:p>
        </w:tc>
        <w:tc>
          <w:tcPr>
            <w:tcW w:w="387" w:type="pct"/>
            <w:vAlign w:val="center"/>
          </w:tcPr>
          <w:p w14:paraId="71966183" w14:textId="77777777" w:rsidR="002C4F50" w:rsidRPr="00437CA7" w:rsidRDefault="002C4F50" w:rsidP="00D331BE">
            <w:pPr>
              <w:pStyle w:val="NoSpacing"/>
              <w:rPr>
                <w:rFonts w:cs="Calibri"/>
                <w:sz w:val="18"/>
                <w:szCs w:val="18"/>
                <w:lang w:eastAsia="hr-HR"/>
              </w:rPr>
            </w:pPr>
            <w:r>
              <w:rPr>
                <w:rFonts w:cs="Calibri"/>
                <w:sz w:val="18"/>
                <w:szCs w:val="18"/>
                <w:lang w:eastAsia="hr-HR"/>
              </w:rPr>
              <w:t>12 mjeseci</w:t>
            </w:r>
          </w:p>
        </w:tc>
        <w:tc>
          <w:tcPr>
            <w:tcW w:w="387" w:type="pct"/>
            <w:vAlign w:val="center"/>
          </w:tcPr>
          <w:p w14:paraId="3127E576" w14:textId="77777777" w:rsidR="002C4F50" w:rsidRPr="00437CA7" w:rsidRDefault="002C4F50" w:rsidP="00D331BE">
            <w:pPr>
              <w:pStyle w:val="NoSpacing"/>
              <w:rPr>
                <w:rFonts w:cs="Calibri"/>
                <w:sz w:val="18"/>
                <w:szCs w:val="18"/>
                <w:lang w:eastAsia="hr-HR"/>
              </w:rPr>
            </w:pPr>
            <w:r>
              <w:rPr>
                <w:rFonts w:cs="Calibri"/>
                <w:sz w:val="18"/>
                <w:szCs w:val="18"/>
                <w:lang w:eastAsia="hr-HR"/>
              </w:rPr>
              <w:t>31.12.2023.</w:t>
            </w:r>
          </w:p>
        </w:tc>
        <w:tc>
          <w:tcPr>
            <w:tcW w:w="582" w:type="pct"/>
            <w:vAlign w:val="center"/>
          </w:tcPr>
          <w:p w14:paraId="629AB7E8" w14:textId="77777777" w:rsidR="002C4F50" w:rsidRPr="00437CA7" w:rsidRDefault="002C4F50" w:rsidP="00D331BE">
            <w:pPr>
              <w:pStyle w:val="NoSpacing"/>
              <w:rPr>
                <w:rFonts w:cs="Calibri"/>
                <w:sz w:val="18"/>
                <w:szCs w:val="18"/>
                <w:lang w:eastAsia="hr-HR"/>
              </w:rPr>
            </w:pPr>
            <w:r>
              <w:rPr>
                <w:rFonts w:cs="Calibri"/>
                <w:sz w:val="18"/>
                <w:szCs w:val="18"/>
                <w:lang w:eastAsia="hr-HR"/>
              </w:rPr>
              <w:t>AlphaChrom d.o.o.</w:t>
            </w:r>
          </w:p>
        </w:tc>
      </w:tr>
      <w:tr w:rsidR="002C4F50" w:rsidRPr="00437CA7" w14:paraId="78B57283" w14:textId="77777777" w:rsidTr="00DE0B61">
        <w:trPr>
          <w:trHeight w:val="284"/>
          <w:jc w:val="center"/>
        </w:trPr>
        <w:tc>
          <w:tcPr>
            <w:tcW w:w="284" w:type="pct"/>
            <w:vAlign w:val="center"/>
          </w:tcPr>
          <w:p w14:paraId="3CDC0F9D" w14:textId="77777777" w:rsidR="002C4F50" w:rsidRPr="00437CA7" w:rsidRDefault="002C4F50" w:rsidP="00AC375F">
            <w:pPr>
              <w:numPr>
                <w:ilvl w:val="0"/>
                <w:numId w:val="56"/>
              </w:numPr>
              <w:jc w:val="center"/>
              <w:rPr>
                <w:rFonts w:cs="Calibri"/>
                <w:sz w:val="20"/>
                <w:szCs w:val="20"/>
              </w:rPr>
            </w:pPr>
          </w:p>
        </w:tc>
        <w:tc>
          <w:tcPr>
            <w:tcW w:w="474" w:type="pct"/>
            <w:vAlign w:val="center"/>
          </w:tcPr>
          <w:p w14:paraId="614FBF44" w14:textId="77777777" w:rsidR="002C4F50" w:rsidRPr="00437CA7" w:rsidRDefault="002C4F50" w:rsidP="00D331BE">
            <w:pPr>
              <w:pStyle w:val="NoSpacing"/>
              <w:rPr>
                <w:rFonts w:cs="Calibri"/>
                <w:sz w:val="18"/>
                <w:szCs w:val="18"/>
              </w:rPr>
            </w:pPr>
            <w:r>
              <w:rPr>
                <w:rFonts w:cs="Calibri"/>
                <w:sz w:val="18"/>
                <w:szCs w:val="18"/>
              </w:rPr>
              <w:t>4.3-23</w:t>
            </w:r>
          </w:p>
        </w:tc>
        <w:tc>
          <w:tcPr>
            <w:tcW w:w="948" w:type="pct"/>
            <w:vAlign w:val="center"/>
          </w:tcPr>
          <w:p w14:paraId="4B698D9C" w14:textId="77777777" w:rsidR="002C4F50" w:rsidRPr="00437CA7" w:rsidRDefault="002C4F50" w:rsidP="00D331BE">
            <w:pPr>
              <w:pStyle w:val="NoSpacing"/>
              <w:rPr>
                <w:rFonts w:cs="Calibri"/>
                <w:sz w:val="18"/>
                <w:szCs w:val="18"/>
              </w:rPr>
            </w:pPr>
            <w:r>
              <w:rPr>
                <w:rFonts w:cs="Calibri"/>
                <w:sz w:val="18"/>
                <w:szCs w:val="18"/>
              </w:rPr>
              <w:t>Umjeravanje i održavanje HPLC Shimadzu</w:t>
            </w:r>
          </w:p>
        </w:tc>
        <w:tc>
          <w:tcPr>
            <w:tcW w:w="572" w:type="pct"/>
            <w:vAlign w:val="center"/>
          </w:tcPr>
          <w:p w14:paraId="2B6A87D1" w14:textId="77777777" w:rsidR="002C4F50" w:rsidRPr="00437CA7" w:rsidRDefault="002C4F50" w:rsidP="00D331BE">
            <w:pPr>
              <w:pStyle w:val="NoSpacing"/>
              <w:rPr>
                <w:rFonts w:cs="Calibri"/>
                <w:sz w:val="18"/>
                <w:szCs w:val="18"/>
              </w:rPr>
            </w:pPr>
            <w:r>
              <w:rPr>
                <w:rFonts w:cs="Calibri"/>
                <w:sz w:val="18"/>
                <w:szCs w:val="18"/>
              </w:rPr>
              <w:t>Otvoreni postupak</w:t>
            </w:r>
          </w:p>
        </w:tc>
        <w:tc>
          <w:tcPr>
            <w:tcW w:w="405" w:type="pct"/>
            <w:vAlign w:val="center"/>
          </w:tcPr>
          <w:p w14:paraId="30E93737" w14:textId="77777777" w:rsidR="002C4F50" w:rsidRPr="00437CA7" w:rsidRDefault="002C4F50" w:rsidP="00D331BE">
            <w:pPr>
              <w:pStyle w:val="NoSpacing"/>
              <w:rPr>
                <w:rFonts w:cs="Calibri"/>
                <w:sz w:val="18"/>
                <w:szCs w:val="18"/>
              </w:rPr>
            </w:pPr>
            <w:r>
              <w:rPr>
                <w:rFonts w:cs="Calibri"/>
                <w:sz w:val="18"/>
                <w:szCs w:val="18"/>
              </w:rPr>
              <w:t>23.12.2022.</w:t>
            </w:r>
          </w:p>
        </w:tc>
        <w:tc>
          <w:tcPr>
            <w:tcW w:w="442" w:type="pct"/>
            <w:vAlign w:val="center"/>
          </w:tcPr>
          <w:p w14:paraId="7DF80E18" w14:textId="77777777" w:rsidR="002C4F50" w:rsidRPr="00437CA7" w:rsidRDefault="002C4F50" w:rsidP="00D331BE">
            <w:pPr>
              <w:pStyle w:val="NoSpacing"/>
              <w:jc w:val="right"/>
              <w:rPr>
                <w:rFonts w:cs="Calibri"/>
                <w:sz w:val="18"/>
                <w:szCs w:val="18"/>
              </w:rPr>
            </w:pPr>
            <w:r>
              <w:rPr>
                <w:rFonts w:cs="Calibri"/>
                <w:sz w:val="18"/>
                <w:szCs w:val="18"/>
              </w:rPr>
              <w:t>41.855 eur</w:t>
            </w:r>
          </w:p>
        </w:tc>
        <w:tc>
          <w:tcPr>
            <w:tcW w:w="519" w:type="pct"/>
            <w:vAlign w:val="center"/>
          </w:tcPr>
          <w:p w14:paraId="3041BC1C" w14:textId="77777777" w:rsidR="002C4F50" w:rsidRPr="00437CA7" w:rsidRDefault="002C4F50" w:rsidP="00D331BE">
            <w:pPr>
              <w:pStyle w:val="NoSpacing"/>
              <w:jc w:val="right"/>
              <w:rPr>
                <w:rFonts w:cs="Calibri"/>
                <w:sz w:val="18"/>
                <w:szCs w:val="18"/>
              </w:rPr>
            </w:pPr>
            <w:r>
              <w:rPr>
                <w:rFonts w:cs="Calibri"/>
                <w:sz w:val="18"/>
                <w:szCs w:val="18"/>
              </w:rPr>
              <w:t>41.855 eur</w:t>
            </w:r>
          </w:p>
        </w:tc>
        <w:tc>
          <w:tcPr>
            <w:tcW w:w="387" w:type="pct"/>
            <w:vAlign w:val="center"/>
          </w:tcPr>
          <w:p w14:paraId="64DA4EB8" w14:textId="77777777" w:rsidR="002C4F50" w:rsidRPr="00437CA7" w:rsidRDefault="002C4F50" w:rsidP="00D331BE">
            <w:pPr>
              <w:pStyle w:val="NoSpacing"/>
              <w:rPr>
                <w:rFonts w:cs="Calibri"/>
                <w:sz w:val="18"/>
                <w:szCs w:val="18"/>
              </w:rPr>
            </w:pPr>
            <w:r>
              <w:rPr>
                <w:rFonts w:cs="Calibri"/>
                <w:sz w:val="18"/>
                <w:szCs w:val="18"/>
              </w:rPr>
              <w:t>12 mjeseci</w:t>
            </w:r>
          </w:p>
        </w:tc>
        <w:tc>
          <w:tcPr>
            <w:tcW w:w="387" w:type="pct"/>
            <w:vAlign w:val="center"/>
          </w:tcPr>
          <w:p w14:paraId="260ACCCD" w14:textId="77777777" w:rsidR="002C4F50" w:rsidRPr="00437CA7" w:rsidRDefault="002C4F50" w:rsidP="00D331BE">
            <w:pPr>
              <w:pStyle w:val="NoSpacing"/>
              <w:rPr>
                <w:rFonts w:cs="Calibri"/>
                <w:sz w:val="18"/>
                <w:szCs w:val="18"/>
              </w:rPr>
            </w:pPr>
            <w:r>
              <w:rPr>
                <w:rFonts w:cs="Calibri"/>
                <w:sz w:val="18"/>
                <w:szCs w:val="18"/>
              </w:rPr>
              <w:t>31.12.2023.</w:t>
            </w:r>
          </w:p>
        </w:tc>
        <w:tc>
          <w:tcPr>
            <w:tcW w:w="582" w:type="pct"/>
            <w:vAlign w:val="center"/>
          </w:tcPr>
          <w:p w14:paraId="075F93CA" w14:textId="77777777" w:rsidR="002C4F50" w:rsidRPr="00437CA7" w:rsidRDefault="002C4F50" w:rsidP="00D331BE">
            <w:pPr>
              <w:pStyle w:val="NoSpacing"/>
              <w:rPr>
                <w:rFonts w:cs="Calibri"/>
                <w:sz w:val="18"/>
                <w:szCs w:val="18"/>
              </w:rPr>
            </w:pPr>
            <w:r>
              <w:rPr>
                <w:rFonts w:cs="Calibri"/>
                <w:sz w:val="18"/>
                <w:szCs w:val="18"/>
              </w:rPr>
              <w:t>Shimadzu d.o.o.</w:t>
            </w:r>
          </w:p>
        </w:tc>
      </w:tr>
      <w:tr w:rsidR="002C4F50" w:rsidRPr="00437CA7" w14:paraId="533C26C7" w14:textId="77777777" w:rsidTr="00DE0B61">
        <w:trPr>
          <w:trHeight w:val="284"/>
          <w:jc w:val="center"/>
        </w:trPr>
        <w:tc>
          <w:tcPr>
            <w:tcW w:w="284" w:type="pct"/>
            <w:vAlign w:val="center"/>
          </w:tcPr>
          <w:p w14:paraId="63F70C64" w14:textId="77777777" w:rsidR="002C4F50" w:rsidRPr="00437CA7" w:rsidRDefault="002C4F50" w:rsidP="00AC375F">
            <w:pPr>
              <w:numPr>
                <w:ilvl w:val="0"/>
                <w:numId w:val="56"/>
              </w:numPr>
              <w:jc w:val="center"/>
              <w:rPr>
                <w:rFonts w:cs="Calibri"/>
                <w:sz w:val="20"/>
                <w:szCs w:val="20"/>
              </w:rPr>
            </w:pPr>
          </w:p>
        </w:tc>
        <w:tc>
          <w:tcPr>
            <w:tcW w:w="474" w:type="pct"/>
            <w:vAlign w:val="center"/>
          </w:tcPr>
          <w:p w14:paraId="17A33B76" w14:textId="77777777" w:rsidR="002C4F50" w:rsidRPr="00437CA7" w:rsidRDefault="002C4F50" w:rsidP="00D331BE">
            <w:pPr>
              <w:pStyle w:val="NoSpacing"/>
              <w:rPr>
                <w:rFonts w:cs="Calibri"/>
                <w:sz w:val="18"/>
                <w:szCs w:val="18"/>
              </w:rPr>
            </w:pPr>
            <w:r>
              <w:rPr>
                <w:rFonts w:cs="Calibri"/>
                <w:sz w:val="18"/>
                <w:szCs w:val="18"/>
              </w:rPr>
              <w:t>7.18-23</w:t>
            </w:r>
          </w:p>
        </w:tc>
        <w:tc>
          <w:tcPr>
            <w:tcW w:w="948" w:type="pct"/>
            <w:vAlign w:val="center"/>
          </w:tcPr>
          <w:p w14:paraId="6C2CDD41" w14:textId="77777777" w:rsidR="002C4F50" w:rsidRPr="00437CA7" w:rsidRDefault="002C4F50" w:rsidP="00D331BE">
            <w:pPr>
              <w:pStyle w:val="NoSpacing"/>
              <w:rPr>
                <w:rFonts w:cs="Calibri"/>
                <w:sz w:val="18"/>
                <w:szCs w:val="18"/>
              </w:rPr>
            </w:pPr>
            <w:r>
              <w:rPr>
                <w:rFonts w:cs="Calibri"/>
                <w:sz w:val="18"/>
                <w:szCs w:val="18"/>
              </w:rPr>
              <w:t>Stražarske i čuvarske službe</w:t>
            </w:r>
          </w:p>
        </w:tc>
        <w:tc>
          <w:tcPr>
            <w:tcW w:w="572" w:type="pct"/>
            <w:vAlign w:val="center"/>
          </w:tcPr>
          <w:p w14:paraId="1030FA15" w14:textId="77777777" w:rsidR="002C4F50" w:rsidRPr="009A133D" w:rsidRDefault="002C4F50" w:rsidP="00D331BE">
            <w:pPr>
              <w:pStyle w:val="NoSpacing"/>
              <w:rPr>
                <w:rFonts w:cs="Calibri"/>
                <w:sz w:val="18"/>
                <w:szCs w:val="18"/>
              </w:rPr>
            </w:pPr>
            <w:r>
              <w:rPr>
                <w:rFonts w:cs="Calibri"/>
                <w:sz w:val="18"/>
                <w:szCs w:val="18"/>
              </w:rPr>
              <w:t>Ugovor temeljem Okvirnog sporazuma</w:t>
            </w:r>
          </w:p>
        </w:tc>
        <w:tc>
          <w:tcPr>
            <w:tcW w:w="405" w:type="pct"/>
            <w:vAlign w:val="center"/>
          </w:tcPr>
          <w:p w14:paraId="41F6A7A8" w14:textId="77777777" w:rsidR="002C4F50" w:rsidRPr="00437CA7" w:rsidRDefault="002C4F50" w:rsidP="00D331BE">
            <w:pPr>
              <w:pStyle w:val="NoSpacing"/>
              <w:rPr>
                <w:rFonts w:cs="Calibri"/>
                <w:sz w:val="18"/>
                <w:szCs w:val="18"/>
              </w:rPr>
            </w:pPr>
            <w:r>
              <w:rPr>
                <w:rFonts w:cs="Calibri"/>
                <w:sz w:val="18"/>
                <w:szCs w:val="18"/>
              </w:rPr>
              <w:t>28.03.2023.</w:t>
            </w:r>
          </w:p>
        </w:tc>
        <w:tc>
          <w:tcPr>
            <w:tcW w:w="442" w:type="pct"/>
            <w:vAlign w:val="center"/>
          </w:tcPr>
          <w:p w14:paraId="2E8AC26E" w14:textId="77777777" w:rsidR="002C4F50" w:rsidRPr="00437CA7" w:rsidRDefault="002C4F50" w:rsidP="00D331BE">
            <w:pPr>
              <w:pStyle w:val="NoSpacing"/>
              <w:jc w:val="right"/>
              <w:rPr>
                <w:rFonts w:cs="Calibri"/>
                <w:sz w:val="18"/>
                <w:szCs w:val="18"/>
              </w:rPr>
            </w:pPr>
            <w:r>
              <w:rPr>
                <w:rFonts w:cs="Calibri"/>
                <w:sz w:val="18"/>
                <w:szCs w:val="18"/>
              </w:rPr>
              <w:t>52.265 eur</w:t>
            </w:r>
          </w:p>
        </w:tc>
        <w:tc>
          <w:tcPr>
            <w:tcW w:w="519" w:type="pct"/>
            <w:vAlign w:val="center"/>
          </w:tcPr>
          <w:p w14:paraId="1C51CD1B" w14:textId="77777777" w:rsidR="002C4F50" w:rsidRPr="00437CA7" w:rsidRDefault="002C4F50" w:rsidP="00D331BE">
            <w:pPr>
              <w:pStyle w:val="NoSpacing"/>
              <w:jc w:val="right"/>
              <w:rPr>
                <w:rFonts w:cs="Calibri"/>
                <w:sz w:val="18"/>
                <w:szCs w:val="18"/>
              </w:rPr>
            </w:pPr>
          </w:p>
        </w:tc>
        <w:tc>
          <w:tcPr>
            <w:tcW w:w="387" w:type="pct"/>
            <w:vAlign w:val="center"/>
          </w:tcPr>
          <w:p w14:paraId="093641CE" w14:textId="77777777" w:rsidR="002C4F50" w:rsidRPr="00437CA7" w:rsidRDefault="002C4F50" w:rsidP="00D331BE">
            <w:pPr>
              <w:pStyle w:val="NoSpacing"/>
              <w:rPr>
                <w:rFonts w:cs="Calibri"/>
                <w:sz w:val="18"/>
                <w:szCs w:val="18"/>
              </w:rPr>
            </w:pPr>
            <w:r>
              <w:rPr>
                <w:rFonts w:cs="Calibri"/>
                <w:sz w:val="18"/>
                <w:szCs w:val="18"/>
              </w:rPr>
              <w:t>12 mjeseci (produljeno Aneksom do završetka novog postupka)</w:t>
            </w:r>
          </w:p>
        </w:tc>
        <w:tc>
          <w:tcPr>
            <w:tcW w:w="387" w:type="pct"/>
            <w:vAlign w:val="center"/>
          </w:tcPr>
          <w:p w14:paraId="018729C5" w14:textId="77777777" w:rsidR="002C4F50" w:rsidRPr="00437CA7" w:rsidRDefault="002C4F50" w:rsidP="00D331BE">
            <w:pPr>
              <w:pStyle w:val="NoSpacing"/>
              <w:rPr>
                <w:rFonts w:cs="Calibri"/>
                <w:sz w:val="18"/>
                <w:szCs w:val="18"/>
              </w:rPr>
            </w:pPr>
          </w:p>
        </w:tc>
        <w:tc>
          <w:tcPr>
            <w:tcW w:w="582" w:type="pct"/>
            <w:vAlign w:val="center"/>
          </w:tcPr>
          <w:p w14:paraId="395A2B4E" w14:textId="77777777" w:rsidR="002C4F50" w:rsidRPr="00437CA7" w:rsidRDefault="002C4F50" w:rsidP="00D331BE">
            <w:pPr>
              <w:pStyle w:val="NoSpacing"/>
              <w:rPr>
                <w:rFonts w:cs="Calibri"/>
                <w:sz w:val="18"/>
                <w:szCs w:val="18"/>
              </w:rPr>
            </w:pPr>
            <w:r>
              <w:rPr>
                <w:rFonts w:cs="Calibri"/>
                <w:sz w:val="18"/>
                <w:szCs w:val="18"/>
              </w:rPr>
              <w:t>P &amp; F ZAŠTITA d.o.o.</w:t>
            </w:r>
          </w:p>
        </w:tc>
      </w:tr>
      <w:tr w:rsidR="002C4F50" w:rsidRPr="00437CA7" w14:paraId="2D1DFF40" w14:textId="77777777" w:rsidTr="00DE0B61">
        <w:trPr>
          <w:trHeight w:val="284"/>
          <w:jc w:val="center"/>
        </w:trPr>
        <w:tc>
          <w:tcPr>
            <w:tcW w:w="284" w:type="pct"/>
            <w:vAlign w:val="center"/>
          </w:tcPr>
          <w:p w14:paraId="45A8849F" w14:textId="77777777" w:rsidR="002C4F50" w:rsidRPr="00437CA7" w:rsidRDefault="002C4F50" w:rsidP="00AC375F">
            <w:pPr>
              <w:numPr>
                <w:ilvl w:val="0"/>
                <w:numId w:val="56"/>
              </w:numPr>
              <w:jc w:val="center"/>
              <w:rPr>
                <w:rFonts w:cs="Calibri"/>
                <w:sz w:val="20"/>
                <w:szCs w:val="20"/>
              </w:rPr>
            </w:pPr>
          </w:p>
        </w:tc>
        <w:tc>
          <w:tcPr>
            <w:tcW w:w="474" w:type="pct"/>
            <w:vAlign w:val="center"/>
          </w:tcPr>
          <w:p w14:paraId="6CF4A9EA" w14:textId="77777777" w:rsidR="002C4F50" w:rsidRPr="00437CA7" w:rsidRDefault="002C4F50" w:rsidP="00D331BE">
            <w:pPr>
              <w:pStyle w:val="NoSpacing"/>
              <w:rPr>
                <w:rFonts w:cs="Calibri"/>
                <w:sz w:val="18"/>
                <w:szCs w:val="18"/>
              </w:rPr>
            </w:pPr>
            <w:r>
              <w:rPr>
                <w:rFonts w:cs="Calibri"/>
                <w:sz w:val="18"/>
                <w:szCs w:val="18"/>
              </w:rPr>
              <w:t>17.2-23</w:t>
            </w:r>
          </w:p>
        </w:tc>
        <w:tc>
          <w:tcPr>
            <w:tcW w:w="948" w:type="pct"/>
            <w:vAlign w:val="center"/>
          </w:tcPr>
          <w:p w14:paraId="01277444" w14:textId="77777777" w:rsidR="002C4F50" w:rsidRPr="00437CA7" w:rsidRDefault="002C4F50" w:rsidP="00D331BE">
            <w:pPr>
              <w:pStyle w:val="NoSpacing"/>
              <w:rPr>
                <w:rFonts w:cs="Calibri"/>
                <w:sz w:val="18"/>
                <w:szCs w:val="18"/>
              </w:rPr>
            </w:pPr>
            <w:r>
              <w:rPr>
                <w:rFonts w:cs="Calibri"/>
                <w:sz w:val="18"/>
                <w:szCs w:val="18"/>
              </w:rPr>
              <w:t>Plin</w:t>
            </w:r>
          </w:p>
        </w:tc>
        <w:tc>
          <w:tcPr>
            <w:tcW w:w="572" w:type="pct"/>
            <w:vAlign w:val="center"/>
          </w:tcPr>
          <w:p w14:paraId="61A40ABA" w14:textId="77777777" w:rsidR="002C4F50" w:rsidRPr="00CB23CF" w:rsidRDefault="002C4F50" w:rsidP="00D331BE">
            <w:pPr>
              <w:pStyle w:val="NoSpacing"/>
              <w:rPr>
                <w:rFonts w:cs="Calibri"/>
                <w:sz w:val="18"/>
                <w:szCs w:val="18"/>
              </w:rPr>
            </w:pPr>
            <w:r w:rsidRPr="00CB23CF">
              <w:rPr>
                <w:rFonts w:cs="Calibri"/>
                <w:sz w:val="18"/>
                <w:szCs w:val="18"/>
              </w:rPr>
              <w:t>Otvoreni postupak</w:t>
            </w:r>
          </w:p>
        </w:tc>
        <w:tc>
          <w:tcPr>
            <w:tcW w:w="405" w:type="pct"/>
            <w:vAlign w:val="center"/>
          </w:tcPr>
          <w:p w14:paraId="6D3C59FC" w14:textId="77777777" w:rsidR="002C4F50" w:rsidRPr="00437CA7" w:rsidRDefault="002C4F50" w:rsidP="00D331BE">
            <w:pPr>
              <w:pStyle w:val="NoSpacing"/>
              <w:rPr>
                <w:rFonts w:cs="Calibri"/>
                <w:sz w:val="18"/>
                <w:szCs w:val="18"/>
              </w:rPr>
            </w:pPr>
            <w:r>
              <w:rPr>
                <w:rFonts w:cs="Calibri"/>
                <w:sz w:val="18"/>
                <w:szCs w:val="18"/>
              </w:rPr>
              <w:t>31.01.2023.</w:t>
            </w:r>
          </w:p>
        </w:tc>
        <w:tc>
          <w:tcPr>
            <w:tcW w:w="442" w:type="pct"/>
            <w:vAlign w:val="center"/>
          </w:tcPr>
          <w:p w14:paraId="3F550ABD" w14:textId="77777777" w:rsidR="002C4F50" w:rsidRPr="00437CA7" w:rsidRDefault="002C4F50" w:rsidP="00D331BE">
            <w:pPr>
              <w:pStyle w:val="NoSpacing"/>
              <w:jc w:val="right"/>
              <w:rPr>
                <w:rFonts w:cs="Calibri"/>
                <w:sz w:val="18"/>
                <w:szCs w:val="18"/>
              </w:rPr>
            </w:pPr>
            <w:r>
              <w:rPr>
                <w:rFonts w:cs="Calibri"/>
                <w:sz w:val="18"/>
                <w:szCs w:val="18"/>
              </w:rPr>
              <w:t>42.577 eur</w:t>
            </w:r>
          </w:p>
        </w:tc>
        <w:tc>
          <w:tcPr>
            <w:tcW w:w="519" w:type="pct"/>
            <w:vAlign w:val="center"/>
          </w:tcPr>
          <w:p w14:paraId="3C89C79B" w14:textId="77777777" w:rsidR="002C4F50" w:rsidRPr="00437CA7" w:rsidRDefault="002C4F50" w:rsidP="00D331BE">
            <w:pPr>
              <w:pStyle w:val="NoSpacing"/>
              <w:jc w:val="right"/>
              <w:rPr>
                <w:rFonts w:cs="Calibri"/>
                <w:sz w:val="18"/>
                <w:szCs w:val="18"/>
              </w:rPr>
            </w:pPr>
            <w:r>
              <w:rPr>
                <w:rFonts w:cs="Calibri"/>
                <w:sz w:val="18"/>
                <w:szCs w:val="18"/>
              </w:rPr>
              <w:t>45.785 eur</w:t>
            </w:r>
          </w:p>
        </w:tc>
        <w:tc>
          <w:tcPr>
            <w:tcW w:w="387" w:type="pct"/>
            <w:vAlign w:val="center"/>
          </w:tcPr>
          <w:p w14:paraId="0CBB6213" w14:textId="77777777" w:rsidR="002C4F50" w:rsidRPr="00437CA7" w:rsidRDefault="002C4F50" w:rsidP="00D331BE">
            <w:pPr>
              <w:pStyle w:val="NoSpacing"/>
              <w:rPr>
                <w:rFonts w:cs="Calibri"/>
                <w:sz w:val="18"/>
                <w:szCs w:val="18"/>
              </w:rPr>
            </w:pPr>
            <w:r>
              <w:rPr>
                <w:rFonts w:cs="Calibri"/>
                <w:sz w:val="18"/>
                <w:szCs w:val="18"/>
              </w:rPr>
              <w:t>12 mjeseci (produljeno Aneksom do završetka novog postupka)</w:t>
            </w:r>
          </w:p>
        </w:tc>
        <w:tc>
          <w:tcPr>
            <w:tcW w:w="387" w:type="pct"/>
            <w:vAlign w:val="center"/>
          </w:tcPr>
          <w:p w14:paraId="0BAE2170" w14:textId="77777777" w:rsidR="002C4F50" w:rsidRPr="00437CA7" w:rsidRDefault="002C4F50" w:rsidP="00D331BE">
            <w:pPr>
              <w:pStyle w:val="NoSpacing"/>
              <w:rPr>
                <w:rFonts w:cs="Calibri"/>
                <w:sz w:val="18"/>
                <w:szCs w:val="18"/>
              </w:rPr>
            </w:pPr>
            <w:r>
              <w:rPr>
                <w:rFonts w:cs="Calibri"/>
                <w:sz w:val="18"/>
                <w:szCs w:val="18"/>
              </w:rPr>
              <w:t xml:space="preserve">29.02.2024. </w:t>
            </w:r>
          </w:p>
        </w:tc>
        <w:tc>
          <w:tcPr>
            <w:tcW w:w="582" w:type="pct"/>
            <w:vAlign w:val="center"/>
          </w:tcPr>
          <w:p w14:paraId="32457172" w14:textId="77777777" w:rsidR="002C4F50" w:rsidRPr="00437CA7" w:rsidRDefault="002C4F50" w:rsidP="00D331BE">
            <w:pPr>
              <w:pStyle w:val="NoSpacing"/>
              <w:rPr>
                <w:rFonts w:cs="Calibri"/>
                <w:sz w:val="18"/>
                <w:szCs w:val="18"/>
              </w:rPr>
            </w:pPr>
            <w:r>
              <w:rPr>
                <w:rFonts w:cs="Calibri"/>
                <w:sz w:val="18"/>
                <w:szCs w:val="18"/>
              </w:rPr>
              <w:t>Međimurje – plin d.o.o.</w:t>
            </w:r>
          </w:p>
        </w:tc>
      </w:tr>
      <w:tr w:rsidR="002C4F50" w:rsidRPr="00437CA7" w14:paraId="44F2A63C" w14:textId="77777777" w:rsidTr="00DE0B61">
        <w:trPr>
          <w:trHeight w:val="284"/>
          <w:jc w:val="center"/>
        </w:trPr>
        <w:tc>
          <w:tcPr>
            <w:tcW w:w="284" w:type="pct"/>
            <w:vAlign w:val="center"/>
          </w:tcPr>
          <w:p w14:paraId="72D6161C" w14:textId="77777777" w:rsidR="002C4F50" w:rsidRPr="00437CA7" w:rsidRDefault="002C4F50" w:rsidP="00AC375F">
            <w:pPr>
              <w:numPr>
                <w:ilvl w:val="0"/>
                <w:numId w:val="56"/>
              </w:numPr>
              <w:jc w:val="center"/>
              <w:rPr>
                <w:rFonts w:cs="Calibri"/>
                <w:sz w:val="20"/>
                <w:szCs w:val="20"/>
              </w:rPr>
            </w:pPr>
          </w:p>
        </w:tc>
        <w:tc>
          <w:tcPr>
            <w:tcW w:w="474" w:type="pct"/>
            <w:vAlign w:val="center"/>
          </w:tcPr>
          <w:p w14:paraId="1A1B248A" w14:textId="77777777" w:rsidR="002C4F50" w:rsidRPr="00437CA7" w:rsidRDefault="002C4F50" w:rsidP="00D331BE">
            <w:pPr>
              <w:pStyle w:val="NoSpacing"/>
              <w:rPr>
                <w:rFonts w:cs="Calibri"/>
                <w:sz w:val="18"/>
                <w:szCs w:val="18"/>
              </w:rPr>
            </w:pPr>
            <w:r>
              <w:rPr>
                <w:rFonts w:cs="Calibri"/>
                <w:sz w:val="18"/>
                <w:szCs w:val="18"/>
              </w:rPr>
              <w:t>17.3-23</w:t>
            </w:r>
          </w:p>
        </w:tc>
        <w:tc>
          <w:tcPr>
            <w:tcW w:w="948" w:type="pct"/>
            <w:vAlign w:val="center"/>
          </w:tcPr>
          <w:p w14:paraId="1E55790F" w14:textId="77777777" w:rsidR="002C4F50" w:rsidRPr="00437CA7" w:rsidRDefault="002C4F50" w:rsidP="00D331BE">
            <w:pPr>
              <w:pStyle w:val="NoSpacing"/>
              <w:rPr>
                <w:rFonts w:cs="Calibri"/>
                <w:sz w:val="18"/>
                <w:szCs w:val="18"/>
              </w:rPr>
            </w:pPr>
            <w:r>
              <w:rPr>
                <w:rFonts w:cs="Calibri"/>
                <w:sz w:val="18"/>
                <w:szCs w:val="18"/>
              </w:rPr>
              <w:t>Električna energija</w:t>
            </w:r>
          </w:p>
        </w:tc>
        <w:tc>
          <w:tcPr>
            <w:tcW w:w="572" w:type="pct"/>
            <w:vAlign w:val="center"/>
          </w:tcPr>
          <w:p w14:paraId="5011ED65" w14:textId="77777777" w:rsidR="002C4F50" w:rsidRPr="00CB23CF" w:rsidRDefault="002C4F50" w:rsidP="00D331BE">
            <w:pPr>
              <w:pStyle w:val="NoSpacing"/>
              <w:rPr>
                <w:rFonts w:cs="Calibri"/>
                <w:sz w:val="18"/>
                <w:szCs w:val="18"/>
              </w:rPr>
            </w:pPr>
            <w:r w:rsidRPr="00CB23CF">
              <w:rPr>
                <w:rFonts w:cs="Calibri"/>
                <w:sz w:val="18"/>
                <w:szCs w:val="18"/>
              </w:rPr>
              <w:t>Otvoreni postupak</w:t>
            </w:r>
          </w:p>
        </w:tc>
        <w:tc>
          <w:tcPr>
            <w:tcW w:w="405" w:type="pct"/>
            <w:vAlign w:val="center"/>
          </w:tcPr>
          <w:p w14:paraId="5ACD1754" w14:textId="77777777" w:rsidR="002C4F50" w:rsidRPr="00437CA7" w:rsidRDefault="002C4F50" w:rsidP="00D331BE">
            <w:pPr>
              <w:pStyle w:val="NoSpacing"/>
              <w:rPr>
                <w:rFonts w:cs="Calibri"/>
                <w:sz w:val="18"/>
                <w:szCs w:val="18"/>
              </w:rPr>
            </w:pPr>
            <w:r>
              <w:rPr>
                <w:rFonts w:cs="Calibri"/>
                <w:sz w:val="18"/>
                <w:szCs w:val="18"/>
              </w:rPr>
              <w:t>08.05.2023.</w:t>
            </w:r>
          </w:p>
        </w:tc>
        <w:tc>
          <w:tcPr>
            <w:tcW w:w="442" w:type="pct"/>
            <w:vAlign w:val="center"/>
          </w:tcPr>
          <w:p w14:paraId="0904D0FA" w14:textId="77777777" w:rsidR="002C4F50" w:rsidRPr="00437CA7" w:rsidRDefault="002C4F50" w:rsidP="00D331BE">
            <w:pPr>
              <w:pStyle w:val="NoSpacing"/>
              <w:jc w:val="right"/>
              <w:rPr>
                <w:rFonts w:cs="Calibri"/>
                <w:sz w:val="18"/>
                <w:szCs w:val="18"/>
              </w:rPr>
            </w:pPr>
            <w:r>
              <w:rPr>
                <w:rFonts w:cs="Calibri"/>
                <w:sz w:val="18"/>
                <w:szCs w:val="18"/>
              </w:rPr>
              <w:t>108.010 eur</w:t>
            </w:r>
          </w:p>
        </w:tc>
        <w:tc>
          <w:tcPr>
            <w:tcW w:w="519" w:type="pct"/>
            <w:vAlign w:val="center"/>
          </w:tcPr>
          <w:p w14:paraId="18D1CA09" w14:textId="77777777" w:rsidR="002C4F50" w:rsidRPr="00437CA7" w:rsidRDefault="002C4F50" w:rsidP="00D331BE">
            <w:pPr>
              <w:pStyle w:val="NoSpacing"/>
              <w:jc w:val="right"/>
              <w:rPr>
                <w:rFonts w:cs="Calibri"/>
                <w:sz w:val="18"/>
                <w:szCs w:val="18"/>
              </w:rPr>
            </w:pPr>
          </w:p>
        </w:tc>
        <w:tc>
          <w:tcPr>
            <w:tcW w:w="387" w:type="pct"/>
            <w:vAlign w:val="center"/>
          </w:tcPr>
          <w:p w14:paraId="43406C1F" w14:textId="77777777" w:rsidR="002C4F50" w:rsidRPr="00437CA7" w:rsidRDefault="002C4F50" w:rsidP="00D331BE">
            <w:pPr>
              <w:pStyle w:val="NoSpacing"/>
              <w:rPr>
                <w:rFonts w:cs="Calibri"/>
                <w:sz w:val="18"/>
                <w:szCs w:val="18"/>
              </w:rPr>
            </w:pPr>
            <w:r>
              <w:rPr>
                <w:rFonts w:cs="Calibri"/>
                <w:sz w:val="18"/>
                <w:szCs w:val="18"/>
              </w:rPr>
              <w:t>12 mjeseci</w:t>
            </w:r>
          </w:p>
        </w:tc>
        <w:tc>
          <w:tcPr>
            <w:tcW w:w="387" w:type="pct"/>
            <w:vAlign w:val="center"/>
          </w:tcPr>
          <w:p w14:paraId="1980CB96" w14:textId="77777777" w:rsidR="002C4F50" w:rsidRPr="00437CA7" w:rsidRDefault="002C4F50" w:rsidP="00D331BE">
            <w:pPr>
              <w:pStyle w:val="NoSpacing"/>
              <w:rPr>
                <w:rFonts w:cs="Calibri"/>
                <w:sz w:val="18"/>
                <w:szCs w:val="18"/>
              </w:rPr>
            </w:pPr>
          </w:p>
        </w:tc>
        <w:tc>
          <w:tcPr>
            <w:tcW w:w="582" w:type="pct"/>
            <w:vAlign w:val="center"/>
          </w:tcPr>
          <w:p w14:paraId="7D0F09A9" w14:textId="77777777" w:rsidR="002C4F50" w:rsidRPr="00437CA7" w:rsidRDefault="002C4F50" w:rsidP="00D331BE">
            <w:pPr>
              <w:pStyle w:val="NoSpacing"/>
              <w:rPr>
                <w:rFonts w:cs="Calibri"/>
                <w:sz w:val="18"/>
                <w:szCs w:val="18"/>
              </w:rPr>
            </w:pPr>
            <w:r>
              <w:rPr>
                <w:rFonts w:cs="Calibri"/>
                <w:sz w:val="18"/>
                <w:szCs w:val="18"/>
              </w:rPr>
              <w:t>HEP-OPSKRBA d.o.o.</w:t>
            </w:r>
          </w:p>
        </w:tc>
      </w:tr>
      <w:tr w:rsidR="002C4F50" w:rsidRPr="00437CA7" w14:paraId="7ECE836F" w14:textId="77777777" w:rsidTr="00DE0B61">
        <w:trPr>
          <w:trHeight w:val="284"/>
          <w:jc w:val="center"/>
        </w:trPr>
        <w:tc>
          <w:tcPr>
            <w:tcW w:w="284" w:type="pct"/>
            <w:vAlign w:val="center"/>
          </w:tcPr>
          <w:p w14:paraId="2BE01FCB" w14:textId="77777777" w:rsidR="002C4F50" w:rsidRPr="00437CA7" w:rsidRDefault="002C4F50" w:rsidP="00AC375F">
            <w:pPr>
              <w:numPr>
                <w:ilvl w:val="0"/>
                <w:numId w:val="56"/>
              </w:numPr>
              <w:jc w:val="center"/>
              <w:rPr>
                <w:rFonts w:cs="Calibri"/>
                <w:sz w:val="20"/>
                <w:szCs w:val="20"/>
              </w:rPr>
            </w:pPr>
          </w:p>
        </w:tc>
        <w:tc>
          <w:tcPr>
            <w:tcW w:w="474" w:type="pct"/>
            <w:vAlign w:val="center"/>
          </w:tcPr>
          <w:p w14:paraId="503079F9" w14:textId="77777777" w:rsidR="002C4F50" w:rsidRPr="00437CA7" w:rsidRDefault="002C4F50" w:rsidP="00D331BE">
            <w:pPr>
              <w:pStyle w:val="NoSpacing"/>
              <w:rPr>
                <w:rFonts w:cs="Calibri"/>
                <w:sz w:val="18"/>
                <w:szCs w:val="18"/>
              </w:rPr>
            </w:pPr>
            <w:r>
              <w:rPr>
                <w:rFonts w:cs="Calibri"/>
                <w:sz w:val="18"/>
                <w:szCs w:val="18"/>
              </w:rPr>
              <w:t>22.2-23</w:t>
            </w:r>
          </w:p>
        </w:tc>
        <w:tc>
          <w:tcPr>
            <w:tcW w:w="948" w:type="pct"/>
            <w:vAlign w:val="center"/>
          </w:tcPr>
          <w:p w14:paraId="6EC42D61" w14:textId="77777777" w:rsidR="002C4F50" w:rsidRPr="00437CA7" w:rsidRDefault="002C4F50" w:rsidP="00D331BE">
            <w:pPr>
              <w:pStyle w:val="NoSpacing"/>
              <w:rPr>
                <w:rFonts w:cs="Calibri"/>
                <w:sz w:val="18"/>
                <w:szCs w:val="18"/>
              </w:rPr>
            </w:pPr>
            <w:r>
              <w:rPr>
                <w:rFonts w:cs="Calibri"/>
                <w:sz w:val="18"/>
                <w:szCs w:val="18"/>
              </w:rPr>
              <w:t>Usluge arhiviranja i skladištenja dokumentacije te pohrane mikrofilmova</w:t>
            </w:r>
          </w:p>
        </w:tc>
        <w:tc>
          <w:tcPr>
            <w:tcW w:w="572" w:type="pct"/>
            <w:vAlign w:val="center"/>
          </w:tcPr>
          <w:p w14:paraId="770DDFF7" w14:textId="77777777" w:rsidR="002C4F50" w:rsidRPr="00437CA7" w:rsidRDefault="002C4F50" w:rsidP="00D331BE">
            <w:pPr>
              <w:pStyle w:val="NoSpacing"/>
              <w:rPr>
                <w:rFonts w:cs="Calibri"/>
                <w:sz w:val="18"/>
                <w:szCs w:val="18"/>
              </w:rPr>
            </w:pPr>
            <w:r>
              <w:rPr>
                <w:rFonts w:cs="Calibri"/>
                <w:sz w:val="18"/>
                <w:szCs w:val="18"/>
              </w:rPr>
              <w:t>Otvoreni postupak</w:t>
            </w:r>
          </w:p>
        </w:tc>
        <w:tc>
          <w:tcPr>
            <w:tcW w:w="405" w:type="pct"/>
            <w:vAlign w:val="center"/>
          </w:tcPr>
          <w:p w14:paraId="6A55FF23" w14:textId="77777777" w:rsidR="002C4F50" w:rsidRPr="00437CA7" w:rsidRDefault="002C4F50" w:rsidP="00D331BE">
            <w:pPr>
              <w:pStyle w:val="NoSpacing"/>
              <w:rPr>
                <w:rFonts w:cs="Calibri"/>
                <w:sz w:val="18"/>
                <w:szCs w:val="18"/>
              </w:rPr>
            </w:pPr>
          </w:p>
        </w:tc>
        <w:tc>
          <w:tcPr>
            <w:tcW w:w="442" w:type="pct"/>
            <w:vAlign w:val="center"/>
          </w:tcPr>
          <w:p w14:paraId="0029DE06" w14:textId="77777777" w:rsidR="002C4F50" w:rsidRPr="00437CA7" w:rsidRDefault="002C4F50" w:rsidP="00D331BE">
            <w:pPr>
              <w:pStyle w:val="NoSpacing"/>
              <w:jc w:val="right"/>
              <w:rPr>
                <w:rFonts w:cs="Calibri"/>
                <w:sz w:val="18"/>
                <w:szCs w:val="18"/>
              </w:rPr>
            </w:pPr>
            <w:r>
              <w:rPr>
                <w:rFonts w:cs="Calibri"/>
                <w:sz w:val="18"/>
                <w:szCs w:val="18"/>
              </w:rPr>
              <w:t>62.006 eur</w:t>
            </w:r>
          </w:p>
        </w:tc>
        <w:tc>
          <w:tcPr>
            <w:tcW w:w="519" w:type="pct"/>
            <w:vAlign w:val="center"/>
          </w:tcPr>
          <w:p w14:paraId="61374CC4" w14:textId="77777777" w:rsidR="002C4F50" w:rsidRPr="00437CA7" w:rsidRDefault="002C4F50" w:rsidP="00D331BE">
            <w:pPr>
              <w:pStyle w:val="NoSpacing"/>
              <w:jc w:val="right"/>
              <w:rPr>
                <w:rFonts w:cs="Calibri"/>
                <w:sz w:val="18"/>
                <w:szCs w:val="18"/>
              </w:rPr>
            </w:pPr>
          </w:p>
        </w:tc>
        <w:tc>
          <w:tcPr>
            <w:tcW w:w="387" w:type="pct"/>
            <w:tcBorders>
              <w:bottom w:val="single" w:sz="4" w:space="0" w:color="auto"/>
            </w:tcBorders>
            <w:vAlign w:val="center"/>
          </w:tcPr>
          <w:p w14:paraId="2188EB13" w14:textId="77777777" w:rsidR="002C4F50" w:rsidRPr="00437CA7" w:rsidRDefault="002C4F50" w:rsidP="00D331BE">
            <w:pPr>
              <w:pStyle w:val="NoSpacing"/>
              <w:rPr>
                <w:rFonts w:cs="Calibri"/>
                <w:sz w:val="18"/>
                <w:szCs w:val="18"/>
              </w:rPr>
            </w:pPr>
            <w:r>
              <w:rPr>
                <w:rFonts w:cs="Calibri"/>
                <w:sz w:val="18"/>
                <w:szCs w:val="18"/>
              </w:rPr>
              <w:t xml:space="preserve">12 mjeseci </w:t>
            </w:r>
          </w:p>
        </w:tc>
        <w:tc>
          <w:tcPr>
            <w:tcW w:w="387" w:type="pct"/>
            <w:tcBorders>
              <w:bottom w:val="single" w:sz="4" w:space="0" w:color="auto"/>
            </w:tcBorders>
            <w:vAlign w:val="center"/>
          </w:tcPr>
          <w:p w14:paraId="1CAF0109" w14:textId="77777777" w:rsidR="002C4F50" w:rsidRPr="00437CA7" w:rsidRDefault="002C4F50" w:rsidP="00D331BE">
            <w:pPr>
              <w:pStyle w:val="NoSpacing"/>
              <w:rPr>
                <w:rFonts w:cs="Calibri"/>
                <w:sz w:val="18"/>
                <w:szCs w:val="18"/>
              </w:rPr>
            </w:pPr>
          </w:p>
        </w:tc>
        <w:tc>
          <w:tcPr>
            <w:tcW w:w="582" w:type="pct"/>
            <w:tcBorders>
              <w:bottom w:val="single" w:sz="4" w:space="0" w:color="auto"/>
            </w:tcBorders>
            <w:vAlign w:val="center"/>
          </w:tcPr>
          <w:p w14:paraId="00C7748A" w14:textId="77777777" w:rsidR="002C4F50" w:rsidRPr="00437CA7" w:rsidRDefault="002C4F50" w:rsidP="00D331BE">
            <w:pPr>
              <w:pStyle w:val="NoSpacing"/>
              <w:rPr>
                <w:rFonts w:cs="Calibri"/>
                <w:sz w:val="18"/>
                <w:szCs w:val="18"/>
              </w:rPr>
            </w:pPr>
            <w:r>
              <w:rPr>
                <w:rFonts w:cs="Calibri"/>
                <w:sz w:val="18"/>
                <w:szCs w:val="18"/>
              </w:rPr>
              <w:t>Iron Mountain Hrvatska d.o.o.</w:t>
            </w:r>
          </w:p>
        </w:tc>
      </w:tr>
      <w:tr w:rsidR="002C4F50" w:rsidRPr="00437CA7" w14:paraId="7E584E62" w14:textId="77777777" w:rsidTr="00DE0B61">
        <w:trPr>
          <w:trHeight w:val="284"/>
          <w:jc w:val="center"/>
        </w:trPr>
        <w:tc>
          <w:tcPr>
            <w:tcW w:w="284" w:type="pct"/>
            <w:vAlign w:val="center"/>
          </w:tcPr>
          <w:p w14:paraId="53952718" w14:textId="77777777" w:rsidR="002C4F50" w:rsidRPr="00437CA7" w:rsidRDefault="002C4F50" w:rsidP="00AC375F">
            <w:pPr>
              <w:numPr>
                <w:ilvl w:val="0"/>
                <w:numId w:val="56"/>
              </w:numPr>
              <w:jc w:val="center"/>
              <w:rPr>
                <w:rFonts w:cs="Calibri"/>
                <w:sz w:val="20"/>
                <w:szCs w:val="20"/>
              </w:rPr>
            </w:pPr>
          </w:p>
        </w:tc>
        <w:tc>
          <w:tcPr>
            <w:tcW w:w="474" w:type="pct"/>
            <w:vAlign w:val="center"/>
          </w:tcPr>
          <w:p w14:paraId="1C09AD25" w14:textId="77777777" w:rsidR="002C4F50" w:rsidRPr="00472082" w:rsidRDefault="002C4F50" w:rsidP="00D331BE">
            <w:pPr>
              <w:pStyle w:val="NoSpacing"/>
              <w:rPr>
                <w:rFonts w:cs="Calibri"/>
                <w:sz w:val="18"/>
                <w:szCs w:val="18"/>
              </w:rPr>
            </w:pPr>
            <w:r>
              <w:rPr>
                <w:rFonts w:cs="Calibri"/>
                <w:sz w:val="18"/>
                <w:szCs w:val="18"/>
              </w:rPr>
              <w:t>26.28-23</w:t>
            </w:r>
          </w:p>
        </w:tc>
        <w:tc>
          <w:tcPr>
            <w:tcW w:w="948" w:type="pct"/>
            <w:vAlign w:val="center"/>
          </w:tcPr>
          <w:p w14:paraId="3A442DB9" w14:textId="77777777" w:rsidR="002C4F50" w:rsidRPr="00472082" w:rsidRDefault="002C4F50" w:rsidP="00D331BE">
            <w:pPr>
              <w:pStyle w:val="NoSpacing"/>
              <w:rPr>
                <w:rFonts w:cs="Calibri"/>
                <w:sz w:val="18"/>
                <w:szCs w:val="18"/>
              </w:rPr>
            </w:pPr>
            <w:r w:rsidRPr="007928A9">
              <w:rPr>
                <w:rFonts w:cs="Calibri"/>
                <w:sz w:val="18"/>
                <w:szCs w:val="18"/>
              </w:rPr>
              <w:t>Usluga korištenja sigurnosno operativnog centra (SOC)</w:t>
            </w:r>
          </w:p>
        </w:tc>
        <w:tc>
          <w:tcPr>
            <w:tcW w:w="572" w:type="pct"/>
            <w:vAlign w:val="center"/>
          </w:tcPr>
          <w:p w14:paraId="649ADE68" w14:textId="77777777" w:rsidR="002C4F50" w:rsidRPr="00472082" w:rsidRDefault="002C4F50" w:rsidP="00D331BE">
            <w:pPr>
              <w:pStyle w:val="NoSpacing"/>
              <w:rPr>
                <w:rFonts w:cs="Calibri"/>
                <w:sz w:val="18"/>
                <w:szCs w:val="18"/>
              </w:rPr>
            </w:pPr>
            <w:r>
              <w:rPr>
                <w:rFonts w:cs="Calibri"/>
                <w:sz w:val="18"/>
                <w:szCs w:val="18"/>
              </w:rPr>
              <w:t>Otvoreni postupak</w:t>
            </w:r>
          </w:p>
        </w:tc>
        <w:tc>
          <w:tcPr>
            <w:tcW w:w="405" w:type="pct"/>
            <w:vAlign w:val="center"/>
          </w:tcPr>
          <w:p w14:paraId="24533192" w14:textId="77777777" w:rsidR="002C4F50" w:rsidRPr="00472082" w:rsidRDefault="002C4F50" w:rsidP="00D331BE">
            <w:pPr>
              <w:pStyle w:val="NoSpacing"/>
              <w:rPr>
                <w:rFonts w:cs="Calibri"/>
                <w:sz w:val="18"/>
                <w:szCs w:val="18"/>
              </w:rPr>
            </w:pPr>
            <w:r>
              <w:rPr>
                <w:rFonts w:cs="Calibri"/>
                <w:sz w:val="18"/>
                <w:szCs w:val="18"/>
              </w:rPr>
              <w:t>15.02.2023.</w:t>
            </w:r>
          </w:p>
        </w:tc>
        <w:tc>
          <w:tcPr>
            <w:tcW w:w="442" w:type="pct"/>
            <w:vAlign w:val="center"/>
          </w:tcPr>
          <w:p w14:paraId="26A17632" w14:textId="77777777" w:rsidR="002C4F50" w:rsidRPr="00472082" w:rsidRDefault="002C4F50" w:rsidP="00D331BE">
            <w:pPr>
              <w:pStyle w:val="NoSpacing"/>
              <w:jc w:val="right"/>
              <w:rPr>
                <w:rFonts w:cs="Calibri"/>
                <w:sz w:val="18"/>
                <w:szCs w:val="18"/>
              </w:rPr>
            </w:pPr>
            <w:r>
              <w:rPr>
                <w:rFonts w:cs="Calibri"/>
                <w:sz w:val="18"/>
                <w:szCs w:val="18"/>
              </w:rPr>
              <w:t>115.785 eur</w:t>
            </w:r>
          </w:p>
        </w:tc>
        <w:tc>
          <w:tcPr>
            <w:tcW w:w="519" w:type="pct"/>
            <w:vAlign w:val="center"/>
          </w:tcPr>
          <w:p w14:paraId="1B4032EF" w14:textId="77777777" w:rsidR="002C4F50" w:rsidRPr="00472082" w:rsidRDefault="002C4F50" w:rsidP="00D331BE">
            <w:pPr>
              <w:pStyle w:val="NoSpacing"/>
              <w:jc w:val="right"/>
              <w:rPr>
                <w:rFonts w:cs="Calibri"/>
                <w:sz w:val="18"/>
                <w:szCs w:val="18"/>
              </w:rPr>
            </w:pPr>
            <w:r>
              <w:rPr>
                <w:rFonts w:cs="Calibri"/>
                <w:sz w:val="18"/>
                <w:szCs w:val="18"/>
              </w:rPr>
              <w:t>115.785 eur</w:t>
            </w:r>
          </w:p>
        </w:tc>
        <w:tc>
          <w:tcPr>
            <w:tcW w:w="387" w:type="pct"/>
            <w:tcBorders>
              <w:bottom w:val="single" w:sz="4" w:space="0" w:color="auto"/>
            </w:tcBorders>
            <w:vAlign w:val="center"/>
          </w:tcPr>
          <w:p w14:paraId="08EEBB57" w14:textId="77777777" w:rsidR="002C4F50" w:rsidRPr="00472082" w:rsidRDefault="002C4F50" w:rsidP="00D331BE">
            <w:pPr>
              <w:pStyle w:val="NoSpacing"/>
              <w:rPr>
                <w:rFonts w:cs="Calibri"/>
                <w:sz w:val="18"/>
                <w:szCs w:val="18"/>
              </w:rPr>
            </w:pPr>
            <w:r>
              <w:rPr>
                <w:rFonts w:cs="Calibri"/>
                <w:sz w:val="18"/>
                <w:szCs w:val="18"/>
              </w:rPr>
              <w:t>15 dana + 12 mjeseci</w:t>
            </w:r>
          </w:p>
        </w:tc>
        <w:tc>
          <w:tcPr>
            <w:tcW w:w="387" w:type="pct"/>
            <w:tcBorders>
              <w:bottom w:val="single" w:sz="4" w:space="0" w:color="auto"/>
            </w:tcBorders>
            <w:vAlign w:val="center"/>
          </w:tcPr>
          <w:p w14:paraId="4995BB24" w14:textId="77777777" w:rsidR="002C4F50" w:rsidRPr="00472082" w:rsidRDefault="002C4F50" w:rsidP="00D331BE">
            <w:pPr>
              <w:pStyle w:val="NoSpacing"/>
              <w:rPr>
                <w:rFonts w:cs="Calibri"/>
                <w:sz w:val="18"/>
                <w:szCs w:val="18"/>
              </w:rPr>
            </w:pPr>
            <w:r>
              <w:rPr>
                <w:rFonts w:cs="Calibri"/>
                <w:sz w:val="18"/>
                <w:szCs w:val="18"/>
              </w:rPr>
              <w:t>16.02.2024.</w:t>
            </w:r>
          </w:p>
        </w:tc>
        <w:tc>
          <w:tcPr>
            <w:tcW w:w="582" w:type="pct"/>
            <w:tcBorders>
              <w:bottom w:val="single" w:sz="4" w:space="0" w:color="auto"/>
            </w:tcBorders>
            <w:vAlign w:val="center"/>
          </w:tcPr>
          <w:p w14:paraId="1039394F" w14:textId="77777777" w:rsidR="002C4F50" w:rsidRPr="00472082" w:rsidRDefault="002C4F50" w:rsidP="00D331BE">
            <w:pPr>
              <w:pStyle w:val="NoSpacing"/>
              <w:rPr>
                <w:rFonts w:cs="Calibri"/>
                <w:sz w:val="18"/>
                <w:szCs w:val="18"/>
              </w:rPr>
            </w:pPr>
            <w:r>
              <w:rPr>
                <w:rFonts w:cs="Calibri"/>
                <w:sz w:val="18"/>
                <w:szCs w:val="18"/>
              </w:rPr>
              <w:t>Combis d.o.o.</w:t>
            </w:r>
          </w:p>
        </w:tc>
      </w:tr>
      <w:tr w:rsidR="002C4F50" w:rsidRPr="00437CA7" w14:paraId="74725B1A" w14:textId="77777777" w:rsidTr="00DE0B61">
        <w:trPr>
          <w:trHeight w:val="284"/>
          <w:jc w:val="center"/>
        </w:trPr>
        <w:tc>
          <w:tcPr>
            <w:tcW w:w="284" w:type="pct"/>
            <w:vAlign w:val="center"/>
          </w:tcPr>
          <w:p w14:paraId="1CC3F8C5" w14:textId="77777777" w:rsidR="002C4F50" w:rsidRPr="00437CA7" w:rsidRDefault="002C4F50" w:rsidP="00AC375F">
            <w:pPr>
              <w:numPr>
                <w:ilvl w:val="0"/>
                <w:numId w:val="56"/>
              </w:numPr>
              <w:jc w:val="center"/>
              <w:rPr>
                <w:rFonts w:cs="Calibri"/>
                <w:sz w:val="20"/>
                <w:szCs w:val="20"/>
              </w:rPr>
            </w:pPr>
          </w:p>
        </w:tc>
        <w:tc>
          <w:tcPr>
            <w:tcW w:w="474" w:type="pct"/>
            <w:vAlign w:val="center"/>
          </w:tcPr>
          <w:p w14:paraId="252B5816" w14:textId="77777777" w:rsidR="002C4F50" w:rsidRPr="0064110E" w:rsidRDefault="002C4F50" w:rsidP="00D331BE">
            <w:pPr>
              <w:pStyle w:val="NoSpacing"/>
              <w:rPr>
                <w:rFonts w:cs="Calibri"/>
                <w:sz w:val="18"/>
                <w:szCs w:val="18"/>
              </w:rPr>
            </w:pPr>
            <w:r>
              <w:rPr>
                <w:rFonts w:cs="Calibri"/>
                <w:sz w:val="18"/>
                <w:szCs w:val="18"/>
              </w:rPr>
              <w:t>24.2-23</w:t>
            </w:r>
          </w:p>
        </w:tc>
        <w:tc>
          <w:tcPr>
            <w:tcW w:w="948" w:type="pct"/>
            <w:vAlign w:val="center"/>
          </w:tcPr>
          <w:p w14:paraId="0ADF1884" w14:textId="77777777" w:rsidR="002C4F50" w:rsidRPr="0064110E" w:rsidRDefault="002C4F50" w:rsidP="00D331BE">
            <w:pPr>
              <w:pStyle w:val="NoSpacing"/>
              <w:rPr>
                <w:rFonts w:cs="Calibri"/>
                <w:sz w:val="18"/>
                <w:szCs w:val="18"/>
              </w:rPr>
            </w:pPr>
            <w:r>
              <w:rPr>
                <w:rFonts w:cs="Calibri"/>
                <w:sz w:val="18"/>
                <w:szCs w:val="18"/>
              </w:rPr>
              <w:t>Računala</w:t>
            </w:r>
          </w:p>
        </w:tc>
        <w:tc>
          <w:tcPr>
            <w:tcW w:w="572" w:type="pct"/>
            <w:vAlign w:val="center"/>
          </w:tcPr>
          <w:p w14:paraId="2BBC2F3C" w14:textId="77777777" w:rsidR="002C4F50" w:rsidRPr="0064110E" w:rsidRDefault="002C4F50" w:rsidP="00D331BE">
            <w:pPr>
              <w:pStyle w:val="NoSpacing"/>
              <w:rPr>
                <w:rFonts w:cs="Calibri"/>
                <w:sz w:val="18"/>
                <w:szCs w:val="18"/>
              </w:rPr>
            </w:pPr>
            <w:r>
              <w:rPr>
                <w:rFonts w:cs="Calibri"/>
                <w:sz w:val="18"/>
                <w:szCs w:val="18"/>
              </w:rPr>
              <w:t>Otvoreni postupak</w:t>
            </w:r>
          </w:p>
        </w:tc>
        <w:tc>
          <w:tcPr>
            <w:tcW w:w="405" w:type="pct"/>
            <w:vAlign w:val="center"/>
          </w:tcPr>
          <w:p w14:paraId="6D6CDBDF" w14:textId="77777777" w:rsidR="002C4F50" w:rsidRPr="0064110E" w:rsidRDefault="002C4F50" w:rsidP="00D331BE">
            <w:pPr>
              <w:pStyle w:val="NoSpacing"/>
              <w:rPr>
                <w:rFonts w:cs="Calibri"/>
                <w:sz w:val="18"/>
                <w:szCs w:val="18"/>
              </w:rPr>
            </w:pPr>
            <w:r>
              <w:rPr>
                <w:rFonts w:cs="Calibri"/>
                <w:sz w:val="18"/>
                <w:szCs w:val="18"/>
              </w:rPr>
              <w:t>13.06.2023.</w:t>
            </w:r>
          </w:p>
        </w:tc>
        <w:tc>
          <w:tcPr>
            <w:tcW w:w="442" w:type="pct"/>
            <w:vAlign w:val="center"/>
          </w:tcPr>
          <w:p w14:paraId="043BFA5E" w14:textId="77777777" w:rsidR="002C4F50" w:rsidRPr="0064110E" w:rsidRDefault="002C4F50" w:rsidP="00D331BE">
            <w:pPr>
              <w:pStyle w:val="NoSpacing"/>
              <w:jc w:val="right"/>
              <w:rPr>
                <w:rFonts w:cs="Calibri"/>
                <w:sz w:val="18"/>
                <w:szCs w:val="18"/>
              </w:rPr>
            </w:pPr>
            <w:r>
              <w:rPr>
                <w:rFonts w:cs="Calibri"/>
                <w:sz w:val="18"/>
                <w:szCs w:val="18"/>
              </w:rPr>
              <w:t xml:space="preserve">64.436 eur </w:t>
            </w:r>
          </w:p>
        </w:tc>
        <w:tc>
          <w:tcPr>
            <w:tcW w:w="519" w:type="pct"/>
            <w:vAlign w:val="center"/>
          </w:tcPr>
          <w:p w14:paraId="0C00A179" w14:textId="77777777" w:rsidR="002C4F50" w:rsidRPr="0064110E" w:rsidRDefault="002C4F50" w:rsidP="00D331BE">
            <w:pPr>
              <w:pStyle w:val="NoSpacing"/>
              <w:jc w:val="right"/>
              <w:rPr>
                <w:rFonts w:cs="Calibri"/>
                <w:sz w:val="18"/>
                <w:szCs w:val="18"/>
              </w:rPr>
            </w:pPr>
            <w:r>
              <w:rPr>
                <w:rFonts w:cs="Calibri"/>
                <w:sz w:val="18"/>
                <w:szCs w:val="18"/>
              </w:rPr>
              <w:t>64.436 eur</w:t>
            </w:r>
          </w:p>
        </w:tc>
        <w:tc>
          <w:tcPr>
            <w:tcW w:w="387" w:type="pct"/>
            <w:tcBorders>
              <w:bottom w:val="single" w:sz="4" w:space="0" w:color="auto"/>
            </w:tcBorders>
            <w:shd w:val="clear" w:color="auto" w:fill="auto"/>
            <w:vAlign w:val="center"/>
          </w:tcPr>
          <w:p w14:paraId="0F3F50B6" w14:textId="77777777" w:rsidR="002C4F50" w:rsidRPr="0064110E" w:rsidRDefault="002C4F50" w:rsidP="00D331BE">
            <w:pPr>
              <w:pStyle w:val="NoSpacing"/>
              <w:rPr>
                <w:rFonts w:cs="Calibri"/>
                <w:sz w:val="18"/>
                <w:szCs w:val="18"/>
              </w:rPr>
            </w:pPr>
            <w:r>
              <w:rPr>
                <w:rFonts w:cs="Calibri"/>
                <w:sz w:val="18"/>
                <w:szCs w:val="18"/>
              </w:rPr>
              <w:t>3 mjeseca</w:t>
            </w:r>
          </w:p>
        </w:tc>
        <w:tc>
          <w:tcPr>
            <w:tcW w:w="387" w:type="pct"/>
            <w:tcBorders>
              <w:bottom w:val="single" w:sz="4" w:space="0" w:color="auto"/>
            </w:tcBorders>
            <w:vAlign w:val="center"/>
          </w:tcPr>
          <w:p w14:paraId="0B0820F9" w14:textId="77777777" w:rsidR="002C4F50" w:rsidRPr="0064110E" w:rsidRDefault="002C4F50" w:rsidP="00D331BE">
            <w:pPr>
              <w:pStyle w:val="NoSpacing"/>
              <w:rPr>
                <w:rFonts w:cs="Calibri"/>
                <w:sz w:val="18"/>
                <w:szCs w:val="18"/>
              </w:rPr>
            </w:pPr>
            <w:r>
              <w:rPr>
                <w:rFonts w:cs="Calibri"/>
                <w:sz w:val="18"/>
                <w:szCs w:val="18"/>
              </w:rPr>
              <w:t>21.07.2023.</w:t>
            </w:r>
          </w:p>
        </w:tc>
        <w:tc>
          <w:tcPr>
            <w:tcW w:w="582" w:type="pct"/>
            <w:tcBorders>
              <w:bottom w:val="single" w:sz="4" w:space="0" w:color="auto"/>
            </w:tcBorders>
            <w:vAlign w:val="center"/>
          </w:tcPr>
          <w:p w14:paraId="51E5B58A" w14:textId="77777777" w:rsidR="002C4F50" w:rsidRPr="0064110E" w:rsidRDefault="002C4F50" w:rsidP="00D331BE">
            <w:pPr>
              <w:pStyle w:val="NoSpacing"/>
              <w:rPr>
                <w:rFonts w:cs="Calibri"/>
                <w:sz w:val="18"/>
                <w:szCs w:val="18"/>
              </w:rPr>
            </w:pPr>
            <w:r>
              <w:rPr>
                <w:rFonts w:cs="Calibri"/>
                <w:sz w:val="18"/>
                <w:szCs w:val="18"/>
              </w:rPr>
              <w:t>Kodeks sistemske integracije d.o.o.</w:t>
            </w:r>
          </w:p>
        </w:tc>
      </w:tr>
      <w:tr w:rsidR="002C4F50" w:rsidRPr="00437CA7" w14:paraId="55B61302" w14:textId="77777777" w:rsidTr="00DE0B61">
        <w:trPr>
          <w:trHeight w:val="284"/>
          <w:jc w:val="center"/>
        </w:trPr>
        <w:tc>
          <w:tcPr>
            <w:tcW w:w="284" w:type="pct"/>
            <w:vAlign w:val="center"/>
          </w:tcPr>
          <w:p w14:paraId="621DEAD5" w14:textId="77777777" w:rsidR="002C4F50" w:rsidRPr="00437CA7" w:rsidRDefault="002C4F50" w:rsidP="00AC375F">
            <w:pPr>
              <w:numPr>
                <w:ilvl w:val="0"/>
                <w:numId w:val="56"/>
              </w:numPr>
              <w:jc w:val="center"/>
              <w:rPr>
                <w:rFonts w:cs="Calibri"/>
                <w:sz w:val="20"/>
                <w:szCs w:val="20"/>
              </w:rPr>
            </w:pPr>
          </w:p>
        </w:tc>
        <w:tc>
          <w:tcPr>
            <w:tcW w:w="474" w:type="pct"/>
            <w:vAlign w:val="center"/>
          </w:tcPr>
          <w:p w14:paraId="30C6C6EB" w14:textId="77777777" w:rsidR="002C4F50" w:rsidRDefault="002C4F50" w:rsidP="00D331BE">
            <w:pPr>
              <w:pStyle w:val="NoSpacing"/>
              <w:rPr>
                <w:rFonts w:cs="Calibri"/>
                <w:sz w:val="18"/>
                <w:szCs w:val="18"/>
              </w:rPr>
            </w:pPr>
            <w:r>
              <w:rPr>
                <w:rFonts w:cs="Calibri"/>
                <w:sz w:val="18"/>
                <w:szCs w:val="18"/>
              </w:rPr>
              <w:t>24.2-23</w:t>
            </w:r>
          </w:p>
        </w:tc>
        <w:tc>
          <w:tcPr>
            <w:tcW w:w="948" w:type="pct"/>
            <w:vAlign w:val="center"/>
          </w:tcPr>
          <w:p w14:paraId="54CA0188" w14:textId="77777777" w:rsidR="002C4F50" w:rsidRDefault="002C4F50" w:rsidP="00D331BE">
            <w:pPr>
              <w:pStyle w:val="NoSpacing"/>
              <w:rPr>
                <w:rFonts w:cs="Calibri"/>
                <w:sz w:val="18"/>
                <w:szCs w:val="18"/>
              </w:rPr>
            </w:pPr>
            <w:r>
              <w:rPr>
                <w:rFonts w:cs="Calibri"/>
                <w:sz w:val="18"/>
                <w:szCs w:val="18"/>
              </w:rPr>
              <w:t>Računala – dodatna nabava</w:t>
            </w:r>
          </w:p>
        </w:tc>
        <w:tc>
          <w:tcPr>
            <w:tcW w:w="572" w:type="pct"/>
            <w:vAlign w:val="center"/>
          </w:tcPr>
          <w:p w14:paraId="64A9A847" w14:textId="77777777" w:rsidR="002C4F50" w:rsidRDefault="002C4F50" w:rsidP="00D331BE">
            <w:pPr>
              <w:pStyle w:val="NoSpacing"/>
              <w:rPr>
                <w:rFonts w:cs="Calibri"/>
                <w:sz w:val="18"/>
                <w:szCs w:val="18"/>
              </w:rPr>
            </w:pPr>
            <w:r>
              <w:rPr>
                <w:rFonts w:cs="Calibri"/>
                <w:sz w:val="18"/>
                <w:szCs w:val="18"/>
              </w:rPr>
              <w:t>Otvoreno postupak</w:t>
            </w:r>
          </w:p>
        </w:tc>
        <w:tc>
          <w:tcPr>
            <w:tcW w:w="405" w:type="pct"/>
            <w:vAlign w:val="center"/>
          </w:tcPr>
          <w:p w14:paraId="5BA99EE2" w14:textId="77777777" w:rsidR="002C4F50" w:rsidRDefault="002C4F50" w:rsidP="00D331BE">
            <w:pPr>
              <w:pStyle w:val="NoSpacing"/>
              <w:rPr>
                <w:rFonts w:cs="Calibri"/>
                <w:sz w:val="18"/>
                <w:szCs w:val="18"/>
              </w:rPr>
            </w:pPr>
            <w:r>
              <w:rPr>
                <w:rFonts w:cs="Calibri"/>
                <w:sz w:val="18"/>
                <w:szCs w:val="18"/>
              </w:rPr>
              <w:t>28.08.2023.</w:t>
            </w:r>
          </w:p>
        </w:tc>
        <w:tc>
          <w:tcPr>
            <w:tcW w:w="442" w:type="pct"/>
            <w:vAlign w:val="center"/>
          </w:tcPr>
          <w:p w14:paraId="15411DF2" w14:textId="77777777" w:rsidR="002C4F50" w:rsidRDefault="002C4F50" w:rsidP="00D331BE">
            <w:pPr>
              <w:pStyle w:val="NoSpacing"/>
              <w:jc w:val="right"/>
              <w:rPr>
                <w:rFonts w:cs="Calibri"/>
                <w:sz w:val="18"/>
                <w:szCs w:val="18"/>
              </w:rPr>
            </w:pPr>
            <w:r>
              <w:rPr>
                <w:rFonts w:cs="Calibri"/>
                <w:sz w:val="18"/>
                <w:szCs w:val="18"/>
              </w:rPr>
              <w:t>38.063 eur</w:t>
            </w:r>
          </w:p>
        </w:tc>
        <w:tc>
          <w:tcPr>
            <w:tcW w:w="519" w:type="pct"/>
            <w:vAlign w:val="center"/>
          </w:tcPr>
          <w:p w14:paraId="7E267838" w14:textId="77777777" w:rsidR="002C4F50" w:rsidRDefault="002C4F50" w:rsidP="00D331BE">
            <w:pPr>
              <w:pStyle w:val="NoSpacing"/>
              <w:jc w:val="right"/>
              <w:rPr>
                <w:rFonts w:cs="Calibri"/>
                <w:sz w:val="18"/>
                <w:szCs w:val="18"/>
              </w:rPr>
            </w:pPr>
            <w:r>
              <w:rPr>
                <w:rFonts w:cs="Calibri"/>
                <w:sz w:val="18"/>
                <w:szCs w:val="18"/>
              </w:rPr>
              <w:t>38.063 eur</w:t>
            </w:r>
          </w:p>
        </w:tc>
        <w:tc>
          <w:tcPr>
            <w:tcW w:w="387" w:type="pct"/>
            <w:tcBorders>
              <w:bottom w:val="single" w:sz="4" w:space="0" w:color="auto"/>
            </w:tcBorders>
            <w:shd w:val="clear" w:color="auto" w:fill="auto"/>
            <w:vAlign w:val="center"/>
          </w:tcPr>
          <w:p w14:paraId="24DEFC19" w14:textId="77777777" w:rsidR="002C4F50" w:rsidRDefault="002C4F50" w:rsidP="00D331BE">
            <w:pPr>
              <w:pStyle w:val="NoSpacing"/>
              <w:rPr>
                <w:rFonts w:cs="Calibri"/>
                <w:sz w:val="18"/>
                <w:szCs w:val="18"/>
              </w:rPr>
            </w:pPr>
            <w:r>
              <w:rPr>
                <w:rFonts w:cs="Calibri"/>
                <w:sz w:val="18"/>
                <w:szCs w:val="18"/>
              </w:rPr>
              <w:t>3 mjeseca</w:t>
            </w:r>
          </w:p>
        </w:tc>
        <w:tc>
          <w:tcPr>
            <w:tcW w:w="387" w:type="pct"/>
            <w:tcBorders>
              <w:bottom w:val="single" w:sz="4" w:space="0" w:color="auto"/>
            </w:tcBorders>
            <w:vAlign w:val="center"/>
          </w:tcPr>
          <w:p w14:paraId="197A1963" w14:textId="77777777" w:rsidR="002C4F50" w:rsidRDefault="002C4F50" w:rsidP="00D331BE">
            <w:pPr>
              <w:pStyle w:val="NoSpacing"/>
              <w:rPr>
                <w:rFonts w:cs="Calibri"/>
                <w:sz w:val="18"/>
                <w:szCs w:val="18"/>
              </w:rPr>
            </w:pPr>
            <w:r>
              <w:rPr>
                <w:rFonts w:cs="Calibri"/>
                <w:sz w:val="18"/>
                <w:szCs w:val="18"/>
              </w:rPr>
              <w:t>06.10.2023.</w:t>
            </w:r>
          </w:p>
        </w:tc>
        <w:tc>
          <w:tcPr>
            <w:tcW w:w="582" w:type="pct"/>
            <w:tcBorders>
              <w:bottom w:val="single" w:sz="4" w:space="0" w:color="auto"/>
            </w:tcBorders>
            <w:vAlign w:val="center"/>
          </w:tcPr>
          <w:p w14:paraId="7C2C9752" w14:textId="77777777" w:rsidR="002C4F50" w:rsidRDefault="002C4F50" w:rsidP="00D331BE">
            <w:pPr>
              <w:pStyle w:val="NoSpacing"/>
              <w:rPr>
                <w:rFonts w:cs="Calibri"/>
                <w:sz w:val="18"/>
                <w:szCs w:val="18"/>
              </w:rPr>
            </w:pPr>
            <w:r>
              <w:rPr>
                <w:rFonts w:cs="Calibri"/>
                <w:sz w:val="18"/>
                <w:szCs w:val="18"/>
              </w:rPr>
              <w:t>Alfa kompjuter usluge d.o.o.</w:t>
            </w:r>
          </w:p>
        </w:tc>
      </w:tr>
      <w:tr w:rsidR="002C4F50" w:rsidRPr="00437CA7" w14:paraId="095442ED" w14:textId="77777777" w:rsidTr="00DE0B61">
        <w:trPr>
          <w:trHeight w:val="284"/>
          <w:jc w:val="center"/>
        </w:trPr>
        <w:tc>
          <w:tcPr>
            <w:tcW w:w="284" w:type="pct"/>
            <w:vAlign w:val="center"/>
          </w:tcPr>
          <w:p w14:paraId="4504150F" w14:textId="77777777" w:rsidR="002C4F50" w:rsidRPr="00437CA7" w:rsidRDefault="002C4F50" w:rsidP="00AC375F">
            <w:pPr>
              <w:numPr>
                <w:ilvl w:val="0"/>
                <w:numId w:val="56"/>
              </w:numPr>
              <w:jc w:val="center"/>
              <w:rPr>
                <w:rFonts w:cs="Calibri"/>
                <w:sz w:val="20"/>
                <w:szCs w:val="20"/>
              </w:rPr>
            </w:pPr>
          </w:p>
        </w:tc>
        <w:tc>
          <w:tcPr>
            <w:tcW w:w="474" w:type="pct"/>
            <w:vAlign w:val="center"/>
          </w:tcPr>
          <w:p w14:paraId="48A8B86A" w14:textId="77777777" w:rsidR="002C4F50" w:rsidRPr="0064110E" w:rsidRDefault="002C4F50" w:rsidP="00D331BE">
            <w:pPr>
              <w:pStyle w:val="NoSpacing"/>
              <w:rPr>
                <w:rFonts w:cs="Calibri"/>
                <w:sz w:val="18"/>
                <w:szCs w:val="18"/>
              </w:rPr>
            </w:pPr>
            <w:r>
              <w:rPr>
                <w:rFonts w:cs="Calibri"/>
                <w:sz w:val="18"/>
                <w:szCs w:val="18"/>
              </w:rPr>
              <w:t>18.3-23</w:t>
            </w:r>
          </w:p>
        </w:tc>
        <w:tc>
          <w:tcPr>
            <w:tcW w:w="948" w:type="pct"/>
            <w:vAlign w:val="center"/>
          </w:tcPr>
          <w:p w14:paraId="0BB79DCB" w14:textId="77777777" w:rsidR="002C4F50" w:rsidRPr="0064110E" w:rsidRDefault="002C4F50" w:rsidP="00D331BE">
            <w:pPr>
              <w:pStyle w:val="NoSpacing"/>
              <w:rPr>
                <w:rFonts w:cs="Calibri"/>
                <w:sz w:val="18"/>
                <w:szCs w:val="18"/>
              </w:rPr>
            </w:pPr>
            <w:r w:rsidRPr="00FE40DA">
              <w:rPr>
                <w:rFonts w:cs="Calibri"/>
                <w:sz w:val="18"/>
                <w:szCs w:val="18"/>
              </w:rPr>
              <w:t>Usluge dodatnog zdravstvenog osiguranja</w:t>
            </w:r>
          </w:p>
        </w:tc>
        <w:tc>
          <w:tcPr>
            <w:tcW w:w="572" w:type="pct"/>
            <w:vAlign w:val="center"/>
          </w:tcPr>
          <w:p w14:paraId="1E2D1BB6" w14:textId="77777777" w:rsidR="002C4F50" w:rsidRPr="0064110E" w:rsidRDefault="002C4F50" w:rsidP="00D331BE">
            <w:pPr>
              <w:pStyle w:val="NoSpacing"/>
              <w:rPr>
                <w:rFonts w:cs="Calibri"/>
                <w:sz w:val="18"/>
                <w:szCs w:val="18"/>
              </w:rPr>
            </w:pPr>
            <w:r>
              <w:rPr>
                <w:rFonts w:cs="Calibri"/>
                <w:sz w:val="18"/>
                <w:szCs w:val="18"/>
              </w:rPr>
              <w:t>Otvoreni postupak</w:t>
            </w:r>
          </w:p>
        </w:tc>
        <w:tc>
          <w:tcPr>
            <w:tcW w:w="405" w:type="pct"/>
            <w:vAlign w:val="center"/>
          </w:tcPr>
          <w:p w14:paraId="438CD9FA" w14:textId="77777777" w:rsidR="002C4F50" w:rsidRPr="0064110E" w:rsidRDefault="002C4F50" w:rsidP="00D331BE">
            <w:pPr>
              <w:pStyle w:val="NoSpacing"/>
              <w:rPr>
                <w:rFonts w:cs="Calibri"/>
                <w:sz w:val="18"/>
                <w:szCs w:val="18"/>
              </w:rPr>
            </w:pPr>
            <w:r>
              <w:rPr>
                <w:rFonts w:cs="Calibri"/>
                <w:sz w:val="18"/>
                <w:szCs w:val="18"/>
              </w:rPr>
              <w:t>15.02.2023.</w:t>
            </w:r>
          </w:p>
        </w:tc>
        <w:tc>
          <w:tcPr>
            <w:tcW w:w="442" w:type="pct"/>
            <w:vAlign w:val="center"/>
          </w:tcPr>
          <w:p w14:paraId="0D9322E4" w14:textId="77777777" w:rsidR="002C4F50" w:rsidRPr="0064110E" w:rsidRDefault="002C4F50" w:rsidP="00D331BE">
            <w:pPr>
              <w:pStyle w:val="NoSpacing"/>
              <w:jc w:val="right"/>
              <w:rPr>
                <w:rFonts w:cs="Calibri"/>
                <w:sz w:val="18"/>
                <w:szCs w:val="18"/>
              </w:rPr>
            </w:pPr>
            <w:r>
              <w:rPr>
                <w:rFonts w:cs="Calibri"/>
                <w:sz w:val="18"/>
                <w:szCs w:val="18"/>
              </w:rPr>
              <w:t>51.750 eur</w:t>
            </w:r>
          </w:p>
        </w:tc>
        <w:tc>
          <w:tcPr>
            <w:tcW w:w="519" w:type="pct"/>
            <w:vAlign w:val="center"/>
          </w:tcPr>
          <w:p w14:paraId="60AE3ADA" w14:textId="77777777" w:rsidR="002C4F50" w:rsidRPr="0064110E" w:rsidRDefault="002C4F50" w:rsidP="00D331BE">
            <w:pPr>
              <w:pStyle w:val="NoSpacing"/>
              <w:jc w:val="right"/>
              <w:rPr>
                <w:rFonts w:cs="Calibri"/>
                <w:sz w:val="18"/>
                <w:szCs w:val="18"/>
              </w:rPr>
            </w:pPr>
            <w:r>
              <w:rPr>
                <w:rFonts w:cs="Calibri"/>
                <w:sz w:val="18"/>
                <w:szCs w:val="18"/>
              </w:rPr>
              <w:t>49.885 eur</w:t>
            </w:r>
          </w:p>
        </w:tc>
        <w:tc>
          <w:tcPr>
            <w:tcW w:w="387" w:type="pct"/>
            <w:tcBorders>
              <w:bottom w:val="single" w:sz="4" w:space="0" w:color="auto"/>
            </w:tcBorders>
            <w:vAlign w:val="center"/>
          </w:tcPr>
          <w:p w14:paraId="1714959D" w14:textId="77777777" w:rsidR="002C4F50" w:rsidRPr="0064110E" w:rsidRDefault="002C4F50" w:rsidP="00D331BE">
            <w:pPr>
              <w:pStyle w:val="NoSpacing"/>
              <w:rPr>
                <w:rFonts w:cs="Calibri"/>
                <w:sz w:val="18"/>
                <w:szCs w:val="18"/>
              </w:rPr>
            </w:pPr>
            <w:r>
              <w:rPr>
                <w:rFonts w:cs="Calibri"/>
                <w:sz w:val="18"/>
                <w:szCs w:val="18"/>
              </w:rPr>
              <w:t>12 mjeseci</w:t>
            </w:r>
          </w:p>
        </w:tc>
        <w:tc>
          <w:tcPr>
            <w:tcW w:w="387" w:type="pct"/>
            <w:tcBorders>
              <w:bottom w:val="single" w:sz="4" w:space="0" w:color="auto"/>
            </w:tcBorders>
            <w:vAlign w:val="center"/>
          </w:tcPr>
          <w:p w14:paraId="0BBC6867" w14:textId="77777777" w:rsidR="002C4F50" w:rsidRPr="0064110E" w:rsidRDefault="002C4F50" w:rsidP="00D331BE">
            <w:pPr>
              <w:pStyle w:val="NoSpacing"/>
              <w:rPr>
                <w:rFonts w:cs="Calibri"/>
                <w:sz w:val="18"/>
                <w:szCs w:val="18"/>
              </w:rPr>
            </w:pPr>
            <w:r>
              <w:rPr>
                <w:rFonts w:cs="Calibri"/>
                <w:sz w:val="18"/>
                <w:szCs w:val="18"/>
              </w:rPr>
              <w:t>15.02.2024.</w:t>
            </w:r>
          </w:p>
        </w:tc>
        <w:tc>
          <w:tcPr>
            <w:tcW w:w="582" w:type="pct"/>
            <w:tcBorders>
              <w:bottom w:val="single" w:sz="4" w:space="0" w:color="auto"/>
            </w:tcBorders>
            <w:vAlign w:val="center"/>
          </w:tcPr>
          <w:p w14:paraId="55FDEC04" w14:textId="77777777" w:rsidR="002C4F50" w:rsidRPr="0064110E" w:rsidRDefault="002C4F50" w:rsidP="00D331BE">
            <w:pPr>
              <w:pStyle w:val="NoSpacing"/>
              <w:rPr>
                <w:rFonts w:cs="Calibri"/>
                <w:sz w:val="18"/>
                <w:szCs w:val="18"/>
              </w:rPr>
            </w:pPr>
            <w:r>
              <w:rPr>
                <w:rFonts w:cs="Calibri"/>
                <w:sz w:val="18"/>
                <w:szCs w:val="18"/>
              </w:rPr>
              <w:t>Croatia Osiguranje d.d.</w:t>
            </w:r>
          </w:p>
        </w:tc>
      </w:tr>
      <w:tr w:rsidR="002C4F50" w:rsidRPr="00437CA7" w14:paraId="5C56CF49" w14:textId="77777777" w:rsidTr="00DE0B61">
        <w:trPr>
          <w:trHeight w:val="284"/>
          <w:jc w:val="center"/>
        </w:trPr>
        <w:tc>
          <w:tcPr>
            <w:tcW w:w="284" w:type="pct"/>
            <w:vAlign w:val="center"/>
          </w:tcPr>
          <w:p w14:paraId="0098400A" w14:textId="77777777" w:rsidR="002C4F50" w:rsidRPr="00437CA7" w:rsidRDefault="002C4F50" w:rsidP="00AC375F">
            <w:pPr>
              <w:numPr>
                <w:ilvl w:val="0"/>
                <w:numId w:val="56"/>
              </w:numPr>
              <w:jc w:val="center"/>
              <w:rPr>
                <w:rFonts w:cs="Calibri"/>
                <w:sz w:val="20"/>
                <w:szCs w:val="20"/>
              </w:rPr>
            </w:pPr>
          </w:p>
        </w:tc>
        <w:tc>
          <w:tcPr>
            <w:tcW w:w="474" w:type="pct"/>
            <w:vAlign w:val="center"/>
          </w:tcPr>
          <w:p w14:paraId="6BDD6D1D" w14:textId="77777777" w:rsidR="002C4F50" w:rsidRPr="00107FE2" w:rsidRDefault="002C4F50" w:rsidP="00D331BE">
            <w:pPr>
              <w:pStyle w:val="NoSpacing"/>
              <w:rPr>
                <w:rFonts w:cs="Calibri"/>
                <w:sz w:val="18"/>
                <w:szCs w:val="18"/>
              </w:rPr>
            </w:pPr>
            <w:r>
              <w:rPr>
                <w:rFonts w:cs="Calibri"/>
                <w:sz w:val="18"/>
                <w:szCs w:val="18"/>
              </w:rPr>
              <w:t>25.20-23</w:t>
            </w:r>
          </w:p>
        </w:tc>
        <w:tc>
          <w:tcPr>
            <w:tcW w:w="948" w:type="pct"/>
            <w:vAlign w:val="center"/>
          </w:tcPr>
          <w:p w14:paraId="28AFD531" w14:textId="77777777" w:rsidR="002C4F50" w:rsidRPr="00107FE2" w:rsidRDefault="002C4F50" w:rsidP="00D331BE">
            <w:pPr>
              <w:pStyle w:val="NoSpacing"/>
              <w:rPr>
                <w:rFonts w:cs="Calibri"/>
                <w:sz w:val="18"/>
                <w:szCs w:val="18"/>
              </w:rPr>
            </w:pPr>
            <w:r w:rsidRPr="00A52033">
              <w:rPr>
                <w:rFonts w:cs="Calibri"/>
                <w:sz w:val="18"/>
                <w:szCs w:val="18"/>
              </w:rPr>
              <w:t>Nadogradnja sustava za izračun cijene lijekova</w:t>
            </w:r>
          </w:p>
        </w:tc>
        <w:tc>
          <w:tcPr>
            <w:tcW w:w="572" w:type="pct"/>
            <w:vAlign w:val="center"/>
          </w:tcPr>
          <w:p w14:paraId="7C928E24" w14:textId="77777777" w:rsidR="002C4F50" w:rsidRPr="00107FE2" w:rsidRDefault="002C4F50" w:rsidP="00D331BE">
            <w:pPr>
              <w:pStyle w:val="NoSpacing"/>
              <w:rPr>
                <w:rFonts w:cs="Calibri"/>
                <w:sz w:val="18"/>
                <w:szCs w:val="18"/>
              </w:rPr>
            </w:pPr>
            <w:r>
              <w:rPr>
                <w:rFonts w:cs="Calibri"/>
                <w:sz w:val="18"/>
                <w:szCs w:val="18"/>
              </w:rPr>
              <w:t>Otvoreni postupak</w:t>
            </w:r>
          </w:p>
        </w:tc>
        <w:tc>
          <w:tcPr>
            <w:tcW w:w="405" w:type="pct"/>
            <w:vAlign w:val="center"/>
          </w:tcPr>
          <w:p w14:paraId="1D63F703" w14:textId="77777777" w:rsidR="002C4F50" w:rsidRPr="00107FE2" w:rsidRDefault="002C4F50" w:rsidP="00D331BE">
            <w:pPr>
              <w:pStyle w:val="NoSpacing"/>
              <w:rPr>
                <w:rFonts w:cs="Calibri"/>
                <w:sz w:val="18"/>
                <w:szCs w:val="18"/>
              </w:rPr>
            </w:pPr>
            <w:r>
              <w:rPr>
                <w:rFonts w:cs="Calibri"/>
                <w:sz w:val="18"/>
                <w:szCs w:val="18"/>
              </w:rPr>
              <w:t>27.02.2023.</w:t>
            </w:r>
          </w:p>
        </w:tc>
        <w:tc>
          <w:tcPr>
            <w:tcW w:w="442" w:type="pct"/>
            <w:vAlign w:val="center"/>
          </w:tcPr>
          <w:p w14:paraId="1F07F25A" w14:textId="77777777" w:rsidR="002C4F50" w:rsidRPr="007E2B2C" w:rsidRDefault="002C4F50" w:rsidP="00D331BE">
            <w:pPr>
              <w:pStyle w:val="NoSpacing"/>
              <w:jc w:val="right"/>
              <w:rPr>
                <w:rFonts w:cs="Calibri"/>
                <w:sz w:val="18"/>
                <w:szCs w:val="18"/>
              </w:rPr>
            </w:pPr>
            <w:r>
              <w:rPr>
                <w:rFonts w:cs="Calibri"/>
                <w:sz w:val="18"/>
                <w:szCs w:val="18"/>
              </w:rPr>
              <w:t>82.211 eur</w:t>
            </w:r>
          </w:p>
        </w:tc>
        <w:tc>
          <w:tcPr>
            <w:tcW w:w="519" w:type="pct"/>
            <w:vAlign w:val="center"/>
          </w:tcPr>
          <w:p w14:paraId="0EE92C62" w14:textId="77777777" w:rsidR="002C4F50" w:rsidRPr="007E2B2C" w:rsidRDefault="002C4F50" w:rsidP="00D331BE">
            <w:pPr>
              <w:pStyle w:val="NoSpacing"/>
              <w:jc w:val="right"/>
              <w:rPr>
                <w:rFonts w:cs="Calibri"/>
                <w:sz w:val="18"/>
                <w:szCs w:val="18"/>
              </w:rPr>
            </w:pPr>
            <w:r>
              <w:rPr>
                <w:rFonts w:cs="Calibri"/>
                <w:sz w:val="18"/>
                <w:szCs w:val="18"/>
              </w:rPr>
              <w:t>82.211 eur</w:t>
            </w:r>
          </w:p>
        </w:tc>
        <w:tc>
          <w:tcPr>
            <w:tcW w:w="387" w:type="pct"/>
            <w:tcBorders>
              <w:bottom w:val="single" w:sz="4" w:space="0" w:color="auto"/>
            </w:tcBorders>
            <w:vAlign w:val="center"/>
          </w:tcPr>
          <w:p w14:paraId="22585C3B" w14:textId="77777777" w:rsidR="002C4F50" w:rsidRPr="00107FE2" w:rsidRDefault="002C4F50" w:rsidP="00D331BE">
            <w:pPr>
              <w:pStyle w:val="NoSpacing"/>
              <w:rPr>
                <w:rFonts w:cs="Calibri"/>
                <w:sz w:val="18"/>
                <w:szCs w:val="18"/>
              </w:rPr>
            </w:pPr>
            <w:r>
              <w:rPr>
                <w:rFonts w:cs="Calibri"/>
                <w:sz w:val="18"/>
                <w:szCs w:val="18"/>
              </w:rPr>
              <w:t>12 mjeseci</w:t>
            </w:r>
          </w:p>
        </w:tc>
        <w:tc>
          <w:tcPr>
            <w:tcW w:w="387" w:type="pct"/>
            <w:tcBorders>
              <w:bottom w:val="single" w:sz="4" w:space="0" w:color="auto"/>
            </w:tcBorders>
            <w:vAlign w:val="center"/>
          </w:tcPr>
          <w:p w14:paraId="32D718DA" w14:textId="77777777" w:rsidR="002C4F50" w:rsidRPr="00107FE2" w:rsidRDefault="002C4F50" w:rsidP="00D331BE">
            <w:pPr>
              <w:pStyle w:val="NoSpacing"/>
              <w:rPr>
                <w:rFonts w:cs="Calibri"/>
                <w:sz w:val="18"/>
                <w:szCs w:val="18"/>
              </w:rPr>
            </w:pPr>
            <w:r>
              <w:rPr>
                <w:rFonts w:cs="Calibri"/>
                <w:sz w:val="18"/>
                <w:szCs w:val="18"/>
              </w:rPr>
              <w:t>23.02.2024.</w:t>
            </w:r>
          </w:p>
        </w:tc>
        <w:tc>
          <w:tcPr>
            <w:tcW w:w="582" w:type="pct"/>
            <w:tcBorders>
              <w:bottom w:val="single" w:sz="4" w:space="0" w:color="auto"/>
            </w:tcBorders>
          </w:tcPr>
          <w:p w14:paraId="00E13FBC" w14:textId="77777777" w:rsidR="002C4F50" w:rsidRPr="00107FE2" w:rsidRDefault="002C4F50" w:rsidP="00D331BE">
            <w:pPr>
              <w:pStyle w:val="NoSpacing"/>
              <w:rPr>
                <w:rFonts w:cs="Calibri"/>
                <w:sz w:val="18"/>
                <w:szCs w:val="18"/>
              </w:rPr>
            </w:pPr>
            <w:r>
              <w:rPr>
                <w:rFonts w:cs="Calibri"/>
                <w:sz w:val="18"/>
                <w:szCs w:val="18"/>
              </w:rPr>
              <w:t>Span d.d.</w:t>
            </w:r>
          </w:p>
        </w:tc>
      </w:tr>
      <w:tr w:rsidR="002C4F50" w:rsidRPr="00437CA7" w14:paraId="484DA9DF" w14:textId="77777777" w:rsidTr="00DE0B61">
        <w:trPr>
          <w:trHeight w:val="284"/>
          <w:jc w:val="center"/>
        </w:trPr>
        <w:tc>
          <w:tcPr>
            <w:tcW w:w="284" w:type="pct"/>
            <w:vAlign w:val="center"/>
          </w:tcPr>
          <w:p w14:paraId="095B0202" w14:textId="77777777" w:rsidR="002C4F50" w:rsidRPr="00437CA7" w:rsidRDefault="002C4F50" w:rsidP="00AC375F">
            <w:pPr>
              <w:numPr>
                <w:ilvl w:val="0"/>
                <w:numId w:val="56"/>
              </w:numPr>
              <w:jc w:val="center"/>
              <w:rPr>
                <w:rFonts w:cs="Calibri"/>
                <w:sz w:val="20"/>
                <w:szCs w:val="20"/>
              </w:rPr>
            </w:pPr>
          </w:p>
        </w:tc>
        <w:tc>
          <w:tcPr>
            <w:tcW w:w="474" w:type="pct"/>
            <w:vAlign w:val="center"/>
          </w:tcPr>
          <w:p w14:paraId="0368C78B" w14:textId="77777777" w:rsidR="002C4F50" w:rsidRPr="00107FE2" w:rsidRDefault="002C4F50" w:rsidP="00D331BE">
            <w:pPr>
              <w:pStyle w:val="NoSpacing"/>
              <w:rPr>
                <w:rFonts w:cs="Calibri"/>
                <w:sz w:val="18"/>
                <w:szCs w:val="18"/>
              </w:rPr>
            </w:pPr>
            <w:r>
              <w:rPr>
                <w:rFonts w:cs="Calibri"/>
                <w:sz w:val="18"/>
                <w:szCs w:val="18"/>
              </w:rPr>
              <w:t>25.1-23</w:t>
            </w:r>
          </w:p>
        </w:tc>
        <w:tc>
          <w:tcPr>
            <w:tcW w:w="948" w:type="pct"/>
            <w:vAlign w:val="center"/>
          </w:tcPr>
          <w:p w14:paraId="65BBD78A" w14:textId="77777777" w:rsidR="002C4F50" w:rsidRPr="00107FE2" w:rsidRDefault="002C4F50" w:rsidP="00D331BE">
            <w:pPr>
              <w:pStyle w:val="NoSpacing"/>
              <w:rPr>
                <w:rFonts w:cs="Calibri"/>
                <w:sz w:val="18"/>
                <w:szCs w:val="18"/>
              </w:rPr>
            </w:pPr>
            <w:r>
              <w:rPr>
                <w:rFonts w:cs="Calibri"/>
                <w:sz w:val="18"/>
                <w:szCs w:val="18"/>
              </w:rPr>
              <w:t>Licence za korištenje softvera - Microsoft</w:t>
            </w:r>
          </w:p>
        </w:tc>
        <w:tc>
          <w:tcPr>
            <w:tcW w:w="572" w:type="pct"/>
            <w:vAlign w:val="center"/>
          </w:tcPr>
          <w:p w14:paraId="7248C43D" w14:textId="77777777" w:rsidR="002C4F50" w:rsidRPr="00107FE2" w:rsidRDefault="002C4F50" w:rsidP="00D331BE">
            <w:pPr>
              <w:pStyle w:val="NoSpacing"/>
              <w:rPr>
                <w:rFonts w:cs="Calibri"/>
                <w:sz w:val="18"/>
                <w:szCs w:val="18"/>
              </w:rPr>
            </w:pPr>
            <w:r>
              <w:rPr>
                <w:rFonts w:cs="Calibri"/>
                <w:sz w:val="18"/>
                <w:szCs w:val="18"/>
              </w:rPr>
              <w:t>Postupak nabave provodi Središnji državni ured za središnju javnu nabavu. Procijenjena vrijednost je iznos koji ovaj naručitelj planira za predmetnu nabavnu kategoriju</w:t>
            </w:r>
          </w:p>
        </w:tc>
        <w:tc>
          <w:tcPr>
            <w:tcW w:w="405" w:type="pct"/>
            <w:vAlign w:val="center"/>
          </w:tcPr>
          <w:p w14:paraId="6C9D42B5" w14:textId="77777777" w:rsidR="002C4F50" w:rsidRPr="00107FE2" w:rsidRDefault="002C4F50" w:rsidP="00D331BE">
            <w:pPr>
              <w:pStyle w:val="NoSpacing"/>
              <w:rPr>
                <w:rFonts w:cs="Calibri"/>
                <w:sz w:val="18"/>
                <w:szCs w:val="18"/>
              </w:rPr>
            </w:pPr>
            <w:r>
              <w:rPr>
                <w:rFonts w:cs="Calibri"/>
                <w:sz w:val="18"/>
                <w:szCs w:val="18"/>
              </w:rPr>
              <w:t>27.06.2023.</w:t>
            </w:r>
          </w:p>
        </w:tc>
        <w:tc>
          <w:tcPr>
            <w:tcW w:w="442" w:type="pct"/>
            <w:vAlign w:val="center"/>
          </w:tcPr>
          <w:p w14:paraId="6814FEFB" w14:textId="77777777" w:rsidR="002C4F50" w:rsidRPr="007E2B2C" w:rsidRDefault="002C4F50" w:rsidP="00D331BE">
            <w:pPr>
              <w:pStyle w:val="NoSpacing"/>
              <w:jc w:val="right"/>
              <w:rPr>
                <w:rFonts w:cs="Calibri"/>
                <w:sz w:val="18"/>
                <w:szCs w:val="18"/>
              </w:rPr>
            </w:pPr>
            <w:r>
              <w:rPr>
                <w:rFonts w:cs="Calibri"/>
                <w:sz w:val="18"/>
                <w:szCs w:val="18"/>
              </w:rPr>
              <w:t>103.227 eur</w:t>
            </w:r>
          </w:p>
        </w:tc>
        <w:tc>
          <w:tcPr>
            <w:tcW w:w="519" w:type="pct"/>
            <w:vAlign w:val="center"/>
          </w:tcPr>
          <w:p w14:paraId="0886CC50" w14:textId="77777777" w:rsidR="002C4F50" w:rsidRPr="007E2B2C" w:rsidRDefault="002C4F50" w:rsidP="00D331BE">
            <w:pPr>
              <w:pStyle w:val="NoSpacing"/>
              <w:jc w:val="right"/>
              <w:rPr>
                <w:rFonts w:cs="Calibri"/>
                <w:sz w:val="18"/>
                <w:szCs w:val="18"/>
              </w:rPr>
            </w:pPr>
            <w:r>
              <w:rPr>
                <w:rFonts w:cs="Calibri"/>
                <w:sz w:val="18"/>
                <w:szCs w:val="18"/>
              </w:rPr>
              <w:t>103.227 eur</w:t>
            </w:r>
          </w:p>
        </w:tc>
        <w:tc>
          <w:tcPr>
            <w:tcW w:w="387" w:type="pct"/>
            <w:tcBorders>
              <w:bottom w:val="single" w:sz="4" w:space="0" w:color="auto"/>
            </w:tcBorders>
            <w:vAlign w:val="center"/>
          </w:tcPr>
          <w:p w14:paraId="3658C678" w14:textId="77777777" w:rsidR="002C4F50" w:rsidRPr="00107FE2" w:rsidRDefault="002C4F50" w:rsidP="00D331BE">
            <w:pPr>
              <w:pStyle w:val="NoSpacing"/>
              <w:rPr>
                <w:rFonts w:cs="Calibri"/>
                <w:sz w:val="18"/>
                <w:szCs w:val="18"/>
              </w:rPr>
            </w:pPr>
            <w:r>
              <w:rPr>
                <w:rFonts w:cs="Calibri"/>
                <w:sz w:val="18"/>
                <w:szCs w:val="18"/>
              </w:rPr>
              <w:t>12 mjeseci</w:t>
            </w:r>
          </w:p>
        </w:tc>
        <w:tc>
          <w:tcPr>
            <w:tcW w:w="387" w:type="pct"/>
            <w:tcBorders>
              <w:bottom w:val="single" w:sz="4" w:space="0" w:color="auto"/>
            </w:tcBorders>
            <w:vAlign w:val="center"/>
          </w:tcPr>
          <w:p w14:paraId="06C2C649" w14:textId="77777777" w:rsidR="002C4F50" w:rsidRPr="00107FE2" w:rsidRDefault="002C4F50" w:rsidP="00D331BE">
            <w:pPr>
              <w:pStyle w:val="NoSpacing"/>
              <w:rPr>
                <w:rFonts w:cs="Calibri"/>
                <w:sz w:val="18"/>
                <w:szCs w:val="18"/>
              </w:rPr>
            </w:pPr>
            <w:r>
              <w:rPr>
                <w:rFonts w:cs="Calibri"/>
                <w:sz w:val="18"/>
                <w:szCs w:val="18"/>
              </w:rPr>
              <w:t>05.07.2023.</w:t>
            </w:r>
          </w:p>
        </w:tc>
        <w:tc>
          <w:tcPr>
            <w:tcW w:w="582" w:type="pct"/>
            <w:tcBorders>
              <w:bottom w:val="single" w:sz="4" w:space="0" w:color="auto"/>
            </w:tcBorders>
            <w:vAlign w:val="center"/>
          </w:tcPr>
          <w:p w14:paraId="793D8614" w14:textId="77777777" w:rsidR="002C4F50" w:rsidRPr="00107FE2" w:rsidRDefault="002C4F50" w:rsidP="00D331BE">
            <w:pPr>
              <w:pStyle w:val="NoSpacing"/>
              <w:rPr>
                <w:rFonts w:cs="Calibri"/>
                <w:sz w:val="18"/>
                <w:szCs w:val="18"/>
              </w:rPr>
            </w:pPr>
            <w:r>
              <w:rPr>
                <w:rFonts w:cs="Calibri"/>
                <w:sz w:val="18"/>
                <w:szCs w:val="18"/>
              </w:rPr>
              <w:t>Span d.d.</w:t>
            </w:r>
          </w:p>
        </w:tc>
      </w:tr>
      <w:tr w:rsidR="002C4F50" w:rsidRPr="00437CA7" w14:paraId="06D572F1" w14:textId="77777777" w:rsidTr="00DE0B61">
        <w:trPr>
          <w:trHeight w:val="284"/>
          <w:jc w:val="center"/>
        </w:trPr>
        <w:tc>
          <w:tcPr>
            <w:tcW w:w="284" w:type="pct"/>
            <w:vAlign w:val="center"/>
          </w:tcPr>
          <w:p w14:paraId="667AAC8C" w14:textId="77777777" w:rsidR="002C4F50" w:rsidRPr="00437CA7" w:rsidRDefault="002C4F50" w:rsidP="00AC375F">
            <w:pPr>
              <w:numPr>
                <w:ilvl w:val="0"/>
                <w:numId w:val="56"/>
              </w:numPr>
              <w:jc w:val="center"/>
              <w:rPr>
                <w:rFonts w:cs="Calibri"/>
                <w:sz w:val="20"/>
                <w:szCs w:val="20"/>
              </w:rPr>
            </w:pPr>
          </w:p>
        </w:tc>
        <w:tc>
          <w:tcPr>
            <w:tcW w:w="474" w:type="pct"/>
            <w:vAlign w:val="center"/>
          </w:tcPr>
          <w:p w14:paraId="0B3A5D37" w14:textId="77777777" w:rsidR="002C4F50" w:rsidRPr="00AB5350" w:rsidRDefault="002C4F50" w:rsidP="00D331BE">
            <w:pPr>
              <w:pStyle w:val="NoSpacing"/>
              <w:rPr>
                <w:sz w:val="18"/>
                <w:szCs w:val="18"/>
              </w:rPr>
            </w:pPr>
            <w:r>
              <w:rPr>
                <w:sz w:val="18"/>
                <w:szCs w:val="18"/>
              </w:rPr>
              <w:t>25.2-23</w:t>
            </w:r>
          </w:p>
        </w:tc>
        <w:tc>
          <w:tcPr>
            <w:tcW w:w="948" w:type="pct"/>
            <w:vAlign w:val="center"/>
          </w:tcPr>
          <w:p w14:paraId="5916BF1A" w14:textId="77777777" w:rsidR="002C4F50" w:rsidRPr="00AB5350" w:rsidRDefault="002C4F50" w:rsidP="00D331BE">
            <w:pPr>
              <w:pStyle w:val="NoSpacing"/>
              <w:rPr>
                <w:sz w:val="18"/>
                <w:szCs w:val="18"/>
              </w:rPr>
            </w:pPr>
            <w:r>
              <w:rPr>
                <w:sz w:val="18"/>
                <w:szCs w:val="18"/>
              </w:rPr>
              <w:t>Nadogradnja i održavanje financijsko-računovodstvenog sustava (ERP)</w:t>
            </w:r>
          </w:p>
        </w:tc>
        <w:tc>
          <w:tcPr>
            <w:tcW w:w="572" w:type="pct"/>
            <w:vAlign w:val="center"/>
          </w:tcPr>
          <w:p w14:paraId="58AE2428" w14:textId="77777777" w:rsidR="002C4F50" w:rsidRPr="00AB5350" w:rsidRDefault="002C4F50" w:rsidP="00D331BE">
            <w:pPr>
              <w:pStyle w:val="NoSpacing"/>
              <w:rPr>
                <w:sz w:val="18"/>
                <w:szCs w:val="18"/>
              </w:rPr>
            </w:pPr>
            <w:r>
              <w:rPr>
                <w:sz w:val="18"/>
                <w:szCs w:val="18"/>
              </w:rPr>
              <w:t>Pregovarački postupak bez prethodne objave</w:t>
            </w:r>
          </w:p>
        </w:tc>
        <w:tc>
          <w:tcPr>
            <w:tcW w:w="405" w:type="pct"/>
            <w:vAlign w:val="center"/>
          </w:tcPr>
          <w:p w14:paraId="2BADF8F6" w14:textId="77777777" w:rsidR="002C4F50" w:rsidRPr="00AB5350" w:rsidRDefault="002C4F50" w:rsidP="00D331BE">
            <w:pPr>
              <w:pStyle w:val="NoSpacing"/>
              <w:rPr>
                <w:sz w:val="18"/>
                <w:szCs w:val="18"/>
              </w:rPr>
            </w:pPr>
            <w:r>
              <w:rPr>
                <w:sz w:val="18"/>
                <w:szCs w:val="18"/>
              </w:rPr>
              <w:t>11.01.2023.</w:t>
            </w:r>
          </w:p>
        </w:tc>
        <w:tc>
          <w:tcPr>
            <w:tcW w:w="442" w:type="pct"/>
            <w:vAlign w:val="center"/>
          </w:tcPr>
          <w:p w14:paraId="4C34B475" w14:textId="77777777" w:rsidR="002C4F50" w:rsidRPr="00AB5350" w:rsidRDefault="002C4F50" w:rsidP="00D331BE">
            <w:pPr>
              <w:pStyle w:val="NoSpacing"/>
              <w:jc w:val="right"/>
              <w:rPr>
                <w:sz w:val="18"/>
                <w:szCs w:val="18"/>
              </w:rPr>
            </w:pPr>
            <w:r>
              <w:rPr>
                <w:sz w:val="18"/>
                <w:szCs w:val="18"/>
              </w:rPr>
              <w:t>227.493 eur</w:t>
            </w:r>
          </w:p>
        </w:tc>
        <w:tc>
          <w:tcPr>
            <w:tcW w:w="519" w:type="pct"/>
            <w:vAlign w:val="center"/>
          </w:tcPr>
          <w:p w14:paraId="1CFBC419" w14:textId="77777777" w:rsidR="002C4F50" w:rsidRPr="00AB5350" w:rsidRDefault="002C4F50" w:rsidP="00D331BE">
            <w:pPr>
              <w:pStyle w:val="NoSpacing"/>
              <w:jc w:val="right"/>
              <w:rPr>
                <w:sz w:val="18"/>
                <w:szCs w:val="18"/>
              </w:rPr>
            </w:pPr>
            <w:r>
              <w:rPr>
                <w:sz w:val="18"/>
                <w:szCs w:val="18"/>
              </w:rPr>
              <w:t>149.733 eur</w:t>
            </w:r>
          </w:p>
        </w:tc>
        <w:tc>
          <w:tcPr>
            <w:tcW w:w="387" w:type="pct"/>
            <w:tcBorders>
              <w:bottom w:val="single" w:sz="4" w:space="0" w:color="auto"/>
            </w:tcBorders>
            <w:vAlign w:val="center"/>
          </w:tcPr>
          <w:p w14:paraId="019EB386" w14:textId="77777777" w:rsidR="002C4F50" w:rsidRPr="00AB5350" w:rsidRDefault="002C4F50" w:rsidP="00D331BE">
            <w:pPr>
              <w:pStyle w:val="NoSpacing"/>
              <w:rPr>
                <w:sz w:val="18"/>
                <w:szCs w:val="18"/>
              </w:rPr>
            </w:pPr>
            <w:r>
              <w:rPr>
                <w:sz w:val="18"/>
                <w:szCs w:val="18"/>
              </w:rPr>
              <w:t>12 mjeseci</w:t>
            </w:r>
          </w:p>
        </w:tc>
        <w:tc>
          <w:tcPr>
            <w:tcW w:w="387" w:type="pct"/>
            <w:tcBorders>
              <w:bottom w:val="single" w:sz="4" w:space="0" w:color="auto"/>
            </w:tcBorders>
            <w:vAlign w:val="center"/>
          </w:tcPr>
          <w:p w14:paraId="4059D73F" w14:textId="77777777" w:rsidR="002C4F50" w:rsidRPr="00AB5350" w:rsidRDefault="002C4F50" w:rsidP="00D331BE">
            <w:pPr>
              <w:pStyle w:val="NoSpacing"/>
              <w:rPr>
                <w:sz w:val="18"/>
                <w:szCs w:val="18"/>
              </w:rPr>
            </w:pPr>
            <w:r>
              <w:rPr>
                <w:sz w:val="18"/>
                <w:szCs w:val="18"/>
              </w:rPr>
              <w:t>20.01.2024.</w:t>
            </w:r>
          </w:p>
        </w:tc>
        <w:tc>
          <w:tcPr>
            <w:tcW w:w="582" w:type="pct"/>
            <w:tcBorders>
              <w:bottom w:val="single" w:sz="4" w:space="0" w:color="auto"/>
            </w:tcBorders>
            <w:vAlign w:val="center"/>
          </w:tcPr>
          <w:p w14:paraId="51A3753C" w14:textId="77777777" w:rsidR="002C4F50" w:rsidRPr="00AB5350" w:rsidRDefault="002C4F50" w:rsidP="00D331BE">
            <w:pPr>
              <w:pStyle w:val="NoSpacing"/>
              <w:rPr>
                <w:sz w:val="18"/>
                <w:szCs w:val="18"/>
              </w:rPr>
            </w:pPr>
            <w:r>
              <w:rPr>
                <w:sz w:val="18"/>
                <w:szCs w:val="18"/>
              </w:rPr>
              <w:t>Irata d.o.o.</w:t>
            </w:r>
          </w:p>
        </w:tc>
      </w:tr>
      <w:tr w:rsidR="002C4F50" w:rsidRPr="00437CA7" w14:paraId="637ACA45" w14:textId="77777777" w:rsidTr="00DE0B61">
        <w:trPr>
          <w:trHeight w:val="284"/>
          <w:jc w:val="center"/>
        </w:trPr>
        <w:tc>
          <w:tcPr>
            <w:tcW w:w="284" w:type="pct"/>
            <w:vAlign w:val="center"/>
          </w:tcPr>
          <w:p w14:paraId="45A7297E" w14:textId="77777777" w:rsidR="002C4F50" w:rsidRPr="00437CA7" w:rsidRDefault="002C4F50" w:rsidP="00AC375F">
            <w:pPr>
              <w:numPr>
                <w:ilvl w:val="0"/>
                <w:numId w:val="56"/>
              </w:numPr>
              <w:jc w:val="center"/>
              <w:rPr>
                <w:rFonts w:cs="Calibri"/>
                <w:sz w:val="20"/>
                <w:szCs w:val="20"/>
              </w:rPr>
            </w:pPr>
          </w:p>
        </w:tc>
        <w:tc>
          <w:tcPr>
            <w:tcW w:w="474" w:type="pct"/>
            <w:vAlign w:val="center"/>
          </w:tcPr>
          <w:p w14:paraId="38EFAB7A" w14:textId="77777777" w:rsidR="002C4F50" w:rsidRPr="00AB5350" w:rsidRDefault="002C4F50" w:rsidP="00D331BE">
            <w:pPr>
              <w:pStyle w:val="NoSpacing"/>
              <w:rPr>
                <w:sz w:val="18"/>
                <w:szCs w:val="18"/>
              </w:rPr>
            </w:pPr>
            <w:r>
              <w:rPr>
                <w:sz w:val="18"/>
                <w:szCs w:val="18"/>
              </w:rPr>
              <w:t>25.5-23</w:t>
            </w:r>
          </w:p>
        </w:tc>
        <w:tc>
          <w:tcPr>
            <w:tcW w:w="948" w:type="pct"/>
            <w:vAlign w:val="center"/>
          </w:tcPr>
          <w:p w14:paraId="5D9245F4" w14:textId="77777777" w:rsidR="002C4F50" w:rsidRPr="00AB5350" w:rsidRDefault="002C4F50" w:rsidP="00D331BE">
            <w:pPr>
              <w:pStyle w:val="NoSpacing"/>
              <w:rPr>
                <w:sz w:val="18"/>
                <w:szCs w:val="18"/>
              </w:rPr>
            </w:pPr>
            <w:r>
              <w:rPr>
                <w:sz w:val="18"/>
                <w:szCs w:val="18"/>
              </w:rPr>
              <w:t>Nadogradnja i održavanje sustava za nacionalni registar lijekova (NRL), provjeru kakvoće lijeka (PKL) i farmakovigilanciju (PhV)</w:t>
            </w:r>
          </w:p>
        </w:tc>
        <w:tc>
          <w:tcPr>
            <w:tcW w:w="572" w:type="pct"/>
            <w:vAlign w:val="center"/>
          </w:tcPr>
          <w:p w14:paraId="4F928B4A" w14:textId="77777777" w:rsidR="002C4F50" w:rsidRPr="00AB5350" w:rsidRDefault="002C4F50" w:rsidP="00D331BE">
            <w:pPr>
              <w:pStyle w:val="NoSpacing"/>
              <w:rPr>
                <w:sz w:val="18"/>
                <w:szCs w:val="18"/>
              </w:rPr>
            </w:pPr>
            <w:r>
              <w:rPr>
                <w:sz w:val="18"/>
                <w:szCs w:val="18"/>
              </w:rPr>
              <w:t>Otvoreni postupak</w:t>
            </w:r>
          </w:p>
        </w:tc>
        <w:tc>
          <w:tcPr>
            <w:tcW w:w="405" w:type="pct"/>
            <w:vAlign w:val="center"/>
          </w:tcPr>
          <w:p w14:paraId="43F67411" w14:textId="77777777" w:rsidR="002C4F50" w:rsidRPr="00AB5350" w:rsidRDefault="002C4F50" w:rsidP="00D331BE">
            <w:pPr>
              <w:pStyle w:val="NoSpacing"/>
              <w:rPr>
                <w:sz w:val="18"/>
                <w:szCs w:val="18"/>
              </w:rPr>
            </w:pPr>
            <w:r>
              <w:rPr>
                <w:sz w:val="18"/>
                <w:szCs w:val="18"/>
              </w:rPr>
              <w:t>11.07.2023.</w:t>
            </w:r>
          </w:p>
        </w:tc>
        <w:tc>
          <w:tcPr>
            <w:tcW w:w="442" w:type="pct"/>
            <w:vAlign w:val="center"/>
          </w:tcPr>
          <w:p w14:paraId="60CF9660" w14:textId="77777777" w:rsidR="002C4F50" w:rsidRPr="00AB5350" w:rsidRDefault="002C4F50" w:rsidP="00D331BE">
            <w:pPr>
              <w:pStyle w:val="NoSpacing"/>
              <w:jc w:val="right"/>
              <w:rPr>
                <w:sz w:val="18"/>
                <w:szCs w:val="18"/>
              </w:rPr>
            </w:pPr>
            <w:r>
              <w:rPr>
                <w:sz w:val="18"/>
                <w:szCs w:val="18"/>
              </w:rPr>
              <w:t>331.200 eur</w:t>
            </w:r>
          </w:p>
        </w:tc>
        <w:tc>
          <w:tcPr>
            <w:tcW w:w="519" w:type="pct"/>
            <w:vAlign w:val="center"/>
          </w:tcPr>
          <w:p w14:paraId="16C8D7CA" w14:textId="77777777" w:rsidR="002C4F50" w:rsidRPr="00AB5350" w:rsidRDefault="002C4F50" w:rsidP="00D331BE">
            <w:pPr>
              <w:pStyle w:val="NoSpacing"/>
              <w:rPr>
                <w:sz w:val="18"/>
                <w:szCs w:val="18"/>
              </w:rPr>
            </w:pPr>
          </w:p>
        </w:tc>
        <w:tc>
          <w:tcPr>
            <w:tcW w:w="387" w:type="pct"/>
            <w:tcBorders>
              <w:bottom w:val="single" w:sz="4" w:space="0" w:color="auto"/>
            </w:tcBorders>
            <w:vAlign w:val="center"/>
          </w:tcPr>
          <w:p w14:paraId="320B1DFA" w14:textId="77777777" w:rsidR="002C4F50" w:rsidRPr="00AB5350" w:rsidRDefault="002C4F50" w:rsidP="00D331BE">
            <w:pPr>
              <w:pStyle w:val="NoSpacing"/>
              <w:rPr>
                <w:sz w:val="18"/>
                <w:szCs w:val="18"/>
              </w:rPr>
            </w:pPr>
            <w:r>
              <w:rPr>
                <w:sz w:val="18"/>
                <w:szCs w:val="18"/>
              </w:rPr>
              <w:t>12 mjeseci</w:t>
            </w:r>
          </w:p>
        </w:tc>
        <w:tc>
          <w:tcPr>
            <w:tcW w:w="387" w:type="pct"/>
            <w:tcBorders>
              <w:bottom w:val="single" w:sz="4" w:space="0" w:color="auto"/>
            </w:tcBorders>
            <w:vAlign w:val="center"/>
          </w:tcPr>
          <w:p w14:paraId="6F89BF22" w14:textId="77777777" w:rsidR="002C4F50" w:rsidRPr="00AB5350" w:rsidRDefault="002C4F50" w:rsidP="00D331BE">
            <w:pPr>
              <w:pStyle w:val="NoSpacing"/>
              <w:rPr>
                <w:sz w:val="18"/>
                <w:szCs w:val="18"/>
              </w:rPr>
            </w:pPr>
          </w:p>
        </w:tc>
        <w:tc>
          <w:tcPr>
            <w:tcW w:w="582" w:type="pct"/>
            <w:tcBorders>
              <w:bottom w:val="single" w:sz="4" w:space="0" w:color="auto"/>
            </w:tcBorders>
            <w:vAlign w:val="center"/>
          </w:tcPr>
          <w:p w14:paraId="127667DA" w14:textId="77777777" w:rsidR="002C4F50" w:rsidRPr="00AB5350" w:rsidRDefault="002C4F50" w:rsidP="00D331BE">
            <w:pPr>
              <w:pStyle w:val="NoSpacing"/>
              <w:rPr>
                <w:sz w:val="18"/>
                <w:szCs w:val="18"/>
              </w:rPr>
            </w:pPr>
            <w:r>
              <w:rPr>
                <w:sz w:val="18"/>
                <w:szCs w:val="18"/>
              </w:rPr>
              <w:t>Comminus d.o.o.</w:t>
            </w:r>
          </w:p>
        </w:tc>
      </w:tr>
      <w:tr w:rsidR="002C4F50" w:rsidRPr="00437CA7" w14:paraId="11786DB3" w14:textId="77777777" w:rsidTr="00DE0B61">
        <w:trPr>
          <w:trHeight w:val="284"/>
          <w:jc w:val="center"/>
        </w:trPr>
        <w:tc>
          <w:tcPr>
            <w:tcW w:w="284" w:type="pct"/>
            <w:vAlign w:val="center"/>
          </w:tcPr>
          <w:p w14:paraId="78AE9C1E" w14:textId="77777777" w:rsidR="002C4F50" w:rsidRPr="00437CA7" w:rsidRDefault="002C4F50" w:rsidP="00AC375F">
            <w:pPr>
              <w:numPr>
                <w:ilvl w:val="0"/>
                <w:numId w:val="56"/>
              </w:numPr>
              <w:jc w:val="center"/>
              <w:rPr>
                <w:rFonts w:cs="Calibri"/>
                <w:sz w:val="20"/>
                <w:szCs w:val="20"/>
              </w:rPr>
            </w:pPr>
          </w:p>
        </w:tc>
        <w:tc>
          <w:tcPr>
            <w:tcW w:w="474" w:type="pct"/>
            <w:vAlign w:val="center"/>
          </w:tcPr>
          <w:p w14:paraId="5DA8300B" w14:textId="77777777" w:rsidR="002C4F50" w:rsidRPr="00AB5350" w:rsidRDefault="002C4F50" w:rsidP="00D331BE">
            <w:pPr>
              <w:pStyle w:val="NoSpacing"/>
              <w:rPr>
                <w:sz w:val="18"/>
                <w:szCs w:val="18"/>
              </w:rPr>
            </w:pPr>
            <w:r>
              <w:rPr>
                <w:sz w:val="18"/>
                <w:szCs w:val="18"/>
              </w:rPr>
              <w:t>25.6-23</w:t>
            </w:r>
          </w:p>
        </w:tc>
        <w:tc>
          <w:tcPr>
            <w:tcW w:w="948" w:type="pct"/>
            <w:vAlign w:val="center"/>
          </w:tcPr>
          <w:p w14:paraId="18480DA9" w14:textId="77777777" w:rsidR="002C4F50" w:rsidRPr="00AB5350" w:rsidRDefault="002C4F50" w:rsidP="00D331BE">
            <w:pPr>
              <w:pStyle w:val="NoSpacing"/>
              <w:rPr>
                <w:sz w:val="18"/>
                <w:szCs w:val="18"/>
              </w:rPr>
            </w:pPr>
            <w:r>
              <w:rPr>
                <w:sz w:val="18"/>
                <w:szCs w:val="18"/>
              </w:rPr>
              <w:t>Nadogradnja sustava za upravljanje predmetima (Centrix i Pismohrana)</w:t>
            </w:r>
          </w:p>
        </w:tc>
        <w:tc>
          <w:tcPr>
            <w:tcW w:w="572" w:type="pct"/>
            <w:vAlign w:val="center"/>
          </w:tcPr>
          <w:p w14:paraId="1F40C2F2" w14:textId="77777777" w:rsidR="002C4F50" w:rsidRPr="00AB5350" w:rsidRDefault="002C4F50" w:rsidP="00D331BE">
            <w:pPr>
              <w:pStyle w:val="NoSpacing"/>
              <w:rPr>
                <w:sz w:val="18"/>
                <w:szCs w:val="18"/>
              </w:rPr>
            </w:pPr>
            <w:r>
              <w:rPr>
                <w:sz w:val="18"/>
                <w:szCs w:val="18"/>
              </w:rPr>
              <w:t>Pregovarački postupak bez prethodne objave</w:t>
            </w:r>
          </w:p>
        </w:tc>
        <w:tc>
          <w:tcPr>
            <w:tcW w:w="405" w:type="pct"/>
            <w:vAlign w:val="center"/>
          </w:tcPr>
          <w:p w14:paraId="12837A62" w14:textId="77777777" w:rsidR="002C4F50" w:rsidRPr="00AB5350" w:rsidRDefault="002C4F50" w:rsidP="00D331BE">
            <w:pPr>
              <w:pStyle w:val="NoSpacing"/>
              <w:rPr>
                <w:sz w:val="18"/>
                <w:szCs w:val="18"/>
              </w:rPr>
            </w:pPr>
            <w:r>
              <w:rPr>
                <w:sz w:val="18"/>
                <w:szCs w:val="18"/>
              </w:rPr>
              <w:t>14.04.2023.</w:t>
            </w:r>
          </w:p>
        </w:tc>
        <w:tc>
          <w:tcPr>
            <w:tcW w:w="442" w:type="pct"/>
            <w:vAlign w:val="center"/>
          </w:tcPr>
          <w:p w14:paraId="58FACB7B" w14:textId="77777777" w:rsidR="002C4F50" w:rsidRPr="00AB5350" w:rsidRDefault="002C4F50" w:rsidP="00D331BE">
            <w:pPr>
              <w:pStyle w:val="NoSpacing"/>
              <w:jc w:val="right"/>
              <w:rPr>
                <w:sz w:val="18"/>
                <w:szCs w:val="18"/>
              </w:rPr>
            </w:pPr>
            <w:r>
              <w:rPr>
                <w:sz w:val="18"/>
                <w:szCs w:val="18"/>
              </w:rPr>
              <w:t>155.691 eur</w:t>
            </w:r>
          </w:p>
        </w:tc>
        <w:tc>
          <w:tcPr>
            <w:tcW w:w="519" w:type="pct"/>
            <w:vAlign w:val="center"/>
          </w:tcPr>
          <w:p w14:paraId="285D0B45" w14:textId="77777777" w:rsidR="002C4F50" w:rsidRPr="00AB5350" w:rsidRDefault="002C4F50" w:rsidP="00D331BE">
            <w:pPr>
              <w:pStyle w:val="NoSpacing"/>
              <w:jc w:val="right"/>
              <w:rPr>
                <w:sz w:val="18"/>
                <w:szCs w:val="18"/>
              </w:rPr>
            </w:pPr>
            <w:r>
              <w:rPr>
                <w:sz w:val="18"/>
                <w:szCs w:val="18"/>
              </w:rPr>
              <w:t>155.691 eur</w:t>
            </w:r>
          </w:p>
        </w:tc>
        <w:tc>
          <w:tcPr>
            <w:tcW w:w="387" w:type="pct"/>
            <w:tcBorders>
              <w:bottom w:val="single" w:sz="4" w:space="0" w:color="auto"/>
            </w:tcBorders>
            <w:vAlign w:val="center"/>
          </w:tcPr>
          <w:p w14:paraId="14862AE3" w14:textId="77777777" w:rsidR="002C4F50" w:rsidRPr="00AB5350" w:rsidRDefault="002C4F50" w:rsidP="00D331BE">
            <w:pPr>
              <w:pStyle w:val="NoSpacing"/>
              <w:rPr>
                <w:sz w:val="18"/>
                <w:szCs w:val="18"/>
              </w:rPr>
            </w:pPr>
            <w:r>
              <w:rPr>
                <w:sz w:val="18"/>
                <w:szCs w:val="18"/>
              </w:rPr>
              <w:t>12 mjeseci</w:t>
            </w:r>
          </w:p>
        </w:tc>
        <w:tc>
          <w:tcPr>
            <w:tcW w:w="387" w:type="pct"/>
            <w:tcBorders>
              <w:bottom w:val="single" w:sz="4" w:space="0" w:color="auto"/>
            </w:tcBorders>
            <w:vAlign w:val="center"/>
          </w:tcPr>
          <w:p w14:paraId="7A28119D" w14:textId="77777777" w:rsidR="002C4F50" w:rsidRPr="00AB5350" w:rsidRDefault="002C4F50" w:rsidP="00D331BE">
            <w:pPr>
              <w:pStyle w:val="NoSpacing"/>
              <w:rPr>
                <w:sz w:val="18"/>
                <w:szCs w:val="18"/>
              </w:rPr>
            </w:pPr>
            <w:r>
              <w:rPr>
                <w:sz w:val="18"/>
                <w:szCs w:val="18"/>
              </w:rPr>
              <w:t>13.04.2024.</w:t>
            </w:r>
          </w:p>
        </w:tc>
        <w:tc>
          <w:tcPr>
            <w:tcW w:w="582" w:type="pct"/>
            <w:tcBorders>
              <w:bottom w:val="single" w:sz="4" w:space="0" w:color="auto"/>
            </w:tcBorders>
            <w:vAlign w:val="center"/>
          </w:tcPr>
          <w:p w14:paraId="6E38BB5A" w14:textId="77777777" w:rsidR="002C4F50" w:rsidRPr="00AB5350" w:rsidRDefault="002C4F50" w:rsidP="00D331BE">
            <w:pPr>
              <w:pStyle w:val="NoSpacing"/>
              <w:rPr>
                <w:sz w:val="18"/>
                <w:szCs w:val="18"/>
              </w:rPr>
            </w:pPr>
            <w:r w:rsidRPr="008F1DC3">
              <w:rPr>
                <w:sz w:val="18"/>
                <w:szCs w:val="18"/>
              </w:rPr>
              <w:t>Omega software d.o.o.</w:t>
            </w:r>
          </w:p>
        </w:tc>
      </w:tr>
      <w:tr w:rsidR="002C4F50" w:rsidRPr="00437CA7" w14:paraId="3D715932" w14:textId="77777777" w:rsidTr="00DE0B61">
        <w:trPr>
          <w:trHeight w:val="284"/>
          <w:jc w:val="center"/>
        </w:trPr>
        <w:tc>
          <w:tcPr>
            <w:tcW w:w="284" w:type="pct"/>
            <w:vAlign w:val="center"/>
          </w:tcPr>
          <w:p w14:paraId="54152532" w14:textId="77777777" w:rsidR="002C4F50" w:rsidRPr="00437CA7" w:rsidRDefault="002C4F50" w:rsidP="00AC375F">
            <w:pPr>
              <w:numPr>
                <w:ilvl w:val="0"/>
                <w:numId w:val="56"/>
              </w:numPr>
              <w:jc w:val="center"/>
              <w:rPr>
                <w:rFonts w:cs="Calibri"/>
                <w:sz w:val="20"/>
                <w:szCs w:val="20"/>
              </w:rPr>
            </w:pPr>
          </w:p>
        </w:tc>
        <w:tc>
          <w:tcPr>
            <w:tcW w:w="474" w:type="pct"/>
            <w:vAlign w:val="center"/>
          </w:tcPr>
          <w:p w14:paraId="4A40DFB5" w14:textId="77777777" w:rsidR="002C4F50" w:rsidRPr="00AB5350" w:rsidRDefault="002C4F50" w:rsidP="00D331BE">
            <w:pPr>
              <w:pStyle w:val="NoSpacing"/>
              <w:rPr>
                <w:sz w:val="18"/>
                <w:szCs w:val="18"/>
              </w:rPr>
            </w:pPr>
            <w:r>
              <w:rPr>
                <w:sz w:val="18"/>
                <w:szCs w:val="18"/>
              </w:rPr>
              <w:t>25.7-23</w:t>
            </w:r>
          </w:p>
        </w:tc>
        <w:tc>
          <w:tcPr>
            <w:tcW w:w="948" w:type="pct"/>
            <w:vAlign w:val="center"/>
          </w:tcPr>
          <w:p w14:paraId="35D2F5DA" w14:textId="77777777" w:rsidR="002C4F50" w:rsidRPr="00AB5350" w:rsidRDefault="002C4F50" w:rsidP="00D331BE">
            <w:pPr>
              <w:pStyle w:val="NoSpacing"/>
              <w:rPr>
                <w:sz w:val="18"/>
                <w:szCs w:val="18"/>
              </w:rPr>
            </w:pPr>
            <w:r>
              <w:rPr>
                <w:sz w:val="18"/>
                <w:szCs w:val="18"/>
              </w:rPr>
              <w:t>Nadogradnja i održavanje sustava za poslove Odjel za sigurnu primjenu lijekova i medicinskih proizvoda (OLIMP)</w:t>
            </w:r>
          </w:p>
        </w:tc>
        <w:tc>
          <w:tcPr>
            <w:tcW w:w="572" w:type="pct"/>
            <w:vAlign w:val="center"/>
          </w:tcPr>
          <w:p w14:paraId="792E7087" w14:textId="77777777" w:rsidR="002C4F50" w:rsidRPr="00AB5350" w:rsidRDefault="002C4F50" w:rsidP="00D331BE">
            <w:pPr>
              <w:pStyle w:val="NoSpacing"/>
              <w:rPr>
                <w:sz w:val="18"/>
                <w:szCs w:val="18"/>
              </w:rPr>
            </w:pPr>
            <w:r>
              <w:rPr>
                <w:sz w:val="18"/>
                <w:szCs w:val="18"/>
              </w:rPr>
              <w:t>Otvoreni postupak</w:t>
            </w:r>
          </w:p>
        </w:tc>
        <w:tc>
          <w:tcPr>
            <w:tcW w:w="405" w:type="pct"/>
            <w:vAlign w:val="center"/>
          </w:tcPr>
          <w:p w14:paraId="059FDE10" w14:textId="77777777" w:rsidR="002C4F50" w:rsidRPr="00AB5350" w:rsidRDefault="002C4F50" w:rsidP="00D331BE">
            <w:pPr>
              <w:pStyle w:val="NoSpacing"/>
              <w:rPr>
                <w:sz w:val="18"/>
                <w:szCs w:val="18"/>
              </w:rPr>
            </w:pPr>
            <w:r>
              <w:rPr>
                <w:sz w:val="18"/>
                <w:szCs w:val="18"/>
              </w:rPr>
              <w:t>31.01.2023.</w:t>
            </w:r>
          </w:p>
        </w:tc>
        <w:tc>
          <w:tcPr>
            <w:tcW w:w="442" w:type="pct"/>
            <w:vAlign w:val="center"/>
          </w:tcPr>
          <w:p w14:paraId="6116B865" w14:textId="77777777" w:rsidR="002C4F50" w:rsidRPr="00AB5350" w:rsidRDefault="002C4F50" w:rsidP="00D331BE">
            <w:pPr>
              <w:pStyle w:val="NoSpacing"/>
              <w:jc w:val="right"/>
              <w:rPr>
                <w:sz w:val="18"/>
                <w:szCs w:val="18"/>
              </w:rPr>
            </w:pPr>
            <w:r>
              <w:rPr>
                <w:sz w:val="18"/>
                <w:szCs w:val="18"/>
              </w:rPr>
              <w:t>262.495 eur</w:t>
            </w:r>
          </w:p>
        </w:tc>
        <w:tc>
          <w:tcPr>
            <w:tcW w:w="519" w:type="pct"/>
            <w:vAlign w:val="center"/>
          </w:tcPr>
          <w:p w14:paraId="3FACD774" w14:textId="77777777" w:rsidR="002C4F50" w:rsidRPr="00AB5350" w:rsidRDefault="002C4F50" w:rsidP="00D331BE">
            <w:pPr>
              <w:pStyle w:val="NoSpacing"/>
              <w:jc w:val="right"/>
              <w:rPr>
                <w:sz w:val="18"/>
                <w:szCs w:val="18"/>
              </w:rPr>
            </w:pPr>
            <w:r>
              <w:rPr>
                <w:sz w:val="18"/>
                <w:szCs w:val="18"/>
              </w:rPr>
              <w:t>262.495 eur</w:t>
            </w:r>
          </w:p>
        </w:tc>
        <w:tc>
          <w:tcPr>
            <w:tcW w:w="387" w:type="pct"/>
            <w:tcBorders>
              <w:bottom w:val="single" w:sz="4" w:space="0" w:color="auto"/>
            </w:tcBorders>
            <w:vAlign w:val="center"/>
          </w:tcPr>
          <w:p w14:paraId="64D25208" w14:textId="77777777" w:rsidR="002C4F50" w:rsidRPr="00AB5350" w:rsidRDefault="002C4F50" w:rsidP="00D331BE">
            <w:pPr>
              <w:pStyle w:val="NoSpacing"/>
              <w:rPr>
                <w:sz w:val="18"/>
                <w:szCs w:val="18"/>
              </w:rPr>
            </w:pPr>
            <w:r>
              <w:rPr>
                <w:sz w:val="18"/>
                <w:szCs w:val="18"/>
              </w:rPr>
              <w:t>12 mjeseci</w:t>
            </w:r>
          </w:p>
        </w:tc>
        <w:tc>
          <w:tcPr>
            <w:tcW w:w="387" w:type="pct"/>
            <w:tcBorders>
              <w:bottom w:val="single" w:sz="4" w:space="0" w:color="auto"/>
            </w:tcBorders>
            <w:vAlign w:val="center"/>
          </w:tcPr>
          <w:p w14:paraId="73A1F563" w14:textId="77777777" w:rsidR="002C4F50" w:rsidRPr="00AB5350" w:rsidRDefault="002C4F50" w:rsidP="00D331BE">
            <w:pPr>
              <w:pStyle w:val="NoSpacing"/>
              <w:rPr>
                <w:sz w:val="18"/>
                <w:szCs w:val="18"/>
              </w:rPr>
            </w:pPr>
            <w:r>
              <w:rPr>
                <w:sz w:val="18"/>
                <w:szCs w:val="18"/>
              </w:rPr>
              <w:t>31.01.2024.</w:t>
            </w:r>
          </w:p>
        </w:tc>
        <w:tc>
          <w:tcPr>
            <w:tcW w:w="582" w:type="pct"/>
            <w:tcBorders>
              <w:bottom w:val="single" w:sz="4" w:space="0" w:color="auto"/>
            </w:tcBorders>
            <w:vAlign w:val="center"/>
          </w:tcPr>
          <w:p w14:paraId="274FDA2B" w14:textId="77777777" w:rsidR="002C4F50" w:rsidRPr="00AB5350" w:rsidRDefault="002C4F50" w:rsidP="00D331BE">
            <w:pPr>
              <w:pStyle w:val="NoSpacing"/>
              <w:rPr>
                <w:sz w:val="18"/>
                <w:szCs w:val="18"/>
              </w:rPr>
            </w:pPr>
            <w:r>
              <w:rPr>
                <w:sz w:val="18"/>
                <w:szCs w:val="18"/>
              </w:rPr>
              <w:t>Omega software d.o.o.</w:t>
            </w:r>
          </w:p>
        </w:tc>
      </w:tr>
      <w:tr w:rsidR="002C4F50" w:rsidRPr="00437CA7" w14:paraId="6920715D" w14:textId="77777777" w:rsidTr="00DE0B61">
        <w:trPr>
          <w:trHeight w:val="284"/>
          <w:jc w:val="center"/>
        </w:trPr>
        <w:tc>
          <w:tcPr>
            <w:tcW w:w="284" w:type="pct"/>
            <w:vAlign w:val="center"/>
          </w:tcPr>
          <w:p w14:paraId="4077A822" w14:textId="77777777" w:rsidR="002C4F50" w:rsidRPr="00437CA7" w:rsidRDefault="002C4F50" w:rsidP="00AC375F">
            <w:pPr>
              <w:numPr>
                <w:ilvl w:val="0"/>
                <w:numId w:val="56"/>
              </w:numPr>
              <w:jc w:val="center"/>
              <w:rPr>
                <w:rFonts w:cs="Calibri"/>
                <w:sz w:val="20"/>
                <w:szCs w:val="20"/>
              </w:rPr>
            </w:pPr>
          </w:p>
        </w:tc>
        <w:tc>
          <w:tcPr>
            <w:tcW w:w="474" w:type="pct"/>
            <w:vAlign w:val="center"/>
          </w:tcPr>
          <w:p w14:paraId="4979F971" w14:textId="77777777" w:rsidR="002C4F50" w:rsidRPr="00AB5350" w:rsidRDefault="002C4F50" w:rsidP="00D331BE">
            <w:pPr>
              <w:pStyle w:val="NoSpacing"/>
              <w:rPr>
                <w:sz w:val="18"/>
                <w:szCs w:val="18"/>
              </w:rPr>
            </w:pPr>
            <w:r>
              <w:rPr>
                <w:sz w:val="18"/>
                <w:szCs w:val="18"/>
              </w:rPr>
              <w:t>25.10-23</w:t>
            </w:r>
          </w:p>
        </w:tc>
        <w:tc>
          <w:tcPr>
            <w:tcW w:w="948" w:type="pct"/>
            <w:vAlign w:val="center"/>
          </w:tcPr>
          <w:p w14:paraId="67633CC4" w14:textId="77777777" w:rsidR="002C4F50" w:rsidRPr="00AB5350" w:rsidRDefault="002C4F50" w:rsidP="00D331BE">
            <w:pPr>
              <w:pStyle w:val="NoSpacing"/>
              <w:rPr>
                <w:sz w:val="18"/>
                <w:szCs w:val="18"/>
              </w:rPr>
            </w:pPr>
            <w:r>
              <w:rPr>
                <w:sz w:val="18"/>
                <w:szCs w:val="18"/>
              </w:rPr>
              <w:t>Nadogradnja i održavanje Digitalnog arhivskog informacijskog sustava (DAIS)</w:t>
            </w:r>
          </w:p>
        </w:tc>
        <w:tc>
          <w:tcPr>
            <w:tcW w:w="572" w:type="pct"/>
            <w:vAlign w:val="center"/>
          </w:tcPr>
          <w:p w14:paraId="651F0770" w14:textId="77777777" w:rsidR="002C4F50" w:rsidRPr="00AB5350" w:rsidRDefault="002C4F50" w:rsidP="00D331BE">
            <w:pPr>
              <w:pStyle w:val="NoSpacing"/>
              <w:rPr>
                <w:sz w:val="18"/>
                <w:szCs w:val="18"/>
              </w:rPr>
            </w:pPr>
            <w:r>
              <w:rPr>
                <w:sz w:val="18"/>
                <w:szCs w:val="18"/>
              </w:rPr>
              <w:t>Otvoreni postupak</w:t>
            </w:r>
          </w:p>
        </w:tc>
        <w:tc>
          <w:tcPr>
            <w:tcW w:w="405" w:type="pct"/>
            <w:vAlign w:val="center"/>
          </w:tcPr>
          <w:p w14:paraId="726D4487" w14:textId="77777777" w:rsidR="002C4F50" w:rsidRPr="00AB5350" w:rsidRDefault="002C4F50" w:rsidP="00D331BE">
            <w:pPr>
              <w:pStyle w:val="NoSpacing"/>
              <w:rPr>
                <w:sz w:val="18"/>
                <w:szCs w:val="18"/>
              </w:rPr>
            </w:pPr>
            <w:r>
              <w:rPr>
                <w:sz w:val="18"/>
                <w:szCs w:val="18"/>
              </w:rPr>
              <w:t>27.11.2023.</w:t>
            </w:r>
          </w:p>
        </w:tc>
        <w:tc>
          <w:tcPr>
            <w:tcW w:w="442" w:type="pct"/>
            <w:vAlign w:val="center"/>
          </w:tcPr>
          <w:p w14:paraId="64EADE03" w14:textId="77777777" w:rsidR="002C4F50" w:rsidRPr="00AB5350" w:rsidRDefault="002C4F50" w:rsidP="00D331BE">
            <w:pPr>
              <w:pStyle w:val="NoSpacing"/>
              <w:jc w:val="right"/>
              <w:rPr>
                <w:sz w:val="18"/>
                <w:szCs w:val="18"/>
              </w:rPr>
            </w:pPr>
            <w:r>
              <w:rPr>
                <w:sz w:val="18"/>
                <w:szCs w:val="18"/>
              </w:rPr>
              <w:t>187.052 eur</w:t>
            </w:r>
          </w:p>
        </w:tc>
        <w:tc>
          <w:tcPr>
            <w:tcW w:w="519" w:type="pct"/>
            <w:vAlign w:val="center"/>
          </w:tcPr>
          <w:p w14:paraId="2153F361" w14:textId="77777777" w:rsidR="002C4F50" w:rsidRPr="00AB5350" w:rsidRDefault="002C4F50" w:rsidP="00D331BE">
            <w:pPr>
              <w:pStyle w:val="NoSpacing"/>
              <w:jc w:val="right"/>
              <w:rPr>
                <w:sz w:val="18"/>
                <w:szCs w:val="18"/>
              </w:rPr>
            </w:pPr>
          </w:p>
        </w:tc>
        <w:tc>
          <w:tcPr>
            <w:tcW w:w="387" w:type="pct"/>
            <w:tcBorders>
              <w:bottom w:val="single" w:sz="4" w:space="0" w:color="auto"/>
            </w:tcBorders>
            <w:vAlign w:val="center"/>
          </w:tcPr>
          <w:p w14:paraId="2CACA55C" w14:textId="77777777" w:rsidR="002C4F50" w:rsidRPr="00AB5350" w:rsidRDefault="002C4F50" w:rsidP="00D331BE">
            <w:pPr>
              <w:pStyle w:val="NoSpacing"/>
              <w:rPr>
                <w:sz w:val="18"/>
                <w:szCs w:val="18"/>
              </w:rPr>
            </w:pPr>
            <w:r>
              <w:rPr>
                <w:sz w:val="18"/>
                <w:szCs w:val="18"/>
              </w:rPr>
              <w:t>12 mjeseci</w:t>
            </w:r>
          </w:p>
        </w:tc>
        <w:tc>
          <w:tcPr>
            <w:tcW w:w="387" w:type="pct"/>
            <w:tcBorders>
              <w:bottom w:val="single" w:sz="4" w:space="0" w:color="auto"/>
            </w:tcBorders>
            <w:vAlign w:val="center"/>
          </w:tcPr>
          <w:p w14:paraId="76507B15" w14:textId="77777777" w:rsidR="002C4F50" w:rsidRPr="00AB5350" w:rsidRDefault="002C4F50" w:rsidP="00D331BE">
            <w:pPr>
              <w:pStyle w:val="NoSpacing"/>
              <w:rPr>
                <w:sz w:val="18"/>
                <w:szCs w:val="18"/>
              </w:rPr>
            </w:pPr>
          </w:p>
        </w:tc>
        <w:tc>
          <w:tcPr>
            <w:tcW w:w="582" w:type="pct"/>
            <w:tcBorders>
              <w:bottom w:val="single" w:sz="4" w:space="0" w:color="auto"/>
            </w:tcBorders>
            <w:vAlign w:val="center"/>
          </w:tcPr>
          <w:p w14:paraId="088ECB78" w14:textId="77777777" w:rsidR="002C4F50" w:rsidRPr="00AB5350" w:rsidRDefault="002C4F50" w:rsidP="00D331BE">
            <w:pPr>
              <w:pStyle w:val="NoSpacing"/>
              <w:rPr>
                <w:sz w:val="18"/>
                <w:szCs w:val="18"/>
              </w:rPr>
            </w:pPr>
            <w:r>
              <w:rPr>
                <w:sz w:val="18"/>
                <w:szCs w:val="18"/>
              </w:rPr>
              <w:t>Ericsson Nikola Tesla d.d.</w:t>
            </w:r>
          </w:p>
        </w:tc>
      </w:tr>
      <w:tr w:rsidR="002C4F50" w:rsidRPr="00437CA7" w14:paraId="3D0DEBEA" w14:textId="77777777" w:rsidTr="00DE0B61">
        <w:trPr>
          <w:trHeight w:val="284"/>
          <w:jc w:val="center"/>
        </w:trPr>
        <w:tc>
          <w:tcPr>
            <w:tcW w:w="284" w:type="pct"/>
            <w:vAlign w:val="center"/>
          </w:tcPr>
          <w:p w14:paraId="1CA9F486" w14:textId="77777777" w:rsidR="002C4F50" w:rsidRPr="00437CA7" w:rsidRDefault="002C4F50" w:rsidP="00AC375F">
            <w:pPr>
              <w:numPr>
                <w:ilvl w:val="0"/>
                <w:numId w:val="56"/>
              </w:numPr>
              <w:jc w:val="center"/>
              <w:rPr>
                <w:rFonts w:cs="Calibri"/>
                <w:sz w:val="20"/>
                <w:szCs w:val="20"/>
              </w:rPr>
            </w:pPr>
          </w:p>
        </w:tc>
        <w:tc>
          <w:tcPr>
            <w:tcW w:w="474" w:type="pct"/>
            <w:vAlign w:val="center"/>
          </w:tcPr>
          <w:p w14:paraId="3F167632" w14:textId="77777777" w:rsidR="002C4F50" w:rsidRDefault="002C4F50" w:rsidP="00D331BE">
            <w:pPr>
              <w:pStyle w:val="NoSpacing"/>
              <w:rPr>
                <w:sz w:val="18"/>
                <w:szCs w:val="18"/>
              </w:rPr>
            </w:pPr>
            <w:r>
              <w:rPr>
                <w:sz w:val="18"/>
                <w:szCs w:val="18"/>
              </w:rPr>
              <w:t>25.12-23</w:t>
            </w:r>
          </w:p>
        </w:tc>
        <w:tc>
          <w:tcPr>
            <w:tcW w:w="948" w:type="pct"/>
            <w:vAlign w:val="center"/>
          </w:tcPr>
          <w:p w14:paraId="5BC13ADF" w14:textId="77777777" w:rsidR="002C4F50" w:rsidRDefault="002C4F50" w:rsidP="00D331BE">
            <w:pPr>
              <w:pStyle w:val="NoSpacing"/>
              <w:rPr>
                <w:sz w:val="18"/>
                <w:szCs w:val="18"/>
              </w:rPr>
            </w:pPr>
            <w:r>
              <w:rPr>
                <w:sz w:val="18"/>
                <w:szCs w:val="18"/>
              </w:rPr>
              <w:t>Nadogradnja i održavanje sustava za on-line prijavu nuspojava (OPeN)</w:t>
            </w:r>
          </w:p>
        </w:tc>
        <w:tc>
          <w:tcPr>
            <w:tcW w:w="572" w:type="pct"/>
            <w:vAlign w:val="center"/>
          </w:tcPr>
          <w:p w14:paraId="1EFC6DA2" w14:textId="77777777" w:rsidR="002C4F50" w:rsidRDefault="002C4F50" w:rsidP="00D331BE">
            <w:pPr>
              <w:pStyle w:val="NoSpacing"/>
              <w:rPr>
                <w:sz w:val="18"/>
                <w:szCs w:val="18"/>
              </w:rPr>
            </w:pPr>
            <w:r>
              <w:rPr>
                <w:sz w:val="18"/>
                <w:szCs w:val="18"/>
              </w:rPr>
              <w:t>Otvoreni postupak</w:t>
            </w:r>
          </w:p>
        </w:tc>
        <w:tc>
          <w:tcPr>
            <w:tcW w:w="405" w:type="pct"/>
            <w:vAlign w:val="center"/>
          </w:tcPr>
          <w:p w14:paraId="5506938D" w14:textId="77777777" w:rsidR="002C4F50" w:rsidRPr="00AB5350" w:rsidRDefault="002C4F50" w:rsidP="00D331BE">
            <w:pPr>
              <w:pStyle w:val="NoSpacing"/>
              <w:rPr>
                <w:sz w:val="18"/>
                <w:szCs w:val="18"/>
              </w:rPr>
            </w:pPr>
            <w:r>
              <w:rPr>
                <w:sz w:val="18"/>
                <w:szCs w:val="18"/>
              </w:rPr>
              <w:t>07.07.2023.</w:t>
            </w:r>
          </w:p>
        </w:tc>
        <w:tc>
          <w:tcPr>
            <w:tcW w:w="442" w:type="pct"/>
            <w:vAlign w:val="center"/>
          </w:tcPr>
          <w:p w14:paraId="78576ECC" w14:textId="77777777" w:rsidR="002C4F50" w:rsidRPr="00AB5350" w:rsidRDefault="002C4F50" w:rsidP="00D331BE">
            <w:pPr>
              <w:pStyle w:val="NoSpacing"/>
              <w:jc w:val="right"/>
              <w:rPr>
                <w:sz w:val="18"/>
                <w:szCs w:val="18"/>
              </w:rPr>
            </w:pPr>
            <w:r>
              <w:rPr>
                <w:sz w:val="18"/>
                <w:szCs w:val="18"/>
              </w:rPr>
              <w:t>124.500 eur</w:t>
            </w:r>
          </w:p>
        </w:tc>
        <w:tc>
          <w:tcPr>
            <w:tcW w:w="519" w:type="pct"/>
            <w:vAlign w:val="center"/>
          </w:tcPr>
          <w:p w14:paraId="4D427B80" w14:textId="77777777" w:rsidR="002C4F50" w:rsidRPr="00AB5350" w:rsidRDefault="002C4F50" w:rsidP="00D331BE">
            <w:pPr>
              <w:pStyle w:val="NoSpacing"/>
              <w:jc w:val="right"/>
              <w:rPr>
                <w:sz w:val="18"/>
                <w:szCs w:val="18"/>
              </w:rPr>
            </w:pPr>
          </w:p>
        </w:tc>
        <w:tc>
          <w:tcPr>
            <w:tcW w:w="387" w:type="pct"/>
            <w:tcBorders>
              <w:bottom w:val="single" w:sz="4" w:space="0" w:color="auto"/>
            </w:tcBorders>
            <w:vAlign w:val="center"/>
          </w:tcPr>
          <w:p w14:paraId="0A88ACDA" w14:textId="77777777" w:rsidR="002C4F50" w:rsidRPr="00AB5350" w:rsidRDefault="002C4F50" w:rsidP="00D331BE">
            <w:pPr>
              <w:pStyle w:val="NoSpacing"/>
              <w:rPr>
                <w:sz w:val="18"/>
                <w:szCs w:val="18"/>
              </w:rPr>
            </w:pPr>
            <w:r>
              <w:rPr>
                <w:sz w:val="18"/>
                <w:szCs w:val="18"/>
              </w:rPr>
              <w:t>12 mjeseci</w:t>
            </w:r>
          </w:p>
        </w:tc>
        <w:tc>
          <w:tcPr>
            <w:tcW w:w="387" w:type="pct"/>
            <w:tcBorders>
              <w:bottom w:val="single" w:sz="4" w:space="0" w:color="auto"/>
            </w:tcBorders>
            <w:vAlign w:val="center"/>
          </w:tcPr>
          <w:p w14:paraId="385BE862" w14:textId="77777777" w:rsidR="002C4F50" w:rsidRPr="00AB5350" w:rsidRDefault="002C4F50" w:rsidP="00D331BE">
            <w:pPr>
              <w:pStyle w:val="NoSpacing"/>
              <w:rPr>
                <w:sz w:val="18"/>
                <w:szCs w:val="18"/>
              </w:rPr>
            </w:pPr>
          </w:p>
        </w:tc>
        <w:tc>
          <w:tcPr>
            <w:tcW w:w="582" w:type="pct"/>
            <w:tcBorders>
              <w:bottom w:val="single" w:sz="4" w:space="0" w:color="auto"/>
            </w:tcBorders>
            <w:vAlign w:val="center"/>
          </w:tcPr>
          <w:p w14:paraId="38EED27E" w14:textId="77777777" w:rsidR="002C4F50" w:rsidRPr="00AB5350" w:rsidRDefault="002C4F50" w:rsidP="00D331BE">
            <w:pPr>
              <w:pStyle w:val="NoSpacing"/>
              <w:rPr>
                <w:sz w:val="18"/>
                <w:szCs w:val="18"/>
              </w:rPr>
            </w:pPr>
            <w:r>
              <w:rPr>
                <w:sz w:val="18"/>
                <w:szCs w:val="18"/>
              </w:rPr>
              <w:t>Span d.d.</w:t>
            </w:r>
          </w:p>
        </w:tc>
      </w:tr>
      <w:tr w:rsidR="002C4F50" w:rsidRPr="00437CA7" w14:paraId="4D450920" w14:textId="77777777" w:rsidTr="00DE0B61">
        <w:trPr>
          <w:trHeight w:val="284"/>
          <w:jc w:val="center"/>
        </w:trPr>
        <w:tc>
          <w:tcPr>
            <w:tcW w:w="284" w:type="pct"/>
            <w:vAlign w:val="center"/>
          </w:tcPr>
          <w:p w14:paraId="5A203611" w14:textId="77777777" w:rsidR="002C4F50" w:rsidRPr="00437CA7" w:rsidRDefault="002C4F50" w:rsidP="00AC375F">
            <w:pPr>
              <w:numPr>
                <w:ilvl w:val="0"/>
                <w:numId w:val="56"/>
              </w:numPr>
              <w:jc w:val="center"/>
              <w:rPr>
                <w:rFonts w:cs="Calibri"/>
                <w:sz w:val="20"/>
                <w:szCs w:val="20"/>
              </w:rPr>
            </w:pPr>
          </w:p>
        </w:tc>
        <w:tc>
          <w:tcPr>
            <w:tcW w:w="474" w:type="pct"/>
            <w:vAlign w:val="center"/>
          </w:tcPr>
          <w:p w14:paraId="20C6FDA6" w14:textId="77777777" w:rsidR="002C4F50" w:rsidRDefault="002C4F50" w:rsidP="00D331BE">
            <w:pPr>
              <w:pStyle w:val="NoSpacing"/>
              <w:rPr>
                <w:sz w:val="18"/>
                <w:szCs w:val="18"/>
              </w:rPr>
            </w:pPr>
            <w:r>
              <w:rPr>
                <w:sz w:val="18"/>
                <w:szCs w:val="18"/>
              </w:rPr>
              <w:t>25.16-23</w:t>
            </w:r>
          </w:p>
        </w:tc>
        <w:tc>
          <w:tcPr>
            <w:tcW w:w="948" w:type="pct"/>
            <w:vAlign w:val="center"/>
          </w:tcPr>
          <w:p w14:paraId="0CFD8A1F" w14:textId="77777777" w:rsidR="002C4F50" w:rsidRDefault="002C4F50" w:rsidP="00D331BE">
            <w:pPr>
              <w:pStyle w:val="NoSpacing"/>
              <w:rPr>
                <w:sz w:val="18"/>
                <w:szCs w:val="18"/>
              </w:rPr>
            </w:pPr>
            <w:r w:rsidRPr="00AB72F1">
              <w:rPr>
                <w:sz w:val="18"/>
                <w:szCs w:val="18"/>
              </w:rPr>
              <w:t>Endpoint Security Appliance</w:t>
            </w:r>
          </w:p>
        </w:tc>
        <w:tc>
          <w:tcPr>
            <w:tcW w:w="572" w:type="pct"/>
            <w:vAlign w:val="center"/>
          </w:tcPr>
          <w:p w14:paraId="75A87F4E" w14:textId="77777777" w:rsidR="002C4F50" w:rsidRDefault="002C4F50" w:rsidP="00D331BE">
            <w:pPr>
              <w:pStyle w:val="NoSpacing"/>
              <w:rPr>
                <w:sz w:val="18"/>
                <w:szCs w:val="18"/>
              </w:rPr>
            </w:pPr>
            <w:r>
              <w:rPr>
                <w:sz w:val="18"/>
                <w:szCs w:val="18"/>
              </w:rPr>
              <w:t>Otvoreni postupak</w:t>
            </w:r>
          </w:p>
        </w:tc>
        <w:tc>
          <w:tcPr>
            <w:tcW w:w="405" w:type="pct"/>
            <w:vAlign w:val="center"/>
          </w:tcPr>
          <w:p w14:paraId="5C28CE71" w14:textId="77777777" w:rsidR="002C4F50" w:rsidRDefault="002C4F50" w:rsidP="00D331BE">
            <w:pPr>
              <w:pStyle w:val="NoSpacing"/>
              <w:rPr>
                <w:sz w:val="18"/>
                <w:szCs w:val="18"/>
              </w:rPr>
            </w:pPr>
            <w:r>
              <w:rPr>
                <w:sz w:val="18"/>
                <w:szCs w:val="18"/>
              </w:rPr>
              <w:t>10.03.2023.</w:t>
            </w:r>
          </w:p>
        </w:tc>
        <w:tc>
          <w:tcPr>
            <w:tcW w:w="442" w:type="pct"/>
            <w:vAlign w:val="center"/>
          </w:tcPr>
          <w:p w14:paraId="2484AFAD" w14:textId="77777777" w:rsidR="002C4F50" w:rsidRDefault="002C4F50" w:rsidP="00D331BE">
            <w:pPr>
              <w:pStyle w:val="NoSpacing"/>
              <w:jc w:val="right"/>
              <w:rPr>
                <w:sz w:val="18"/>
                <w:szCs w:val="18"/>
              </w:rPr>
            </w:pPr>
            <w:r>
              <w:rPr>
                <w:sz w:val="18"/>
                <w:szCs w:val="18"/>
              </w:rPr>
              <w:t>69.998 eur</w:t>
            </w:r>
          </w:p>
        </w:tc>
        <w:tc>
          <w:tcPr>
            <w:tcW w:w="519" w:type="pct"/>
            <w:vAlign w:val="center"/>
          </w:tcPr>
          <w:p w14:paraId="11544589" w14:textId="77777777" w:rsidR="002C4F50" w:rsidRPr="00AB5350" w:rsidRDefault="002C4F50" w:rsidP="00D331BE">
            <w:pPr>
              <w:pStyle w:val="NoSpacing"/>
              <w:jc w:val="right"/>
              <w:rPr>
                <w:sz w:val="18"/>
                <w:szCs w:val="18"/>
              </w:rPr>
            </w:pPr>
            <w:r>
              <w:rPr>
                <w:sz w:val="18"/>
                <w:szCs w:val="18"/>
              </w:rPr>
              <w:t>69.998 eur</w:t>
            </w:r>
          </w:p>
        </w:tc>
        <w:tc>
          <w:tcPr>
            <w:tcW w:w="387" w:type="pct"/>
            <w:tcBorders>
              <w:bottom w:val="single" w:sz="4" w:space="0" w:color="auto"/>
            </w:tcBorders>
            <w:vAlign w:val="center"/>
          </w:tcPr>
          <w:p w14:paraId="68FC4965" w14:textId="77777777" w:rsidR="002C4F50" w:rsidRDefault="002C4F50" w:rsidP="00D331BE">
            <w:pPr>
              <w:pStyle w:val="NoSpacing"/>
              <w:rPr>
                <w:sz w:val="18"/>
                <w:szCs w:val="18"/>
              </w:rPr>
            </w:pPr>
            <w:r>
              <w:rPr>
                <w:sz w:val="18"/>
                <w:szCs w:val="18"/>
              </w:rPr>
              <w:t>12 mjeseci</w:t>
            </w:r>
          </w:p>
        </w:tc>
        <w:tc>
          <w:tcPr>
            <w:tcW w:w="387" w:type="pct"/>
            <w:tcBorders>
              <w:bottom w:val="single" w:sz="4" w:space="0" w:color="auto"/>
            </w:tcBorders>
            <w:vAlign w:val="center"/>
          </w:tcPr>
          <w:p w14:paraId="3198A379" w14:textId="77777777" w:rsidR="002C4F50" w:rsidRPr="00AB5350" w:rsidRDefault="002C4F50" w:rsidP="00D331BE">
            <w:pPr>
              <w:pStyle w:val="NoSpacing"/>
              <w:rPr>
                <w:sz w:val="18"/>
                <w:szCs w:val="18"/>
              </w:rPr>
            </w:pPr>
            <w:r>
              <w:rPr>
                <w:sz w:val="18"/>
                <w:szCs w:val="18"/>
              </w:rPr>
              <w:t>09.03.2024.</w:t>
            </w:r>
          </w:p>
        </w:tc>
        <w:tc>
          <w:tcPr>
            <w:tcW w:w="582" w:type="pct"/>
            <w:tcBorders>
              <w:bottom w:val="single" w:sz="4" w:space="0" w:color="auto"/>
            </w:tcBorders>
            <w:vAlign w:val="center"/>
          </w:tcPr>
          <w:p w14:paraId="47C4357E" w14:textId="77777777" w:rsidR="002C4F50" w:rsidRDefault="002C4F50" w:rsidP="00D331BE">
            <w:pPr>
              <w:pStyle w:val="NoSpacing"/>
              <w:rPr>
                <w:sz w:val="18"/>
                <w:szCs w:val="18"/>
              </w:rPr>
            </w:pPr>
            <w:r>
              <w:rPr>
                <w:sz w:val="18"/>
                <w:szCs w:val="18"/>
              </w:rPr>
              <w:t>Combis d.o.o.</w:t>
            </w:r>
          </w:p>
        </w:tc>
      </w:tr>
      <w:tr w:rsidR="002C4F50" w:rsidRPr="00437CA7" w14:paraId="37495935" w14:textId="77777777" w:rsidTr="00DE0B61">
        <w:trPr>
          <w:trHeight w:val="284"/>
          <w:jc w:val="center"/>
        </w:trPr>
        <w:tc>
          <w:tcPr>
            <w:tcW w:w="284" w:type="pct"/>
            <w:vAlign w:val="center"/>
          </w:tcPr>
          <w:p w14:paraId="6C7BEF1B" w14:textId="77777777" w:rsidR="002C4F50" w:rsidRPr="00437CA7" w:rsidRDefault="002C4F50" w:rsidP="00AC375F">
            <w:pPr>
              <w:numPr>
                <w:ilvl w:val="0"/>
                <w:numId w:val="56"/>
              </w:numPr>
              <w:jc w:val="center"/>
              <w:rPr>
                <w:rFonts w:cs="Calibri"/>
                <w:sz w:val="20"/>
                <w:szCs w:val="20"/>
              </w:rPr>
            </w:pPr>
          </w:p>
        </w:tc>
        <w:tc>
          <w:tcPr>
            <w:tcW w:w="474" w:type="pct"/>
            <w:vAlign w:val="center"/>
          </w:tcPr>
          <w:p w14:paraId="6990E0E2" w14:textId="77777777" w:rsidR="002C4F50" w:rsidRDefault="002C4F50" w:rsidP="00D331BE">
            <w:pPr>
              <w:pStyle w:val="NoSpacing"/>
              <w:rPr>
                <w:sz w:val="18"/>
                <w:szCs w:val="18"/>
              </w:rPr>
            </w:pPr>
            <w:r>
              <w:rPr>
                <w:sz w:val="18"/>
                <w:szCs w:val="18"/>
              </w:rPr>
              <w:t>25.23-23</w:t>
            </w:r>
          </w:p>
        </w:tc>
        <w:tc>
          <w:tcPr>
            <w:tcW w:w="948" w:type="pct"/>
            <w:vAlign w:val="center"/>
          </w:tcPr>
          <w:p w14:paraId="76102487" w14:textId="77777777" w:rsidR="002C4F50" w:rsidRPr="00AB72F1" w:rsidRDefault="002C4F50" w:rsidP="00D331BE">
            <w:pPr>
              <w:pStyle w:val="NoSpacing"/>
              <w:rPr>
                <w:sz w:val="18"/>
                <w:szCs w:val="18"/>
              </w:rPr>
            </w:pPr>
            <w:r w:rsidRPr="00095D80">
              <w:rPr>
                <w:sz w:val="18"/>
                <w:szCs w:val="18"/>
              </w:rPr>
              <w:t>Nadogradnja Vmware licenci</w:t>
            </w:r>
          </w:p>
        </w:tc>
        <w:tc>
          <w:tcPr>
            <w:tcW w:w="572" w:type="pct"/>
            <w:vAlign w:val="center"/>
          </w:tcPr>
          <w:p w14:paraId="6456347E" w14:textId="77777777" w:rsidR="002C4F50" w:rsidRDefault="002C4F50" w:rsidP="00D331BE">
            <w:pPr>
              <w:pStyle w:val="NoSpacing"/>
              <w:rPr>
                <w:sz w:val="18"/>
                <w:szCs w:val="18"/>
              </w:rPr>
            </w:pPr>
            <w:r>
              <w:rPr>
                <w:sz w:val="18"/>
                <w:szCs w:val="18"/>
              </w:rPr>
              <w:t>Otvoreni postupak</w:t>
            </w:r>
          </w:p>
        </w:tc>
        <w:tc>
          <w:tcPr>
            <w:tcW w:w="405" w:type="pct"/>
            <w:vAlign w:val="center"/>
          </w:tcPr>
          <w:p w14:paraId="5A28C3E0" w14:textId="77777777" w:rsidR="002C4F50" w:rsidRDefault="002C4F50" w:rsidP="00D331BE">
            <w:pPr>
              <w:pStyle w:val="NoSpacing"/>
              <w:rPr>
                <w:sz w:val="18"/>
                <w:szCs w:val="18"/>
              </w:rPr>
            </w:pPr>
            <w:r>
              <w:rPr>
                <w:sz w:val="18"/>
                <w:szCs w:val="18"/>
              </w:rPr>
              <w:t>15.09.2023.</w:t>
            </w:r>
          </w:p>
        </w:tc>
        <w:tc>
          <w:tcPr>
            <w:tcW w:w="442" w:type="pct"/>
            <w:vAlign w:val="center"/>
          </w:tcPr>
          <w:p w14:paraId="68EF5D1C" w14:textId="77777777" w:rsidR="002C4F50" w:rsidRDefault="002C4F50" w:rsidP="00D331BE">
            <w:pPr>
              <w:pStyle w:val="NoSpacing"/>
              <w:jc w:val="right"/>
              <w:rPr>
                <w:sz w:val="18"/>
                <w:szCs w:val="18"/>
              </w:rPr>
            </w:pPr>
            <w:r>
              <w:rPr>
                <w:sz w:val="18"/>
                <w:szCs w:val="18"/>
              </w:rPr>
              <w:t>334.977 eur</w:t>
            </w:r>
          </w:p>
        </w:tc>
        <w:tc>
          <w:tcPr>
            <w:tcW w:w="519" w:type="pct"/>
            <w:vAlign w:val="center"/>
          </w:tcPr>
          <w:p w14:paraId="41D3FB39" w14:textId="77777777" w:rsidR="002C4F50" w:rsidRDefault="002C4F50" w:rsidP="00D331BE">
            <w:pPr>
              <w:pStyle w:val="NoSpacing"/>
              <w:jc w:val="right"/>
              <w:rPr>
                <w:sz w:val="18"/>
                <w:szCs w:val="18"/>
              </w:rPr>
            </w:pPr>
          </w:p>
        </w:tc>
        <w:tc>
          <w:tcPr>
            <w:tcW w:w="387" w:type="pct"/>
            <w:tcBorders>
              <w:bottom w:val="single" w:sz="4" w:space="0" w:color="auto"/>
            </w:tcBorders>
            <w:vAlign w:val="center"/>
          </w:tcPr>
          <w:p w14:paraId="7C59A3CD" w14:textId="77777777" w:rsidR="002C4F50" w:rsidRDefault="002C4F50" w:rsidP="00D331BE">
            <w:pPr>
              <w:pStyle w:val="NoSpacing"/>
              <w:rPr>
                <w:sz w:val="18"/>
                <w:szCs w:val="18"/>
              </w:rPr>
            </w:pPr>
            <w:r>
              <w:rPr>
                <w:sz w:val="18"/>
                <w:szCs w:val="18"/>
              </w:rPr>
              <w:t>12 mjeseci</w:t>
            </w:r>
          </w:p>
        </w:tc>
        <w:tc>
          <w:tcPr>
            <w:tcW w:w="387" w:type="pct"/>
            <w:tcBorders>
              <w:bottom w:val="single" w:sz="4" w:space="0" w:color="auto"/>
            </w:tcBorders>
            <w:vAlign w:val="center"/>
          </w:tcPr>
          <w:p w14:paraId="15EDF778" w14:textId="77777777" w:rsidR="002C4F50" w:rsidRDefault="002C4F50" w:rsidP="00D331BE">
            <w:pPr>
              <w:pStyle w:val="NoSpacing"/>
              <w:rPr>
                <w:sz w:val="18"/>
                <w:szCs w:val="18"/>
              </w:rPr>
            </w:pPr>
          </w:p>
        </w:tc>
        <w:tc>
          <w:tcPr>
            <w:tcW w:w="582" w:type="pct"/>
            <w:tcBorders>
              <w:bottom w:val="single" w:sz="4" w:space="0" w:color="auto"/>
            </w:tcBorders>
            <w:vAlign w:val="center"/>
          </w:tcPr>
          <w:p w14:paraId="653B8425" w14:textId="77777777" w:rsidR="002C4F50" w:rsidRDefault="002C4F50" w:rsidP="00D331BE">
            <w:pPr>
              <w:pStyle w:val="NoSpacing"/>
              <w:rPr>
                <w:sz w:val="18"/>
                <w:szCs w:val="18"/>
              </w:rPr>
            </w:pPr>
            <w:r>
              <w:rPr>
                <w:sz w:val="18"/>
                <w:szCs w:val="18"/>
              </w:rPr>
              <w:t>Combis d.o.o.</w:t>
            </w:r>
          </w:p>
        </w:tc>
      </w:tr>
      <w:tr w:rsidR="002C4F50" w:rsidRPr="00437CA7" w14:paraId="0B62AE5E" w14:textId="77777777" w:rsidTr="00DE0B61">
        <w:trPr>
          <w:trHeight w:val="284"/>
          <w:jc w:val="center"/>
        </w:trPr>
        <w:tc>
          <w:tcPr>
            <w:tcW w:w="284" w:type="pct"/>
            <w:vAlign w:val="center"/>
          </w:tcPr>
          <w:p w14:paraId="13F010F6" w14:textId="77777777" w:rsidR="002C4F50" w:rsidRPr="00437CA7" w:rsidRDefault="002C4F50" w:rsidP="00AC375F">
            <w:pPr>
              <w:numPr>
                <w:ilvl w:val="0"/>
                <w:numId w:val="56"/>
              </w:numPr>
              <w:jc w:val="center"/>
              <w:rPr>
                <w:rFonts w:cs="Calibri"/>
                <w:sz w:val="20"/>
                <w:szCs w:val="20"/>
              </w:rPr>
            </w:pPr>
          </w:p>
        </w:tc>
        <w:tc>
          <w:tcPr>
            <w:tcW w:w="474" w:type="pct"/>
            <w:vAlign w:val="center"/>
          </w:tcPr>
          <w:p w14:paraId="7BC76483" w14:textId="77777777" w:rsidR="002C4F50" w:rsidRDefault="002C4F50" w:rsidP="00D331BE">
            <w:pPr>
              <w:pStyle w:val="NoSpacing"/>
              <w:rPr>
                <w:sz w:val="18"/>
                <w:szCs w:val="18"/>
              </w:rPr>
            </w:pPr>
            <w:r>
              <w:rPr>
                <w:sz w:val="18"/>
                <w:szCs w:val="18"/>
              </w:rPr>
              <w:t>26.33-23</w:t>
            </w:r>
          </w:p>
        </w:tc>
        <w:tc>
          <w:tcPr>
            <w:tcW w:w="948" w:type="pct"/>
            <w:vAlign w:val="center"/>
          </w:tcPr>
          <w:p w14:paraId="2B67E9CE" w14:textId="77777777" w:rsidR="002C4F50" w:rsidRPr="00095D80" w:rsidRDefault="002C4F50" w:rsidP="00D331BE">
            <w:pPr>
              <w:pStyle w:val="NoSpacing"/>
              <w:rPr>
                <w:sz w:val="18"/>
                <w:szCs w:val="18"/>
              </w:rPr>
            </w:pPr>
            <w:r w:rsidRPr="00B64884">
              <w:rPr>
                <w:sz w:val="18"/>
                <w:szCs w:val="18"/>
              </w:rPr>
              <w:t>Obnova i nadogradnja Veeam licenci</w:t>
            </w:r>
          </w:p>
        </w:tc>
        <w:tc>
          <w:tcPr>
            <w:tcW w:w="572" w:type="pct"/>
            <w:vAlign w:val="center"/>
          </w:tcPr>
          <w:p w14:paraId="4C81532F" w14:textId="77777777" w:rsidR="002C4F50" w:rsidRDefault="002C4F50" w:rsidP="00D331BE">
            <w:pPr>
              <w:pStyle w:val="NoSpacing"/>
              <w:rPr>
                <w:sz w:val="18"/>
                <w:szCs w:val="18"/>
              </w:rPr>
            </w:pPr>
            <w:r>
              <w:rPr>
                <w:sz w:val="18"/>
                <w:szCs w:val="18"/>
              </w:rPr>
              <w:t>Otvoreni postupak</w:t>
            </w:r>
          </w:p>
        </w:tc>
        <w:tc>
          <w:tcPr>
            <w:tcW w:w="405" w:type="pct"/>
            <w:vAlign w:val="center"/>
          </w:tcPr>
          <w:p w14:paraId="186119A1" w14:textId="77777777" w:rsidR="002C4F50" w:rsidRDefault="002C4F50" w:rsidP="00D331BE">
            <w:pPr>
              <w:pStyle w:val="NoSpacing"/>
              <w:rPr>
                <w:sz w:val="18"/>
                <w:szCs w:val="18"/>
              </w:rPr>
            </w:pPr>
            <w:r>
              <w:rPr>
                <w:sz w:val="18"/>
                <w:szCs w:val="18"/>
              </w:rPr>
              <w:t>06.11.2023.</w:t>
            </w:r>
          </w:p>
        </w:tc>
        <w:tc>
          <w:tcPr>
            <w:tcW w:w="442" w:type="pct"/>
            <w:vAlign w:val="center"/>
          </w:tcPr>
          <w:p w14:paraId="6020EA03" w14:textId="77777777" w:rsidR="002C4F50" w:rsidRDefault="002C4F50" w:rsidP="00D331BE">
            <w:pPr>
              <w:pStyle w:val="NoSpacing"/>
              <w:jc w:val="right"/>
              <w:rPr>
                <w:sz w:val="18"/>
                <w:szCs w:val="18"/>
              </w:rPr>
            </w:pPr>
            <w:r>
              <w:rPr>
                <w:sz w:val="18"/>
                <w:szCs w:val="18"/>
              </w:rPr>
              <w:t>35.315 eur</w:t>
            </w:r>
          </w:p>
        </w:tc>
        <w:tc>
          <w:tcPr>
            <w:tcW w:w="519" w:type="pct"/>
            <w:vAlign w:val="center"/>
          </w:tcPr>
          <w:p w14:paraId="69BE5B97" w14:textId="77777777" w:rsidR="002C4F50" w:rsidRDefault="002C4F50" w:rsidP="00D331BE">
            <w:pPr>
              <w:pStyle w:val="NoSpacing"/>
              <w:jc w:val="right"/>
              <w:rPr>
                <w:sz w:val="18"/>
                <w:szCs w:val="18"/>
              </w:rPr>
            </w:pPr>
          </w:p>
        </w:tc>
        <w:tc>
          <w:tcPr>
            <w:tcW w:w="387" w:type="pct"/>
            <w:tcBorders>
              <w:bottom w:val="single" w:sz="4" w:space="0" w:color="auto"/>
            </w:tcBorders>
            <w:vAlign w:val="center"/>
          </w:tcPr>
          <w:p w14:paraId="46CC9C47" w14:textId="77777777" w:rsidR="002C4F50" w:rsidRDefault="002C4F50" w:rsidP="00D331BE">
            <w:pPr>
              <w:pStyle w:val="NoSpacing"/>
              <w:rPr>
                <w:sz w:val="18"/>
                <w:szCs w:val="18"/>
              </w:rPr>
            </w:pPr>
            <w:r>
              <w:rPr>
                <w:sz w:val="18"/>
                <w:szCs w:val="18"/>
              </w:rPr>
              <w:t>12 mjeseci</w:t>
            </w:r>
          </w:p>
        </w:tc>
        <w:tc>
          <w:tcPr>
            <w:tcW w:w="387" w:type="pct"/>
            <w:tcBorders>
              <w:bottom w:val="single" w:sz="4" w:space="0" w:color="auto"/>
            </w:tcBorders>
            <w:vAlign w:val="center"/>
          </w:tcPr>
          <w:p w14:paraId="32942344" w14:textId="77777777" w:rsidR="002C4F50" w:rsidRDefault="002C4F50" w:rsidP="00D331BE">
            <w:pPr>
              <w:pStyle w:val="NoSpacing"/>
              <w:rPr>
                <w:sz w:val="18"/>
                <w:szCs w:val="18"/>
              </w:rPr>
            </w:pPr>
          </w:p>
        </w:tc>
        <w:tc>
          <w:tcPr>
            <w:tcW w:w="582" w:type="pct"/>
            <w:tcBorders>
              <w:bottom w:val="single" w:sz="4" w:space="0" w:color="auto"/>
            </w:tcBorders>
            <w:vAlign w:val="center"/>
          </w:tcPr>
          <w:p w14:paraId="7819A883" w14:textId="77777777" w:rsidR="002C4F50" w:rsidRDefault="002C4F50" w:rsidP="00D331BE">
            <w:pPr>
              <w:pStyle w:val="NoSpacing"/>
              <w:rPr>
                <w:sz w:val="18"/>
                <w:szCs w:val="18"/>
              </w:rPr>
            </w:pPr>
            <w:r>
              <w:rPr>
                <w:sz w:val="18"/>
                <w:szCs w:val="18"/>
              </w:rPr>
              <w:t>Combis d.o.o.</w:t>
            </w:r>
          </w:p>
        </w:tc>
      </w:tr>
      <w:tr w:rsidR="002C4F50" w:rsidRPr="00437CA7" w14:paraId="5EAC5F0B" w14:textId="77777777" w:rsidTr="00DE0B61">
        <w:trPr>
          <w:trHeight w:val="284"/>
          <w:jc w:val="center"/>
        </w:trPr>
        <w:tc>
          <w:tcPr>
            <w:tcW w:w="284" w:type="pct"/>
            <w:vAlign w:val="center"/>
          </w:tcPr>
          <w:p w14:paraId="63C7FA87" w14:textId="77777777" w:rsidR="002C4F50" w:rsidRPr="00437CA7" w:rsidRDefault="002C4F50" w:rsidP="00AC375F">
            <w:pPr>
              <w:numPr>
                <w:ilvl w:val="0"/>
                <w:numId w:val="56"/>
              </w:numPr>
              <w:jc w:val="center"/>
              <w:rPr>
                <w:rFonts w:cs="Calibri"/>
                <w:sz w:val="20"/>
                <w:szCs w:val="20"/>
              </w:rPr>
            </w:pPr>
          </w:p>
        </w:tc>
        <w:tc>
          <w:tcPr>
            <w:tcW w:w="474" w:type="pct"/>
            <w:vAlign w:val="center"/>
          </w:tcPr>
          <w:p w14:paraId="09E2F798" w14:textId="77777777" w:rsidR="002C4F50" w:rsidRDefault="002C4F50" w:rsidP="00D331BE">
            <w:pPr>
              <w:pStyle w:val="NoSpacing"/>
              <w:rPr>
                <w:sz w:val="18"/>
                <w:szCs w:val="18"/>
              </w:rPr>
            </w:pPr>
            <w:r>
              <w:rPr>
                <w:sz w:val="18"/>
                <w:szCs w:val="18"/>
              </w:rPr>
              <w:t>24.1-23</w:t>
            </w:r>
          </w:p>
        </w:tc>
        <w:tc>
          <w:tcPr>
            <w:tcW w:w="948" w:type="pct"/>
            <w:vAlign w:val="center"/>
          </w:tcPr>
          <w:p w14:paraId="634140EF" w14:textId="77777777" w:rsidR="002C4F50" w:rsidRPr="00B64884" w:rsidRDefault="002C4F50" w:rsidP="00D331BE">
            <w:pPr>
              <w:pStyle w:val="NoSpacing"/>
              <w:rPr>
                <w:sz w:val="18"/>
                <w:szCs w:val="18"/>
              </w:rPr>
            </w:pPr>
            <w:r w:rsidRPr="005304B4">
              <w:rPr>
                <w:sz w:val="18"/>
                <w:szCs w:val="18"/>
              </w:rPr>
              <w:t>Poslužitelji i diskovni sustavi</w:t>
            </w:r>
          </w:p>
        </w:tc>
        <w:tc>
          <w:tcPr>
            <w:tcW w:w="572" w:type="pct"/>
            <w:vAlign w:val="center"/>
          </w:tcPr>
          <w:p w14:paraId="5964EBF0" w14:textId="77777777" w:rsidR="002C4F50" w:rsidRDefault="002C4F50" w:rsidP="00D331BE">
            <w:pPr>
              <w:pStyle w:val="NoSpacing"/>
              <w:rPr>
                <w:sz w:val="18"/>
                <w:szCs w:val="18"/>
              </w:rPr>
            </w:pPr>
            <w:r>
              <w:rPr>
                <w:sz w:val="18"/>
                <w:szCs w:val="18"/>
              </w:rPr>
              <w:t>Otvoreni postupak</w:t>
            </w:r>
          </w:p>
        </w:tc>
        <w:tc>
          <w:tcPr>
            <w:tcW w:w="405" w:type="pct"/>
            <w:vAlign w:val="center"/>
          </w:tcPr>
          <w:p w14:paraId="0FBC2B3C" w14:textId="77777777" w:rsidR="002C4F50" w:rsidRDefault="002C4F50" w:rsidP="00D331BE">
            <w:pPr>
              <w:pStyle w:val="NoSpacing"/>
              <w:rPr>
                <w:sz w:val="18"/>
                <w:szCs w:val="18"/>
              </w:rPr>
            </w:pPr>
            <w:r>
              <w:rPr>
                <w:sz w:val="18"/>
                <w:szCs w:val="18"/>
              </w:rPr>
              <w:t>18.12.2023.</w:t>
            </w:r>
          </w:p>
        </w:tc>
        <w:tc>
          <w:tcPr>
            <w:tcW w:w="442" w:type="pct"/>
            <w:vAlign w:val="center"/>
          </w:tcPr>
          <w:p w14:paraId="40D3567E" w14:textId="77777777" w:rsidR="002C4F50" w:rsidRDefault="002C4F50" w:rsidP="00D331BE">
            <w:pPr>
              <w:pStyle w:val="NoSpacing"/>
              <w:jc w:val="right"/>
              <w:rPr>
                <w:sz w:val="18"/>
                <w:szCs w:val="18"/>
              </w:rPr>
            </w:pPr>
            <w:r>
              <w:rPr>
                <w:sz w:val="18"/>
                <w:szCs w:val="18"/>
              </w:rPr>
              <w:t>124.985 eur</w:t>
            </w:r>
          </w:p>
        </w:tc>
        <w:tc>
          <w:tcPr>
            <w:tcW w:w="519" w:type="pct"/>
            <w:vAlign w:val="center"/>
          </w:tcPr>
          <w:p w14:paraId="06A9F45F" w14:textId="77777777" w:rsidR="002C4F50" w:rsidRDefault="002C4F50" w:rsidP="00D331BE">
            <w:pPr>
              <w:pStyle w:val="NoSpacing"/>
              <w:jc w:val="right"/>
              <w:rPr>
                <w:sz w:val="18"/>
                <w:szCs w:val="18"/>
              </w:rPr>
            </w:pPr>
            <w:r>
              <w:rPr>
                <w:sz w:val="18"/>
                <w:szCs w:val="18"/>
              </w:rPr>
              <w:t>124.985 eur</w:t>
            </w:r>
          </w:p>
        </w:tc>
        <w:tc>
          <w:tcPr>
            <w:tcW w:w="387" w:type="pct"/>
            <w:tcBorders>
              <w:bottom w:val="single" w:sz="4" w:space="0" w:color="auto"/>
            </w:tcBorders>
            <w:vAlign w:val="center"/>
          </w:tcPr>
          <w:p w14:paraId="411096C3" w14:textId="77777777" w:rsidR="002C4F50" w:rsidRDefault="002C4F50" w:rsidP="00D331BE">
            <w:pPr>
              <w:pStyle w:val="NoSpacing"/>
              <w:rPr>
                <w:sz w:val="18"/>
                <w:szCs w:val="18"/>
              </w:rPr>
            </w:pPr>
            <w:r>
              <w:rPr>
                <w:sz w:val="18"/>
                <w:szCs w:val="18"/>
              </w:rPr>
              <w:t>40 dana</w:t>
            </w:r>
          </w:p>
        </w:tc>
        <w:tc>
          <w:tcPr>
            <w:tcW w:w="387" w:type="pct"/>
            <w:tcBorders>
              <w:bottom w:val="single" w:sz="4" w:space="0" w:color="auto"/>
            </w:tcBorders>
            <w:vAlign w:val="center"/>
          </w:tcPr>
          <w:p w14:paraId="34747DCC" w14:textId="77777777" w:rsidR="002C4F50" w:rsidRDefault="002C4F50" w:rsidP="00D331BE">
            <w:pPr>
              <w:pStyle w:val="NoSpacing"/>
              <w:rPr>
                <w:sz w:val="18"/>
                <w:szCs w:val="18"/>
              </w:rPr>
            </w:pPr>
            <w:r>
              <w:rPr>
                <w:sz w:val="18"/>
                <w:szCs w:val="18"/>
              </w:rPr>
              <w:t>18.01.2024.</w:t>
            </w:r>
          </w:p>
        </w:tc>
        <w:tc>
          <w:tcPr>
            <w:tcW w:w="582" w:type="pct"/>
            <w:tcBorders>
              <w:bottom w:val="single" w:sz="4" w:space="0" w:color="auto"/>
            </w:tcBorders>
            <w:vAlign w:val="center"/>
          </w:tcPr>
          <w:p w14:paraId="740AD578" w14:textId="77777777" w:rsidR="002C4F50" w:rsidRDefault="002C4F50" w:rsidP="00D331BE">
            <w:pPr>
              <w:pStyle w:val="NoSpacing"/>
              <w:rPr>
                <w:sz w:val="18"/>
                <w:szCs w:val="18"/>
              </w:rPr>
            </w:pPr>
            <w:r>
              <w:rPr>
                <w:sz w:val="18"/>
                <w:szCs w:val="18"/>
              </w:rPr>
              <w:t>Combis d.o.o.</w:t>
            </w:r>
          </w:p>
        </w:tc>
      </w:tr>
      <w:tr w:rsidR="002C4F50" w:rsidRPr="00437CA7" w14:paraId="0DC95191" w14:textId="77777777" w:rsidTr="00DE0B61">
        <w:trPr>
          <w:trHeight w:val="284"/>
          <w:jc w:val="center"/>
        </w:trPr>
        <w:tc>
          <w:tcPr>
            <w:tcW w:w="284" w:type="pct"/>
            <w:vAlign w:val="center"/>
          </w:tcPr>
          <w:p w14:paraId="15C70BFB" w14:textId="77777777" w:rsidR="002C4F50" w:rsidRPr="00437CA7" w:rsidRDefault="002C4F50" w:rsidP="00AC375F">
            <w:pPr>
              <w:numPr>
                <w:ilvl w:val="0"/>
                <w:numId w:val="56"/>
              </w:numPr>
              <w:jc w:val="center"/>
              <w:rPr>
                <w:rFonts w:cs="Calibri"/>
                <w:sz w:val="20"/>
                <w:szCs w:val="20"/>
              </w:rPr>
            </w:pPr>
          </w:p>
        </w:tc>
        <w:tc>
          <w:tcPr>
            <w:tcW w:w="474" w:type="pct"/>
            <w:vAlign w:val="center"/>
          </w:tcPr>
          <w:p w14:paraId="10234DA4" w14:textId="77777777" w:rsidR="002C4F50" w:rsidRDefault="002C4F50" w:rsidP="00D331BE">
            <w:pPr>
              <w:pStyle w:val="NoSpacing"/>
              <w:rPr>
                <w:sz w:val="18"/>
                <w:szCs w:val="18"/>
              </w:rPr>
            </w:pPr>
            <w:r>
              <w:rPr>
                <w:sz w:val="18"/>
                <w:szCs w:val="18"/>
              </w:rPr>
              <w:t>16.7-23</w:t>
            </w:r>
          </w:p>
        </w:tc>
        <w:tc>
          <w:tcPr>
            <w:tcW w:w="948" w:type="pct"/>
            <w:vAlign w:val="center"/>
          </w:tcPr>
          <w:p w14:paraId="35663B8F" w14:textId="77777777" w:rsidR="002C4F50" w:rsidRPr="005304B4" w:rsidRDefault="002C4F50" w:rsidP="00D331BE">
            <w:pPr>
              <w:pStyle w:val="NoSpacing"/>
              <w:rPr>
                <w:sz w:val="18"/>
                <w:szCs w:val="18"/>
              </w:rPr>
            </w:pPr>
            <w:r w:rsidRPr="00ED1B52">
              <w:rPr>
                <w:sz w:val="18"/>
                <w:szCs w:val="18"/>
              </w:rPr>
              <w:t>Usluge organizacije konferencije  HALMED-a</w:t>
            </w:r>
          </w:p>
        </w:tc>
        <w:tc>
          <w:tcPr>
            <w:tcW w:w="572" w:type="pct"/>
            <w:vAlign w:val="center"/>
          </w:tcPr>
          <w:p w14:paraId="2E07B285" w14:textId="77777777" w:rsidR="002C4F50" w:rsidRDefault="002C4F50" w:rsidP="00D331BE">
            <w:pPr>
              <w:pStyle w:val="NoSpacing"/>
              <w:rPr>
                <w:sz w:val="18"/>
                <w:szCs w:val="18"/>
              </w:rPr>
            </w:pPr>
            <w:r>
              <w:rPr>
                <w:sz w:val="18"/>
                <w:szCs w:val="18"/>
              </w:rPr>
              <w:t>Otvoreni postupak</w:t>
            </w:r>
          </w:p>
        </w:tc>
        <w:tc>
          <w:tcPr>
            <w:tcW w:w="405" w:type="pct"/>
            <w:vAlign w:val="center"/>
          </w:tcPr>
          <w:p w14:paraId="78585C6C" w14:textId="77777777" w:rsidR="002C4F50" w:rsidRDefault="002C4F50" w:rsidP="00D331BE">
            <w:pPr>
              <w:pStyle w:val="NoSpacing"/>
              <w:rPr>
                <w:sz w:val="18"/>
                <w:szCs w:val="18"/>
              </w:rPr>
            </w:pPr>
            <w:r>
              <w:rPr>
                <w:sz w:val="18"/>
                <w:szCs w:val="18"/>
              </w:rPr>
              <w:t>22.08.2023.</w:t>
            </w:r>
          </w:p>
        </w:tc>
        <w:tc>
          <w:tcPr>
            <w:tcW w:w="442" w:type="pct"/>
            <w:vAlign w:val="center"/>
          </w:tcPr>
          <w:p w14:paraId="70DE9FB4" w14:textId="77777777" w:rsidR="002C4F50" w:rsidRDefault="002C4F50" w:rsidP="00D331BE">
            <w:pPr>
              <w:pStyle w:val="NoSpacing"/>
              <w:jc w:val="right"/>
              <w:rPr>
                <w:sz w:val="18"/>
                <w:szCs w:val="18"/>
              </w:rPr>
            </w:pPr>
            <w:r>
              <w:rPr>
                <w:sz w:val="18"/>
                <w:szCs w:val="18"/>
              </w:rPr>
              <w:t>78.304 eur</w:t>
            </w:r>
          </w:p>
        </w:tc>
        <w:tc>
          <w:tcPr>
            <w:tcW w:w="519" w:type="pct"/>
            <w:vAlign w:val="center"/>
          </w:tcPr>
          <w:p w14:paraId="27A1C1FD" w14:textId="77777777" w:rsidR="002C4F50" w:rsidRDefault="002C4F50" w:rsidP="00D331BE">
            <w:pPr>
              <w:pStyle w:val="NoSpacing"/>
              <w:jc w:val="right"/>
              <w:rPr>
                <w:sz w:val="18"/>
                <w:szCs w:val="18"/>
              </w:rPr>
            </w:pPr>
            <w:r>
              <w:rPr>
                <w:sz w:val="18"/>
                <w:szCs w:val="18"/>
              </w:rPr>
              <w:t>74.667 eur</w:t>
            </w:r>
          </w:p>
        </w:tc>
        <w:tc>
          <w:tcPr>
            <w:tcW w:w="387" w:type="pct"/>
            <w:tcBorders>
              <w:bottom w:val="single" w:sz="4" w:space="0" w:color="auto"/>
            </w:tcBorders>
            <w:vAlign w:val="center"/>
          </w:tcPr>
          <w:p w14:paraId="039BDBA8" w14:textId="77777777" w:rsidR="002C4F50" w:rsidRDefault="002C4F50" w:rsidP="00D331BE">
            <w:pPr>
              <w:pStyle w:val="NoSpacing"/>
              <w:rPr>
                <w:sz w:val="18"/>
                <w:szCs w:val="18"/>
              </w:rPr>
            </w:pPr>
            <w:r>
              <w:rPr>
                <w:sz w:val="18"/>
                <w:szCs w:val="18"/>
              </w:rPr>
              <w:t>25.11.2023.</w:t>
            </w:r>
          </w:p>
        </w:tc>
        <w:tc>
          <w:tcPr>
            <w:tcW w:w="387" w:type="pct"/>
            <w:tcBorders>
              <w:bottom w:val="single" w:sz="4" w:space="0" w:color="auto"/>
            </w:tcBorders>
            <w:vAlign w:val="center"/>
          </w:tcPr>
          <w:p w14:paraId="0D468038" w14:textId="77777777" w:rsidR="002C4F50" w:rsidRDefault="002C4F50" w:rsidP="00D331BE">
            <w:pPr>
              <w:pStyle w:val="NoSpacing"/>
              <w:rPr>
                <w:sz w:val="18"/>
                <w:szCs w:val="18"/>
              </w:rPr>
            </w:pPr>
            <w:r>
              <w:rPr>
                <w:sz w:val="18"/>
                <w:szCs w:val="18"/>
              </w:rPr>
              <w:t>25.11.2023.</w:t>
            </w:r>
          </w:p>
        </w:tc>
        <w:tc>
          <w:tcPr>
            <w:tcW w:w="582" w:type="pct"/>
            <w:tcBorders>
              <w:bottom w:val="single" w:sz="4" w:space="0" w:color="auto"/>
            </w:tcBorders>
            <w:vAlign w:val="center"/>
          </w:tcPr>
          <w:p w14:paraId="64B1A30F" w14:textId="77777777" w:rsidR="002C4F50" w:rsidRDefault="002C4F50" w:rsidP="00D331BE">
            <w:pPr>
              <w:pStyle w:val="NoSpacing"/>
              <w:rPr>
                <w:sz w:val="18"/>
                <w:szCs w:val="18"/>
              </w:rPr>
            </w:pPr>
            <w:r>
              <w:rPr>
                <w:sz w:val="18"/>
                <w:szCs w:val="18"/>
              </w:rPr>
              <w:t>Prime Time Komunikacije d.o.o.o</w:t>
            </w:r>
          </w:p>
        </w:tc>
      </w:tr>
      <w:tr w:rsidR="002C4F50" w:rsidRPr="00437CA7" w14:paraId="66E5C823" w14:textId="77777777" w:rsidTr="00DE0B61">
        <w:trPr>
          <w:trHeight w:val="284"/>
          <w:jc w:val="center"/>
        </w:trPr>
        <w:tc>
          <w:tcPr>
            <w:tcW w:w="284" w:type="pct"/>
            <w:vAlign w:val="center"/>
          </w:tcPr>
          <w:p w14:paraId="7F4AD65A" w14:textId="77777777" w:rsidR="002C4F50" w:rsidRPr="00437CA7" w:rsidRDefault="002C4F50" w:rsidP="00AC375F">
            <w:pPr>
              <w:numPr>
                <w:ilvl w:val="0"/>
                <w:numId w:val="56"/>
              </w:numPr>
              <w:jc w:val="center"/>
              <w:rPr>
                <w:rFonts w:cs="Calibri"/>
                <w:sz w:val="20"/>
                <w:szCs w:val="20"/>
              </w:rPr>
            </w:pPr>
          </w:p>
        </w:tc>
        <w:tc>
          <w:tcPr>
            <w:tcW w:w="474" w:type="pct"/>
            <w:vAlign w:val="center"/>
          </w:tcPr>
          <w:p w14:paraId="750E411D" w14:textId="77777777" w:rsidR="002C4F50" w:rsidRDefault="002C4F50" w:rsidP="00D331BE">
            <w:pPr>
              <w:pStyle w:val="NoSpacing"/>
              <w:rPr>
                <w:sz w:val="18"/>
                <w:szCs w:val="18"/>
              </w:rPr>
            </w:pPr>
            <w:r>
              <w:rPr>
                <w:sz w:val="18"/>
                <w:szCs w:val="18"/>
              </w:rPr>
              <w:t>24.9-23</w:t>
            </w:r>
          </w:p>
        </w:tc>
        <w:tc>
          <w:tcPr>
            <w:tcW w:w="948" w:type="pct"/>
            <w:vAlign w:val="center"/>
          </w:tcPr>
          <w:p w14:paraId="3EE4F0A5" w14:textId="77777777" w:rsidR="002C4F50" w:rsidRPr="00ED1B52" w:rsidRDefault="002C4F50" w:rsidP="00D331BE">
            <w:pPr>
              <w:pStyle w:val="NoSpacing"/>
              <w:rPr>
                <w:sz w:val="18"/>
                <w:szCs w:val="18"/>
              </w:rPr>
            </w:pPr>
            <w:r w:rsidRPr="00280ADB">
              <w:rPr>
                <w:sz w:val="18"/>
                <w:szCs w:val="18"/>
              </w:rPr>
              <w:t>Nadogradnja sustava za Backup</w:t>
            </w:r>
          </w:p>
        </w:tc>
        <w:tc>
          <w:tcPr>
            <w:tcW w:w="572" w:type="pct"/>
            <w:vAlign w:val="center"/>
          </w:tcPr>
          <w:p w14:paraId="6FF0AE33" w14:textId="77777777" w:rsidR="002C4F50" w:rsidRDefault="002C4F50" w:rsidP="00D331BE">
            <w:pPr>
              <w:pStyle w:val="NoSpacing"/>
              <w:rPr>
                <w:sz w:val="18"/>
                <w:szCs w:val="18"/>
              </w:rPr>
            </w:pPr>
            <w:r>
              <w:rPr>
                <w:sz w:val="18"/>
                <w:szCs w:val="18"/>
              </w:rPr>
              <w:t>Otvoreni postupak</w:t>
            </w:r>
          </w:p>
        </w:tc>
        <w:tc>
          <w:tcPr>
            <w:tcW w:w="405" w:type="pct"/>
            <w:vAlign w:val="center"/>
          </w:tcPr>
          <w:p w14:paraId="7F57C692" w14:textId="77777777" w:rsidR="002C4F50" w:rsidRDefault="002C4F50" w:rsidP="00D331BE">
            <w:pPr>
              <w:pStyle w:val="NoSpacing"/>
              <w:rPr>
                <w:sz w:val="18"/>
                <w:szCs w:val="18"/>
              </w:rPr>
            </w:pPr>
            <w:r>
              <w:rPr>
                <w:sz w:val="18"/>
                <w:szCs w:val="18"/>
              </w:rPr>
              <w:t>01.03.2024.</w:t>
            </w:r>
          </w:p>
        </w:tc>
        <w:tc>
          <w:tcPr>
            <w:tcW w:w="442" w:type="pct"/>
            <w:vAlign w:val="center"/>
          </w:tcPr>
          <w:p w14:paraId="6569CC8B" w14:textId="77777777" w:rsidR="002C4F50" w:rsidRDefault="002C4F50" w:rsidP="00D331BE">
            <w:pPr>
              <w:pStyle w:val="NoSpacing"/>
              <w:jc w:val="right"/>
              <w:rPr>
                <w:sz w:val="18"/>
                <w:szCs w:val="18"/>
              </w:rPr>
            </w:pPr>
            <w:r>
              <w:rPr>
                <w:sz w:val="18"/>
                <w:szCs w:val="18"/>
              </w:rPr>
              <w:t>249.243 eur</w:t>
            </w:r>
          </w:p>
        </w:tc>
        <w:tc>
          <w:tcPr>
            <w:tcW w:w="519" w:type="pct"/>
            <w:vAlign w:val="center"/>
          </w:tcPr>
          <w:p w14:paraId="26D8D3EE" w14:textId="77777777" w:rsidR="002C4F50" w:rsidRDefault="002C4F50" w:rsidP="00D331BE">
            <w:pPr>
              <w:pStyle w:val="NoSpacing"/>
              <w:jc w:val="right"/>
              <w:rPr>
                <w:sz w:val="18"/>
                <w:szCs w:val="18"/>
              </w:rPr>
            </w:pPr>
          </w:p>
        </w:tc>
        <w:tc>
          <w:tcPr>
            <w:tcW w:w="387" w:type="pct"/>
            <w:tcBorders>
              <w:bottom w:val="single" w:sz="4" w:space="0" w:color="auto"/>
            </w:tcBorders>
            <w:vAlign w:val="center"/>
          </w:tcPr>
          <w:p w14:paraId="6747065C" w14:textId="77777777" w:rsidR="002C4F50" w:rsidRDefault="002C4F50" w:rsidP="00D331BE">
            <w:pPr>
              <w:pStyle w:val="NoSpacing"/>
              <w:rPr>
                <w:sz w:val="18"/>
                <w:szCs w:val="18"/>
              </w:rPr>
            </w:pPr>
            <w:r>
              <w:rPr>
                <w:sz w:val="18"/>
                <w:szCs w:val="18"/>
              </w:rPr>
              <w:t>15 mjeseci</w:t>
            </w:r>
          </w:p>
        </w:tc>
        <w:tc>
          <w:tcPr>
            <w:tcW w:w="387" w:type="pct"/>
            <w:tcBorders>
              <w:bottom w:val="single" w:sz="4" w:space="0" w:color="auto"/>
            </w:tcBorders>
            <w:vAlign w:val="center"/>
          </w:tcPr>
          <w:p w14:paraId="2ACBDA67" w14:textId="77777777" w:rsidR="002C4F50" w:rsidRDefault="002C4F50" w:rsidP="00D331BE">
            <w:pPr>
              <w:pStyle w:val="NoSpacing"/>
              <w:rPr>
                <w:sz w:val="18"/>
                <w:szCs w:val="18"/>
              </w:rPr>
            </w:pPr>
          </w:p>
        </w:tc>
        <w:tc>
          <w:tcPr>
            <w:tcW w:w="582" w:type="pct"/>
            <w:tcBorders>
              <w:bottom w:val="single" w:sz="4" w:space="0" w:color="auto"/>
            </w:tcBorders>
            <w:vAlign w:val="center"/>
          </w:tcPr>
          <w:p w14:paraId="6986793B" w14:textId="77777777" w:rsidR="002C4F50" w:rsidRDefault="002C4F50" w:rsidP="00D331BE">
            <w:pPr>
              <w:pStyle w:val="NoSpacing"/>
              <w:rPr>
                <w:sz w:val="18"/>
                <w:szCs w:val="18"/>
              </w:rPr>
            </w:pPr>
            <w:r>
              <w:rPr>
                <w:sz w:val="18"/>
                <w:szCs w:val="18"/>
              </w:rPr>
              <w:t>Combis d.o.o.</w:t>
            </w:r>
          </w:p>
        </w:tc>
      </w:tr>
      <w:tr w:rsidR="002C4F50" w:rsidRPr="00437CA7" w14:paraId="351F2311" w14:textId="77777777" w:rsidTr="00DE0B61">
        <w:trPr>
          <w:trHeight w:val="284"/>
          <w:jc w:val="center"/>
        </w:trPr>
        <w:tc>
          <w:tcPr>
            <w:tcW w:w="2683" w:type="pct"/>
            <w:gridSpan w:val="5"/>
          </w:tcPr>
          <w:p w14:paraId="183BE2A6" w14:textId="77777777" w:rsidR="002C4F50" w:rsidRDefault="002C4F50" w:rsidP="00D331BE">
            <w:pPr>
              <w:jc w:val="center"/>
              <w:rPr>
                <w:rFonts w:cs="Calibri"/>
                <w:b/>
                <w:sz w:val="20"/>
                <w:szCs w:val="20"/>
              </w:rPr>
            </w:pPr>
          </w:p>
          <w:p w14:paraId="4C72BE6A" w14:textId="77777777" w:rsidR="002C4F50" w:rsidRPr="00437CA7" w:rsidRDefault="002C4F50" w:rsidP="00D331BE">
            <w:pPr>
              <w:jc w:val="center"/>
              <w:rPr>
                <w:rFonts w:cs="Calibri"/>
                <w:b/>
                <w:sz w:val="20"/>
                <w:szCs w:val="20"/>
              </w:rPr>
            </w:pPr>
            <w:r>
              <w:rPr>
                <w:rFonts w:cs="Calibri"/>
                <w:b/>
                <w:sz w:val="20"/>
                <w:szCs w:val="20"/>
              </w:rPr>
              <w:t>UKUPNO:</w:t>
            </w:r>
          </w:p>
        </w:tc>
        <w:tc>
          <w:tcPr>
            <w:tcW w:w="442" w:type="pct"/>
            <w:vAlign w:val="center"/>
          </w:tcPr>
          <w:p w14:paraId="68FFC69E" w14:textId="77777777" w:rsidR="002C4F50" w:rsidRPr="00437CA7" w:rsidRDefault="002C4F50" w:rsidP="00D331BE">
            <w:pPr>
              <w:jc w:val="right"/>
              <w:rPr>
                <w:rFonts w:cs="Calibri"/>
                <w:b/>
                <w:sz w:val="20"/>
                <w:szCs w:val="20"/>
              </w:rPr>
            </w:pPr>
            <w:r>
              <w:rPr>
                <w:rFonts w:cs="Calibri"/>
                <w:b/>
                <w:sz w:val="20"/>
                <w:szCs w:val="20"/>
              </w:rPr>
              <w:t>3.016.115 eur</w:t>
            </w:r>
          </w:p>
        </w:tc>
        <w:tc>
          <w:tcPr>
            <w:tcW w:w="519" w:type="pct"/>
            <w:vAlign w:val="center"/>
          </w:tcPr>
          <w:p w14:paraId="37737AA2" w14:textId="77777777" w:rsidR="002C4F50" w:rsidRPr="00437CA7" w:rsidRDefault="002C4F50" w:rsidP="00D331BE">
            <w:pPr>
              <w:jc w:val="center"/>
              <w:rPr>
                <w:rFonts w:cs="Calibri"/>
                <w:b/>
                <w:sz w:val="20"/>
                <w:szCs w:val="20"/>
              </w:rPr>
            </w:pPr>
            <w:r>
              <w:rPr>
                <w:rFonts w:cs="Calibri"/>
                <w:b/>
                <w:sz w:val="20"/>
                <w:szCs w:val="20"/>
              </w:rPr>
              <w:t>1.405.708 eur</w:t>
            </w:r>
          </w:p>
        </w:tc>
        <w:tc>
          <w:tcPr>
            <w:tcW w:w="387" w:type="pct"/>
            <w:tcBorders>
              <w:top w:val="nil"/>
              <w:bottom w:val="nil"/>
              <w:right w:val="nil"/>
            </w:tcBorders>
            <w:vAlign w:val="center"/>
          </w:tcPr>
          <w:p w14:paraId="64346D85" w14:textId="77777777" w:rsidR="002C4F50" w:rsidRPr="00437CA7" w:rsidRDefault="002C4F50" w:rsidP="00D331BE">
            <w:pPr>
              <w:jc w:val="center"/>
              <w:rPr>
                <w:rFonts w:cs="Calibri"/>
                <w:sz w:val="20"/>
                <w:szCs w:val="20"/>
              </w:rPr>
            </w:pPr>
          </w:p>
        </w:tc>
        <w:tc>
          <w:tcPr>
            <w:tcW w:w="387" w:type="pct"/>
            <w:tcBorders>
              <w:top w:val="nil"/>
              <w:left w:val="nil"/>
              <w:bottom w:val="nil"/>
              <w:right w:val="nil"/>
            </w:tcBorders>
            <w:vAlign w:val="center"/>
          </w:tcPr>
          <w:p w14:paraId="4A5A6AE5" w14:textId="77777777" w:rsidR="002C4F50" w:rsidRPr="00437CA7" w:rsidRDefault="002C4F50" w:rsidP="00D331BE">
            <w:pPr>
              <w:jc w:val="center"/>
              <w:rPr>
                <w:rFonts w:cs="Calibri"/>
                <w:sz w:val="20"/>
                <w:szCs w:val="20"/>
              </w:rPr>
            </w:pPr>
          </w:p>
        </w:tc>
        <w:tc>
          <w:tcPr>
            <w:tcW w:w="582" w:type="pct"/>
            <w:tcBorders>
              <w:top w:val="nil"/>
              <w:left w:val="nil"/>
              <w:bottom w:val="nil"/>
              <w:right w:val="nil"/>
            </w:tcBorders>
            <w:vAlign w:val="center"/>
          </w:tcPr>
          <w:p w14:paraId="09C3BC65" w14:textId="77777777" w:rsidR="002C4F50" w:rsidRPr="00437CA7" w:rsidRDefault="002C4F50" w:rsidP="00D331BE">
            <w:pPr>
              <w:rPr>
                <w:rFonts w:cs="Calibri"/>
                <w:sz w:val="20"/>
                <w:szCs w:val="20"/>
              </w:rPr>
            </w:pPr>
          </w:p>
        </w:tc>
      </w:tr>
    </w:tbl>
    <w:p w14:paraId="32471FBC" w14:textId="5039DBAE" w:rsidR="00D07378" w:rsidRDefault="002C4F50" w:rsidP="00DE0B61">
      <w:pPr>
        <w:pStyle w:val="NoSpacing"/>
        <w:ind w:firstLine="708"/>
        <w:rPr>
          <w:rFonts w:ascii="Calibri" w:hAnsi="Calibri" w:cs="Calibri"/>
        </w:rPr>
      </w:pPr>
      <w:r>
        <w:t>*Podatak o konačnom isplaćenom iznosu po ugovoru odnosi se na ugovore koji su izvršeni u potpunosti u trenutku izrade izvješća.</w:t>
      </w:r>
      <w:r w:rsidR="00DE0B61">
        <w:t xml:space="preserve"> </w:t>
      </w:r>
    </w:p>
    <w:sectPr w:rsidR="00D07378" w:rsidSect="00DE0B61">
      <w:pgSz w:w="16838" w:h="11906" w:orient="landscape"/>
      <w:pgMar w:top="1418" w:right="1418" w:bottom="9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035D8" w14:textId="77777777" w:rsidR="00991955" w:rsidRDefault="00991955" w:rsidP="00AA41EB">
      <w:r>
        <w:separator/>
      </w:r>
    </w:p>
  </w:endnote>
  <w:endnote w:type="continuationSeparator" w:id="0">
    <w:p w14:paraId="2109DA79" w14:textId="77777777" w:rsidR="00991955" w:rsidRDefault="00991955" w:rsidP="00AA4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Helvetica">
    <w:panose1 w:val="020B0604020202020204"/>
    <w:charset w:val="00"/>
    <w:family w:val="swiss"/>
    <w:pitch w:val="variable"/>
    <w:sig w:usb0="00000007" w:usb1="00000000" w:usb2="00000000" w:usb3="00000000" w:csb0="00000093"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06659" w14:textId="77777777" w:rsidR="00991955" w:rsidRDefault="00991955" w:rsidP="009B3D60">
    <w:pPr>
      <w:pStyle w:val="Style88"/>
      <w:pBdr>
        <w:bottom w:val="single" w:sz="2" w:space="1" w:color="000000"/>
      </w:pBdr>
      <w:jc w:val="right"/>
      <w:rPr>
        <w:rStyle w:val="PageNumber"/>
        <w:rFonts w:asciiTheme="minorHAnsi" w:hAnsiTheme="minorHAnsi" w:cstheme="minorHAnsi"/>
        <w:sz w:val="20"/>
      </w:rPr>
    </w:pPr>
  </w:p>
  <w:p w14:paraId="15734F2F" w14:textId="709B418A" w:rsidR="00991955" w:rsidRPr="00F86096" w:rsidRDefault="00991955" w:rsidP="009B3D60">
    <w:pPr>
      <w:pStyle w:val="Style88"/>
      <w:pBdr>
        <w:bottom w:val="single" w:sz="2" w:space="1" w:color="000000"/>
      </w:pBdr>
      <w:jc w:val="right"/>
      <w:rPr>
        <w:rFonts w:asciiTheme="minorHAnsi" w:hAnsiTheme="minorHAnsi" w:cstheme="minorHAnsi"/>
        <w:sz w:val="20"/>
      </w:rPr>
    </w:pPr>
    <w:r w:rsidRPr="00F86096">
      <w:rPr>
        <w:rStyle w:val="PageNumber"/>
        <w:rFonts w:asciiTheme="minorHAnsi" w:hAnsiTheme="minorHAnsi" w:cstheme="minorHAnsi"/>
        <w:sz w:val="20"/>
      </w:rPr>
      <w:fldChar w:fldCharType="begin"/>
    </w:r>
    <w:r w:rsidRPr="00F86096">
      <w:rPr>
        <w:rStyle w:val="PageNumber"/>
        <w:rFonts w:asciiTheme="minorHAnsi" w:hAnsiTheme="minorHAnsi" w:cstheme="minorHAnsi"/>
        <w:sz w:val="20"/>
      </w:rPr>
      <w:instrText xml:space="preserve"> PAGE </w:instrText>
    </w:r>
    <w:r w:rsidRPr="00F86096">
      <w:rPr>
        <w:rStyle w:val="PageNumber"/>
        <w:rFonts w:asciiTheme="minorHAnsi" w:hAnsiTheme="minorHAnsi" w:cstheme="minorHAnsi"/>
        <w:sz w:val="20"/>
      </w:rPr>
      <w:fldChar w:fldCharType="separate"/>
    </w:r>
    <w:r w:rsidR="008B34CD">
      <w:rPr>
        <w:rStyle w:val="PageNumber"/>
        <w:rFonts w:asciiTheme="minorHAnsi" w:hAnsiTheme="minorHAnsi" w:cstheme="minorHAnsi"/>
        <w:noProof/>
        <w:sz w:val="20"/>
      </w:rPr>
      <w:t>2</w:t>
    </w:r>
    <w:r w:rsidRPr="00F86096">
      <w:rPr>
        <w:rStyle w:val="PageNumber"/>
        <w:rFonts w:asciiTheme="minorHAnsi" w:hAnsiTheme="minorHAnsi" w:cstheme="minorHAnsi"/>
        <w:sz w:val="20"/>
      </w:rPr>
      <w:fldChar w:fldCharType="end"/>
    </w:r>
    <w:r w:rsidRPr="00F86096">
      <w:rPr>
        <w:rFonts w:asciiTheme="minorHAnsi" w:hAnsiTheme="minorHAnsi" w:cstheme="minorHAnsi"/>
        <w:sz w:val="20"/>
      </w:rPr>
      <w:fldChar w:fldCharType="begin"/>
    </w:r>
    <w:r w:rsidRPr="00F86096">
      <w:rPr>
        <w:rFonts w:asciiTheme="minorHAnsi" w:hAnsiTheme="minorHAnsi" w:cstheme="minorHAnsi"/>
        <w:sz w:val="20"/>
      </w:rPr>
      <w:instrText>\page\* ARABIC</w:instrText>
    </w:r>
    <w:r w:rsidRPr="00F86096">
      <w:rPr>
        <w:rFonts w:asciiTheme="minorHAnsi" w:hAnsiTheme="minorHAnsi" w:cstheme="minorHAnsi"/>
        <w:sz w:val="20"/>
      </w:rPr>
      <w:fldChar w:fldCharType="separate"/>
    </w:r>
    <w:r w:rsidRPr="00F86096">
      <w:rPr>
        <w:rFonts w:asciiTheme="minorHAnsi" w:hAnsiTheme="minorHAnsi" w:cstheme="minorHAnsi"/>
        <w:sz w:val="20"/>
      </w:rPr>
      <w:t>3</w:t>
    </w:r>
    <w:r w:rsidRPr="00F86096">
      <w:rPr>
        <w:rFonts w:asciiTheme="minorHAnsi" w:hAnsiTheme="minorHAnsi" w:cstheme="minorHAnsi"/>
        <w:sz w:val="20"/>
      </w:rPr>
      <w:fldChar w:fldCharType="end"/>
    </w:r>
    <w:r w:rsidRPr="00F86096">
      <w:rPr>
        <w:rStyle w:val="Style2"/>
        <w:rFonts w:asciiTheme="minorHAnsi" w:hAnsiTheme="minorHAnsi" w:cstheme="minorHAnsi"/>
        <w:sz w:val="20"/>
        <w:lang w:val="en-GB"/>
      </w:rPr>
      <w:t>/</w:t>
    </w:r>
    <w:r w:rsidRPr="00F86096">
      <w:rPr>
        <w:rStyle w:val="PageNumber"/>
        <w:rFonts w:asciiTheme="minorHAnsi" w:hAnsiTheme="minorHAnsi" w:cstheme="minorHAnsi"/>
        <w:sz w:val="20"/>
      </w:rPr>
      <w:fldChar w:fldCharType="begin"/>
    </w:r>
    <w:r w:rsidRPr="00F86096">
      <w:rPr>
        <w:rStyle w:val="PageNumber"/>
        <w:rFonts w:asciiTheme="minorHAnsi" w:hAnsiTheme="minorHAnsi" w:cstheme="minorHAnsi"/>
        <w:sz w:val="20"/>
      </w:rPr>
      <w:instrText xml:space="preserve"> NUMPAGES </w:instrText>
    </w:r>
    <w:r w:rsidRPr="00F86096">
      <w:rPr>
        <w:rStyle w:val="PageNumber"/>
        <w:rFonts w:asciiTheme="minorHAnsi" w:hAnsiTheme="minorHAnsi" w:cstheme="minorHAnsi"/>
        <w:sz w:val="20"/>
      </w:rPr>
      <w:fldChar w:fldCharType="separate"/>
    </w:r>
    <w:r w:rsidR="008B34CD">
      <w:rPr>
        <w:rStyle w:val="PageNumber"/>
        <w:rFonts w:asciiTheme="minorHAnsi" w:hAnsiTheme="minorHAnsi" w:cstheme="minorHAnsi"/>
        <w:noProof/>
        <w:sz w:val="20"/>
      </w:rPr>
      <w:t>179</w:t>
    </w:r>
    <w:r w:rsidRPr="00F86096">
      <w:rPr>
        <w:rStyle w:val="PageNumber"/>
        <w:rFonts w:asciiTheme="minorHAnsi" w:hAnsiTheme="minorHAnsi" w:cstheme="minorHAnsi"/>
        <w:sz w:val="20"/>
      </w:rPr>
      <w:fldChar w:fldCharType="end"/>
    </w:r>
  </w:p>
  <w:p w14:paraId="03B1894E" w14:textId="77777777" w:rsidR="00991955" w:rsidRDefault="00991955" w:rsidP="009B3D60">
    <w:pPr>
      <w:pStyle w:val="Footer"/>
    </w:pPr>
    <w:r>
      <w:rPr>
        <w:sz w:val="20"/>
      </w:rPr>
      <w:t>F-0798/2**AG-OP-0056</w:t>
    </w:r>
  </w:p>
  <w:p w14:paraId="4CED36E6" w14:textId="77777777" w:rsidR="00991955" w:rsidRDefault="009919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4B0BD" w14:textId="77777777" w:rsidR="00991955" w:rsidRDefault="00991955" w:rsidP="00AA41EB">
      <w:r>
        <w:separator/>
      </w:r>
    </w:p>
  </w:footnote>
  <w:footnote w:type="continuationSeparator" w:id="0">
    <w:p w14:paraId="39CECEE3" w14:textId="77777777" w:rsidR="00991955" w:rsidRDefault="00991955" w:rsidP="00AA41EB">
      <w:r>
        <w:continuationSeparator/>
      </w:r>
    </w:p>
  </w:footnote>
  <w:footnote w:id="1">
    <w:p w14:paraId="1EC61E0E" w14:textId="77777777" w:rsidR="00991955" w:rsidRPr="009E2A18" w:rsidRDefault="00991955" w:rsidP="00AA41EB">
      <w:pPr>
        <w:pStyle w:val="FootnoteText"/>
        <w:jc w:val="both"/>
        <w:rPr>
          <w:sz w:val="18"/>
          <w:szCs w:val="18"/>
        </w:rPr>
      </w:pPr>
      <w:r w:rsidRPr="009E2A18">
        <w:rPr>
          <w:rStyle w:val="FootnoteReference"/>
          <w:sz w:val="18"/>
          <w:szCs w:val="18"/>
        </w:rPr>
        <w:footnoteRef/>
      </w:r>
      <w:r w:rsidRPr="009E2A18">
        <w:rPr>
          <w:sz w:val="18"/>
          <w:szCs w:val="18"/>
        </w:rPr>
        <w:t xml:space="preserve"> Kratica engleskog naziva </w:t>
      </w:r>
      <w:r w:rsidRPr="009E2A18">
        <w:rPr>
          <w:i/>
          <w:sz w:val="18"/>
          <w:szCs w:val="18"/>
        </w:rPr>
        <w:t>Official Medicines Control Laboratory</w:t>
      </w:r>
      <w:r w:rsidRPr="009E2A18">
        <w:rPr>
          <w:sz w:val="18"/>
          <w:szCs w:val="18"/>
        </w:rPr>
        <w:t>,</w:t>
      </w:r>
      <w:r w:rsidRPr="009E2A18">
        <w:rPr>
          <w:i/>
          <w:sz w:val="18"/>
          <w:szCs w:val="18"/>
        </w:rPr>
        <w:t xml:space="preserve"> </w:t>
      </w:r>
      <w:r w:rsidRPr="009E2A18">
        <w:rPr>
          <w:sz w:val="18"/>
          <w:szCs w:val="18"/>
        </w:rPr>
        <w:t xml:space="preserve">koja ukazuje na to da je Odjel dio tzv. OMCL mreže, odnosno </w:t>
      </w:r>
      <w:r>
        <w:rPr>
          <w:sz w:val="18"/>
          <w:szCs w:val="18"/>
        </w:rPr>
        <w:t>M</w:t>
      </w:r>
      <w:r w:rsidRPr="009E2A18">
        <w:rPr>
          <w:sz w:val="18"/>
          <w:szCs w:val="18"/>
        </w:rPr>
        <w:t>reže službenih laboratorija za kontrolu lijekova</w:t>
      </w:r>
      <w:r>
        <w:rPr>
          <w:sz w:val="18"/>
          <w:szCs w:val="18"/>
        </w:rPr>
        <w:t xml:space="preserve"> </w:t>
      </w:r>
    </w:p>
  </w:footnote>
  <w:footnote w:id="2">
    <w:p w14:paraId="5AC91F60" w14:textId="77777777" w:rsidR="00991955" w:rsidRPr="000A7F0F" w:rsidRDefault="00991955" w:rsidP="00105B6F">
      <w:pPr>
        <w:pStyle w:val="FootnoteText"/>
        <w:rPr>
          <w:sz w:val="16"/>
          <w:szCs w:val="16"/>
        </w:rPr>
      </w:pPr>
      <w:r>
        <w:rPr>
          <w:rStyle w:val="FootnoteReference"/>
        </w:rPr>
        <w:footnoteRef/>
      </w:r>
      <w:r>
        <w:t xml:space="preserve"> </w:t>
      </w:r>
      <w:r w:rsidRPr="000A7F0F">
        <w:rPr>
          <w:rFonts w:ascii="Arial" w:hAnsi="Arial" w:cs="Arial"/>
          <w:sz w:val="16"/>
          <w:szCs w:val="16"/>
        </w:rPr>
        <w:t>centrally authorised products (CAPs)</w:t>
      </w:r>
    </w:p>
  </w:footnote>
  <w:footnote w:id="3">
    <w:p w14:paraId="70C59C56" w14:textId="77777777" w:rsidR="00991955" w:rsidRPr="00BA281F" w:rsidRDefault="00991955" w:rsidP="00105B6F">
      <w:pPr>
        <w:pStyle w:val="FootnoteText"/>
        <w:rPr>
          <w:i/>
          <w:sz w:val="16"/>
          <w:szCs w:val="16"/>
        </w:rPr>
      </w:pPr>
      <w:r>
        <w:rPr>
          <w:rStyle w:val="FootnoteReference"/>
        </w:rPr>
        <w:footnoteRef/>
      </w:r>
      <w:r>
        <w:t xml:space="preserve"> </w:t>
      </w:r>
      <w:r w:rsidRPr="00BA281F">
        <w:rPr>
          <w:rStyle w:val="st"/>
          <w:sz w:val="16"/>
          <w:szCs w:val="16"/>
        </w:rPr>
        <w:t>Qualified Person Responsible For Pharmacovigilance (</w:t>
      </w:r>
      <w:r w:rsidRPr="00BA281F">
        <w:rPr>
          <w:rStyle w:val="Emphasis"/>
        </w:rPr>
        <w:t>QPPV</w:t>
      </w:r>
      <w:r w:rsidRPr="00BA281F">
        <w:rPr>
          <w:rStyle w:val="st"/>
          <w:sz w:val="16"/>
          <w:szCs w:val="16"/>
        </w:rPr>
        <w:t>)</w:t>
      </w:r>
    </w:p>
  </w:footnote>
  <w:footnote w:id="4">
    <w:p w14:paraId="680B7B36" w14:textId="77777777" w:rsidR="00991955" w:rsidRPr="0061393E" w:rsidRDefault="00991955" w:rsidP="00105B6F">
      <w:pPr>
        <w:pStyle w:val="FootnoteText"/>
        <w:rPr>
          <w:sz w:val="16"/>
          <w:szCs w:val="16"/>
        </w:rPr>
      </w:pPr>
      <w:r w:rsidRPr="0061393E">
        <w:rPr>
          <w:rStyle w:val="FootnoteReference"/>
        </w:rPr>
        <w:footnoteRef/>
      </w:r>
      <w:r w:rsidRPr="0061393E">
        <w:rPr>
          <w:sz w:val="16"/>
          <w:szCs w:val="16"/>
        </w:rPr>
        <w:t xml:space="preserve"> Pharmacovigilance system master file</w:t>
      </w:r>
      <w:r>
        <w:rPr>
          <w:sz w:val="16"/>
          <w:szCs w:val="16"/>
        </w:rPr>
        <w:t xml:space="preserve"> (PSMF)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97874" w14:textId="7AB812D5" w:rsidR="00991955" w:rsidRPr="00263F1F" w:rsidRDefault="00991955" w:rsidP="009B3D60">
    <w:pPr>
      <w:pBdr>
        <w:bottom w:val="single" w:sz="4" w:space="1" w:color="auto"/>
      </w:pBdr>
      <w:spacing w:line="360" w:lineRule="auto"/>
      <w:jc w:val="center"/>
      <w:rPr>
        <w:sz w:val="16"/>
        <w:szCs w:val="16"/>
      </w:rPr>
    </w:pPr>
    <w:r>
      <w:tab/>
    </w:r>
    <w:r>
      <w:rPr>
        <w:sz w:val="16"/>
        <w:szCs w:val="16"/>
      </w:rPr>
      <w:t xml:space="preserve">IZVJEŠĆE O IZVRŠENJU POSLOVNOG </w:t>
    </w:r>
    <w:r w:rsidRPr="00263F1F">
      <w:rPr>
        <w:sz w:val="16"/>
        <w:szCs w:val="16"/>
      </w:rPr>
      <w:t xml:space="preserve">PLANA ZA RAZDOBLJE OD </w:t>
    </w:r>
    <w:r>
      <w:rPr>
        <w:sz w:val="16"/>
        <w:szCs w:val="16"/>
      </w:rPr>
      <w:t>0</w:t>
    </w:r>
    <w:r w:rsidRPr="00263F1F">
      <w:rPr>
        <w:sz w:val="16"/>
        <w:szCs w:val="16"/>
      </w:rPr>
      <w:t>1.</w:t>
    </w:r>
    <w:r>
      <w:rPr>
        <w:sz w:val="16"/>
        <w:szCs w:val="16"/>
      </w:rPr>
      <w:t>0</w:t>
    </w:r>
    <w:r w:rsidRPr="00263F1F">
      <w:rPr>
        <w:sz w:val="16"/>
        <w:szCs w:val="16"/>
      </w:rPr>
      <w:t xml:space="preserve">1. DO </w:t>
    </w:r>
    <w:r>
      <w:rPr>
        <w:sz w:val="16"/>
        <w:szCs w:val="16"/>
      </w:rPr>
      <w:t xml:space="preserve">31.12.2023. GODINE </w:t>
    </w:r>
  </w:p>
  <w:p w14:paraId="147EB81C" w14:textId="77777777" w:rsidR="00991955" w:rsidRDefault="00991955" w:rsidP="009B3D60">
    <w:pPr>
      <w:pStyle w:val="Header"/>
      <w:tabs>
        <w:tab w:val="clear" w:pos="4536"/>
        <w:tab w:val="clear" w:pos="9072"/>
        <w:tab w:val="left" w:pos="5103"/>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01A1"/>
    <w:multiLevelType w:val="hybridMultilevel"/>
    <w:tmpl w:val="41C8F32A"/>
    <w:lvl w:ilvl="0" w:tplc="6AF80E0A">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15:restartNumberingAfterBreak="0">
    <w:nsid w:val="01F11C7B"/>
    <w:multiLevelType w:val="multilevel"/>
    <w:tmpl w:val="041A0025"/>
    <w:lvl w:ilvl="0">
      <w:start w:val="1"/>
      <w:numFmt w:val="decimal"/>
      <w:pStyle w:val="Naslov11"/>
      <w:lvlText w:val="%1"/>
      <w:lvlJc w:val="left"/>
      <w:pPr>
        <w:ind w:left="432" w:hanging="432"/>
      </w:pPr>
    </w:lvl>
    <w:lvl w:ilvl="1">
      <w:start w:val="1"/>
      <w:numFmt w:val="decimal"/>
      <w:pStyle w:val="Naslov21"/>
      <w:lvlText w:val="%1.%2"/>
      <w:lvlJc w:val="left"/>
      <w:pPr>
        <w:ind w:left="576" w:hanging="576"/>
      </w:pPr>
    </w:lvl>
    <w:lvl w:ilvl="2">
      <w:start w:val="1"/>
      <w:numFmt w:val="decimal"/>
      <w:pStyle w:val="Naslov31"/>
      <w:lvlText w:val="%1.%2.%3"/>
      <w:lvlJc w:val="left"/>
      <w:pPr>
        <w:ind w:left="720" w:hanging="720"/>
      </w:pPr>
    </w:lvl>
    <w:lvl w:ilvl="3">
      <w:start w:val="1"/>
      <w:numFmt w:val="decimal"/>
      <w:pStyle w:val="Naslov41"/>
      <w:lvlText w:val="%1.%2.%3.%4"/>
      <w:lvlJc w:val="left"/>
      <w:pPr>
        <w:ind w:left="864" w:hanging="864"/>
      </w:pPr>
    </w:lvl>
    <w:lvl w:ilvl="4">
      <w:start w:val="1"/>
      <w:numFmt w:val="decimal"/>
      <w:pStyle w:val="Naslov51"/>
      <w:lvlText w:val="%1.%2.%3.%4.%5"/>
      <w:lvlJc w:val="left"/>
      <w:pPr>
        <w:ind w:left="1008" w:hanging="1008"/>
      </w:pPr>
    </w:lvl>
    <w:lvl w:ilvl="5">
      <w:start w:val="1"/>
      <w:numFmt w:val="decimal"/>
      <w:pStyle w:val="Naslov61"/>
      <w:lvlText w:val="%1.%2.%3.%4.%5.%6"/>
      <w:lvlJc w:val="left"/>
      <w:pPr>
        <w:ind w:left="1152" w:hanging="1152"/>
      </w:pPr>
    </w:lvl>
    <w:lvl w:ilvl="6">
      <w:start w:val="1"/>
      <w:numFmt w:val="decimal"/>
      <w:pStyle w:val="Naslov71"/>
      <w:lvlText w:val="%1.%2.%3.%4.%5.%6.%7"/>
      <w:lvlJc w:val="left"/>
      <w:pPr>
        <w:ind w:left="1296" w:hanging="1296"/>
      </w:pPr>
    </w:lvl>
    <w:lvl w:ilvl="7">
      <w:start w:val="1"/>
      <w:numFmt w:val="decimal"/>
      <w:pStyle w:val="Naslov81"/>
      <w:lvlText w:val="%1.%2.%3.%4.%5.%6.%7.%8"/>
      <w:lvlJc w:val="left"/>
      <w:pPr>
        <w:ind w:left="1440" w:hanging="1440"/>
      </w:pPr>
    </w:lvl>
    <w:lvl w:ilvl="8">
      <w:start w:val="1"/>
      <w:numFmt w:val="decimal"/>
      <w:pStyle w:val="Naslov91"/>
      <w:lvlText w:val="%1.%2.%3.%4.%5.%6.%7.%8.%9"/>
      <w:lvlJc w:val="left"/>
      <w:pPr>
        <w:ind w:left="1584" w:hanging="1584"/>
      </w:pPr>
    </w:lvl>
  </w:abstractNum>
  <w:abstractNum w:abstractNumId="2" w15:restartNumberingAfterBreak="0">
    <w:nsid w:val="03D811C6"/>
    <w:multiLevelType w:val="hybridMultilevel"/>
    <w:tmpl w:val="EFFC1D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54961CD"/>
    <w:multiLevelType w:val="hybridMultilevel"/>
    <w:tmpl w:val="92728640"/>
    <w:lvl w:ilvl="0" w:tplc="041A0001">
      <w:start w:val="1"/>
      <w:numFmt w:val="bullet"/>
      <w:lvlText w:val=""/>
      <w:lvlJc w:val="left"/>
      <w:pPr>
        <w:ind w:left="720" w:hanging="360"/>
      </w:pPr>
      <w:rPr>
        <w:rFonts w:ascii="Symbol" w:hAnsi="Symbol" w:hint="default"/>
      </w:rPr>
    </w:lvl>
    <w:lvl w:ilvl="1" w:tplc="5AA28F4E">
      <w:numFmt w:val="bullet"/>
      <w:lvlText w:val="•"/>
      <w:lvlJc w:val="left"/>
      <w:pPr>
        <w:ind w:left="1440" w:hanging="360"/>
      </w:pPr>
      <w:rPr>
        <w:rFonts w:ascii="Calibri" w:eastAsia="Calibri" w:hAnsi="Calibri" w:cs="Calibri" w:hint="default"/>
      </w:rPr>
    </w:lvl>
    <w:lvl w:ilvl="2" w:tplc="041A0003">
      <w:start w:val="1"/>
      <w:numFmt w:val="bullet"/>
      <w:lvlText w:val="o"/>
      <w:lvlJc w:val="left"/>
      <w:pPr>
        <w:ind w:left="2160" w:hanging="360"/>
      </w:pPr>
      <w:rPr>
        <w:rFonts w:ascii="Courier New" w:hAnsi="Courier New" w:cs="Courier New"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5AA72BE"/>
    <w:multiLevelType w:val="hybridMultilevel"/>
    <w:tmpl w:val="53CAE5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C6A6B13"/>
    <w:multiLevelType w:val="hybridMultilevel"/>
    <w:tmpl w:val="DCAA1456"/>
    <w:lvl w:ilvl="0" w:tplc="041A0001">
      <w:start w:val="1"/>
      <w:numFmt w:val="bullet"/>
      <w:lvlText w:val=""/>
      <w:lvlJc w:val="left"/>
      <w:pPr>
        <w:ind w:left="1474" w:hanging="360"/>
      </w:pPr>
      <w:rPr>
        <w:rFonts w:ascii="Symbol" w:hAnsi="Symbol" w:hint="default"/>
      </w:rPr>
    </w:lvl>
    <w:lvl w:ilvl="1" w:tplc="041A0003">
      <w:start w:val="1"/>
      <w:numFmt w:val="bullet"/>
      <w:lvlText w:val="o"/>
      <w:lvlJc w:val="left"/>
      <w:pPr>
        <w:ind w:left="2194" w:hanging="360"/>
      </w:pPr>
      <w:rPr>
        <w:rFonts w:ascii="Courier New" w:hAnsi="Courier New" w:cs="Courier New" w:hint="default"/>
      </w:rPr>
    </w:lvl>
    <w:lvl w:ilvl="2" w:tplc="041A0005" w:tentative="1">
      <w:start w:val="1"/>
      <w:numFmt w:val="bullet"/>
      <w:lvlText w:val=""/>
      <w:lvlJc w:val="left"/>
      <w:pPr>
        <w:ind w:left="2914" w:hanging="360"/>
      </w:pPr>
      <w:rPr>
        <w:rFonts w:ascii="Wingdings" w:hAnsi="Wingdings" w:hint="default"/>
      </w:rPr>
    </w:lvl>
    <w:lvl w:ilvl="3" w:tplc="041A0001" w:tentative="1">
      <w:start w:val="1"/>
      <w:numFmt w:val="bullet"/>
      <w:lvlText w:val=""/>
      <w:lvlJc w:val="left"/>
      <w:pPr>
        <w:ind w:left="3634" w:hanging="360"/>
      </w:pPr>
      <w:rPr>
        <w:rFonts w:ascii="Symbol" w:hAnsi="Symbol" w:hint="default"/>
      </w:rPr>
    </w:lvl>
    <w:lvl w:ilvl="4" w:tplc="041A0003" w:tentative="1">
      <w:start w:val="1"/>
      <w:numFmt w:val="bullet"/>
      <w:lvlText w:val="o"/>
      <w:lvlJc w:val="left"/>
      <w:pPr>
        <w:ind w:left="4354" w:hanging="360"/>
      </w:pPr>
      <w:rPr>
        <w:rFonts w:ascii="Courier New" w:hAnsi="Courier New" w:cs="Courier New" w:hint="default"/>
      </w:rPr>
    </w:lvl>
    <w:lvl w:ilvl="5" w:tplc="041A0005" w:tentative="1">
      <w:start w:val="1"/>
      <w:numFmt w:val="bullet"/>
      <w:lvlText w:val=""/>
      <w:lvlJc w:val="left"/>
      <w:pPr>
        <w:ind w:left="5074" w:hanging="360"/>
      </w:pPr>
      <w:rPr>
        <w:rFonts w:ascii="Wingdings" w:hAnsi="Wingdings" w:hint="default"/>
      </w:rPr>
    </w:lvl>
    <w:lvl w:ilvl="6" w:tplc="041A0001" w:tentative="1">
      <w:start w:val="1"/>
      <w:numFmt w:val="bullet"/>
      <w:lvlText w:val=""/>
      <w:lvlJc w:val="left"/>
      <w:pPr>
        <w:ind w:left="5794" w:hanging="360"/>
      </w:pPr>
      <w:rPr>
        <w:rFonts w:ascii="Symbol" w:hAnsi="Symbol" w:hint="default"/>
      </w:rPr>
    </w:lvl>
    <w:lvl w:ilvl="7" w:tplc="041A0003" w:tentative="1">
      <w:start w:val="1"/>
      <w:numFmt w:val="bullet"/>
      <w:lvlText w:val="o"/>
      <w:lvlJc w:val="left"/>
      <w:pPr>
        <w:ind w:left="6514" w:hanging="360"/>
      </w:pPr>
      <w:rPr>
        <w:rFonts w:ascii="Courier New" w:hAnsi="Courier New" w:cs="Courier New" w:hint="default"/>
      </w:rPr>
    </w:lvl>
    <w:lvl w:ilvl="8" w:tplc="041A0005" w:tentative="1">
      <w:start w:val="1"/>
      <w:numFmt w:val="bullet"/>
      <w:lvlText w:val=""/>
      <w:lvlJc w:val="left"/>
      <w:pPr>
        <w:ind w:left="7234" w:hanging="360"/>
      </w:pPr>
      <w:rPr>
        <w:rFonts w:ascii="Wingdings" w:hAnsi="Wingdings" w:hint="default"/>
      </w:rPr>
    </w:lvl>
  </w:abstractNum>
  <w:abstractNum w:abstractNumId="6" w15:restartNumberingAfterBreak="0">
    <w:nsid w:val="0D9F4B5D"/>
    <w:multiLevelType w:val="hybridMultilevel"/>
    <w:tmpl w:val="C0DE8C46"/>
    <w:lvl w:ilvl="0" w:tplc="6AF80E0A">
      <w:start w:val="1"/>
      <w:numFmt w:val="bullet"/>
      <w:lvlText w:val=""/>
      <w:lvlJc w:val="left"/>
      <w:pPr>
        <w:ind w:left="360" w:hanging="360"/>
      </w:pPr>
      <w:rPr>
        <w:rFonts w:ascii="Symbol" w:hAnsi="Symbol"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0E800896"/>
    <w:multiLevelType w:val="hybridMultilevel"/>
    <w:tmpl w:val="20FA9BBE"/>
    <w:lvl w:ilvl="0" w:tplc="2AC67146">
      <w:numFmt w:val="bullet"/>
      <w:lvlText w:val="-"/>
      <w:lvlJc w:val="left"/>
      <w:pPr>
        <w:ind w:left="720" w:hanging="360"/>
      </w:pPr>
      <w:rPr>
        <w:rFonts w:ascii="Tahoma" w:eastAsia="Calibri" w:hAnsi="Tahoma" w:cs="Tahoma"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 w15:restartNumberingAfterBreak="0">
    <w:nsid w:val="15CA1B04"/>
    <w:multiLevelType w:val="hybridMultilevel"/>
    <w:tmpl w:val="607E35BE"/>
    <w:lvl w:ilvl="0" w:tplc="4058FE64">
      <w:start w:val="1"/>
      <w:numFmt w:val="bullet"/>
      <w:lvlText w:val=""/>
      <w:lvlJc w:val="left"/>
      <w:pPr>
        <w:tabs>
          <w:tab w:val="num" w:pos="720"/>
        </w:tabs>
        <w:ind w:left="720" w:hanging="360"/>
      </w:pPr>
      <w:rPr>
        <w:rFonts w:ascii="Wingdings" w:hAnsi="Wingdings" w:hint="default"/>
      </w:rPr>
    </w:lvl>
    <w:lvl w:ilvl="1" w:tplc="D6DEA12E">
      <w:start w:val="1"/>
      <w:numFmt w:val="bullet"/>
      <w:lvlText w:val=""/>
      <w:lvlJc w:val="left"/>
      <w:pPr>
        <w:tabs>
          <w:tab w:val="num" w:pos="1440"/>
        </w:tabs>
        <w:ind w:left="1440" w:hanging="360"/>
      </w:pPr>
      <w:rPr>
        <w:rFonts w:ascii="Wingdings" w:hAnsi="Wingdings" w:hint="default"/>
      </w:rPr>
    </w:lvl>
    <w:lvl w:ilvl="2" w:tplc="FC16A5D4">
      <w:start w:val="1"/>
      <w:numFmt w:val="bullet"/>
      <w:lvlText w:val=""/>
      <w:lvlJc w:val="left"/>
      <w:pPr>
        <w:tabs>
          <w:tab w:val="num" w:pos="2160"/>
        </w:tabs>
        <w:ind w:left="2160" w:hanging="360"/>
      </w:pPr>
      <w:rPr>
        <w:rFonts w:ascii="Wingdings" w:hAnsi="Wingdings" w:hint="default"/>
      </w:rPr>
    </w:lvl>
    <w:lvl w:ilvl="3" w:tplc="62FE1C76">
      <w:start w:val="1"/>
      <w:numFmt w:val="bullet"/>
      <w:lvlText w:val=""/>
      <w:lvlJc w:val="left"/>
      <w:pPr>
        <w:tabs>
          <w:tab w:val="num" w:pos="2880"/>
        </w:tabs>
        <w:ind w:left="2880" w:hanging="360"/>
      </w:pPr>
      <w:rPr>
        <w:rFonts w:ascii="Wingdings" w:hAnsi="Wingdings" w:hint="default"/>
      </w:rPr>
    </w:lvl>
    <w:lvl w:ilvl="4" w:tplc="38963F92">
      <w:start w:val="1"/>
      <w:numFmt w:val="bullet"/>
      <w:lvlText w:val=""/>
      <w:lvlJc w:val="left"/>
      <w:pPr>
        <w:tabs>
          <w:tab w:val="num" w:pos="3600"/>
        </w:tabs>
        <w:ind w:left="3600" w:hanging="360"/>
      </w:pPr>
      <w:rPr>
        <w:rFonts w:ascii="Wingdings" w:hAnsi="Wingdings" w:hint="default"/>
      </w:rPr>
    </w:lvl>
    <w:lvl w:ilvl="5" w:tplc="2876C2A2">
      <w:start w:val="1"/>
      <w:numFmt w:val="bullet"/>
      <w:lvlText w:val=""/>
      <w:lvlJc w:val="left"/>
      <w:pPr>
        <w:tabs>
          <w:tab w:val="num" w:pos="4320"/>
        </w:tabs>
        <w:ind w:left="4320" w:hanging="360"/>
      </w:pPr>
      <w:rPr>
        <w:rFonts w:ascii="Wingdings" w:hAnsi="Wingdings" w:hint="default"/>
      </w:rPr>
    </w:lvl>
    <w:lvl w:ilvl="6" w:tplc="7DEEA2C4">
      <w:start w:val="1"/>
      <w:numFmt w:val="bullet"/>
      <w:lvlText w:val=""/>
      <w:lvlJc w:val="left"/>
      <w:pPr>
        <w:tabs>
          <w:tab w:val="num" w:pos="5040"/>
        </w:tabs>
        <w:ind w:left="5040" w:hanging="360"/>
      </w:pPr>
      <w:rPr>
        <w:rFonts w:ascii="Wingdings" w:hAnsi="Wingdings" w:hint="default"/>
      </w:rPr>
    </w:lvl>
    <w:lvl w:ilvl="7" w:tplc="AF5C0FC0">
      <w:start w:val="1"/>
      <w:numFmt w:val="bullet"/>
      <w:lvlText w:val=""/>
      <w:lvlJc w:val="left"/>
      <w:pPr>
        <w:tabs>
          <w:tab w:val="num" w:pos="5760"/>
        </w:tabs>
        <w:ind w:left="5760" w:hanging="360"/>
      </w:pPr>
      <w:rPr>
        <w:rFonts w:ascii="Wingdings" w:hAnsi="Wingdings" w:hint="default"/>
      </w:rPr>
    </w:lvl>
    <w:lvl w:ilvl="8" w:tplc="8A7C1E0A">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EF734F"/>
    <w:multiLevelType w:val="hybridMultilevel"/>
    <w:tmpl w:val="D696C634"/>
    <w:lvl w:ilvl="0" w:tplc="9024509A">
      <w:start w:val="3"/>
      <w:numFmt w:val="bullet"/>
      <w:lvlText w:val="-"/>
      <w:lvlJc w:val="left"/>
      <w:pPr>
        <w:ind w:left="720" w:hanging="360"/>
      </w:pPr>
      <w:rPr>
        <w:rFonts w:ascii="Calibri" w:eastAsiaTheme="minorEastAsia" w:hAnsi="Calibri"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8A4066B"/>
    <w:multiLevelType w:val="hybridMultilevel"/>
    <w:tmpl w:val="E8EEBAFE"/>
    <w:lvl w:ilvl="0" w:tplc="6AF80E0A">
      <w:start w:val="1"/>
      <w:numFmt w:val="bullet"/>
      <w:lvlText w:val=""/>
      <w:lvlJc w:val="left"/>
      <w:pPr>
        <w:ind w:left="360" w:hanging="360"/>
      </w:pPr>
      <w:rPr>
        <w:rFonts w:ascii="Symbol" w:hAnsi="Symbol"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19A63493"/>
    <w:multiLevelType w:val="hybridMultilevel"/>
    <w:tmpl w:val="6B0C0CEC"/>
    <w:lvl w:ilvl="0" w:tplc="041A0001">
      <w:start w:val="1"/>
      <w:numFmt w:val="bullet"/>
      <w:lvlText w:val=""/>
      <w:lvlJc w:val="left"/>
      <w:pPr>
        <w:ind w:left="1778" w:hanging="360"/>
      </w:pPr>
      <w:rPr>
        <w:rFonts w:ascii="Symbol" w:hAnsi="Symbol" w:hint="default"/>
      </w:rPr>
    </w:lvl>
    <w:lvl w:ilvl="1" w:tplc="041A0003" w:tentative="1">
      <w:start w:val="1"/>
      <w:numFmt w:val="bullet"/>
      <w:lvlText w:val="o"/>
      <w:lvlJc w:val="left"/>
      <w:pPr>
        <w:ind w:left="2498" w:hanging="360"/>
      </w:pPr>
      <w:rPr>
        <w:rFonts w:ascii="Courier New" w:hAnsi="Courier New" w:cs="Courier New" w:hint="default"/>
      </w:rPr>
    </w:lvl>
    <w:lvl w:ilvl="2" w:tplc="041A0005" w:tentative="1">
      <w:start w:val="1"/>
      <w:numFmt w:val="bullet"/>
      <w:lvlText w:val=""/>
      <w:lvlJc w:val="left"/>
      <w:pPr>
        <w:ind w:left="3218" w:hanging="360"/>
      </w:pPr>
      <w:rPr>
        <w:rFonts w:ascii="Wingdings" w:hAnsi="Wingdings" w:hint="default"/>
      </w:rPr>
    </w:lvl>
    <w:lvl w:ilvl="3" w:tplc="041A0001" w:tentative="1">
      <w:start w:val="1"/>
      <w:numFmt w:val="bullet"/>
      <w:lvlText w:val=""/>
      <w:lvlJc w:val="left"/>
      <w:pPr>
        <w:ind w:left="3938" w:hanging="360"/>
      </w:pPr>
      <w:rPr>
        <w:rFonts w:ascii="Symbol" w:hAnsi="Symbol" w:hint="default"/>
      </w:rPr>
    </w:lvl>
    <w:lvl w:ilvl="4" w:tplc="041A0003" w:tentative="1">
      <w:start w:val="1"/>
      <w:numFmt w:val="bullet"/>
      <w:lvlText w:val="o"/>
      <w:lvlJc w:val="left"/>
      <w:pPr>
        <w:ind w:left="4658" w:hanging="360"/>
      </w:pPr>
      <w:rPr>
        <w:rFonts w:ascii="Courier New" w:hAnsi="Courier New" w:cs="Courier New" w:hint="default"/>
      </w:rPr>
    </w:lvl>
    <w:lvl w:ilvl="5" w:tplc="041A0005" w:tentative="1">
      <w:start w:val="1"/>
      <w:numFmt w:val="bullet"/>
      <w:lvlText w:val=""/>
      <w:lvlJc w:val="left"/>
      <w:pPr>
        <w:ind w:left="5378" w:hanging="360"/>
      </w:pPr>
      <w:rPr>
        <w:rFonts w:ascii="Wingdings" w:hAnsi="Wingdings" w:hint="default"/>
      </w:rPr>
    </w:lvl>
    <w:lvl w:ilvl="6" w:tplc="041A0001" w:tentative="1">
      <w:start w:val="1"/>
      <w:numFmt w:val="bullet"/>
      <w:lvlText w:val=""/>
      <w:lvlJc w:val="left"/>
      <w:pPr>
        <w:ind w:left="6098" w:hanging="360"/>
      </w:pPr>
      <w:rPr>
        <w:rFonts w:ascii="Symbol" w:hAnsi="Symbol" w:hint="default"/>
      </w:rPr>
    </w:lvl>
    <w:lvl w:ilvl="7" w:tplc="041A0003" w:tentative="1">
      <w:start w:val="1"/>
      <w:numFmt w:val="bullet"/>
      <w:lvlText w:val="o"/>
      <w:lvlJc w:val="left"/>
      <w:pPr>
        <w:ind w:left="6818" w:hanging="360"/>
      </w:pPr>
      <w:rPr>
        <w:rFonts w:ascii="Courier New" w:hAnsi="Courier New" w:cs="Courier New" w:hint="default"/>
      </w:rPr>
    </w:lvl>
    <w:lvl w:ilvl="8" w:tplc="041A0005" w:tentative="1">
      <w:start w:val="1"/>
      <w:numFmt w:val="bullet"/>
      <w:lvlText w:val=""/>
      <w:lvlJc w:val="left"/>
      <w:pPr>
        <w:ind w:left="7538" w:hanging="360"/>
      </w:pPr>
      <w:rPr>
        <w:rFonts w:ascii="Wingdings" w:hAnsi="Wingdings" w:hint="default"/>
      </w:rPr>
    </w:lvl>
  </w:abstractNum>
  <w:abstractNum w:abstractNumId="12" w15:restartNumberingAfterBreak="0">
    <w:nsid w:val="1BE83F50"/>
    <w:multiLevelType w:val="hybridMultilevel"/>
    <w:tmpl w:val="5E44A93E"/>
    <w:lvl w:ilvl="0" w:tplc="041A0001">
      <w:start w:val="1"/>
      <w:numFmt w:val="bullet"/>
      <w:lvlText w:val=""/>
      <w:lvlJc w:val="left"/>
      <w:pPr>
        <w:ind w:left="1834" w:hanging="360"/>
      </w:pPr>
      <w:rPr>
        <w:rFonts w:ascii="Symbol" w:hAnsi="Symbol" w:hint="default"/>
      </w:rPr>
    </w:lvl>
    <w:lvl w:ilvl="1" w:tplc="041A0003" w:tentative="1">
      <w:start w:val="1"/>
      <w:numFmt w:val="bullet"/>
      <w:lvlText w:val="o"/>
      <w:lvlJc w:val="left"/>
      <w:pPr>
        <w:ind w:left="2554" w:hanging="360"/>
      </w:pPr>
      <w:rPr>
        <w:rFonts w:ascii="Courier New" w:hAnsi="Courier New" w:cs="Courier New" w:hint="default"/>
      </w:rPr>
    </w:lvl>
    <w:lvl w:ilvl="2" w:tplc="041A0005" w:tentative="1">
      <w:start w:val="1"/>
      <w:numFmt w:val="bullet"/>
      <w:lvlText w:val=""/>
      <w:lvlJc w:val="left"/>
      <w:pPr>
        <w:ind w:left="3274" w:hanging="360"/>
      </w:pPr>
      <w:rPr>
        <w:rFonts w:ascii="Wingdings" w:hAnsi="Wingdings" w:hint="default"/>
      </w:rPr>
    </w:lvl>
    <w:lvl w:ilvl="3" w:tplc="041A0001" w:tentative="1">
      <w:start w:val="1"/>
      <w:numFmt w:val="bullet"/>
      <w:lvlText w:val=""/>
      <w:lvlJc w:val="left"/>
      <w:pPr>
        <w:ind w:left="3994" w:hanging="360"/>
      </w:pPr>
      <w:rPr>
        <w:rFonts w:ascii="Symbol" w:hAnsi="Symbol" w:hint="default"/>
      </w:rPr>
    </w:lvl>
    <w:lvl w:ilvl="4" w:tplc="041A0003" w:tentative="1">
      <w:start w:val="1"/>
      <w:numFmt w:val="bullet"/>
      <w:lvlText w:val="o"/>
      <w:lvlJc w:val="left"/>
      <w:pPr>
        <w:ind w:left="4714" w:hanging="360"/>
      </w:pPr>
      <w:rPr>
        <w:rFonts w:ascii="Courier New" w:hAnsi="Courier New" w:cs="Courier New" w:hint="default"/>
      </w:rPr>
    </w:lvl>
    <w:lvl w:ilvl="5" w:tplc="041A0005" w:tentative="1">
      <w:start w:val="1"/>
      <w:numFmt w:val="bullet"/>
      <w:lvlText w:val=""/>
      <w:lvlJc w:val="left"/>
      <w:pPr>
        <w:ind w:left="5434" w:hanging="360"/>
      </w:pPr>
      <w:rPr>
        <w:rFonts w:ascii="Wingdings" w:hAnsi="Wingdings" w:hint="default"/>
      </w:rPr>
    </w:lvl>
    <w:lvl w:ilvl="6" w:tplc="041A0001" w:tentative="1">
      <w:start w:val="1"/>
      <w:numFmt w:val="bullet"/>
      <w:lvlText w:val=""/>
      <w:lvlJc w:val="left"/>
      <w:pPr>
        <w:ind w:left="6154" w:hanging="360"/>
      </w:pPr>
      <w:rPr>
        <w:rFonts w:ascii="Symbol" w:hAnsi="Symbol" w:hint="default"/>
      </w:rPr>
    </w:lvl>
    <w:lvl w:ilvl="7" w:tplc="041A0003" w:tentative="1">
      <w:start w:val="1"/>
      <w:numFmt w:val="bullet"/>
      <w:lvlText w:val="o"/>
      <w:lvlJc w:val="left"/>
      <w:pPr>
        <w:ind w:left="6874" w:hanging="360"/>
      </w:pPr>
      <w:rPr>
        <w:rFonts w:ascii="Courier New" w:hAnsi="Courier New" w:cs="Courier New" w:hint="default"/>
      </w:rPr>
    </w:lvl>
    <w:lvl w:ilvl="8" w:tplc="041A0005" w:tentative="1">
      <w:start w:val="1"/>
      <w:numFmt w:val="bullet"/>
      <w:lvlText w:val=""/>
      <w:lvlJc w:val="left"/>
      <w:pPr>
        <w:ind w:left="7594" w:hanging="360"/>
      </w:pPr>
      <w:rPr>
        <w:rFonts w:ascii="Wingdings" w:hAnsi="Wingdings" w:hint="default"/>
      </w:rPr>
    </w:lvl>
  </w:abstractNum>
  <w:abstractNum w:abstractNumId="13" w15:restartNumberingAfterBreak="0">
    <w:nsid w:val="23FE795D"/>
    <w:multiLevelType w:val="hybridMultilevel"/>
    <w:tmpl w:val="5A1EACA4"/>
    <w:lvl w:ilvl="0" w:tplc="6AF80E0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71A5C32"/>
    <w:multiLevelType w:val="hybridMultilevel"/>
    <w:tmpl w:val="618A4B04"/>
    <w:lvl w:ilvl="0" w:tplc="6AF80E0A">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 w15:restartNumberingAfterBreak="0">
    <w:nsid w:val="2D100079"/>
    <w:multiLevelType w:val="hybridMultilevel"/>
    <w:tmpl w:val="9ABE1544"/>
    <w:lvl w:ilvl="0" w:tplc="6AF80E0A">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6" w15:restartNumberingAfterBreak="0">
    <w:nsid w:val="2D9B49E3"/>
    <w:multiLevelType w:val="hybridMultilevel"/>
    <w:tmpl w:val="BDFAC0CA"/>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7" w15:restartNumberingAfterBreak="0">
    <w:nsid w:val="2ECF07E1"/>
    <w:multiLevelType w:val="hybridMultilevel"/>
    <w:tmpl w:val="EF9605C4"/>
    <w:lvl w:ilvl="0" w:tplc="8AB0E49C">
      <w:start w:val="2"/>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1233D69"/>
    <w:multiLevelType w:val="hybridMultilevel"/>
    <w:tmpl w:val="2814E3BC"/>
    <w:lvl w:ilvl="0" w:tplc="041A0001">
      <w:start w:val="1"/>
      <w:numFmt w:val="bullet"/>
      <w:lvlText w:val=""/>
      <w:lvlJc w:val="left"/>
      <w:pPr>
        <w:ind w:left="1834" w:hanging="360"/>
      </w:pPr>
      <w:rPr>
        <w:rFonts w:ascii="Symbol" w:hAnsi="Symbol" w:hint="default"/>
      </w:rPr>
    </w:lvl>
    <w:lvl w:ilvl="1" w:tplc="041A0003" w:tentative="1">
      <w:start w:val="1"/>
      <w:numFmt w:val="bullet"/>
      <w:lvlText w:val="o"/>
      <w:lvlJc w:val="left"/>
      <w:pPr>
        <w:ind w:left="2554" w:hanging="360"/>
      </w:pPr>
      <w:rPr>
        <w:rFonts w:ascii="Courier New" w:hAnsi="Courier New" w:cs="Courier New" w:hint="default"/>
      </w:rPr>
    </w:lvl>
    <w:lvl w:ilvl="2" w:tplc="041A0005" w:tentative="1">
      <w:start w:val="1"/>
      <w:numFmt w:val="bullet"/>
      <w:lvlText w:val=""/>
      <w:lvlJc w:val="left"/>
      <w:pPr>
        <w:ind w:left="3274" w:hanging="360"/>
      </w:pPr>
      <w:rPr>
        <w:rFonts w:ascii="Wingdings" w:hAnsi="Wingdings" w:hint="default"/>
      </w:rPr>
    </w:lvl>
    <w:lvl w:ilvl="3" w:tplc="041A0001" w:tentative="1">
      <w:start w:val="1"/>
      <w:numFmt w:val="bullet"/>
      <w:lvlText w:val=""/>
      <w:lvlJc w:val="left"/>
      <w:pPr>
        <w:ind w:left="3994" w:hanging="360"/>
      </w:pPr>
      <w:rPr>
        <w:rFonts w:ascii="Symbol" w:hAnsi="Symbol" w:hint="default"/>
      </w:rPr>
    </w:lvl>
    <w:lvl w:ilvl="4" w:tplc="041A0003" w:tentative="1">
      <w:start w:val="1"/>
      <w:numFmt w:val="bullet"/>
      <w:lvlText w:val="o"/>
      <w:lvlJc w:val="left"/>
      <w:pPr>
        <w:ind w:left="4714" w:hanging="360"/>
      </w:pPr>
      <w:rPr>
        <w:rFonts w:ascii="Courier New" w:hAnsi="Courier New" w:cs="Courier New" w:hint="default"/>
      </w:rPr>
    </w:lvl>
    <w:lvl w:ilvl="5" w:tplc="041A0005" w:tentative="1">
      <w:start w:val="1"/>
      <w:numFmt w:val="bullet"/>
      <w:lvlText w:val=""/>
      <w:lvlJc w:val="left"/>
      <w:pPr>
        <w:ind w:left="5434" w:hanging="360"/>
      </w:pPr>
      <w:rPr>
        <w:rFonts w:ascii="Wingdings" w:hAnsi="Wingdings" w:hint="default"/>
      </w:rPr>
    </w:lvl>
    <w:lvl w:ilvl="6" w:tplc="041A0001" w:tentative="1">
      <w:start w:val="1"/>
      <w:numFmt w:val="bullet"/>
      <w:lvlText w:val=""/>
      <w:lvlJc w:val="left"/>
      <w:pPr>
        <w:ind w:left="6154" w:hanging="360"/>
      </w:pPr>
      <w:rPr>
        <w:rFonts w:ascii="Symbol" w:hAnsi="Symbol" w:hint="default"/>
      </w:rPr>
    </w:lvl>
    <w:lvl w:ilvl="7" w:tplc="041A0003" w:tentative="1">
      <w:start w:val="1"/>
      <w:numFmt w:val="bullet"/>
      <w:lvlText w:val="o"/>
      <w:lvlJc w:val="left"/>
      <w:pPr>
        <w:ind w:left="6874" w:hanging="360"/>
      </w:pPr>
      <w:rPr>
        <w:rFonts w:ascii="Courier New" w:hAnsi="Courier New" w:cs="Courier New" w:hint="default"/>
      </w:rPr>
    </w:lvl>
    <w:lvl w:ilvl="8" w:tplc="041A0005" w:tentative="1">
      <w:start w:val="1"/>
      <w:numFmt w:val="bullet"/>
      <w:lvlText w:val=""/>
      <w:lvlJc w:val="left"/>
      <w:pPr>
        <w:ind w:left="7594" w:hanging="360"/>
      </w:pPr>
      <w:rPr>
        <w:rFonts w:ascii="Wingdings" w:hAnsi="Wingdings" w:hint="default"/>
      </w:rPr>
    </w:lvl>
  </w:abstractNum>
  <w:abstractNum w:abstractNumId="19" w15:restartNumberingAfterBreak="0">
    <w:nsid w:val="378077C5"/>
    <w:multiLevelType w:val="hybridMultilevel"/>
    <w:tmpl w:val="3C029C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919351E"/>
    <w:multiLevelType w:val="multilevel"/>
    <w:tmpl w:val="E1FE5C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522404"/>
    <w:multiLevelType w:val="hybridMultilevel"/>
    <w:tmpl w:val="B71C318A"/>
    <w:lvl w:ilvl="0" w:tplc="ED187A2E">
      <w:start w:val="3"/>
      <w:numFmt w:val="bullet"/>
      <w:lvlText w:val="-"/>
      <w:lvlJc w:val="left"/>
      <w:pPr>
        <w:ind w:left="644" w:hanging="360"/>
      </w:pPr>
      <w:rPr>
        <w:rFonts w:ascii="Calibri" w:eastAsiaTheme="minorHAnsi" w:hAnsi="Calibri" w:cs="Calibri"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22" w15:restartNumberingAfterBreak="0">
    <w:nsid w:val="3C804CC6"/>
    <w:multiLevelType w:val="hybridMultilevel"/>
    <w:tmpl w:val="10DC4D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3305BC0"/>
    <w:multiLevelType w:val="hybridMultilevel"/>
    <w:tmpl w:val="41642290"/>
    <w:lvl w:ilvl="0" w:tplc="041A0001">
      <w:start w:val="1"/>
      <w:numFmt w:val="bullet"/>
      <w:lvlText w:val=""/>
      <w:lvlJc w:val="left"/>
      <w:pPr>
        <w:ind w:left="1800" w:hanging="360"/>
      </w:pPr>
      <w:rPr>
        <w:rFonts w:ascii="Symbol" w:hAnsi="Symbo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24" w15:restartNumberingAfterBreak="0">
    <w:nsid w:val="4452459D"/>
    <w:multiLevelType w:val="hybridMultilevel"/>
    <w:tmpl w:val="BDB0A1AC"/>
    <w:lvl w:ilvl="0" w:tplc="041A0001">
      <w:start w:val="1"/>
      <w:numFmt w:val="bullet"/>
      <w:lvlText w:val=""/>
      <w:lvlJc w:val="left"/>
      <w:pPr>
        <w:ind w:left="1637" w:hanging="360"/>
      </w:pPr>
      <w:rPr>
        <w:rFonts w:ascii="Symbol" w:hAnsi="Symbol" w:hint="default"/>
      </w:rPr>
    </w:lvl>
    <w:lvl w:ilvl="1" w:tplc="041A0003" w:tentative="1">
      <w:start w:val="1"/>
      <w:numFmt w:val="bullet"/>
      <w:lvlText w:val="o"/>
      <w:lvlJc w:val="left"/>
      <w:pPr>
        <w:ind w:left="2357" w:hanging="360"/>
      </w:pPr>
      <w:rPr>
        <w:rFonts w:ascii="Courier New" w:hAnsi="Courier New" w:cs="Courier New" w:hint="default"/>
      </w:rPr>
    </w:lvl>
    <w:lvl w:ilvl="2" w:tplc="041A0005" w:tentative="1">
      <w:start w:val="1"/>
      <w:numFmt w:val="bullet"/>
      <w:lvlText w:val=""/>
      <w:lvlJc w:val="left"/>
      <w:pPr>
        <w:ind w:left="3077" w:hanging="360"/>
      </w:pPr>
      <w:rPr>
        <w:rFonts w:ascii="Wingdings" w:hAnsi="Wingdings" w:hint="default"/>
      </w:rPr>
    </w:lvl>
    <w:lvl w:ilvl="3" w:tplc="041A0001" w:tentative="1">
      <w:start w:val="1"/>
      <w:numFmt w:val="bullet"/>
      <w:lvlText w:val=""/>
      <w:lvlJc w:val="left"/>
      <w:pPr>
        <w:ind w:left="3797" w:hanging="360"/>
      </w:pPr>
      <w:rPr>
        <w:rFonts w:ascii="Symbol" w:hAnsi="Symbol" w:hint="default"/>
      </w:rPr>
    </w:lvl>
    <w:lvl w:ilvl="4" w:tplc="041A0003" w:tentative="1">
      <w:start w:val="1"/>
      <w:numFmt w:val="bullet"/>
      <w:lvlText w:val="o"/>
      <w:lvlJc w:val="left"/>
      <w:pPr>
        <w:ind w:left="4517" w:hanging="360"/>
      </w:pPr>
      <w:rPr>
        <w:rFonts w:ascii="Courier New" w:hAnsi="Courier New" w:cs="Courier New" w:hint="default"/>
      </w:rPr>
    </w:lvl>
    <w:lvl w:ilvl="5" w:tplc="041A0005" w:tentative="1">
      <w:start w:val="1"/>
      <w:numFmt w:val="bullet"/>
      <w:lvlText w:val=""/>
      <w:lvlJc w:val="left"/>
      <w:pPr>
        <w:ind w:left="5237" w:hanging="360"/>
      </w:pPr>
      <w:rPr>
        <w:rFonts w:ascii="Wingdings" w:hAnsi="Wingdings" w:hint="default"/>
      </w:rPr>
    </w:lvl>
    <w:lvl w:ilvl="6" w:tplc="041A0001" w:tentative="1">
      <w:start w:val="1"/>
      <w:numFmt w:val="bullet"/>
      <w:lvlText w:val=""/>
      <w:lvlJc w:val="left"/>
      <w:pPr>
        <w:ind w:left="5957" w:hanging="360"/>
      </w:pPr>
      <w:rPr>
        <w:rFonts w:ascii="Symbol" w:hAnsi="Symbol" w:hint="default"/>
      </w:rPr>
    </w:lvl>
    <w:lvl w:ilvl="7" w:tplc="041A0003" w:tentative="1">
      <w:start w:val="1"/>
      <w:numFmt w:val="bullet"/>
      <w:lvlText w:val="o"/>
      <w:lvlJc w:val="left"/>
      <w:pPr>
        <w:ind w:left="6677" w:hanging="360"/>
      </w:pPr>
      <w:rPr>
        <w:rFonts w:ascii="Courier New" w:hAnsi="Courier New" w:cs="Courier New" w:hint="default"/>
      </w:rPr>
    </w:lvl>
    <w:lvl w:ilvl="8" w:tplc="041A0005" w:tentative="1">
      <w:start w:val="1"/>
      <w:numFmt w:val="bullet"/>
      <w:lvlText w:val=""/>
      <w:lvlJc w:val="left"/>
      <w:pPr>
        <w:ind w:left="7397" w:hanging="360"/>
      </w:pPr>
      <w:rPr>
        <w:rFonts w:ascii="Wingdings" w:hAnsi="Wingdings" w:hint="default"/>
      </w:rPr>
    </w:lvl>
  </w:abstractNum>
  <w:abstractNum w:abstractNumId="25" w15:restartNumberingAfterBreak="0">
    <w:nsid w:val="469875D2"/>
    <w:multiLevelType w:val="hybridMultilevel"/>
    <w:tmpl w:val="7AB86986"/>
    <w:lvl w:ilvl="0" w:tplc="041A0001">
      <w:start w:val="1"/>
      <w:numFmt w:val="bullet"/>
      <w:lvlText w:val=""/>
      <w:lvlJc w:val="left"/>
      <w:pPr>
        <w:ind w:left="720" w:hanging="360"/>
      </w:pPr>
      <w:rPr>
        <w:rFonts w:ascii="Symbol" w:hAnsi="Symbol" w:hint="default"/>
      </w:rPr>
    </w:lvl>
    <w:lvl w:ilvl="1" w:tplc="0C30D8E6">
      <w:start w:val="14"/>
      <w:numFmt w:val="bullet"/>
      <w:lvlText w:val="–"/>
      <w:lvlJc w:val="left"/>
      <w:pPr>
        <w:ind w:left="1440" w:hanging="360"/>
      </w:pPr>
      <w:rPr>
        <w:rFonts w:ascii="Times New Roman" w:eastAsia="SimSun" w:hAnsi="Times New Roman" w:cs="Times New Roman" w:hint="default"/>
      </w:rPr>
    </w:lvl>
    <w:lvl w:ilvl="2" w:tplc="B552B882">
      <w:start w:val="1"/>
      <w:numFmt w:val="lowerLetter"/>
      <w:lvlText w:val="%3)"/>
      <w:lvlJc w:val="left"/>
      <w:pPr>
        <w:ind w:left="2340" w:hanging="36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7BD5F23"/>
    <w:multiLevelType w:val="hybridMultilevel"/>
    <w:tmpl w:val="363ADB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975488D"/>
    <w:multiLevelType w:val="hybridMultilevel"/>
    <w:tmpl w:val="0B6CA5FC"/>
    <w:lvl w:ilvl="0" w:tplc="041A000F">
      <w:start w:val="1"/>
      <w:numFmt w:val="decimal"/>
      <w:lvlText w:val="%1."/>
      <w:lvlJc w:val="left"/>
      <w:pPr>
        <w:ind w:left="586" w:hanging="360"/>
      </w:pPr>
    </w:lvl>
    <w:lvl w:ilvl="1" w:tplc="041A0019" w:tentative="1">
      <w:start w:val="1"/>
      <w:numFmt w:val="lowerLetter"/>
      <w:lvlText w:val="%2."/>
      <w:lvlJc w:val="left"/>
      <w:pPr>
        <w:ind w:left="1306" w:hanging="360"/>
      </w:pPr>
    </w:lvl>
    <w:lvl w:ilvl="2" w:tplc="041A001B" w:tentative="1">
      <w:start w:val="1"/>
      <w:numFmt w:val="lowerRoman"/>
      <w:lvlText w:val="%3."/>
      <w:lvlJc w:val="right"/>
      <w:pPr>
        <w:ind w:left="2026" w:hanging="180"/>
      </w:pPr>
    </w:lvl>
    <w:lvl w:ilvl="3" w:tplc="041A000F" w:tentative="1">
      <w:start w:val="1"/>
      <w:numFmt w:val="decimal"/>
      <w:lvlText w:val="%4."/>
      <w:lvlJc w:val="left"/>
      <w:pPr>
        <w:ind w:left="2746" w:hanging="360"/>
      </w:pPr>
    </w:lvl>
    <w:lvl w:ilvl="4" w:tplc="041A0019" w:tentative="1">
      <w:start w:val="1"/>
      <w:numFmt w:val="lowerLetter"/>
      <w:lvlText w:val="%5."/>
      <w:lvlJc w:val="left"/>
      <w:pPr>
        <w:ind w:left="3466" w:hanging="360"/>
      </w:pPr>
    </w:lvl>
    <w:lvl w:ilvl="5" w:tplc="041A001B" w:tentative="1">
      <w:start w:val="1"/>
      <w:numFmt w:val="lowerRoman"/>
      <w:lvlText w:val="%6."/>
      <w:lvlJc w:val="right"/>
      <w:pPr>
        <w:ind w:left="4186" w:hanging="180"/>
      </w:pPr>
    </w:lvl>
    <w:lvl w:ilvl="6" w:tplc="041A000F" w:tentative="1">
      <w:start w:val="1"/>
      <w:numFmt w:val="decimal"/>
      <w:lvlText w:val="%7."/>
      <w:lvlJc w:val="left"/>
      <w:pPr>
        <w:ind w:left="4906" w:hanging="360"/>
      </w:pPr>
    </w:lvl>
    <w:lvl w:ilvl="7" w:tplc="041A0019" w:tentative="1">
      <w:start w:val="1"/>
      <w:numFmt w:val="lowerLetter"/>
      <w:lvlText w:val="%8."/>
      <w:lvlJc w:val="left"/>
      <w:pPr>
        <w:ind w:left="5626" w:hanging="360"/>
      </w:pPr>
    </w:lvl>
    <w:lvl w:ilvl="8" w:tplc="041A001B" w:tentative="1">
      <w:start w:val="1"/>
      <w:numFmt w:val="lowerRoman"/>
      <w:lvlText w:val="%9."/>
      <w:lvlJc w:val="right"/>
      <w:pPr>
        <w:ind w:left="6346" w:hanging="180"/>
      </w:pPr>
    </w:lvl>
  </w:abstractNum>
  <w:abstractNum w:abstractNumId="28" w15:restartNumberingAfterBreak="0">
    <w:nsid w:val="4A6A1898"/>
    <w:multiLevelType w:val="hybridMultilevel"/>
    <w:tmpl w:val="779AD7C8"/>
    <w:lvl w:ilvl="0" w:tplc="A5B6BA3A">
      <w:start w:val="1"/>
      <w:numFmt w:val="bullet"/>
      <w:lvlText w:val=""/>
      <w:lvlJc w:val="left"/>
      <w:pPr>
        <w:ind w:left="1571" w:hanging="360"/>
      </w:pPr>
      <w:rPr>
        <w:rFonts w:ascii="Symbol" w:hAnsi="Symbol" w:hint="default"/>
        <w:color w:val="auto"/>
      </w:rPr>
    </w:lvl>
    <w:lvl w:ilvl="1" w:tplc="041A0003" w:tentative="1">
      <w:start w:val="1"/>
      <w:numFmt w:val="bullet"/>
      <w:lvlText w:val="o"/>
      <w:lvlJc w:val="left"/>
      <w:pPr>
        <w:ind w:left="2291" w:hanging="360"/>
      </w:pPr>
      <w:rPr>
        <w:rFonts w:ascii="Courier New" w:hAnsi="Courier New" w:cs="Courier New" w:hint="default"/>
      </w:rPr>
    </w:lvl>
    <w:lvl w:ilvl="2" w:tplc="041A0005" w:tentative="1">
      <w:start w:val="1"/>
      <w:numFmt w:val="bullet"/>
      <w:lvlText w:val=""/>
      <w:lvlJc w:val="left"/>
      <w:pPr>
        <w:ind w:left="3011" w:hanging="360"/>
      </w:pPr>
      <w:rPr>
        <w:rFonts w:ascii="Wingdings" w:hAnsi="Wingdings" w:hint="default"/>
      </w:rPr>
    </w:lvl>
    <w:lvl w:ilvl="3" w:tplc="041A0001" w:tentative="1">
      <w:start w:val="1"/>
      <w:numFmt w:val="bullet"/>
      <w:lvlText w:val=""/>
      <w:lvlJc w:val="left"/>
      <w:pPr>
        <w:ind w:left="3731" w:hanging="360"/>
      </w:pPr>
      <w:rPr>
        <w:rFonts w:ascii="Symbol" w:hAnsi="Symbol" w:hint="default"/>
      </w:rPr>
    </w:lvl>
    <w:lvl w:ilvl="4" w:tplc="041A0003" w:tentative="1">
      <w:start w:val="1"/>
      <w:numFmt w:val="bullet"/>
      <w:lvlText w:val="o"/>
      <w:lvlJc w:val="left"/>
      <w:pPr>
        <w:ind w:left="4451" w:hanging="360"/>
      </w:pPr>
      <w:rPr>
        <w:rFonts w:ascii="Courier New" w:hAnsi="Courier New" w:cs="Courier New" w:hint="default"/>
      </w:rPr>
    </w:lvl>
    <w:lvl w:ilvl="5" w:tplc="041A0005" w:tentative="1">
      <w:start w:val="1"/>
      <w:numFmt w:val="bullet"/>
      <w:lvlText w:val=""/>
      <w:lvlJc w:val="left"/>
      <w:pPr>
        <w:ind w:left="5171" w:hanging="360"/>
      </w:pPr>
      <w:rPr>
        <w:rFonts w:ascii="Wingdings" w:hAnsi="Wingdings" w:hint="default"/>
      </w:rPr>
    </w:lvl>
    <w:lvl w:ilvl="6" w:tplc="041A0001" w:tentative="1">
      <w:start w:val="1"/>
      <w:numFmt w:val="bullet"/>
      <w:lvlText w:val=""/>
      <w:lvlJc w:val="left"/>
      <w:pPr>
        <w:ind w:left="5891" w:hanging="360"/>
      </w:pPr>
      <w:rPr>
        <w:rFonts w:ascii="Symbol" w:hAnsi="Symbol" w:hint="default"/>
      </w:rPr>
    </w:lvl>
    <w:lvl w:ilvl="7" w:tplc="041A0003" w:tentative="1">
      <w:start w:val="1"/>
      <w:numFmt w:val="bullet"/>
      <w:lvlText w:val="o"/>
      <w:lvlJc w:val="left"/>
      <w:pPr>
        <w:ind w:left="6611" w:hanging="360"/>
      </w:pPr>
      <w:rPr>
        <w:rFonts w:ascii="Courier New" w:hAnsi="Courier New" w:cs="Courier New" w:hint="default"/>
      </w:rPr>
    </w:lvl>
    <w:lvl w:ilvl="8" w:tplc="041A0005" w:tentative="1">
      <w:start w:val="1"/>
      <w:numFmt w:val="bullet"/>
      <w:lvlText w:val=""/>
      <w:lvlJc w:val="left"/>
      <w:pPr>
        <w:ind w:left="7331" w:hanging="360"/>
      </w:pPr>
      <w:rPr>
        <w:rFonts w:ascii="Wingdings" w:hAnsi="Wingdings" w:hint="default"/>
      </w:rPr>
    </w:lvl>
  </w:abstractNum>
  <w:abstractNum w:abstractNumId="29" w15:restartNumberingAfterBreak="0">
    <w:nsid w:val="4E6E0B0E"/>
    <w:multiLevelType w:val="hybridMultilevel"/>
    <w:tmpl w:val="83FCE24E"/>
    <w:lvl w:ilvl="0" w:tplc="6AF80E0A">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0" w15:restartNumberingAfterBreak="0">
    <w:nsid w:val="4EA30BC1"/>
    <w:multiLevelType w:val="hybridMultilevel"/>
    <w:tmpl w:val="92C2923C"/>
    <w:lvl w:ilvl="0" w:tplc="8716BCD4">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1003801"/>
    <w:multiLevelType w:val="hybridMultilevel"/>
    <w:tmpl w:val="6A78D3BC"/>
    <w:lvl w:ilvl="0" w:tplc="6AF80E0A">
      <w:start w:val="1"/>
      <w:numFmt w:val="bullet"/>
      <w:lvlText w:val=""/>
      <w:lvlJc w:val="left"/>
      <w:pPr>
        <w:ind w:left="360" w:hanging="360"/>
      </w:pPr>
      <w:rPr>
        <w:rFonts w:ascii="Symbol" w:hAnsi="Symbol"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2" w15:restartNumberingAfterBreak="0">
    <w:nsid w:val="531228CE"/>
    <w:multiLevelType w:val="hybridMultilevel"/>
    <w:tmpl w:val="477E2C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536C2ECE"/>
    <w:multiLevelType w:val="hybridMultilevel"/>
    <w:tmpl w:val="A064AF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54726387"/>
    <w:multiLevelType w:val="hybridMultilevel"/>
    <w:tmpl w:val="283CE0F2"/>
    <w:lvl w:ilvl="0" w:tplc="041A0001">
      <w:start w:val="1"/>
      <w:numFmt w:val="bullet"/>
      <w:lvlText w:val=""/>
      <w:lvlJc w:val="left"/>
      <w:pPr>
        <w:ind w:left="720" w:hanging="360"/>
      </w:pPr>
      <w:rPr>
        <w:rFonts w:ascii="Symbol" w:hAnsi="Symbol" w:hint="default"/>
      </w:rPr>
    </w:lvl>
    <w:lvl w:ilvl="1" w:tplc="A5B6BA3A">
      <w:start w:val="1"/>
      <w:numFmt w:val="bullet"/>
      <w:lvlText w:val=""/>
      <w:lvlJc w:val="left"/>
      <w:pPr>
        <w:ind w:left="1440" w:hanging="360"/>
      </w:pPr>
      <w:rPr>
        <w:rFonts w:ascii="Symbol" w:hAnsi="Symbol" w:hint="default"/>
        <w:color w:val="auto"/>
      </w:rPr>
    </w:lvl>
    <w:lvl w:ilvl="2" w:tplc="041A0003">
      <w:start w:val="1"/>
      <w:numFmt w:val="bullet"/>
      <w:lvlText w:val="o"/>
      <w:lvlJc w:val="left"/>
      <w:pPr>
        <w:ind w:left="2160" w:hanging="360"/>
      </w:pPr>
      <w:rPr>
        <w:rFonts w:ascii="Courier New" w:hAnsi="Courier New" w:cs="Courier New"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553102CF"/>
    <w:multiLevelType w:val="hybridMultilevel"/>
    <w:tmpl w:val="F6B651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57116560"/>
    <w:multiLevelType w:val="hybridMultilevel"/>
    <w:tmpl w:val="3764796A"/>
    <w:lvl w:ilvl="0" w:tplc="F222BB3A">
      <w:start w:val="1"/>
      <w:numFmt w:val="upperLetter"/>
      <w:lvlText w:val="%1)"/>
      <w:lvlJc w:val="left"/>
      <w:pPr>
        <w:ind w:left="1002" w:hanging="360"/>
      </w:pPr>
      <w:rPr>
        <w:rFonts w:hint="default"/>
        <w:b/>
        <w:i w:val="0"/>
      </w:rPr>
    </w:lvl>
    <w:lvl w:ilvl="1" w:tplc="041A0019" w:tentative="1">
      <w:start w:val="1"/>
      <w:numFmt w:val="lowerLetter"/>
      <w:lvlText w:val="%2."/>
      <w:lvlJc w:val="left"/>
      <w:pPr>
        <w:ind w:left="1722" w:hanging="360"/>
      </w:pPr>
    </w:lvl>
    <w:lvl w:ilvl="2" w:tplc="041A001B" w:tentative="1">
      <w:start w:val="1"/>
      <w:numFmt w:val="lowerRoman"/>
      <w:lvlText w:val="%3."/>
      <w:lvlJc w:val="right"/>
      <w:pPr>
        <w:ind w:left="2442" w:hanging="180"/>
      </w:pPr>
    </w:lvl>
    <w:lvl w:ilvl="3" w:tplc="041A000F" w:tentative="1">
      <w:start w:val="1"/>
      <w:numFmt w:val="decimal"/>
      <w:lvlText w:val="%4."/>
      <w:lvlJc w:val="left"/>
      <w:pPr>
        <w:ind w:left="3162" w:hanging="360"/>
      </w:pPr>
    </w:lvl>
    <w:lvl w:ilvl="4" w:tplc="041A0019" w:tentative="1">
      <w:start w:val="1"/>
      <w:numFmt w:val="lowerLetter"/>
      <w:lvlText w:val="%5."/>
      <w:lvlJc w:val="left"/>
      <w:pPr>
        <w:ind w:left="3882" w:hanging="360"/>
      </w:pPr>
    </w:lvl>
    <w:lvl w:ilvl="5" w:tplc="041A001B" w:tentative="1">
      <w:start w:val="1"/>
      <w:numFmt w:val="lowerRoman"/>
      <w:lvlText w:val="%6."/>
      <w:lvlJc w:val="right"/>
      <w:pPr>
        <w:ind w:left="4602" w:hanging="180"/>
      </w:pPr>
    </w:lvl>
    <w:lvl w:ilvl="6" w:tplc="041A000F" w:tentative="1">
      <w:start w:val="1"/>
      <w:numFmt w:val="decimal"/>
      <w:lvlText w:val="%7."/>
      <w:lvlJc w:val="left"/>
      <w:pPr>
        <w:ind w:left="5322" w:hanging="360"/>
      </w:pPr>
    </w:lvl>
    <w:lvl w:ilvl="7" w:tplc="041A0019" w:tentative="1">
      <w:start w:val="1"/>
      <w:numFmt w:val="lowerLetter"/>
      <w:lvlText w:val="%8."/>
      <w:lvlJc w:val="left"/>
      <w:pPr>
        <w:ind w:left="6042" w:hanging="360"/>
      </w:pPr>
    </w:lvl>
    <w:lvl w:ilvl="8" w:tplc="041A001B" w:tentative="1">
      <w:start w:val="1"/>
      <w:numFmt w:val="lowerRoman"/>
      <w:lvlText w:val="%9."/>
      <w:lvlJc w:val="right"/>
      <w:pPr>
        <w:ind w:left="6762" w:hanging="180"/>
      </w:pPr>
    </w:lvl>
  </w:abstractNum>
  <w:abstractNum w:abstractNumId="37" w15:restartNumberingAfterBreak="0">
    <w:nsid w:val="574B1AC6"/>
    <w:multiLevelType w:val="hybridMultilevel"/>
    <w:tmpl w:val="73DC3182"/>
    <w:lvl w:ilvl="0" w:tplc="0C30D8E6">
      <w:start w:val="14"/>
      <w:numFmt w:val="bullet"/>
      <w:lvlText w:val="–"/>
      <w:lvlJc w:val="left"/>
      <w:pPr>
        <w:ind w:left="720" w:hanging="360"/>
      </w:pPr>
      <w:rPr>
        <w:rFonts w:ascii="Times New Roman" w:eastAsia="SimSu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58376CAB"/>
    <w:multiLevelType w:val="hybridMultilevel"/>
    <w:tmpl w:val="454020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5AE665D5"/>
    <w:multiLevelType w:val="hybridMultilevel"/>
    <w:tmpl w:val="ED2C4D22"/>
    <w:lvl w:ilvl="0" w:tplc="0C30D8E6">
      <w:start w:val="14"/>
      <w:numFmt w:val="bullet"/>
      <w:lvlText w:val="–"/>
      <w:lvlJc w:val="left"/>
      <w:pPr>
        <w:ind w:left="720" w:hanging="360"/>
      </w:pPr>
      <w:rPr>
        <w:rFonts w:ascii="Times New Roman" w:eastAsia="SimSu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5BA356D6"/>
    <w:multiLevelType w:val="multilevel"/>
    <w:tmpl w:val="D5A0E5B8"/>
    <w:lvl w:ilvl="0">
      <w:start w:val="1"/>
      <w:numFmt w:val="decimal"/>
      <w:lvlText w:val="%1."/>
      <w:lvlJc w:val="left"/>
      <w:pPr>
        <w:ind w:left="720" w:hanging="360"/>
      </w:pPr>
      <w:rPr>
        <w:rFonts w:hint="default"/>
      </w:rPr>
    </w:lvl>
    <w:lvl w:ilvl="1">
      <w:start w:val="1"/>
      <w:numFmt w:val="decimal"/>
      <w:isLgl/>
      <w:lvlText w:val="%1.%2."/>
      <w:lvlJc w:val="left"/>
      <w:pPr>
        <w:ind w:left="1114"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1" w15:restartNumberingAfterBreak="0">
    <w:nsid w:val="5F1869DF"/>
    <w:multiLevelType w:val="hybridMultilevel"/>
    <w:tmpl w:val="D460E852"/>
    <w:lvl w:ilvl="0" w:tplc="A5B6BA3A">
      <w:start w:val="1"/>
      <w:numFmt w:val="bullet"/>
      <w:lvlText w:val=""/>
      <w:lvlJc w:val="left"/>
      <w:pPr>
        <w:ind w:left="720" w:hanging="360"/>
      </w:pPr>
      <w:rPr>
        <w:rFonts w:ascii="Symbol" w:hAnsi="Symbol" w:hint="default"/>
        <w:color w:val="auto"/>
      </w:rPr>
    </w:lvl>
    <w:lvl w:ilvl="1" w:tplc="041A0001">
      <w:start w:val="1"/>
      <w:numFmt w:val="bullet"/>
      <w:lvlText w:val=""/>
      <w:lvlJc w:val="left"/>
      <w:pPr>
        <w:ind w:left="1440" w:hanging="360"/>
      </w:pPr>
      <w:rPr>
        <w:rFonts w:ascii="Symbol" w:hAnsi="Symbol" w:hint="default"/>
      </w:rPr>
    </w:lvl>
    <w:lvl w:ilvl="2" w:tplc="041A0003">
      <w:start w:val="1"/>
      <w:numFmt w:val="bullet"/>
      <w:lvlText w:val="o"/>
      <w:lvlJc w:val="left"/>
      <w:pPr>
        <w:ind w:left="2160" w:hanging="360"/>
      </w:pPr>
      <w:rPr>
        <w:rFonts w:ascii="Courier New" w:hAnsi="Courier New" w:cs="Courier New"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66DA74F1"/>
    <w:multiLevelType w:val="hybridMultilevel"/>
    <w:tmpl w:val="2DD6C02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3" w15:restartNumberingAfterBreak="0">
    <w:nsid w:val="69523100"/>
    <w:multiLevelType w:val="hybridMultilevel"/>
    <w:tmpl w:val="76ECBE2A"/>
    <w:lvl w:ilvl="0" w:tplc="041A0001">
      <w:start w:val="1"/>
      <w:numFmt w:val="bullet"/>
      <w:lvlText w:val=""/>
      <w:lvlJc w:val="left"/>
      <w:pPr>
        <w:ind w:left="720" w:hanging="360"/>
      </w:pPr>
      <w:rPr>
        <w:rFonts w:ascii="Symbol" w:hAnsi="Symbol" w:hint="default"/>
      </w:rPr>
    </w:lvl>
    <w:lvl w:ilvl="1" w:tplc="D5B6206C">
      <w:start w:val="1"/>
      <w:numFmt w:val="lowerLetter"/>
      <w:lvlText w:val="%2."/>
      <w:lvlJc w:val="left"/>
      <w:pPr>
        <w:ind w:left="1440" w:hanging="360"/>
      </w:pPr>
      <w:rPr>
        <w:rFonts w:ascii="Calibri" w:eastAsiaTheme="minorHAnsi" w:hAnsi="Calibri" w:cs="Calibri"/>
      </w:r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6A127D04"/>
    <w:multiLevelType w:val="hybridMultilevel"/>
    <w:tmpl w:val="295AC9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6B11353F"/>
    <w:multiLevelType w:val="hybridMultilevel"/>
    <w:tmpl w:val="C66224BC"/>
    <w:lvl w:ilvl="0" w:tplc="9024509A">
      <w:start w:val="3"/>
      <w:numFmt w:val="bullet"/>
      <w:lvlText w:val="-"/>
      <w:lvlJc w:val="left"/>
      <w:pPr>
        <w:ind w:left="720" w:hanging="360"/>
      </w:pPr>
      <w:rPr>
        <w:rFonts w:ascii="Calibri" w:eastAsiaTheme="minorEastAsia" w:hAnsi="Calibri" w:cstheme="minorHAns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6D175E3D"/>
    <w:multiLevelType w:val="hybridMultilevel"/>
    <w:tmpl w:val="3CE6BDB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6E087005"/>
    <w:multiLevelType w:val="hybridMultilevel"/>
    <w:tmpl w:val="6E5C39FA"/>
    <w:lvl w:ilvl="0" w:tplc="041A0001">
      <w:start w:val="1"/>
      <w:numFmt w:val="bullet"/>
      <w:lvlText w:val=""/>
      <w:lvlJc w:val="left"/>
      <w:pPr>
        <w:ind w:left="819" w:hanging="360"/>
      </w:pPr>
      <w:rPr>
        <w:rFonts w:ascii="Symbol" w:hAnsi="Symbol" w:hint="default"/>
      </w:rPr>
    </w:lvl>
    <w:lvl w:ilvl="1" w:tplc="041A0003" w:tentative="1">
      <w:start w:val="1"/>
      <w:numFmt w:val="bullet"/>
      <w:lvlText w:val="o"/>
      <w:lvlJc w:val="left"/>
      <w:pPr>
        <w:ind w:left="1539" w:hanging="360"/>
      </w:pPr>
      <w:rPr>
        <w:rFonts w:ascii="Courier New" w:hAnsi="Courier New" w:cs="Courier New" w:hint="default"/>
      </w:rPr>
    </w:lvl>
    <w:lvl w:ilvl="2" w:tplc="041A0005" w:tentative="1">
      <w:start w:val="1"/>
      <w:numFmt w:val="bullet"/>
      <w:lvlText w:val=""/>
      <w:lvlJc w:val="left"/>
      <w:pPr>
        <w:ind w:left="2259" w:hanging="360"/>
      </w:pPr>
      <w:rPr>
        <w:rFonts w:ascii="Wingdings" w:hAnsi="Wingdings" w:hint="default"/>
      </w:rPr>
    </w:lvl>
    <w:lvl w:ilvl="3" w:tplc="041A0001" w:tentative="1">
      <w:start w:val="1"/>
      <w:numFmt w:val="bullet"/>
      <w:lvlText w:val=""/>
      <w:lvlJc w:val="left"/>
      <w:pPr>
        <w:ind w:left="2979" w:hanging="360"/>
      </w:pPr>
      <w:rPr>
        <w:rFonts w:ascii="Symbol" w:hAnsi="Symbol" w:hint="default"/>
      </w:rPr>
    </w:lvl>
    <w:lvl w:ilvl="4" w:tplc="041A0003" w:tentative="1">
      <w:start w:val="1"/>
      <w:numFmt w:val="bullet"/>
      <w:lvlText w:val="o"/>
      <w:lvlJc w:val="left"/>
      <w:pPr>
        <w:ind w:left="3699" w:hanging="360"/>
      </w:pPr>
      <w:rPr>
        <w:rFonts w:ascii="Courier New" w:hAnsi="Courier New" w:cs="Courier New" w:hint="default"/>
      </w:rPr>
    </w:lvl>
    <w:lvl w:ilvl="5" w:tplc="041A0005" w:tentative="1">
      <w:start w:val="1"/>
      <w:numFmt w:val="bullet"/>
      <w:lvlText w:val=""/>
      <w:lvlJc w:val="left"/>
      <w:pPr>
        <w:ind w:left="4419" w:hanging="360"/>
      </w:pPr>
      <w:rPr>
        <w:rFonts w:ascii="Wingdings" w:hAnsi="Wingdings" w:hint="default"/>
      </w:rPr>
    </w:lvl>
    <w:lvl w:ilvl="6" w:tplc="041A0001" w:tentative="1">
      <w:start w:val="1"/>
      <w:numFmt w:val="bullet"/>
      <w:lvlText w:val=""/>
      <w:lvlJc w:val="left"/>
      <w:pPr>
        <w:ind w:left="5139" w:hanging="360"/>
      </w:pPr>
      <w:rPr>
        <w:rFonts w:ascii="Symbol" w:hAnsi="Symbol" w:hint="default"/>
      </w:rPr>
    </w:lvl>
    <w:lvl w:ilvl="7" w:tplc="041A0003" w:tentative="1">
      <w:start w:val="1"/>
      <w:numFmt w:val="bullet"/>
      <w:lvlText w:val="o"/>
      <w:lvlJc w:val="left"/>
      <w:pPr>
        <w:ind w:left="5859" w:hanging="360"/>
      </w:pPr>
      <w:rPr>
        <w:rFonts w:ascii="Courier New" w:hAnsi="Courier New" w:cs="Courier New" w:hint="default"/>
      </w:rPr>
    </w:lvl>
    <w:lvl w:ilvl="8" w:tplc="041A0005" w:tentative="1">
      <w:start w:val="1"/>
      <w:numFmt w:val="bullet"/>
      <w:lvlText w:val=""/>
      <w:lvlJc w:val="left"/>
      <w:pPr>
        <w:ind w:left="6579" w:hanging="360"/>
      </w:pPr>
      <w:rPr>
        <w:rFonts w:ascii="Wingdings" w:hAnsi="Wingdings" w:hint="default"/>
      </w:rPr>
    </w:lvl>
  </w:abstractNum>
  <w:abstractNum w:abstractNumId="48" w15:restartNumberingAfterBreak="0">
    <w:nsid w:val="6F7E0894"/>
    <w:multiLevelType w:val="hybridMultilevel"/>
    <w:tmpl w:val="69A8B4E2"/>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49" w15:restartNumberingAfterBreak="0">
    <w:nsid w:val="720C7A2E"/>
    <w:multiLevelType w:val="hybridMultilevel"/>
    <w:tmpl w:val="D7569F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756039A1"/>
    <w:multiLevelType w:val="hybridMultilevel"/>
    <w:tmpl w:val="0BB0D03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75F92F1C"/>
    <w:multiLevelType w:val="hybridMultilevel"/>
    <w:tmpl w:val="049893CE"/>
    <w:lvl w:ilvl="0" w:tplc="6AF80E0A">
      <w:start w:val="1"/>
      <w:numFmt w:val="bullet"/>
      <w:lvlText w:val=""/>
      <w:lvlJc w:val="left"/>
      <w:pPr>
        <w:ind w:left="360" w:hanging="360"/>
      </w:pPr>
      <w:rPr>
        <w:rFonts w:ascii="Symbol" w:hAnsi="Symbol"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2" w15:restartNumberingAfterBreak="0">
    <w:nsid w:val="76C65AA2"/>
    <w:multiLevelType w:val="hybridMultilevel"/>
    <w:tmpl w:val="A1D88A2C"/>
    <w:lvl w:ilvl="0" w:tplc="6AF80E0A">
      <w:start w:val="1"/>
      <w:numFmt w:val="bullet"/>
      <w:lvlText w:val=""/>
      <w:lvlJc w:val="left"/>
      <w:pPr>
        <w:ind w:left="360" w:hanging="360"/>
      </w:pPr>
      <w:rPr>
        <w:rFonts w:ascii="Symbol" w:hAnsi="Symbol"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3" w15:restartNumberingAfterBreak="0">
    <w:nsid w:val="7725105D"/>
    <w:multiLevelType w:val="hybridMultilevel"/>
    <w:tmpl w:val="073CE0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15:restartNumberingAfterBreak="0">
    <w:nsid w:val="799A5BEE"/>
    <w:multiLevelType w:val="hybridMultilevel"/>
    <w:tmpl w:val="E5EC35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15:restartNumberingAfterBreak="0">
    <w:nsid w:val="7C307DF2"/>
    <w:multiLevelType w:val="hybridMultilevel"/>
    <w:tmpl w:val="07BCFE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0"/>
  </w:num>
  <w:num w:numId="4">
    <w:abstractNumId w:val="29"/>
  </w:num>
  <w:num w:numId="5">
    <w:abstractNumId w:val="16"/>
  </w:num>
  <w:num w:numId="6">
    <w:abstractNumId w:val="4"/>
  </w:num>
  <w:num w:numId="7">
    <w:abstractNumId w:val="23"/>
  </w:num>
  <w:num w:numId="8">
    <w:abstractNumId w:val="48"/>
  </w:num>
  <w:num w:numId="9">
    <w:abstractNumId w:val="28"/>
  </w:num>
  <w:num w:numId="10">
    <w:abstractNumId w:val="54"/>
  </w:num>
  <w:num w:numId="11">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5"/>
  </w:num>
  <w:num w:numId="14">
    <w:abstractNumId w:val="13"/>
  </w:num>
  <w:num w:numId="15">
    <w:abstractNumId w:val="17"/>
  </w:num>
  <w:num w:numId="16">
    <w:abstractNumId w:val="9"/>
  </w:num>
  <w:num w:numId="17">
    <w:abstractNumId w:val="27"/>
  </w:num>
  <w:num w:numId="18">
    <w:abstractNumId w:val="53"/>
  </w:num>
  <w:num w:numId="19">
    <w:abstractNumId w:val="15"/>
  </w:num>
  <w:num w:numId="20">
    <w:abstractNumId w:val="39"/>
  </w:num>
  <w:num w:numId="21">
    <w:abstractNumId w:val="10"/>
  </w:num>
  <w:num w:numId="22">
    <w:abstractNumId w:val="31"/>
  </w:num>
  <w:num w:numId="23">
    <w:abstractNumId w:val="6"/>
  </w:num>
  <w:num w:numId="24">
    <w:abstractNumId w:val="51"/>
  </w:num>
  <w:num w:numId="25">
    <w:abstractNumId w:val="25"/>
  </w:num>
  <w:num w:numId="26">
    <w:abstractNumId w:val="33"/>
  </w:num>
  <w:num w:numId="27">
    <w:abstractNumId w:val="8"/>
  </w:num>
  <w:num w:numId="28">
    <w:abstractNumId w:val="49"/>
  </w:num>
  <w:num w:numId="29">
    <w:abstractNumId w:val="38"/>
  </w:num>
  <w:num w:numId="30">
    <w:abstractNumId w:val="26"/>
  </w:num>
  <w:num w:numId="31">
    <w:abstractNumId w:val="22"/>
  </w:num>
  <w:num w:numId="32">
    <w:abstractNumId w:val="55"/>
  </w:num>
  <w:num w:numId="33">
    <w:abstractNumId w:val="37"/>
  </w:num>
  <w:num w:numId="34">
    <w:abstractNumId w:val="30"/>
  </w:num>
  <w:num w:numId="35">
    <w:abstractNumId w:val="50"/>
  </w:num>
  <w:num w:numId="36">
    <w:abstractNumId w:val="2"/>
  </w:num>
  <w:num w:numId="37">
    <w:abstractNumId w:val="32"/>
  </w:num>
  <w:num w:numId="38">
    <w:abstractNumId w:val="42"/>
  </w:num>
  <w:num w:numId="39">
    <w:abstractNumId w:val="7"/>
  </w:num>
  <w:num w:numId="40">
    <w:abstractNumId w:val="20"/>
  </w:num>
  <w:num w:numId="41">
    <w:abstractNumId w:val="35"/>
  </w:num>
  <w:num w:numId="42">
    <w:abstractNumId w:val="36"/>
  </w:num>
  <w:num w:numId="43">
    <w:abstractNumId w:val="47"/>
  </w:num>
  <w:num w:numId="44">
    <w:abstractNumId w:val="44"/>
  </w:num>
  <w:num w:numId="45">
    <w:abstractNumId w:val="40"/>
  </w:num>
  <w:num w:numId="46">
    <w:abstractNumId w:val="12"/>
  </w:num>
  <w:num w:numId="47">
    <w:abstractNumId w:val="5"/>
  </w:num>
  <w:num w:numId="48">
    <w:abstractNumId w:val="24"/>
  </w:num>
  <w:num w:numId="49">
    <w:abstractNumId w:val="18"/>
  </w:num>
  <w:num w:numId="50">
    <w:abstractNumId w:val="34"/>
  </w:num>
  <w:num w:numId="51">
    <w:abstractNumId w:val="3"/>
  </w:num>
  <w:num w:numId="52">
    <w:abstractNumId w:val="41"/>
  </w:num>
  <w:num w:numId="53">
    <w:abstractNumId w:val="11"/>
  </w:num>
  <w:num w:numId="54">
    <w:abstractNumId w:val="21"/>
  </w:num>
  <w:num w:numId="55">
    <w:abstractNumId w:val="19"/>
  </w:num>
  <w:num w:numId="56">
    <w:abstractNumId w:val="4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1EB"/>
    <w:rsid w:val="00011A6D"/>
    <w:rsid w:val="0001411C"/>
    <w:rsid w:val="000166C0"/>
    <w:rsid w:val="0002048B"/>
    <w:rsid w:val="00025276"/>
    <w:rsid w:val="00050054"/>
    <w:rsid w:val="00062776"/>
    <w:rsid w:val="00065A16"/>
    <w:rsid w:val="00087224"/>
    <w:rsid w:val="000904C4"/>
    <w:rsid w:val="000A0638"/>
    <w:rsid w:val="000A17DE"/>
    <w:rsid w:val="000A7C34"/>
    <w:rsid w:val="000B0BBC"/>
    <w:rsid w:val="000B31F6"/>
    <w:rsid w:val="000C3AFC"/>
    <w:rsid w:val="000D1F63"/>
    <w:rsid w:val="000E1B0A"/>
    <w:rsid w:val="000E4A59"/>
    <w:rsid w:val="000E742D"/>
    <w:rsid w:val="000F2024"/>
    <w:rsid w:val="00105B6F"/>
    <w:rsid w:val="00106B1B"/>
    <w:rsid w:val="00111783"/>
    <w:rsid w:val="0012108C"/>
    <w:rsid w:val="0012149B"/>
    <w:rsid w:val="001218EE"/>
    <w:rsid w:val="00122AC0"/>
    <w:rsid w:val="001269F3"/>
    <w:rsid w:val="001272C0"/>
    <w:rsid w:val="00153C3F"/>
    <w:rsid w:val="00154966"/>
    <w:rsid w:val="0016769A"/>
    <w:rsid w:val="00175598"/>
    <w:rsid w:val="001A5FE1"/>
    <w:rsid w:val="001B2F7F"/>
    <w:rsid w:val="001B7BE6"/>
    <w:rsid w:val="001C044F"/>
    <w:rsid w:val="001E12A3"/>
    <w:rsid w:val="001E738D"/>
    <w:rsid w:val="001F63C3"/>
    <w:rsid w:val="002022AB"/>
    <w:rsid w:val="002246B1"/>
    <w:rsid w:val="002249E7"/>
    <w:rsid w:val="00230AE5"/>
    <w:rsid w:val="0023184B"/>
    <w:rsid w:val="00241E53"/>
    <w:rsid w:val="002454FD"/>
    <w:rsid w:val="00247174"/>
    <w:rsid w:val="0026050A"/>
    <w:rsid w:val="002615F4"/>
    <w:rsid w:val="002822F7"/>
    <w:rsid w:val="0028239F"/>
    <w:rsid w:val="00286384"/>
    <w:rsid w:val="002914EC"/>
    <w:rsid w:val="00294BB8"/>
    <w:rsid w:val="00295CC0"/>
    <w:rsid w:val="00297946"/>
    <w:rsid w:val="002A0E44"/>
    <w:rsid w:val="002A4818"/>
    <w:rsid w:val="002A606C"/>
    <w:rsid w:val="002A6A8A"/>
    <w:rsid w:val="002B5298"/>
    <w:rsid w:val="002C1080"/>
    <w:rsid w:val="002C4F50"/>
    <w:rsid w:val="002D0FD3"/>
    <w:rsid w:val="002D26F8"/>
    <w:rsid w:val="002E16D5"/>
    <w:rsid w:val="002E58E2"/>
    <w:rsid w:val="002F5375"/>
    <w:rsid w:val="002F7E68"/>
    <w:rsid w:val="00311C6C"/>
    <w:rsid w:val="003176FD"/>
    <w:rsid w:val="00321611"/>
    <w:rsid w:val="00321EA2"/>
    <w:rsid w:val="00322346"/>
    <w:rsid w:val="0032689F"/>
    <w:rsid w:val="003379A4"/>
    <w:rsid w:val="00342496"/>
    <w:rsid w:val="0035593C"/>
    <w:rsid w:val="00355A12"/>
    <w:rsid w:val="00357B66"/>
    <w:rsid w:val="0036205F"/>
    <w:rsid w:val="00365BAB"/>
    <w:rsid w:val="00370E98"/>
    <w:rsid w:val="00381984"/>
    <w:rsid w:val="00382D01"/>
    <w:rsid w:val="003833F1"/>
    <w:rsid w:val="00395FDB"/>
    <w:rsid w:val="00397E99"/>
    <w:rsid w:val="003A1BCD"/>
    <w:rsid w:val="003B6E1D"/>
    <w:rsid w:val="003C3448"/>
    <w:rsid w:val="003D2C4F"/>
    <w:rsid w:val="003D4251"/>
    <w:rsid w:val="003D47F7"/>
    <w:rsid w:val="003D59E2"/>
    <w:rsid w:val="003D7746"/>
    <w:rsid w:val="003E2369"/>
    <w:rsid w:val="003E3EE6"/>
    <w:rsid w:val="003E457B"/>
    <w:rsid w:val="003E557F"/>
    <w:rsid w:val="003E7939"/>
    <w:rsid w:val="003F29C6"/>
    <w:rsid w:val="003F46B7"/>
    <w:rsid w:val="003F72FD"/>
    <w:rsid w:val="00400391"/>
    <w:rsid w:val="004069A7"/>
    <w:rsid w:val="0040735B"/>
    <w:rsid w:val="00412272"/>
    <w:rsid w:val="004134B3"/>
    <w:rsid w:val="0041350B"/>
    <w:rsid w:val="00413FF9"/>
    <w:rsid w:val="0041511A"/>
    <w:rsid w:val="00425F63"/>
    <w:rsid w:val="00433D1E"/>
    <w:rsid w:val="004366C4"/>
    <w:rsid w:val="00440505"/>
    <w:rsid w:val="004746DC"/>
    <w:rsid w:val="004973C8"/>
    <w:rsid w:val="004A4135"/>
    <w:rsid w:val="004A7295"/>
    <w:rsid w:val="004B16A9"/>
    <w:rsid w:val="004B28F2"/>
    <w:rsid w:val="004C0219"/>
    <w:rsid w:val="004C05EC"/>
    <w:rsid w:val="004C3F12"/>
    <w:rsid w:val="004D7380"/>
    <w:rsid w:val="004E0936"/>
    <w:rsid w:val="004E6CEC"/>
    <w:rsid w:val="004E7B4D"/>
    <w:rsid w:val="004F631C"/>
    <w:rsid w:val="005044BC"/>
    <w:rsid w:val="00513E19"/>
    <w:rsid w:val="00523657"/>
    <w:rsid w:val="00524EC5"/>
    <w:rsid w:val="00526ECF"/>
    <w:rsid w:val="00527E83"/>
    <w:rsid w:val="00533CD7"/>
    <w:rsid w:val="00554252"/>
    <w:rsid w:val="005545CE"/>
    <w:rsid w:val="00570FC3"/>
    <w:rsid w:val="00590545"/>
    <w:rsid w:val="0059357C"/>
    <w:rsid w:val="005A0AAB"/>
    <w:rsid w:val="005B1D2D"/>
    <w:rsid w:val="005C34A2"/>
    <w:rsid w:val="005C4250"/>
    <w:rsid w:val="005E6BC2"/>
    <w:rsid w:val="005F11B5"/>
    <w:rsid w:val="005F5A42"/>
    <w:rsid w:val="00600605"/>
    <w:rsid w:val="00601949"/>
    <w:rsid w:val="00606829"/>
    <w:rsid w:val="0062621C"/>
    <w:rsid w:val="006274EC"/>
    <w:rsid w:val="00631A4C"/>
    <w:rsid w:val="00631AF6"/>
    <w:rsid w:val="006401C1"/>
    <w:rsid w:val="00644D08"/>
    <w:rsid w:val="00662D88"/>
    <w:rsid w:val="0066361F"/>
    <w:rsid w:val="00683917"/>
    <w:rsid w:val="0068665B"/>
    <w:rsid w:val="0069420F"/>
    <w:rsid w:val="00694559"/>
    <w:rsid w:val="006946EB"/>
    <w:rsid w:val="00694F43"/>
    <w:rsid w:val="006B488D"/>
    <w:rsid w:val="006B649D"/>
    <w:rsid w:val="006D1B74"/>
    <w:rsid w:val="006D520C"/>
    <w:rsid w:val="006F7590"/>
    <w:rsid w:val="00702551"/>
    <w:rsid w:val="00703DE9"/>
    <w:rsid w:val="007072DC"/>
    <w:rsid w:val="0071121B"/>
    <w:rsid w:val="00711DE1"/>
    <w:rsid w:val="0071361C"/>
    <w:rsid w:val="0071397F"/>
    <w:rsid w:val="0071707D"/>
    <w:rsid w:val="00722E10"/>
    <w:rsid w:val="007246EE"/>
    <w:rsid w:val="0072752D"/>
    <w:rsid w:val="00732413"/>
    <w:rsid w:val="007328D0"/>
    <w:rsid w:val="00744122"/>
    <w:rsid w:val="007479F6"/>
    <w:rsid w:val="00750D5B"/>
    <w:rsid w:val="00754055"/>
    <w:rsid w:val="00754449"/>
    <w:rsid w:val="00755EDA"/>
    <w:rsid w:val="00757404"/>
    <w:rsid w:val="00761E0C"/>
    <w:rsid w:val="00766A29"/>
    <w:rsid w:val="0077370C"/>
    <w:rsid w:val="00775E53"/>
    <w:rsid w:val="00776016"/>
    <w:rsid w:val="00776684"/>
    <w:rsid w:val="00781000"/>
    <w:rsid w:val="00781E09"/>
    <w:rsid w:val="00791176"/>
    <w:rsid w:val="007A7C32"/>
    <w:rsid w:val="007B6179"/>
    <w:rsid w:val="007C6A84"/>
    <w:rsid w:val="007C7E56"/>
    <w:rsid w:val="007D441C"/>
    <w:rsid w:val="007E7C3A"/>
    <w:rsid w:val="00800822"/>
    <w:rsid w:val="00803559"/>
    <w:rsid w:val="008040BC"/>
    <w:rsid w:val="00814BB4"/>
    <w:rsid w:val="00821307"/>
    <w:rsid w:val="008335EB"/>
    <w:rsid w:val="00842D30"/>
    <w:rsid w:val="00845547"/>
    <w:rsid w:val="008516AB"/>
    <w:rsid w:val="0085173D"/>
    <w:rsid w:val="00852A5E"/>
    <w:rsid w:val="0085421A"/>
    <w:rsid w:val="008577D8"/>
    <w:rsid w:val="00861CB8"/>
    <w:rsid w:val="00866B90"/>
    <w:rsid w:val="0087220D"/>
    <w:rsid w:val="00891F99"/>
    <w:rsid w:val="008A5CB4"/>
    <w:rsid w:val="008B34CD"/>
    <w:rsid w:val="008C48D2"/>
    <w:rsid w:val="008F5212"/>
    <w:rsid w:val="008F7E91"/>
    <w:rsid w:val="009129A1"/>
    <w:rsid w:val="00913F64"/>
    <w:rsid w:val="00926188"/>
    <w:rsid w:val="00926B29"/>
    <w:rsid w:val="0092706D"/>
    <w:rsid w:val="00933C9F"/>
    <w:rsid w:val="00936A6D"/>
    <w:rsid w:val="009371B8"/>
    <w:rsid w:val="0094151C"/>
    <w:rsid w:val="0094671B"/>
    <w:rsid w:val="00947AE4"/>
    <w:rsid w:val="00952462"/>
    <w:rsid w:val="00955D7D"/>
    <w:rsid w:val="0096088C"/>
    <w:rsid w:val="00961D73"/>
    <w:rsid w:val="00967589"/>
    <w:rsid w:val="009869DD"/>
    <w:rsid w:val="00991955"/>
    <w:rsid w:val="0099377E"/>
    <w:rsid w:val="00993AC8"/>
    <w:rsid w:val="009A1D8E"/>
    <w:rsid w:val="009A75C2"/>
    <w:rsid w:val="009B1B8B"/>
    <w:rsid w:val="009B3D60"/>
    <w:rsid w:val="009C2CB8"/>
    <w:rsid w:val="009D0D2E"/>
    <w:rsid w:val="009E00B0"/>
    <w:rsid w:val="009E12FB"/>
    <w:rsid w:val="009E2BE2"/>
    <w:rsid w:val="00A007AF"/>
    <w:rsid w:val="00A14857"/>
    <w:rsid w:val="00A22291"/>
    <w:rsid w:val="00A22CCA"/>
    <w:rsid w:val="00A35A03"/>
    <w:rsid w:val="00A459B5"/>
    <w:rsid w:val="00A62A09"/>
    <w:rsid w:val="00A80E63"/>
    <w:rsid w:val="00A82C1C"/>
    <w:rsid w:val="00A83B4F"/>
    <w:rsid w:val="00A85B7E"/>
    <w:rsid w:val="00A9048A"/>
    <w:rsid w:val="00AA0CE5"/>
    <w:rsid w:val="00AA41EB"/>
    <w:rsid w:val="00AA7A1C"/>
    <w:rsid w:val="00AB4C5B"/>
    <w:rsid w:val="00AC375F"/>
    <w:rsid w:val="00AC3B73"/>
    <w:rsid w:val="00AD2666"/>
    <w:rsid w:val="00AE13C5"/>
    <w:rsid w:val="00AE2383"/>
    <w:rsid w:val="00AE3CD5"/>
    <w:rsid w:val="00AE558F"/>
    <w:rsid w:val="00AF3738"/>
    <w:rsid w:val="00AF42DE"/>
    <w:rsid w:val="00AF61AF"/>
    <w:rsid w:val="00B1059C"/>
    <w:rsid w:val="00B1566C"/>
    <w:rsid w:val="00B2473D"/>
    <w:rsid w:val="00B432FB"/>
    <w:rsid w:val="00B5168D"/>
    <w:rsid w:val="00B54375"/>
    <w:rsid w:val="00B603B2"/>
    <w:rsid w:val="00B609FC"/>
    <w:rsid w:val="00B6377B"/>
    <w:rsid w:val="00B76A1D"/>
    <w:rsid w:val="00B82A50"/>
    <w:rsid w:val="00B91BF0"/>
    <w:rsid w:val="00B957ED"/>
    <w:rsid w:val="00BA499D"/>
    <w:rsid w:val="00BB3C58"/>
    <w:rsid w:val="00BC0E38"/>
    <w:rsid w:val="00BC748F"/>
    <w:rsid w:val="00BC7805"/>
    <w:rsid w:val="00BC7EE3"/>
    <w:rsid w:val="00BD699B"/>
    <w:rsid w:val="00BE4875"/>
    <w:rsid w:val="00BE6E42"/>
    <w:rsid w:val="00BF1479"/>
    <w:rsid w:val="00C02141"/>
    <w:rsid w:val="00C0219E"/>
    <w:rsid w:val="00C037B0"/>
    <w:rsid w:val="00C13757"/>
    <w:rsid w:val="00C16A0A"/>
    <w:rsid w:val="00C22BCA"/>
    <w:rsid w:val="00C25FC5"/>
    <w:rsid w:val="00C27A02"/>
    <w:rsid w:val="00C4086D"/>
    <w:rsid w:val="00C545B1"/>
    <w:rsid w:val="00C86676"/>
    <w:rsid w:val="00C97BCE"/>
    <w:rsid w:val="00CA45AB"/>
    <w:rsid w:val="00CC0396"/>
    <w:rsid w:val="00CD08DD"/>
    <w:rsid w:val="00CD285E"/>
    <w:rsid w:val="00CD7DB5"/>
    <w:rsid w:val="00CF0BB1"/>
    <w:rsid w:val="00CF3033"/>
    <w:rsid w:val="00CF7267"/>
    <w:rsid w:val="00D016D6"/>
    <w:rsid w:val="00D06011"/>
    <w:rsid w:val="00D07378"/>
    <w:rsid w:val="00D118DE"/>
    <w:rsid w:val="00D17C3F"/>
    <w:rsid w:val="00D17C81"/>
    <w:rsid w:val="00D22C59"/>
    <w:rsid w:val="00D24266"/>
    <w:rsid w:val="00D27AC0"/>
    <w:rsid w:val="00D32E64"/>
    <w:rsid w:val="00D331BE"/>
    <w:rsid w:val="00D43183"/>
    <w:rsid w:val="00D51ABC"/>
    <w:rsid w:val="00D60424"/>
    <w:rsid w:val="00D61F56"/>
    <w:rsid w:val="00D75B83"/>
    <w:rsid w:val="00D930B2"/>
    <w:rsid w:val="00DB07AD"/>
    <w:rsid w:val="00DB4D4E"/>
    <w:rsid w:val="00DC3D1B"/>
    <w:rsid w:val="00DC48D6"/>
    <w:rsid w:val="00DC7F6D"/>
    <w:rsid w:val="00DE0B61"/>
    <w:rsid w:val="00DE2DA5"/>
    <w:rsid w:val="00DE4EF2"/>
    <w:rsid w:val="00DE7AB9"/>
    <w:rsid w:val="00DF2920"/>
    <w:rsid w:val="00E11743"/>
    <w:rsid w:val="00E163F2"/>
    <w:rsid w:val="00E22139"/>
    <w:rsid w:val="00E242A7"/>
    <w:rsid w:val="00E24E11"/>
    <w:rsid w:val="00E409F2"/>
    <w:rsid w:val="00E45723"/>
    <w:rsid w:val="00E47C60"/>
    <w:rsid w:val="00E560D9"/>
    <w:rsid w:val="00E80A79"/>
    <w:rsid w:val="00E81ED9"/>
    <w:rsid w:val="00E83448"/>
    <w:rsid w:val="00E94878"/>
    <w:rsid w:val="00EA1914"/>
    <w:rsid w:val="00EA51C4"/>
    <w:rsid w:val="00EB0A20"/>
    <w:rsid w:val="00EC0685"/>
    <w:rsid w:val="00EC2396"/>
    <w:rsid w:val="00ED19A9"/>
    <w:rsid w:val="00EE6D1D"/>
    <w:rsid w:val="00EE77C7"/>
    <w:rsid w:val="00EF0816"/>
    <w:rsid w:val="00EF5040"/>
    <w:rsid w:val="00F00E3E"/>
    <w:rsid w:val="00F023A5"/>
    <w:rsid w:val="00F04CFA"/>
    <w:rsid w:val="00F121A7"/>
    <w:rsid w:val="00F2007B"/>
    <w:rsid w:val="00F2381B"/>
    <w:rsid w:val="00F257A0"/>
    <w:rsid w:val="00F4461B"/>
    <w:rsid w:val="00F45709"/>
    <w:rsid w:val="00F55907"/>
    <w:rsid w:val="00F60035"/>
    <w:rsid w:val="00F60C53"/>
    <w:rsid w:val="00F66724"/>
    <w:rsid w:val="00F73433"/>
    <w:rsid w:val="00F74A7F"/>
    <w:rsid w:val="00F74C8E"/>
    <w:rsid w:val="00F756EC"/>
    <w:rsid w:val="00F7661D"/>
    <w:rsid w:val="00F8005A"/>
    <w:rsid w:val="00F91E9B"/>
    <w:rsid w:val="00F9563C"/>
    <w:rsid w:val="00F96BE0"/>
    <w:rsid w:val="00F97B83"/>
    <w:rsid w:val="00FC30FA"/>
    <w:rsid w:val="00FE09CF"/>
    <w:rsid w:val="00FE219B"/>
    <w:rsid w:val="00FE3A7C"/>
    <w:rsid w:val="00FE77D6"/>
    <w:rsid w:val="00FF0B57"/>
    <w:rsid w:val="00FF165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50085D"/>
  <w15:chartTrackingRefBased/>
  <w15:docId w15:val="{B674ACAC-12A2-4554-AD31-69C599CA2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7D"/>
  </w:style>
  <w:style w:type="paragraph" w:styleId="Heading1">
    <w:name w:val="heading 1"/>
    <w:basedOn w:val="Normal"/>
    <w:next w:val="Normal"/>
    <w:link w:val="Heading1Char"/>
    <w:uiPriority w:val="9"/>
    <w:qFormat/>
    <w:rsid w:val="00AA41EB"/>
    <w:pPr>
      <w:keepNext/>
      <w:keepLines/>
      <w:spacing w:before="480" w:after="240"/>
      <w:outlineLvl w:val="0"/>
    </w:pPr>
    <w:rPr>
      <w:rFonts w:eastAsiaTheme="majorEastAsia" w:cstheme="minorHAnsi"/>
      <w:b/>
      <w:bCs/>
      <w:color w:val="4472C4" w:themeColor="accent5"/>
      <w:sz w:val="32"/>
      <w:szCs w:val="32"/>
    </w:rPr>
  </w:style>
  <w:style w:type="paragraph" w:styleId="Heading2">
    <w:name w:val="heading 2"/>
    <w:basedOn w:val="Heading1"/>
    <w:next w:val="Normal"/>
    <w:link w:val="Heading2Char"/>
    <w:uiPriority w:val="9"/>
    <w:unhideWhenUsed/>
    <w:qFormat/>
    <w:rsid w:val="00AA41EB"/>
    <w:pPr>
      <w:spacing w:before="240"/>
      <w:outlineLvl w:val="1"/>
    </w:pPr>
    <w:rPr>
      <w:b w:val="0"/>
    </w:rPr>
  </w:style>
  <w:style w:type="paragraph" w:styleId="Heading3">
    <w:name w:val="heading 3"/>
    <w:basedOn w:val="Heading1"/>
    <w:next w:val="Normal"/>
    <w:link w:val="Heading3Char"/>
    <w:uiPriority w:val="9"/>
    <w:unhideWhenUsed/>
    <w:qFormat/>
    <w:rsid w:val="00AA41EB"/>
    <w:pPr>
      <w:spacing w:before="240"/>
      <w:outlineLvl w:val="2"/>
    </w:pPr>
    <w:rPr>
      <w:b w:val="0"/>
      <w:sz w:val="28"/>
      <w:szCs w:val="28"/>
    </w:rPr>
  </w:style>
  <w:style w:type="paragraph" w:styleId="Heading4">
    <w:name w:val="heading 4"/>
    <w:basedOn w:val="Heading1"/>
    <w:next w:val="Normal"/>
    <w:link w:val="Heading4Char"/>
    <w:uiPriority w:val="9"/>
    <w:unhideWhenUsed/>
    <w:qFormat/>
    <w:rsid w:val="00AA41EB"/>
    <w:pPr>
      <w:spacing w:before="240"/>
      <w:outlineLvl w:val="3"/>
    </w:pPr>
    <w:rPr>
      <w:b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41EB"/>
    <w:rPr>
      <w:rFonts w:eastAsiaTheme="majorEastAsia" w:cstheme="minorHAnsi"/>
      <w:b/>
      <w:bCs/>
      <w:color w:val="4472C4" w:themeColor="accent5"/>
      <w:sz w:val="32"/>
      <w:szCs w:val="32"/>
    </w:rPr>
  </w:style>
  <w:style w:type="character" w:customStyle="1" w:styleId="Heading2Char">
    <w:name w:val="Heading 2 Char"/>
    <w:basedOn w:val="DefaultParagraphFont"/>
    <w:link w:val="Heading2"/>
    <w:uiPriority w:val="9"/>
    <w:rsid w:val="00AA41EB"/>
    <w:rPr>
      <w:rFonts w:eastAsiaTheme="majorEastAsia" w:cstheme="minorHAnsi"/>
      <w:bCs/>
      <w:color w:val="4472C4" w:themeColor="accent5"/>
      <w:sz w:val="32"/>
      <w:szCs w:val="32"/>
    </w:rPr>
  </w:style>
  <w:style w:type="character" w:customStyle="1" w:styleId="Heading3Char">
    <w:name w:val="Heading 3 Char"/>
    <w:basedOn w:val="DefaultParagraphFont"/>
    <w:link w:val="Heading3"/>
    <w:uiPriority w:val="9"/>
    <w:rsid w:val="00AA41EB"/>
    <w:rPr>
      <w:rFonts w:eastAsiaTheme="majorEastAsia" w:cstheme="minorHAnsi"/>
      <w:bCs/>
      <w:color w:val="4472C4" w:themeColor="accent5"/>
      <w:sz w:val="28"/>
      <w:szCs w:val="28"/>
    </w:rPr>
  </w:style>
  <w:style w:type="character" w:customStyle="1" w:styleId="Heading4Char">
    <w:name w:val="Heading 4 Char"/>
    <w:basedOn w:val="DefaultParagraphFont"/>
    <w:link w:val="Heading4"/>
    <w:uiPriority w:val="9"/>
    <w:rsid w:val="00AA41EB"/>
    <w:rPr>
      <w:rFonts w:eastAsiaTheme="majorEastAsia" w:cstheme="minorHAnsi"/>
      <w:bCs/>
      <w:color w:val="4472C4" w:themeColor="accent5"/>
      <w:sz w:val="28"/>
      <w:szCs w:val="28"/>
    </w:rPr>
  </w:style>
  <w:style w:type="character" w:styleId="Hyperlink">
    <w:name w:val="Hyperlink"/>
    <w:basedOn w:val="DefaultParagraphFont"/>
    <w:uiPriority w:val="99"/>
    <w:unhideWhenUsed/>
    <w:rsid w:val="00AA41EB"/>
    <w:rPr>
      <w:color w:val="4472C4" w:themeColor="accent5"/>
      <w:u w:val="single"/>
    </w:rPr>
  </w:style>
  <w:style w:type="paragraph" w:styleId="TOC1">
    <w:name w:val="toc 1"/>
    <w:basedOn w:val="Normal"/>
    <w:next w:val="Normal"/>
    <w:autoRedefine/>
    <w:uiPriority w:val="39"/>
    <w:unhideWhenUsed/>
    <w:qFormat/>
    <w:rsid w:val="00400391"/>
    <w:pPr>
      <w:tabs>
        <w:tab w:val="right" w:leader="dot" w:pos="9062"/>
      </w:tabs>
      <w:spacing w:before="240" w:after="120"/>
      <w:jc w:val="both"/>
    </w:pPr>
    <w:rPr>
      <w:rFonts w:cstheme="minorHAnsi"/>
      <w:b/>
      <w:bCs/>
      <w:sz w:val="20"/>
      <w:szCs w:val="20"/>
    </w:rPr>
  </w:style>
  <w:style w:type="paragraph" w:styleId="TOC2">
    <w:name w:val="toc 2"/>
    <w:basedOn w:val="Normal"/>
    <w:next w:val="Normal"/>
    <w:autoRedefine/>
    <w:uiPriority w:val="39"/>
    <w:unhideWhenUsed/>
    <w:qFormat/>
    <w:rsid w:val="00153C3F"/>
    <w:pPr>
      <w:tabs>
        <w:tab w:val="right" w:leader="dot" w:pos="9062"/>
      </w:tabs>
      <w:ind w:right="-142"/>
      <w:contextualSpacing/>
      <w:jc w:val="both"/>
    </w:pPr>
    <w:rPr>
      <w:rFonts w:cstheme="minorHAnsi"/>
      <w:iCs/>
      <w:sz w:val="20"/>
      <w:szCs w:val="20"/>
    </w:rPr>
  </w:style>
  <w:style w:type="paragraph" w:styleId="BalloonText">
    <w:name w:val="Balloon Text"/>
    <w:basedOn w:val="Normal"/>
    <w:link w:val="BalloonTextChar"/>
    <w:uiPriority w:val="99"/>
    <w:semiHidden/>
    <w:unhideWhenUsed/>
    <w:rsid w:val="00AA41EB"/>
    <w:rPr>
      <w:rFonts w:ascii="Tahoma" w:hAnsi="Tahoma" w:cs="Tahoma"/>
      <w:sz w:val="16"/>
      <w:szCs w:val="16"/>
    </w:rPr>
  </w:style>
  <w:style w:type="character" w:customStyle="1" w:styleId="BalloonTextChar">
    <w:name w:val="Balloon Text Char"/>
    <w:basedOn w:val="DefaultParagraphFont"/>
    <w:link w:val="BalloonText"/>
    <w:uiPriority w:val="99"/>
    <w:semiHidden/>
    <w:rsid w:val="00AA41EB"/>
    <w:rPr>
      <w:rFonts w:ascii="Tahoma" w:hAnsi="Tahoma" w:cs="Tahoma"/>
      <w:sz w:val="16"/>
      <w:szCs w:val="16"/>
    </w:rPr>
  </w:style>
  <w:style w:type="paragraph" w:styleId="Header">
    <w:name w:val="header"/>
    <w:basedOn w:val="Normal"/>
    <w:link w:val="HeaderChar"/>
    <w:uiPriority w:val="99"/>
    <w:unhideWhenUsed/>
    <w:rsid w:val="00AA41EB"/>
    <w:pPr>
      <w:tabs>
        <w:tab w:val="center" w:pos="4536"/>
        <w:tab w:val="right" w:pos="9072"/>
      </w:tabs>
    </w:pPr>
  </w:style>
  <w:style w:type="character" w:customStyle="1" w:styleId="HeaderChar">
    <w:name w:val="Header Char"/>
    <w:basedOn w:val="DefaultParagraphFont"/>
    <w:link w:val="Header"/>
    <w:uiPriority w:val="99"/>
    <w:rsid w:val="00AA41EB"/>
  </w:style>
  <w:style w:type="paragraph" w:styleId="Footer">
    <w:name w:val="footer"/>
    <w:basedOn w:val="Normal"/>
    <w:link w:val="FooterChar"/>
    <w:uiPriority w:val="99"/>
    <w:unhideWhenUsed/>
    <w:rsid w:val="00AA41EB"/>
    <w:pPr>
      <w:tabs>
        <w:tab w:val="center" w:pos="4536"/>
        <w:tab w:val="right" w:pos="9072"/>
      </w:tabs>
    </w:pPr>
  </w:style>
  <w:style w:type="character" w:customStyle="1" w:styleId="FooterChar">
    <w:name w:val="Footer Char"/>
    <w:basedOn w:val="DefaultParagraphFont"/>
    <w:link w:val="Footer"/>
    <w:uiPriority w:val="99"/>
    <w:rsid w:val="00AA41EB"/>
  </w:style>
  <w:style w:type="character" w:styleId="PageNumber">
    <w:name w:val="page number"/>
    <w:rsid w:val="00AA41EB"/>
  </w:style>
  <w:style w:type="paragraph" w:customStyle="1" w:styleId="Style88">
    <w:name w:val="Style88"/>
    <w:basedOn w:val="Normal"/>
    <w:rsid w:val="00AA41EB"/>
    <w:pPr>
      <w:widowControl w:val="0"/>
      <w:tabs>
        <w:tab w:val="center" w:pos="4818"/>
        <w:tab w:val="right" w:pos="9637"/>
      </w:tabs>
    </w:pPr>
    <w:rPr>
      <w:rFonts w:ascii="Arial" w:eastAsia="Times New Roman" w:hAnsi="Arial" w:cs="Times New Roman"/>
      <w:sz w:val="24"/>
      <w:szCs w:val="20"/>
    </w:rPr>
  </w:style>
  <w:style w:type="character" w:customStyle="1" w:styleId="Style2">
    <w:name w:val="Style2"/>
    <w:rsid w:val="00AA41EB"/>
    <w:rPr>
      <w:noProof w:val="0"/>
      <w:sz w:val="24"/>
      <w:lang w:val="hr-HR"/>
    </w:rPr>
  </w:style>
  <w:style w:type="paragraph" w:styleId="ListParagraph">
    <w:name w:val="List Paragraph"/>
    <w:basedOn w:val="Normal"/>
    <w:link w:val="ListParagraphChar"/>
    <w:uiPriority w:val="34"/>
    <w:qFormat/>
    <w:rsid w:val="00AA41EB"/>
    <w:pPr>
      <w:spacing w:before="200" w:after="200" w:line="276" w:lineRule="auto"/>
      <w:ind w:left="720"/>
      <w:contextualSpacing/>
    </w:pPr>
    <w:rPr>
      <w:rFonts w:eastAsiaTheme="minorEastAsia"/>
      <w:sz w:val="20"/>
      <w:szCs w:val="20"/>
    </w:rPr>
  </w:style>
  <w:style w:type="paragraph" w:styleId="BodyText2">
    <w:name w:val="Body Text 2"/>
    <w:basedOn w:val="Normal"/>
    <w:link w:val="BodyText2Char"/>
    <w:rsid w:val="00AA41EB"/>
    <w:pPr>
      <w:jc w:val="both"/>
    </w:pPr>
    <w:rPr>
      <w:rFonts w:ascii="Times New Roman" w:eastAsia="Times New Roman" w:hAnsi="Times New Roman" w:cs="Times New Roman"/>
      <w:bCs/>
      <w:sz w:val="24"/>
      <w:szCs w:val="24"/>
      <w:lang w:eastAsia="hr-HR"/>
    </w:rPr>
  </w:style>
  <w:style w:type="character" w:customStyle="1" w:styleId="BodyText2Char">
    <w:name w:val="Body Text 2 Char"/>
    <w:basedOn w:val="DefaultParagraphFont"/>
    <w:link w:val="BodyText2"/>
    <w:rsid w:val="00AA41EB"/>
    <w:rPr>
      <w:rFonts w:ascii="Times New Roman" w:eastAsia="Times New Roman" w:hAnsi="Times New Roman" w:cs="Times New Roman"/>
      <w:bCs/>
      <w:sz w:val="24"/>
      <w:szCs w:val="24"/>
      <w:lang w:eastAsia="hr-HR"/>
    </w:rPr>
  </w:style>
  <w:style w:type="paragraph" w:customStyle="1" w:styleId="t-9-8">
    <w:name w:val="t-9-8"/>
    <w:basedOn w:val="Normal"/>
    <w:rsid w:val="00AA41EB"/>
    <w:pPr>
      <w:spacing w:before="100" w:beforeAutospacing="1" w:after="100" w:afterAutospacing="1"/>
    </w:pPr>
    <w:rPr>
      <w:rFonts w:ascii="Times New Roman" w:eastAsia="Times New Roman" w:hAnsi="Times New Roman" w:cs="Times New Roman"/>
      <w:sz w:val="24"/>
      <w:szCs w:val="24"/>
      <w:lang w:eastAsia="hr-HR"/>
    </w:rPr>
  </w:style>
  <w:style w:type="character" w:styleId="CommentReference">
    <w:name w:val="annotation reference"/>
    <w:basedOn w:val="DefaultParagraphFont"/>
    <w:uiPriority w:val="99"/>
    <w:unhideWhenUsed/>
    <w:rsid w:val="00AA41EB"/>
    <w:rPr>
      <w:sz w:val="16"/>
      <w:szCs w:val="16"/>
    </w:rPr>
  </w:style>
  <w:style w:type="paragraph" w:styleId="CommentText">
    <w:name w:val="annotation text"/>
    <w:basedOn w:val="Normal"/>
    <w:link w:val="CommentTextChar"/>
    <w:uiPriority w:val="99"/>
    <w:unhideWhenUsed/>
    <w:rsid w:val="00AA41EB"/>
    <w:rPr>
      <w:sz w:val="20"/>
      <w:szCs w:val="20"/>
    </w:rPr>
  </w:style>
  <w:style w:type="character" w:customStyle="1" w:styleId="CommentTextChar">
    <w:name w:val="Comment Text Char"/>
    <w:basedOn w:val="DefaultParagraphFont"/>
    <w:link w:val="CommentText"/>
    <w:uiPriority w:val="99"/>
    <w:rsid w:val="00AA41EB"/>
    <w:rPr>
      <w:sz w:val="20"/>
      <w:szCs w:val="20"/>
    </w:rPr>
  </w:style>
  <w:style w:type="paragraph" w:styleId="CommentSubject">
    <w:name w:val="annotation subject"/>
    <w:basedOn w:val="CommentText"/>
    <w:next w:val="CommentText"/>
    <w:link w:val="CommentSubjectChar"/>
    <w:uiPriority w:val="99"/>
    <w:semiHidden/>
    <w:unhideWhenUsed/>
    <w:rsid w:val="00AA41EB"/>
    <w:rPr>
      <w:b/>
      <w:bCs/>
    </w:rPr>
  </w:style>
  <w:style w:type="character" w:customStyle="1" w:styleId="CommentSubjectChar">
    <w:name w:val="Comment Subject Char"/>
    <w:basedOn w:val="CommentTextChar"/>
    <w:link w:val="CommentSubject"/>
    <w:uiPriority w:val="99"/>
    <w:semiHidden/>
    <w:rsid w:val="00AA41EB"/>
    <w:rPr>
      <w:b/>
      <w:bCs/>
      <w:sz w:val="20"/>
      <w:szCs w:val="20"/>
    </w:rPr>
  </w:style>
  <w:style w:type="table" w:styleId="TableGrid">
    <w:name w:val="Table Grid"/>
    <w:basedOn w:val="TableNormal"/>
    <w:uiPriority w:val="59"/>
    <w:rsid w:val="00AA4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41EB"/>
    <w:pPr>
      <w:autoSpaceDE w:val="0"/>
      <w:autoSpaceDN w:val="0"/>
      <w:adjustRightInd w:val="0"/>
      <w:spacing w:before="200"/>
    </w:pPr>
    <w:rPr>
      <w:rFonts w:ascii="Times New Roman" w:eastAsia="Times New Roman" w:hAnsi="Times New Roman" w:cs="Times New Roman"/>
      <w:color w:val="000000"/>
      <w:sz w:val="24"/>
      <w:szCs w:val="24"/>
      <w:lang w:eastAsia="hr-HR"/>
    </w:rPr>
  </w:style>
  <w:style w:type="paragraph" w:styleId="NoSpacing">
    <w:name w:val="No Spacing"/>
    <w:basedOn w:val="Normal"/>
    <w:link w:val="NoSpacingChar"/>
    <w:uiPriority w:val="1"/>
    <w:qFormat/>
    <w:rsid w:val="00AA41EB"/>
    <w:rPr>
      <w:rFonts w:eastAsiaTheme="minorEastAsia"/>
      <w:sz w:val="20"/>
      <w:szCs w:val="20"/>
    </w:rPr>
  </w:style>
  <w:style w:type="character" w:customStyle="1" w:styleId="NoSpacingChar">
    <w:name w:val="No Spacing Char"/>
    <w:basedOn w:val="DefaultParagraphFont"/>
    <w:link w:val="NoSpacing"/>
    <w:uiPriority w:val="1"/>
    <w:rsid w:val="00AA41EB"/>
    <w:rPr>
      <w:rFonts w:eastAsiaTheme="minorEastAsia"/>
      <w:sz w:val="20"/>
      <w:szCs w:val="20"/>
    </w:rPr>
  </w:style>
  <w:style w:type="paragraph" w:customStyle="1" w:styleId="BodyTextCxMP">
    <w:name w:val="Body Text (CxMP)"/>
    <w:basedOn w:val="Normal"/>
    <w:uiPriority w:val="99"/>
    <w:rsid w:val="00AA41EB"/>
    <w:pPr>
      <w:spacing w:after="140" w:line="280" w:lineRule="atLeast"/>
      <w:ind w:left="992"/>
    </w:pPr>
    <w:rPr>
      <w:rFonts w:ascii="Verdana" w:hAnsi="Verdana" w:cs="Times New Roman"/>
      <w:sz w:val="18"/>
      <w:szCs w:val="18"/>
      <w:lang w:eastAsia="hr-HR"/>
    </w:rPr>
  </w:style>
  <w:style w:type="character" w:customStyle="1" w:styleId="hvr">
    <w:name w:val="hvr"/>
    <w:basedOn w:val="DefaultParagraphFont"/>
    <w:rsid w:val="00AA41EB"/>
  </w:style>
  <w:style w:type="character" w:customStyle="1" w:styleId="apple-converted-space">
    <w:name w:val="apple-converted-space"/>
    <w:basedOn w:val="DefaultParagraphFont"/>
    <w:rsid w:val="00AA41EB"/>
  </w:style>
  <w:style w:type="character" w:styleId="Strong">
    <w:name w:val="Strong"/>
    <w:basedOn w:val="DefaultParagraphFont"/>
    <w:uiPriority w:val="22"/>
    <w:qFormat/>
    <w:rsid w:val="00AA41EB"/>
    <w:rPr>
      <w:b/>
      <w:bCs/>
    </w:rPr>
  </w:style>
  <w:style w:type="paragraph" w:styleId="HTMLPreformatted">
    <w:name w:val="HTML Preformatted"/>
    <w:basedOn w:val="Normal"/>
    <w:link w:val="HTMLPreformattedChar"/>
    <w:uiPriority w:val="99"/>
    <w:unhideWhenUsed/>
    <w:rsid w:val="00AA4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hr-HR"/>
    </w:rPr>
  </w:style>
  <w:style w:type="character" w:customStyle="1" w:styleId="HTMLPreformattedChar">
    <w:name w:val="HTML Preformatted Char"/>
    <w:basedOn w:val="DefaultParagraphFont"/>
    <w:link w:val="HTMLPreformatted"/>
    <w:uiPriority w:val="99"/>
    <w:rsid w:val="00AA41EB"/>
    <w:rPr>
      <w:rFonts w:ascii="Courier New" w:eastAsia="Times New Roman" w:hAnsi="Courier New" w:cs="Courier New"/>
      <w:sz w:val="20"/>
      <w:szCs w:val="20"/>
      <w:lang w:eastAsia="hr-HR"/>
    </w:rPr>
  </w:style>
  <w:style w:type="paragraph" w:styleId="Revision">
    <w:name w:val="Revision"/>
    <w:hidden/>
    <w:uiPriority w:val="99"/>
    <w:semiHidden/>
    <w:rsid w:val="00AA41EB"/>
  </w:style>
  <w:style w:type="paragraph" w:styleId="Caption">
    <w:name w:val="caption"/>
    <w:basedOn w:val="Normal"/>
    <w:next w:val="Normal"/>
    <w:uiPriority w:val="35"/>
    <w:unhideWhenUsed/>
    <w:qFormat/>
    <w:rsid w:val="00AA41EB"/>
    <w:pPr>
      <w:spacing w:after="200"/>
    </w:pPr>
    <w:rPr>
      <w:b/>
      <w:bCs/>
      <w:color w:val="5B9BD5" w:themeColor="accent1"/>
      <w:sz w:val="18"/>
      <w:szCs w:val="18"/>
    </w:rPr>
  </w:style>
  <w:style w:type="paragraph" w:styleId="TOCHeading">
    <w:name w:val="TOC Heading"/>
    <w:basedOn w:val="Heading1"/>
    <w:next w:val="Normal"/>
    <w:uiPriority w:val="39"/>
    <w:unhideWhenUsed/>
    <w:qFormat/>
    <w:rsid w:val="00AA41EB"/>
    <w:pPr>
      <w:spacing w:after="0" w:line="276" w:lineRule="auto"/>
      <w:outlineLvl w:val="9"/>
    </w:pPr>
    <w:rPr>
      <w:rFonts w:asciiTheme="majorHAnsi" w:hAnsiTheme="majorHAnsi" w:cstheme="majorBidi"/>
      <w:color w:val="2E74B5" w:themeColor="accent1" w:themeShade="BF"/>
      <w:sz w:val="28"/>
      <w:szCs w:val="28"/>
      <w:lang w:eastAsia="hr-HR"/>
    </w:rPr>
  </w:style>
  <w:style w:type="paragraph" w:styleId="TOC3">
    <w:name w:val="toc 3"/>
    <w:basedOn w:val="Normal"/>
    <w:next w:val="Normal"/>
    <w:autoRedefine/>
    <w:uiPriority w:val="39"/>
    <w:unhideWhenUsed/>
    <w:qFormat/>
    <w:rsid w:val="00754055"/>
    <w:pPr>
      <w:tabs>
        <w:tab w:val="right" w:leader="dot" w:pos="9072"/>
      </w:tabs>
      <w:ind w:left="442"/>
      <w:contextualSpacing/>
      <w:jc w:val="both"/>
    </w:pPr>
    <w:rPr>
      <w:rFonts w:cstheme="minorHAnsi"/>
      <w:sz w:val="20"/>
      <w:szCs w:val="20"/>
    </w:rPr>
  </w:style>
  <w:style w:type="paragraph" w:customStyle="1" w:styleId="Naslov11">
    <w:name w:val="Naslov 11"/>
    <w:basedOn w:val="Normal"/>
    <w:rsid w:val="00AA41EB"/>
    <w:pPr>
      <w:numPr>
        <w:numId w:val="1"/>
      </w:numPr>
    </w:pPr>
  </w:style>
  <w:style w:type="paragraph" w:customStyle="1" w:styleId="Naslov21">
    <w:name w:val="Naslov 21"/>
    <w:basedOn w:val="Normal"/>
    <w:rsid w:val="00AA41EB"/>
    <w:pPr>
      <w:numPr>
        <w:ilvl w:val="1"/>
        <w:numId w:val="1"/>
      </w:numPr>
    </w:pPr>
  </w:style>
  <w:style w:type="paragraph" w:customStyle="1" w:styleId="Naslov31">
    <w:name w:val="Naslov 31"/>
    <w:basedOn w:val="Normal"/>
    <w:rsid w:val="00AA41EB"/>
    <w:pPr>
      <w:numPr>
        <w:ilvl w:val="2"/>
        <w:numId w:val="1"/>
      </w:numPr>
    </w:pPr>
  </w:style>
  <w:style w:type="paragraph" w:customStyle="1" w:styleId="Naslov41">
    <w:name w:val="Naslov 41"/>
    <w:basedOn w:val="Normal"/>
    <w:rsid w:val="00AA41EB"/>
    <w:pPr>
      <w:numPr>
        <w:ilvl w:val="3"/>
        <w:numId w:val="1"/>
      </w:numPr>
    </w:pPr>
  </w:style>
  <w:style w:type="paragraph" w:customStyle="1" w:styleId="Naslov51">
    <w:name w:val="Naslov 51"/>
    <w:basedOn w:val="Normal"/>
    <w:rsid w:val="00AA41EB"/>
    <w:pPr>
      <w:numPr>
        <w:ilvl w:val="4"/>
        <w:numId w:val="1"/>
      </w:numPr>
    </w:pPr>
  </w:style>
  <w:style w:type="paragraph" w:customStyle="1" w:styleId="Naslov61">
    <w:name w:val="Naslov 61"/>
    <w:basedOn w:val="Normal"/>
    <w:rsid w:val="00AA41EB"/>
    <w:pPr>
      <w:numPr>
        <w:ilvl w:val="5"/>
        <w:numId w:val="1"/>
      </w:numPr>
    </w:pPr>
  </w:style>
  <w:style w:type="paragraph" w:customStyle="1" w:styleId="Naslov71">
    <w:name w:val="Naslov 71"/>
    <w:basedOn w:val="Normal"/>
    <w:rsid w:val="00AA41EB"/>
    <w:pPr>
      <w:numPr>
        <w:ilvl w:val="6"/>
        <w:numId w:val="1"/>
      </w:numPr>
    </w:pPr>
  </w:style>
  <w:style w:type="paragraph" w:customStyle="1" w:styleId="Naslov81">
    <w:name w:val="Naslov 81"/>
    <w:basedOn w:val="Normal"/>
    <w:rsid w:val="00AA41EB"/>
    <w:pPr>
      <w:numPr>
        <w:ilvl w:val="7"/>
        <w:numId w:val="1"/>
      </w:numPr>
    </w:pPr>
  </w:style>
  <w:style w:type="paragraph" w:customStyle="1" w:styleId="Naslov91">
    <w:name w:val="Naslov 91"/>
    <w:basedOn w:val="Normal"/>
    <w:rsid w:val="00AA41EB"/>
    <w:pPr>
      <w:numPr>
        <w:ilvl w:val="8"/>
        <w:numId w:val="1"/>
      </w:numPr>
    </w:pPr>
  </w:style>
  <w:style w:type="paragraph" w:styleId="NormalWeb">
    <w:name w:val="Normal (Web)"/>
    <w:basedOn w:val="Normal"/>
    <w:uiPriority w:val="99"/>
    <w:unhideWhenUsed/>
    <w:rsid w:val="00AA41EB"/>
    <w:pPr>
      <w:spacing w:before="100" w:beforeAutospacing="1" w:after="100" w:afterAutospacing="1"/>
    </w:pPr>
    <w:rPr>
      <w:rFonts w:ascii="Times New Roman" w:eastAsia="Times New Roman" w:hAnsi="Times New Roman" w:cs="Times New Roman"/>
      <w:sz w:val="24"/>
      <w:szCs w:val="24"/>
      <w:lang w:eastAsia="hr-HR"/>
    </w:rPr>
  </w:style>
  <w:style w:type="character" w:customStyle="1" w:styleId="st">
    <w:name w:val="st"/>
    <w:basedOn w:val="DefaultParagraphFont"/>
    <w:rsid w:val="00AA41EB"/>
  </w:style>
  <w:style w:type="character" w:styleId="FollowedHyperlink">
    <w:name w:val="FollowedHyperlink"/>
    <w:basedOn w:val="DefaultParagraphFont"/>
    <w:uiPriority w:val="99"/>
    <w:semiHidden/>
    <w:unhideWhenUsed/>
    <w:rsid w:val="00AA41EB"/>
    <w:rPr>
      <w:color w:val="954F72" w:themeColor="followedHyperlink"/>
      <w:u w:val="single"/>
    </w:rPr>
  </w:style>
  <w:style w:type="character" w:styleId="Emphasis">
    <w:name w:val="Emphasis"/>
    <w:basedOn w:val="DefaultParagraphFont"/>
    <w:uiPriority w:val="20"/>
    <w:qFormat/>
    <w:rsid w:val="00AA41EB"/>
    <w:rPr>
      <w:i/>
      <w:iCs/>
    </w:rPr>
  </w:style>
  <w:style w:type="paragraph" w:styleId="TOC4">
    <w:name w:val="toc 4"/>
    <w:basedOn w:val="Normal"/>
    <w:next w:val="Normal"/>
    <w:autoRedefine/>
    <w:uiPriority w:val="39"/>
    <w:unhideWhenUsed/>
    <w:rsid w:val="00AA41EB"/>
    <w:pPr>
      <w:ind w:left="660"/>
    </w:pPr>
    <w:rPr>
      <w:rFonts w:cstheme="minorHAnsi"/>
      <w:sz w:val="20"/>
      <w:szCs w:val="20"/>
    </w:rPr>
  </w:style>
  <w:style w:type="paragraph" w:styleId="TOC5">
    <w:name w:val="toc 5"/>
    <w:basedOn w:val="Normal"/>
    <w:next w:val="Normal"/>
    <w:autoRedefine/>
    <w:uiPriority w:val="39"/>
    <w:unhideWhenUsed/>
    <w:rsid w:val="00AA41EB"/>
    <w:pPr>
      <w:ind w:left="880"/>
    </w:pPr>
    <w:rPr>
      <w:rFonts w:cstheme="minorHAnsi"/>
      <w:sz w:val="20"/>
      <w:szCs w:val="20"/>
    </w:rPr>
  </w:style>
  <w:style w:type="paragraph" w:styleId="TOC6">
    <w:name w:val="toc 6"/>
    <w:basedOn w:val="Normal"/>
    <w:next w:val="Normal"/>
    <w:autoRedefine/>
    <w:uiPriority w:val="39"/>
    <w:unhideWhenUsed/>
    <w:rsid w:val="00AA41EB"/>
    <w:pPr>
      <w:ind w:left="1100"/>
    </w:pPr>
    <w:rPr>
      <w:rFonts w:cstheme="minorHAnsi"/>
      <w:sz w:val="20"/>
      <w:szCs w:val="20"/>
    </w:rPr>
  </w:style>
  <w:style w:type="paragraph" w:styleId="TOC7">
    <w:name w:val="toc 7"/>
    <w:basedOn w:val="Normal"/>
    <w:next w:val="Normal"/>
    <w:autoRedefine/>
    <w:uiPriority w:val="39"/>
    <w:unhideWhenUsed/>
    <w:rsid w:val="00AA41EB"/>
    <w:pPr>
      <w:ind w:left="1320"/>
    </w:pPr>
    <w:rPr>
      <w:rFonts w:cstheme="minorHAnsi"/>
      <w:sz w:val="20"/>
      <w:szCs w:val="20"/>
    </w:rPr>
  </w:style>
  <w:style w:type="paragraph" w:styleId="TOC8">
    <w:name w:val="toc 8"/>
    <w:basedOn w:val="Normal"/>
    <w:next w:val="Normal"/>
    <w:autoRedefine/>
    <w:uiPriority w:val="39"/>
    <w:unhideWhenUsed/>
    <w:rsid w:val="00AA41EB"/>
    <w:pPr>
      <w:ind w:left="1540"/>
    </w:pPr>
    <w:rPr>
      <w:rFonts w:cstheme="minorHAnsi"/>
      <w:sz w:val="20"/>
      <w:szCs w:val="20"/>
    </w:rPr>
  </w:style>
  <w:style w:type="paragraph" w:styleId="TOC9">
    <w:name w:val="toc 9"/>
    <w:basedOn w:val="Normal"/>
    <w:next w:val="Normal"/>
    <w:autoRedefine/>
    <w:uiPriority w:val="39"/>
    <w:unhideWhenUsed/>
    <w:rsid w:val="00AA41EB"/>
    <w:pPr>
      <w:ind w:left="1760"/>
    </w:pPr>
    <w:rPr>
      <w:rFonts w:cstheme="minorHAnsi"/>
      <w:sz w:val="20"/>
      <w:szCs w:val="20"/>
    </w:rPr>
  </w:style>
  <w:style w:type="paragraph" w:customStyle="1" w:styleId="Date1">
    <w:name w:val="Date1"/>
    <w:basedOn w:val="Normal"/>
    <w:rsid w:val="00AA41EB"/>
    <w:pPr>
      <w:spacing w:before="100" w:beforeAutospacing="1" w:after="100" w:afterAutospacing="1"/>
    </w:pPr>
    <w:rPr>
      <w:rFonts w:ascii="Times New Roman" w:eastAsia="Times New Roman" w:hAnsi="Times New Roman" w:cs="Times New Roman"/>
      <w:sz w:val="24"/>
      <w:szCs w:val="24"/>
      <w:lang w:eastAsia="hr-HR"/>
    </w:rPr>
  </w:style>
  <w:style w:type="paragraph" w:styleId="FootnoteText">
    <w:name w:val="footnote text"/>
    <w:basedOn w:val="Normal"/>
    <w:link w:val="FootnoteTextChar"/>
    <w:uiPriority w:val="99"/>
    <w:unhideWhenUsed/>
    <w:rsid w:val="00AA41EB"/>
    <w:rPr>
      <w:sz w:val="20"/>
      <w:szCs w:val="20"/>
    </w:rPr>
  </w:style>
  <w:style w:type="character" w:customStyle="1" w:styleId="FootnoteTextChar">
    <w:name w:val="Footnote Text Char"/>
    <w:basedOn w:val="DefaultParagraphFont"/>
    <w:link w:val="FootnoteText"/>
    <w:uiPriority w:val="99"/>
    <w:rsid w:val="00AA41EB"/>
    <w:rPr>
      <w:sz w:val="20"/>
      <w:szCs w:val="20"/>
    </w:rPr>
  </w:style>
  <w:style w:type="character" w:styleId="FootnoteReference">
    <w:name w:val="footnote reference"/>
    <w:basedOn w:val="DefaultParagraphFont"/>
    <w:uiPriority w:val="99"/>
    <w:semiHidden/>
    <w:unhideWhenUsed/>
    <w:rsid w:val="00AA41EB"/>
    <w:rPr>
      <w:vertAlign w:val="superscript"/>
    </w:rPr>
  </w:style>
  <w:style w:type="paragraph" w:styleId="EndnoteText">
    <w:name w:val="endnote text"/>
    <w:basedOn w:val="Normal"/>
    <w:link w:val="EndnoteTextChar"/>
    <w:uiPriority w:val="99"/>
    <w:semiHidden/>
    <w:unhideWhenUsed/>
    <w:rsid w:val="00AA41EB"/>
    <w:rPr>
      <w:sz w:val="20"/>
      <w:szCs w:val="20"/>
    </w:rPr>
  </w:style>
  <w:style w:type="character" w:customStyle="1" w:styleId="EndnoteTextChar">
    <w:name w:val="Endnote Text Char"/>
    <w:basedOn w:val="DefaultParagraphFont"/>
    <w:link w:val="EndnoteText"/>
    <w:uiPriority w:val="99"/>
    <w:semiHidden/>
    <w:rsid w:val="00AA41EB"/>
    <w:rPr>
      <w:sz w:val="20"/>
      <w:szCs w:val="20"/>
    </w:rPr>
  </w:style>
  <w:style w:type="character" w:styleId="EndnoteReference">
    <w:name w:val="endnote reference"/>
    <w:basedOn w:val="DefaultParagraphFont"/>
    <w:uiPriority w:val="99"/>
    <w:semiHidden/>
    <w:unhideWhenUsed/>
    <w:rsid w:val="00AA41EB"/>
    <w:rPr>
      <w:vertAlign w:val="superscript"/>
    </w:rPr>
  </w:style>
  <w:style w:type="character" w:customStyle="1" w:styleId="kurziv">
    <w:name w:val="kurziv"/>
    <w:basedOn w:val="DefaultParagraphFont"/>
    <w:rsid w:val="00AA41EB"/>
  </w:style>
  <w:style w:type="character" w:customStyle="1" w:styleId="st1">
    <w:name w:val="st1"/>
    <w:basedOn w:val="DefaultParagraphFont"/>
    <w:rsid w:val="00AA41EB"/>
  </w:style>
  <w:style w:type="paragraph" w:customStyle="1" w:styleId="ZchnZchn1">
    <w:name w:val="Zchn Zchn1"/>
    <w:basedOn w:val="Normal"/>
    <w:autoRedefine/>
    <w:rsid w:val="00AA41EB"/>
    <w:pPr>
      <w:spacing w:after="160" w:line="240" w:lineRule="exact"/>
    </w:pPr>
    <w:rPr>
      <w:rFonts w:ascii="Tahoma" w:eastAsia="Times New Roman" w:hAnsi="Tahoma" w:cs="Times New Roman"/>
      <w:b/>
      <w:sz w:val="24"/>
      <w:szCs w:val="24"/>
      <w:lang w:val="en-US"/>
    </w:rPr>
  </w:style>
  <w:style w:type="paragraph" w:customStyle="1" w:styleId="xl65">
    <w:name w:val="xl65"/>
    <w:basedOn w:val="Normal"/>
    <w:rsid w:val="00AA41EB"/>
    <w:pPr>
      <w:spacing w:before="100" w:beforeAutospacing="1" w:after="100" w:afterAutospacing="1"/>
      <w:jc w:val="center"/>
    </w:pPr>
    <w:rPr>
      <w:rFonts w:ascii="Times New Roman" w:eastAsia="Times New Roman" w:hAnsi="Times New Roman" w:cs="Times New Roman"/>
      <w:sz w:val="24"/>
      <w:szCs w:val="24"/>
      <w:lang w:eastAsia="hr-HR"/>
    </w:rPr>
  </w:style>
  <w:style w:type="paragraph" w:customStyle="1" w:styleId="xl66">
    <w:name w:val="xl66"/>
    <w:basedOn w:val="Normal"/>
    <w:rsid w:val="00AA41EB"/>
    <w:pPr>
      <w:spacing w:before="100" w:beforeAutospacing="1" w:after="100" w:afterAutospacing="1"/>
      <w:jc w:val="center"/>
    </w:pPr>
    <w:rPr>
      <w:rFonts w:ascii="Times New Roman" w:eastAsia="Times New Roman" w:hAnsi="Times New Roman" w:cs="Times New Roman"/>
      <w:i/>
      <w:iCs/>
      <w:sz w:val="18"/>
      <w:szCs w:val="18"/>
      <w:lang w:eastAsia="hr-HR"/>
    </w:rPr>
  </w:style>
  <w:style w:type="paragraph" w:customStyle="1" w:styleId="xl67">
    <w:name w:val="xl67"/>
    <w:basedOn w:val="Normal"/>
    <w:rsid w:val="00AA41EB"/>
    <w:pPr>
      <w:spacing w:before="100" w:beforeAutospacing="1" w:after="100" w:afterAutospacing="1"/>
    </w:pPr>
    <w:rPr>
      <w:rFonts w:ascii="Times New Roman" w:eastAsia="Times New Roman" w:hAnsi="Times New Roman" w:cs="Times New Roman"/>
      <w:sz w:val="24"/>
      <w:szCs w:val="24"/>
      <w:lang w:eastAsia="hr-HR"/>
    </w:rPr>
  </w:style>
  <w:style w:type="paragraph" w:customStyle="1" w:styleId="xl68">
    <w:name w:val="xl68"/>
    <w:basedOn w:val="Normal"/>
    <w:rsid w:val="00AA41EB"/>
    <w:pPr>
      <w:spacing w:before="100" w:beforeAutospacing="1" w:after="100" w:afterAutospacing="1"/>
    </w:pPr>
    <w:rPr>
      <w:rFonts w:ascii="Times New Roman" w:eastAsia="Times New Roman" w:hAnsi="Times New Roman" w:cs="Times New Roman"/>
      <w:sz w:val="18"/>
      <w:szCs w:val="18"/>
      <w:lang w:eastAsia="hr-HR"/>
    </w:rPr>
  </w:style>
  <w:style w:type="paragraph" w:customStyle="1" w:styleId="xl69">
    <w:name w:val="xl69"/>
    <w:basedOn w:val="Normal"/>
    <w:rsid w:val="00AA41EB"/>
    <w:pPr>
      <w:pBdr>
        <w:top w:val="single" w:sz="8" w:space="0" w:color="auto"/>
        <w:bottom w:val="single" w:sz="8" w:space="0" w:color="auto"/>
      </w:pBdr>
      <w:shd w:val="clear" w:color="000000" w:fill="F2DCDB"/>
      <w:spacing w:before="100" w:beforeAutospacing="1" w:after="100" w:afterAutospacing="1"/>
      <w:jc w:val="center"/>
    </w:pPr>
    <w:rPr>
      <w:rFonts w:ascii="Times New Roman" w:eastAsia="Times New Roman" w:hAnsi="Times New Roman" w:cs="Times New Roman"/>
      <w:b/>
      <w:bCs/>
      <w:i/>
      <w:iCs/>
      <w:sz w:val="24"/>
      <w:szCs w:val="24"/>
      <w:lang w:eastAsia="hr-HR"/>
    </w:rPr>
  </w:style>
  <w:style w:type="paragraph" w:customStyle="1" w:styleId="xl70">
    <w:name w:val="xl70"/>
    <w:basedOn w:val="Normal"/>
    <w:rsid w:val="00AA41EB"/>
    <w:pPr>
      <w:pBdr>
        <w:top w:val="single" w:sz="8" w:space="0" w:color="auto"/>
        <w:bottom w:val="single" w:sz="8" w:space="0" w:color="auto"/>
      </w:pBdr>
      <w:shd w:val="clear" w:color="000000" w:fill="F2DCDB"/>
      <w:spacing w:before="100" w:beforeAutospacing="1" w:after="100" w:afterAutospacing="1"/>
      <w:jc w:val="center"/>
    </w:pPr>
    <w:rPr>
      <w:rFonts w:ascii="Times New Roman" w:eastAsia="Times New Roman" w:hAnsi="Times New Roman" w:cs="Times New Roman"/>
      <w:i/>
      <w:iCs/>
      <w:sz w:val="18"/>
      <w:szCs w:val="18"/>
      <w:lang w:eastAsia="hr-HR"/>
    </w:rPr>
  </w:style>
  <w:style w:type="paragraph" w:customStyle="1" w:styleId="xl71">
    <w:name w:val="xl71"/>
    <w:basedOn w:val="Normal"/>
    <w:rsid w:val="00AA41EB"/>
    <w:pPr>
      <w:pBdr>
        <w:top w:val="single" w:sz="8" w:space="0" w:color="auto"/>
        <w:bottom w:val="single" w:sz="8" w:space="0" w:color="auto"/>
        <w:right w:val="single" w:sz="8" w:space="0" w:color="auto"/>
      </w:pBdr>
      <w:shd w:val="clear" w:color="000000" w:fill="F2DCDB"/>
      <w:spacing w:before="100" w:beforeAutospacing="1" w:after="100" w:afterAutospacing="1"/>
      <w:jc w:val="center"/>
    </w:pPr>
    <w:rPr>
      <w:rFonts w:ascii="Times New Roman" w:eastAsia="Times New Roman" w:hAnsi="Times New Roman" w:cs="Times New Roman"/>
      <w:i/>
      <w:iCs/>
      <w:sz w:val="18"/>
      <w:szCs w:val="18"/>
      <w:lang w:eastAsia="hr-HR"/>
    </w:rPr>
  </w:style>
  <w:style w:type="paragraph" w:customStyle="1" w:styleId="xl72">
    <w:name w:val="xl72"/>
    <w:basedOn w:val="Normal"/>
    <w:rsid w:val="00AA41EB"/>
    <w:pPr>
      <w:spacing w:before="100" w:beforeAutospacing="1" w:after="100" w:afterAutospacing="1"/>
      <w:jc w:val="center"/>
    </w:pPr>
    <w:rPr>
      <w:rFonts w:ascii="Times New Roman" w:eastAsia="Times New Roman" w:hAnsi="Times New Roman" w:cs="Times New Roman"/>
      <w:sz w:val="16"/>
      <w:szCs w:val="16"/>
      <w:lang w:eastAsia="hr-HR"/>
    </w:rPr>
  </w:style>
  <w:style w:type="paragraph" w:customStyle="1" w:styleId="xl73">
    <w:name w:val="xl73"/>
    <w:basedOn w:val="Normal"/>
    <w:rsid w:val="00AA41EB"/>
    <w:pPr>
      <w:spacing w:before="100" w:beforeAutospacing="1" w:after="100" w:afterAutospacing="1"/>
      <w:jc w:val="center"/>
    </w:pPr>
    <w:rPr>
      <w:rFonts w:ascii="Times New Roman" w:eastAsia="Times New Roman" w:hAnsi="Times New Roman" w:cs="Times New Roman"/>
      <w:sz w:val="16"/>
      <w:szCs w:val="16"/>
      <w:lang w:eastAsia="hr-HR"/>
    </w:rPr>
  </w:style>
  <w:style w:type="paragraph" w:customStyle="1" w:styleId="xl74">
    <w:name w:val="xl74"/>
    <w:basedOn w:val="Normal"/>
    <w:rsid w:val="00AA41EB"/>
    <w:pPr>
      <w:pBdr>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eastAsia="hr-HR"/>
    </w:rPr>
  </w:style>
  <w:style w:type="paragraph" w:customStyle="1" w:styleId="xl75">
    <w:name w:val="xl75"/>
    <w:basedOn w:val="Normal"/>
    <w:rsid w:val="00AA41EB"/>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eastAsia="hr-HR"/>
    </w:rPr>
  </w:style>
  <w:style w:type="paragraph" w:customStyle="1" w:styleId="xl76">
    <w:name w:val="xl76"/>
    <w:basedOn w:val="Normal"/>
    <w:rsid w:val="00AA41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eastAsia="hr-HR"/>
    </w:rPr>
  </w:style>
  <w:style w:type="paragraph" w:customStyle="1" w:styleId="xl77">
    <w:name w:val="xl77"/>
    <w:basedOn w:val="Normal"/>
    <w:rsid w:val="00AA41EB"/>
    <w:pPr>
      <w:pBdr>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sz w:val="16"/>
      <w:szCs w:val="16"/>
      <w:lang w:eastAsia="hr-HR"/>
    </w:rPr>
  </w:style>
  <w:style w:type="paragraph" w:customStyle="1" w:styleId="xl78">
    <w:name w:val="xl78"/>
    <w:basedOn w:val="Normal"/>
    <w:rsid w:val="00AA41EB"/>
    <w:pPr>
      <w:pBdr>
        <w:top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eastAsia="hr-HR"/>
    </w:rPr>
  </w:style>
  <w:style w:type="paragraph" w:customStyle="1" w:styleId="xl79">
    <w:name w:val="xl79"/>
    <w:basedOn w:val="Normal"/>
    <w:rsid w:val="00AA41EB"/>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eastAsia="hr-HR"/>
    </w:rPr>
  </w:style>
  <w:style w:type="paragraph" w:customStyle="1" w:styleId="xl80">
    <w:name w:val="xl80"/>
    <w:basedOn w:val="Normal"/>
    <w:rsid w:val="00AA41EB"/>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eastAsia="hr-HR"/>
    </w:rPr>
  </w:style>
  <w:style w:type="paragraph" w:customStyle="1" w:styleId="xl81">
    <w:name w:val="xl81"/>
    <w:basedOn w:val="Normal"/>
    <w:rsid w:val="00AA41EB"/>
    <w:pPr>
      <w:pBdr>
        <w:top w:val="single" w:sz="4"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sz w:val="16"/>
      <w:szCs w:val="16"/>
      <w:lang w:eastAsia="hr-HR"/>
    </w:rPr>
  </w:style>
  <w:style w:type="paragraph" w:customStyle="1" w:styleId="xl82">
    <w:name w:val="xl82"/>
    <w:basedOn w:val="Normal"/>
    <w:rsid w:val="00AA41EB"/>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eastAsia="hr-HR"/>
    </w:rPr>
  </w:style>
  <w:style w:type="paragraph" w:customStyle="1" w:styleId="xl83">
    <w:name w:val="xl83"/>
    <w:basedOn w:val="Normal"/>
    <w:rsid w:val="00AA41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eastAsia="hr-HR"/>
    </w:rPr>
  </w:style>
  <w:style w:type="paragraph" w:customStyle="1" w:styleId="xl84">
    <w:name w:val="xl84"/>
    <w:basedOn w:val="Normal"/>
    <w:rsid w:val="00AA41EB"/>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sz w:val="16"/>
      <w:szCs w:val="16"/>
      <w:lang w:eastAsia="hr-HR"/>
    </w:rPr>
  </w:style>
  <w:style w:type="paragraph" w:customStyle="1" w:styleId="xl85">
    <w:name w:val="xl85"/>
    <w:basedOn w:val="Normal"/>
    <w:rsid w:val="00AA41E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eastAsia="hr-HR"/>
    </w:rPr>
  </w:style>
  <w:style w:type="paragraph" w:customStyle="1" w:styleId="xl86">
    <w:name w:val="xl86"/>
    <w:basedOn w:val="Normal"/>
    <w:rsid w:val="00AA41E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eastAsia="hr-HR"/>
    </w:rPr>
  </w:style>
  <w:style w:type="paragraph" w:customStyle="1" w:styleId="xl87">
    <w:name w:val="xl87"/>
    <w:basedOn w:val="Normal"/>
    <w:rsid w:val="00AA41EB"/>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16"/>
      <w:szCs w:val="16"/>
      <w:lang w:eastAsia="hr-HR"/>
    </w:rPr>
  </w:style>
  <w:style w:type="paragraph" w:customStyle="1" w:styleId="xl88">
    <w:name w:val="xl88"/>
    <w:basedOn w:val="Normal"/>
    <w:rsid w:val="00AA41EB"/>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eastAsia="hr-HR"/>
    </w:rPr>
  </w:style>
  <w:style w:type="paragraph" w:customStyle="1" w:styleId="xl89">
    <w:name w:val="xl89"/>
    <w:basedOn w:val="Normal"/>
    <w:rsid w:val="00AA41EB"/>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eastAsia="hr-HR"/>
    </w:rPr>
  </w:style>
  <w:style w:type="paragraph" w:customStyle="1" w:styleId="xl90">
    <w:name w:val="xl90"/>
    <w:basedOn w:val="Normal"/>
    <w:rsid w:val="00AA41EB"/>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sz w:val="16"/>
      <w:szCs w:val="16"/>
      <w:lang w:eastAsia="hr-HR"/>
    </w:rPr>
  </w:style>
  <w:style w:type="paragraph" w:customStyle="1" w:styleId="xl91">
    <w:name w:val="xl91"/>
    <w:basedOn w:val="Normal"/>
    <w:rsid w:val="00AA41EB"/>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eastAsia="hr-HR"/>
    </w:rPr>
  </w:style>
  <w:style w:type="paragraph" w:customStyle="1" w:styleId="xl92">
    <w:name w:val="xl92"/>
    <w:basedOn w:val="Normal"/>
    <w:rsid w:val="00AA41EB"/>
    <w:pPr>
      <w:pBdr>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eastAsia="hr-HR"/>
    </w:rPr>
  </w:style>
  <w:style w:type="paragraph" w:customStyle="1" w:styleId="xl93">
    <w:name w:val="xl93"/>
    <w:basedOn w:val="Normal"/>
    <w:rsid w:val="00AA41EB"/>
    <w:pPr>
      <w:pBdr>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eastAsia="hr-HR"/>
    </w:rPr>
  </w:style>
  <w:style w:type="paragraph" w:customStyle="1" w:styleId="xl94">
    <w:name w:val="xl94"/>
    <w:basedOn w:val="Normal"/>
    <w:rsid w:val="00AA41EB"/>
    <w:pPr>
      <w:pBdr>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16"/>
      <w:szCs w:val="16"/>
      <w:lang w:eastAsia="hr-HR"/>
    </w:rPr>
  </w:style>
  <w:style w:type="paragraph" w:customStyle="1" w:styleId="xl95">
    <w:name w:val="xl95"/>
    <w:basedOn w:val="Normal"/>
    <w:rsid w:val="00AA41EB"/>
    <w:pPr>
      <w:pBdr>
        <w:top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eastAsia="hr-HR"/>
    </w:rPr>
  </w:style>
  <w:style w:type="paragraph" w:customStyle="1" w:styleId="xl96">
    <w:name w:val="xl96"/>
    <w:basedOn w:val="Normal"/>
    <w:rsid w:val="00AA41EB"/>
    <w:pPr>
      <w:pBdr>
        <w:top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eastAsia="hr-HR"/>
    </w:rPr>
  </w:style>
  <w:style w:type="paragraph" w:customStyle="1" w:styleId="xl97">
    <w:name w:val="xl97"/>
    <w:basedOn w:val="Normal"/>
    <w:rsid w:val="00AA41EB"/>
    <w:pPr>
      <w:pBdr>
        <w:top w:val="single" w:sz="8" w:space="0" w:color="auto"/>
      </w:pBdr>
      <w:spacing w:before="100" w:beforeAutospacing="1" w:after="100" w:afterAutospacing="1"/>
    </w:pPr>
    <w:rPr>
      <w:rFonts w:ascii="Times New Roman" w:eastAsia="Times New Roman" w:hAnsi="Times New Roman" w:cs="Times New Roman"/>
      <w:b/>
      <w:bCs/>
      <w:sz w:val="18"/>
      <w:szCs w:val="18"/>
      <w:lang w:eastAsia="hr-HR"/>
    </w:rPr>
  </w:style>
  <w:style w:type="paragraph" w:customStyle="1" w:styleId="xl98">
    <w:name w:val="xl98"/>
    <w:basedOn w:val="Normal"/>
    <w:rsid w:val="00AA41EB"/>
    <w:pPr>
      <w:pBdr>
        <w:top w:val="single" w:sz="8"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eastAsia="hr-HR"/>
    </w:rPr>
  </w:style>
  <w:style w:type="paragraph" w:customStyle="1" w:styleId="xl99">
    <w:name w:val="xl99"/>
    <w:basedOn w:val="Normal"/>
    <w:rsid w:val="00AA41EB"/>
    <w:pPr>
      <w:pBdr>
        <w:top w:val="single" w:sz="8"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eastAsia="hr-HR"/>
    </w:rPr>
  </w:style>
  <w:style w:type="paragraph" w:customStyle="1" w:styleId="xl100">
    <w:name w:val="xl100"/>
    <w:basedOn w:val="Normal"/>
    <w:rsid w:val="00AA41EB"/>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sz w:val="16"/>
      <w:szCs w:val="16"/>
      <w:lang w:eastAsia="hr-HR"/>
    </w:rPr>
  </w:style>
  <w:style w:type="paragraph" w:customStyle="1" w:styleId="xl101">
    <w:name w:val="xl101"/>
    <w:basedOn w:val="Normal"/>
    <w:rsid w:val="00AA41EB"/>
    <w:pPr>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eastAsia="hr-HR"/>
    </w:rPr>
  </w:style>
  <w:style w:type="paragraph" w:customStyle="1" w:styleId="xl102">
    <w:name w:val="xl102"/>
    <w:basedOn w:val="Normal"/>
    <w:rsid w:val="00AA41EB"/>
    <w:pPr>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eastAsia="hr-HR"/>
    </w:rPr>
  </w:style>
  <w:style w:type="paragraph" w:customStyle="1" w:styleId="xl103">
    <w:name w:val="xl103"/>
    <w:basedOn w:val="Normal"/>
    <w:rsid w:val="00AA41EB"/>
    <w:pPr>
      <w:pBdr>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sz w:val="16"/>
      <w:szCs w:val="16"/>
      <w:lang w:eastAsia="hr-HR"/>
    </w:rPr>
  </w:style>
  <w:style w:type="paragraph" w:customStyle="1" w:styleId="xl104">
    <w:name w:val="xl104"/>
    <w:basedOn w:val="Normal"/>
    <w:rsid w:val="00AA41EB"/>
    <w:pPr>
      <w:spacing w:before="100" w:beforeAutospacing="1" w:after="100" w:afterAutospacing="1"/>
    </w:pPr>
    <w:rPr>
      <w:rFonts w:ascii="Times New Roman" w:eastAsia="Times New Roman" w:hAnsi="Times New Roman" w:cs="Times New Roman"/>
      <w:b/>
      <w:bCs/>
      <w:sz w:val="18"/>
      <w:szCs w:val="18"/>
      <w:lang w:eastAsia="hr-HR"/>
    </w:rPr>
  </w:style>
  <w:style w:type="paragraph" w:customStyle="1" w:styleId="xl105">
    <w:name w:val="xl105"/>
    <w:basedOn w:val="Normal"/>
    <w:rsid w:val="00AA41EB"/>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eastAsia="hr-HR"/>
    </w:rPr>
  </w:style>
  <w:style w:type="paragraph" w:customStyle="1" w:styleId="xl106">
    <w:name w:val="xl106"/>
    <w:basedOn w:val="Normal"/>
    <w:rsid w:val="00AA41EB"/>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eastAsia="hr-HR"/>
    </w:rPr>
  </w:style>
  <w:style w:type="paragraph" w:customStyle="1" w:styleId="xl107">
    <w:name w:val="xl107"/>
    <w:basedOn w:val="Normal"/>
    <w:rsid w:val="00AA41EB"/>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16"/>
      <w:szCs w:val="16"/>
      <w:lang w:eastAsia="hr-HR"/>
    </w:rPr>
  </w:style>
  <w:style w:type="paragraph" w:customStyle="1" w:styleId="xl108">
    <w:name w:val="xl108"/>
    <w:basedOn w:val="Normal"/>
    <w:rsid w:val="00AA41EB"/>
    <w:pPr>
      <w:pBdr>
        <w:left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hr-HR"/>
    </w:rPr>
  </w:style>
  <w:style w:type="paragraph" w:customStyle="1" w:styleId="xl109">
    <w:name w:val="xl109"/>
    <w:basedOn w:val="Normal"/>
    <w:rsid w:val="00AA41EB"/>
    <w:pPr>
      <w:pBdr>
        <w:right w:val="single" w:sz="4" w:space="0" w:color="auto"/>
      </w:pBdr>
      <w:spacing w:before="100" w:beforeAutospacing="1" w:after="100" w:afterAutospacing="1"/>
    </w:pPr>
    <w:rPr>
      <w:rFonts w:ascii="Times New Roman" w:eastAsia="Times New Roman" w:hAnsi="Times New Roman" w:cs="Times New Roman"/>
      <w:b/>
      <w:bCs/>
      <w:sz w:val="18"/>
      <w:szCs w:val="18"/>
      <w:lang w:eastAsia="hr-HR"/>
    </w:rPr>
  </w:style>
  <w:style w:type="paragraph" w:customStyle="1" w:styleId="xl110">
    <w:name w:val="xl110"/>
    <w:basedOn w:val="Normal"/>
    <w:rsid w:val="00AA41EB"/>
    <w:pPr>
      <w:pBdr>
        <w:left w:val="single" w:sz="4" w:space="0" w:color="auto"/>
      </w:pBdr>
      <w:spacing w:before="100" w:beforeAutospacing="1" w:after="100" w:afterAutospacing="1"/>
    </w:pPr>
    <w:rPr>
      <w:rFonts w:ascii="Times New Roman" w:eastAsia="Times New Roman" w:hAnsi="Times New Roman" w:cs="Times New Roman"/>
      <w:b/>
      <w:bCs/>
      <w:sz w:val="18"/>
      <w:szCs w:val="18"/>
      <w:lang w:eastAsia="hr-HR"/>
    </w:rPr>
  </w:style>
  <w:style w:type="paragraph" w:customStyle="1" w:styleId="xl111">
    <w:name w:val="xl111"/>
    <w:basedOn w:val="Normal"/>
    <w:rsid w:val="00AA41EB"/>
    <w:pPr>
      <w:pBdr>
        <w:bottom w:val="single" w:sz="8" w:space="0" w:color="auto"/>
      </w:pBdr>
      <w:spacing w:before="100" w:beforeAutospacing="1" w:after="100" w:afterAutospacing="1"/>
    </w:pPr>
    <w:rPr>
      <w:rFonts w:ascii="Times New Roman" w:eastAsia="Times New Roman" w:hAnsi="Times New Roman" w:cs="Times New Roman"/>
      <w:b/>
      <w:bCs/>
      <w:sz w:val="18"/>
      <w:szCs w:val="18"/>
      <w:lang w:eastAsia="hr-HR"/>
    </w:rPr>
  </w:style>
  <w:style w:type="paragraph" w:customStyle="1" w:styleId="xl112">
    <w:name w:val="xl112"/>
    <w:basedOn w:val="Normal"/>
    <w:rsid w:val="00AA41EB"/>
    <w:pPr>
      <w:pBdr>
        <w:top w:val="single" w:sz="8"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sz w:val="16"/>
      <w:szCs w:val="16"/>
      <w:lang w:eastAsia="hr-HR"/>
    </w:rPr>
  </w:style>
  <w:style w:type="paragraph" w:customStyle="1" w:styleId="xl113">
    <w:name w:val="xl113"/>
    <w:basedOn w:val="Normal"/>
    <w:rsid w:val="00AA41EB"/>
    <w:pPr>
      <w:pBdr>
        <w:left w:val="single" w:sz="4" w:space="0" w:color="auto"/>
        <w:bottom w:val="single" w:sz="8" w:space="0" w:color="auto"/>
      </w:pBdr>
      <w:spacing w:before="100" w:beforeAutospacing="1" w:after="100" w:afterAutospacing="1"/>
      <w:jc w:val="center"/>
    </w:pPr>
    <w:rPr>
      <w:rFonts w:ascii="Times New Roman" w:eastAsia="Times New Roman" w:hAnsi="Times New Roman" w:cs="Times New Roman"/>
      <w:sz w:val="16"/>
      <w:szCs w:val="16"/>
      <w:lang w:eastAsia="hr-HR"/>
    </w:rPr>
  </w:style>
  <w:style w:type="paragraph" w:customStyle="1" w:styleId="xl114">
    <w:name w:val="xl114"/>
    <w:basedOn w:val="Normal"/>
    <w:rsid w:val="00AA41EB"/>
    <w:pPr>
      <w:pBdr>
        <w:top w:val="single" w:sz="8"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sz w:val="16"/>
      <w:szCs w:val="16"/>
      <w:lang w:eastAsia="hr-HR"/>
    </w:rPr>
  </w:style>
  <w:style w:type="paragraph" w:customStyle="1" w:styleId="xl115">
    <w:name w:val="xl115"/>
    <w:basedOn w:val="Normal"/>
    <w:rsid w:val="00AA41EB"/>
    <w:pPr>
      <w:pBdr>
        <w:left w:val="single" w:sz="4" w:space="0" w:color="auto"/>
        <w:bottom w:val="single" w:sz="8" w:space="0" w:color="auto"/>
      </w:pBdr>
      <w:spacing w:before="100" w:beforeAutospacing="1" w:after="100" w:afterAutospacing="1"/>
      <w:jc w:val="center"/>
    </w:pPr>
    <w:rPr>
      <w:rFonts w:ascii="Times New Roman" w:eastAsia="Times New Roman" w:hAnsi="Times New Roman" w:cs="Times New Roman"/>
      <w:sz w:val="16"/>
      <w:szCs w:val="16"/>
      <w:lang w:eastAsia="hr-HR"/>
    </w:rPr>
  </w:style>
  <w:style w:type="paragraph" w:customStyle="1" w:styleId="xl116">
    <w:name w:val="xl116"/>
    <w:basedOn w:val="Normal"/>
    <w:rsid w:val="00AA41EB"/>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hr-HR"/>
    </w:rPr>
  </w:style>
  <w:style w:type="paragraph" w:customStyle="1" w:styleId="xl117">
    <w:name w:val="xl117"/>
    <w:basedOn w:val="Normal"/>
    <w:rsid w:val="00AA41EB"/>
    <w:pPr>
      <w:pBdr>
        <w:top w:val="single" w:sz="8"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hr-HR"/>
    </w:rPr>
  </w:style>
  <w:style w:type="paragraph" w:customStyle="1" w:styleId="xl118">
    <w:name w:val="xl118"/>
    <w:basedOn w:val="Normal"/>
    <w:rsid w:val="00AA41EB"/>
    <w:pPr>
      <w:pBdr>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hr-HR"/>
    </w:rPr>
  </w:style>
  <w:style w:type="paragraph" w:customStyle="1" w:styleId="xl119">
    <w:name w:val="xl119"/>
    <w:basedOn w:val="Normal"/>
    <w:rsid w:val="00AA41EB"/>
    <w:pPr>
      <w:pBdr>
        <w:left w:val="single" w:sz="4" w:space="0" w:color="auto"/>
        <w:bottom w:val="single" w:sz="8" w:space="0" w:color="auto"/>
      </w:pBdr>
      <w:spacing w:before="100" w:beforeAutospacing="1" w:after="100" w:afterAutospacing="1"/>
    </w:pPr>
    <w:rPr>
      <w:rFonts w:ascii="Times New Roman" w:eastAsia="Times New Roman" w:hAnsi="Times New Roman" w:cs="Times New Roman"/>
      <w:b/>
      <w:bCs/>
      <w:sz w:val="18"/>
      <w:szCs w:val="18"/>
      <w:lang w:eastAsia="hr-HR"/>
    </w:rPr>
  </w:style>
  <w:style w:type="paragraph" w:customStyle="1" w:styleId="xl120">
    <w:name w:val="xl120"/>
    <w:basedOn w:val="Normal"/>
    <w:rsid w:val="00AA41EB"/>
    <w:pPr>
      <w:pBdr>
        <w:top w:val="single" w:sz="8" w:space="0" w:color="auto"/>
        <w:left w:val="single" w:sz="4" w:space="0" w:color="auto"/>
        <w:bottom w:val="single" w:sz="8" w:space="0" w:color="auto"/>
      </w:pBdr>
      <w:spacing w:before="100" w:beforeAutospacing="1" w:after="100" w:afterAutospacing="1"/>
    </w:pPr>
    <w:rPr>
      <w:rFonts w:ascii="Times New Roman" w:eastAsia="Times New Roman" w:hAnsi="Times New Roman" w:cs="Times New Roman"/>
      <w:b/>
      <w:bCs/>
      <w:sz w:val="18"/>
      <w:szCs w:val="18"/>
      <w:lang w:eastAsia="hr-HR"/>
    </w:rPr>
  </w:style>
  <w:style w:type="paragraph" w:customStyle="1" w:styleId="xl121">
    <w:name w:val="xl121"/>
    <w:basedOn w:val="Normal"/>
    <w:rsid w:val="00AA41EB"/>
    <w:pPr>
      <w:pBdr>
        <w:top w:val="single" w:sz="8" w:space="0" w:color="auto"/>
        <w:bottom w:val="single" w:sz="8" w:space="0" w:color="auto"/>
      </w:pBdr>
      <w:spacing w:before="100" w:beforeAutospacing="1" w:after="100" w:afterAutospacing="1"/>
    </w:pPr>
    <w:rPr>
      <w:rFonts w:ascii="Times New Roman" w:eastAsia="Times New Roman" w:hAnsi="Times New Roman" w:cs="Times New Roman"/>
      <w:b/>
      <w:bCs/>
      <w:sz w:val="18"/>
      <w:szCs w:val="18"/>
      <w:lang w:eastAsia="hr-HR"/>
    </w:rPr>
  </w:style>
  <w:style w:type="paragraph" w:customStyle="1" w:styleId="xl122">
    <w:name w:val="xl122"/>
    <w:basedOn w:val="Normal"/>
    <w:rsid w:val="00AA41EB"/>
    <w:pPr>
      <w:pBdr>
        <w:top w:val="single" w:sz="8" w:space="0" w:color="auto"/>
        <w:left w:val="single" w:sz="4" w:space="0" w:color="auto"/>
      </w:pBdr>
      <w:spacing w:before="100" w:beforeAutospacing="1" w:after="100" w:afterAutospacing="1"/>
    </w:pPr>
    <w:rPr>
      <w:rFonts w:ascii="Times New Roman" w:eastAsia="Times New Roman" w:hAnsi="Times New Roman" w:cs="Times New Roman"/>
      <w:b/>
      <w:bCs/>
      <w:sz w:val="18"/>
      <w:szCs w:val="18"/>
      <w:lang w:eastAsia="hr-HR"/>
    </w:rPr>
  </w:style>
  <w:style w:type="paragraph" w:customStyle="1" w:styleId="xl123">
    <w:name w:val="xl123"/>
    <w:basedOn w:val="Normal"/>
    <w:rsid w:val="00AA41EB"/>
    <w:pPr>
      <w:pBdr>
        <w:left w:val="single" w:sz="4" w:space="0" w:color="auto"/>
        <w:right w:val="single" w:sz="4" w:space="0" w:color="auto"/>
      </w:pBdr>
      <w:spacing w:before="100" w:beforeAutospacing="1" w:after="100" w:afterAutospacing="1"/>
    </w:pPr>
    <w:rPr>
      <w:rFonts w:ascii="Times New Roman" w:eastAsia="Times New Roman" w:hAnsi="Times New Roman" w:cs="Times New Roman"/>
      <w:b/>
      <w:bCs/>
      <w:sz w:val="16"/>
      <w:szCs w:val="16"/>
      <w:lang w:eastAsia="hr-HR"/>
    </w:rPr>
  </w:style>
  <w:style w:type="paragraph" w:customStyle="1" w:styleId="xl124">
    <w:name w:val="xl124"/>
    <w:basedOn w:val="Normal"/>
    <w:rsid w:val="00AA41EB"/>
    <w:pPr>
      <w:pBdr>
        <w:bottom w:val="single" w:sz="8"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hr-HR"/>
    </w:rPr>
  </w:style>
  <w:style w:type="paragraph" w:customStyle="1" w:styleId="xl125">
    <w:name w:val="xl125"/>
    <w:basedOn w:val="Normal"/>
    <w:rsid w:val="00AA41EB"/>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hr-HR"/>
    </w:rPr>
  </w:style>
  <w:style w:type="paragraph" w:customStyle="1" w:styleId="xl126">
    <w:name w:val="xl126"/>
    <w:basedOn w:val="Normal"/>
    <w:rsid w:val="00AA41EB"/>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eastAsia="hr-HR"/>
    </w:rPr>
  </w:style>
  <w:style w:type="paragraph" w:customStyle="1" w:styleId="xl127">
    <w:name w:val="xl127"/>
    <w:basedOn w:val="Normal"/>
    <w:rsid w:val="00AA41EB"/>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eastAsia="hr-HR"/>
    </w:rPr>
  </w:style>
  <w:style w:type="paragraph" w:customStyle="1" w:styleId="xl128">
    <w:name w:val="xl128"/>
    <w:basedOn w:val="Normal"/>
    <w:rsid w:val="00AA41EB"/>
    <w:pPr>
      <w:pBdr>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sz w:val="16"/>
      <w:szCs w:val="16"/>
      <w:lang w:eastAsia="hr-HR"/>
    </w:rPr>
  </w:style>
  <w:style w:type="paragraph" w:customStyle="1" w:styleId="xl129">
    <w:name w:val="xl129"/>
    <w:basedOn w:val="Normal"/>
    <w:rsid w:val="00AA41EB"/>
    <w:pPr>
      <w:pBdr>
        <w:left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hr-HR"/>
    </w:rPr>
  </w:style>
  <w:style w:type="paragraph" w:customStyle="1" w:styleId="xl130">
    <w:name w:val="xl130"/>
    <w:basedOn w:val="Normal"/>
    <w:rsid w:val="00AA41EB"/>
    <w:pPr>
      <w:pBdr>
        <w:top w:val="single" w:sz="8" w:space="0" w:color="auto"/>
        <w:left w:val="single" w:sz="4" w:space="0" w:color="auto"/>
        <w:bottom w:val="single" w:sz="8" w:space="0" w:color="auto"/>
      </w:pBdr>
      <w:spacing w:before="100" w:beforeAutospacing="1" w:after="100" w:afterAutospacing="1"/>
    </w:pPr>
    <w:rPr>
      <w:rFonts w:ascii="Times New Roman" w:eastAsia="Times New Roman" w:hAnsi="Times New Roman" w:cs="Times New Roman"/>
      <w:b/>
      <w:bCs/>
      <w:sz w:val="18"/>
      <w:szCs w:val="18"/>
      <w:lang w:eastAsia="hr-HR"/>
    </w:rPr>
  </w:style>
  <w:style w:type="paragraph" w:customStyle="1" w:styleId="xl131">
    <w:name w:val="xl131"/>
    <w:basedOn w:val="Normal"/>
    <w:rsid w:val="00AA41EB"/>
    <w:pPr>
      <w:pBdr>
        <w:top w:val="single" w:sz="4" w:space="0" w:color="auto"/>
        <w:left w:val="single" w:sz="4" w:space="0" w:color="auto"/>
        <w:bottom w:val="single" w:sz="8" w:space="0" w:color="auto"/>
      </w:pBdr>
      <w:spacing w:before="100" w:beforeAutospacing="1" w:after="100" w:afterAutospacing="1"/>
    </w:pPr>
    <w:rPr>
      <w:rFonts w:ascii="Times New Roman" w:eastAsia="Times New Roman" w:hAnsi="Times New Roman" w:cs="Times New Roman"/>
      <w:b/>
      <w:bCs/>
      <w:sz w:val="18"/>
      <w:szCs w:val="18"/>
      <w:lang w:eastAsia="hr-HR"/>
    </w:rPr>
  </w:style>
  <w:style w:type="paragraph" w:customStyle="1" w:styleId="xl132">
    <w:name w:val="xl132"/>
    <w:basedOn w:val="Normal"/>
    <w:rsid w:val="00AA41EB"/>
    <w:pPr>
      <w:pBdr>
        <w:top w:val="single" w:sz="8" w:space="0" w:color="auto"/>
        <w:left w:val="single" w:sz="4" w:space="0" w:color="auto"/>
      </w:pBdr>
      <w:spacing w:before="100" w:beforeAutospacing="1" w:after="100" w:afterAutospacing="1"/>
    </w:pPr>
    <w:rPr>
      <w:rFonts w:ascii="Times New Roman" w:eastAsia="Times New Roman" w:hAnsi="Times New Roman" w:cs="Times New Roman"/>
      <w:b/>
      <w:bCs/>
      <w:sz w:val="18"/>
      <w:szCs w:val="18"/>
      <w:lang w:eastAsia="hr-HR"/>
    </w:rPr>
  </w:style>
  <w:style w:type="paragraph" w:customStyle="1" w:styleId="xl133">
    <w:name w:val="xl133"/>
    <w:basedOn w:val="Normal"/>
    <w:rsid w:val="00AA41EB"/>
    <w:pPr>
      <w:pBdr>
        <w:left w:val="single" w:sz="4" w:space="0" w:color="auto"/>
      </w:pBdr>
      <w:spacing w:before="100" w:beforeAutospacing="1" w:after="100" w:afterAutospacing="1"/>
    </w:pPr>
    <w:rPr>
      <w:rFonts w:ascii="Times New Roman" w:eastAsia="Times New Roman" w:hAnsi="Times New Roman" w:cs="Times New Roman"/>
      <w:b/>
      <w:bCs/>
      <w:sz w:val="18"/>
      <w:szCs w:val="18"/>
      <w:lang w:eastAsia="hr-HR"/>
    </w:rPr>
  </w:style>
  <w:style w:type="paragraph" w:customStyle="1" w:styleId="xl134">
    <w:name w:val="xl134"/>
    <w:basedOn w:val="Normal"/>
    <w:rsid w:val="00AA41EB"/>
    <w:pPr>
      <w:pBdr>
        <w:left w:val="single" w:sz="4" w:space="0" w:color="auto"/>
        <w:bottom w:val="single" w:sz="8" w:space="0" w:color="auto"/>
      </w:pBdr>
      <w:spacing w:before="100" w:beforeAutospacing="1" w:after="100" w:afterAutospacing="1"/>
    </w:pPr>
    <w:rPr>
      <w:rFonts w:ascii="Times New Roman" w:eastAsia="Times New Roman" w:hAnsi="Times New Roman" w:cs="Times New Roman"/>
      <w:b/>
      <w:bCs/>
      <w:sz w:val="18"/>
      <w:szCs w:val="18"/>
      <w:lang w:eastAsia="hr-HR"/>
    </w:rPr>
  </w:style>
  <w:style w:type="paragraph" w:customStyle="1" w:styleId="xl135">
    <w:name w:val="xl135"/>
    <w:basedOn w:val="Normal"/>
    <w:rsid w:val="00AA41EB"/>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hr-HR"/>
    </w:rPr>
  </w:style>
  <w:style w:type="paragraph" w:customStyle="1" w:styleId="xl136">
    <w:name w:val="xl136"/>
    <w:basedOn w:val="Normal"/>
    <w:rsid w:val="00AA41EB"/>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hr-HR"/>
    </w:rPr>
  </w:style>
  <w:style w:type="paragraph" w:customStyle="1" w:styleId="xl137">
    <w:name w:val="xl137"/>
    <w:basedOn w:val="Normal"/>
    <w:rsid w:val="00AA41EB"/>
    <w:pPr>
      <w:pBdr>
        <w:top w:val="single" w:sz="8" w:space="0" w:color="auto"/>
        <w:left w:val="single" w:sz="4" w:space="0" w:color="auto"/>
        <w:bottom w:val="single" w:sz="8" w:space="0" w:color="auto"/>
      </w:pBdr>
      <w:spacing w:before="100" w:beforeAutospacing="1" w:after="100" w:afterAutospacing="1"/>
      <w:jc w:val="center"/>
    </w:pPr>
    <w:rPr>
      <w:rFonts w:ascii="Times New Roman" w:eastAsia="Times New Roman" w:hAnsi="Times New Roman" w:cs="Times New Roman"/>
      <w:sz w:val="16"/>
      <w:szCs w:val="16"/>
      <w:lang w:eastAsia="hr-HR"/>
    </w:rPr>
  </w:style>
  <w:style w:type="paragraph" w:customStyle="1" w:styleId="xl138">
    <w:name w:val="xl138"/>
    <w:basedOn w:val="Normal"/>
    <w:rsid w:val="00AA41EB"/>
    <w:pPr>
      <w:pBdr>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hr-HR"/>
    </w:rPr>
  </w:style>
  <w:style w:type="paragraph" w:customStyle="1" w:styleId="xl139">
    <w:name w:val="xl139"/>
    <w:basedOn w:val="Normal"/>
    <w:rsid w:val="00AA41EB"/>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hr-HR"/>
    </w:rPr>
  </w:style>
  <w:style w:type="paragraph" w:customStyle="1" w:styleId="xl140">
    <w:name w:val="xl140"/>
    <w:basedOn w:val="Normal"/>
    <w:rsid w:val="00AA41EB"/>
    <w:pPr>
      <w:pBdr>
        <w:top w:val="single" w:sz="8"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hr-HR"/>
    </w:rPr>
  </w:style>
  <w:style w:type="paragraph" w:customStyle="1" w:styleId="xl141">
    <w:name w:val="xl141"/>
    <w:basedOn w:val="Normal"/>
    <w:rsid w:val="00AA41EB"/>
    <w:pPr>
      <w:pBdr>
        <w:top w:val="single" w:sz="8" w:space="0" w:color="auto"/>
        <w:left w:val="single" w:sz="4" w:space="0" w:color="auto"/>
        <w:bottom w:val="single" w:sz="8" w:space="0" w:color="auto"/>
        <w:right w:val="single" w:sz="4" w:space="0" w:color="auto"/>
      </w:pBdr>
      <w:shd w:val="clear" w:color="000000" w:fill="FFFFCC"/>
      <w:spacing w:before="100" w:beforeAutospacing="1" w:after="100" w:afterAutospacing="1"/>
      <w:jc w:val="center"/>
    </w:pPr>
    <w:rPr>
      <w:rFonts w:ascii="Times New Roman" w:eastAsia="Times New Roman" w:hAnsi="Times New Roman" w:cs="Times New Roman"/>
      <w:i/>
      <w:iCs/>
      <w:sz w:val="18"/>
      <w:szCs w:val="18"/>
      <w:lang w:eastAsia="hr-HR"/>
    </w:rPr>
  </w:style>
  <w:style w:type="paragraph" w:customStyle="1" w:styleId="xl142">
    <w:name w:val="xl142"/>
    <w:basedOn w:val="Normal"/>
    <w:rsid w:val="00AA41EB"/>
    <w:pPr>
      <w:pBdr>
        <w:top w:val="single" w:sz="8" w:space="0" w:color="auto"/>
        <w:left w:val="single" w:sz="4" w:space="0" w:color="auto"/>
        <w:bottom w:val="single" w:sz="8" w:space="0" w:color="auto"/>
        <w:right w:val="single" w:sz="4" w:space="0" w:color="auto"/>
      </w:pBdr>
      <w:shd w:val="clear" w:color="000000" w:fill="FFFFCC"/>
      <w:spacing w:before="100" w:beforeAutospacing="1" w:after="100" w:afterAutospacing="1"/>
      <w:jc w:val="center"/>
    </w:pPr>
    <w:rPr>
      <w:rFonts w:ascii="Times New Roman" w:eastAsia="Times New Roman" w:hAnsi="Times New Roman" w:cs="Times New Roman"/>
      <w:i/>
      <w:iCs/>
      <w:sz w:val="18"/>
      <w:szCs w:val="18"/>
      <w:lang w:eastAsia="hr-HR"/>
    </w:rPr>
  </w:style>
  <w:style w:type="paragraph" w:customStyle="1" w:styleId="xl143">
    <w:name w:val="xl143"/>
    <w:basedOn w:val="Normal"/>
    <w:rsid w:val="00AA41EB"/>
    <w:pPr>
      <w:pBdr>
        <w:top w:val="single" w:sz="8" w:space="0" w:color="auto"/>
        <w:left w:val="single" w:sz="4" w:space="0" w:color="auto"/>
        <w:bottom w:val="single" w:sz="8" w:space="0" w:color="auto"/>
        <w:right w:val="single" w:sz="8" w:space="0" w:color="auto"/>
      </w:pBdr>
      <w:shd w:val="clear" w:color="000000" w:fill="FFFFCC"/>
      <w:spacing w:before="100" w:beforeAutospacing="1" w:after="100" w:afterAutospacing="1"/>
      <w:jc w:val="center"/>
    </w:pPr>
    <w:rPr>
      <w:rFonts w:ascii="Times New Roman" w:eastAsia="Times New Roman" w:hAnsi="Times New Roman" w:cs="Times New Roman"/>
      <w:i/>
      <w:iCs/>
      <w:sz w:val="18"/>
      <w:szCs w:val="18"/>
      <w:lang w:eastAsia="hr-HR"/>
    </w:rPr>
  </w:style>
  <w:style w:type="paragraph" w:customStyle="1" w:styleId="xl144">
    <w:name w:val="xl144"/>
    <w:basedOn w:val="Normal"/>
    <w:rsid w:val="00AA41EB"/>
    <w:pPr>
      <w:pBdr>
        <w:top w:val="single" w:sz="8"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ascii="Times New Roman" w:eastAsia="Times New Roman" w:hAnsi="Times New Roman" w:cs="Times New Roman"/>
      <w:i/>
      <w:iCs/>
      <w:sz w:val="18"/>
      <w:szCs w:val="18"/>
      <w:lang w:eastAsia="hr-HR"/>
    </w:rPr>
  </w:style>
  <w:style w:type="paragraph" w:customStyle="1" w:styleId="xl145">
    <w:name w:val="xl145"/>
    <w:basedOn w:val="Normal"/>
    <w:rsid w:val="00AA41EB"/>
    <w:pPr>
      <w:pBdr>
        <w:top w:val="single" w:sz="8"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ascii="Times New Roman" w:eastAsia="Times New Roman" w:hAnsi="Times New Roman" w:cs="Times New Roman"/>
      <w:i/>
      <w:iCs/>
      <w:sz w:val="18"/>
      <w:szCs w:val="18"/>
      <w:lang w:eastAsia="hr-HR"/>
    </w:rPr>
  </w:style>
  <w:style w:type="paragraph" w:customStyle="1" w:styleId="xl146">
    <w:name w:val="xl146"/>
    <w:basedOn w:val="Normal"/>
    <w:rsid w:val="00AA41EB"/>
    <w:pPr>
      <w:pBdr>
        <w:top w:val="single" w:sz="8" w:space="0" w:color="auto"/>
        <w:left w:val="single" w:sz="4" w:space="0" w:color="auto"/>
        <w:bottom w:val="single" w:sz="4" w:space="0" w:color="auto"/>
        <w:right w:val="single" w:sz="8" w:space="0" w:color="auto"/>
      </w:pBdr>
      <w:shd w:val="clear" w:color="000000" w:fill="FFFFCC"/>
      <w:spacing w:before="100" w:beforeAutospacing="1" w:after="100" w:afterAutospacing="1"/>
      <w:jc w:val="center"/>
    </w:pPr>
    <w:rPr>
      <w:rFonts w:ascii="Times New Roman" w:eastAsia="Times New Roman" w:hAnsi="Times New Roman" w:cs="Times New Roman"/>
      <w:i/>
      <w:iCs/>
      <w:sz w:val="18"/>
      <w:szCs w:val="18"/>
      <w:lang w:eastAsia="hr-HR"/>
    </w:rPr>
  </w:style>
  <w:style w:type="paragraph" w:customStyle="1" w:styleId="xl147">
    <w:name w:val="xl147"/>
    <w:basedOn w:val="Normal"/>
    <w:rsid w:val="00AA41EB"/>
    <w:pPr>
      <w:pBdr>
        <w:top w:val="single" w:sz="4" w:space="0" w:color="7F7F7F"/>
        <w:left w:val="single" w:sz="4" w:space="0" w:color="7F7F7F"/>
        <w:bottom w:val="single" w:sz="4" w:space="0" w:color="7F7F7F"/>
        <w:right w:val="single" w:sz="4" w:space="0" w:color="7F7F7F"/>
      </w:pBdr>
      <w:shd w:val="clear" w:color="000000" w:fill="CCECFF"/>
      <w:spacing w:before="100" w:beforeAutospacing="1" w:after="100" w:afterAutospacing="1"/>
      <w:jc w:val="center"/>
    </w:pPr>
    <w:rPr>
      <w:rFonts w:ascii="Times New Roman" w:eastAsia="Times New Roman" w:hAnsi="Times New Roman" w:cs="Times New Roman"/>
      <w:b/>
      <w:bCs/>
      <w:color w:val="3F3F76"/>
      <w:sz w:val="24"/>
      <w:szCs w:val="24"/>
      <w:lang w:eastAsia="hr-HR"/>
    </w:rPr>
  </w:style>
  <w:style w:type="character" w:customStyle="1" w:styleId="glossary-term">
    <w:name w:val="glossary-term"/>
    <w:basedOn w:val="DefaultParagraphFont"/>
    <w:rsid w:val="00AA41EB"/>
  </w:style>
  <w:style w:type="paragraph" w:customStyle="1" w:styleId="font5">
    <w:name w:val="font5"/>
    <w:basedOn w:val="Normal"/>
    <w:rsid w:val="00AA41EB"/>
    <w:pPr>
      <w:spacing w:before="100" w:beforeAutospacing="1" w:after="100" w:afterAutospacing="1"/>
    </w:pPr>
    <w:rPr>
      <w:rFonts w:ascii="Tahoma" w:eastAsia="Times New Roman" w:hAnsi="Tahoma" w:cs="Tahoma"/>
      <w:b/>
      <w:bCs/>
      <w:color w:val="000000"/>
      <w:sz w:val="18"/>
      <w:szCs w:val="18"/>
      <w:lang w:eastAsia="hr-HR"/>
    </w:rPr>
  </w:style>
  <w:style w:type="paragraph" w:customStyle="1" w:styleId="font6">
    <w:name w:val="font6"/>
    <w:basedOn w:val="Normal"/>
    <w:rsid w:val="00AA41EB"/>
    <w:pPr>
      <w:spacing w:before="100" w:beforeAutospacing="1" w:after="100" w:afterAutospacing="1"/>
    </w:pPr>
    <w:rPr>
      <w:rFonts w:ascii="Tahoma" w:eastAsia="Times New Roman" w:hAnsi="Tahoma" w:cs="Tahoma"/>
      <w:color w:val="000000"/>
      <w:sz w:val="18"/>
      <w:szCs w:val="18"/>
      <w:lang w:eastAsia="hr-HR"/>
    </w:rPr>
  </w:style>
  <w:style w:type="paragraph" w:customStyle="1" w:styleId="xl148">
    <w:name w:val="xl148"/>
    <w:basedOn w:val="Normal"/>
    <w:rsid w:val="00AA41EB"/>
    <w:pPr>
      <w:pBdr>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imes New Roman" w:eastAsia="Times New Roman" w:hAnsi="Times New Roman" w:cs="Times New Roman"/>
      <w:b/>
      <w:bCs/>
      <w:color w:val="000000"/>
      <w:sz w:val="18"/>
      <w:szCs w:val="18"/>
      <w:lang w:eastAsia="hr-HR"/>
    </w:rPr>
  </w:style>
  <w:style w:type="paragraph" w:customStyle="1" w:styleId="xl149">
    <w:name w:val="xl149"/>
    <w:basedOn w:val="Normal"/>
    <w:rsid w:val="00AA41EB"/>
    <w:pPr>
      <w:pBdr>
        <w:bottom w:val="single" w:sz="4" w:space="0" w:color="auto"/>
        <w:right w:val="single" w:sz="4" w:space="0" w:color="auto"/>
      </w:pBdr>
      <w:shd w:val="clear" w:color="000000" w:fill="92D050"/>
      <w:spacing w:before="100" w:beforeAutospacing="1" w:after="100" w:afterAutospacing="1"/>
      <w:textAlignment w:val="center"/>
    </w:pPr>
    <w:rPr>
      <w:rFonts w:ascii="Times New Roman" w:eastAsia="Times New Roman" w:hAnsi="Times New Roman" w:cs="Times New Roman"/>
      <w:color w:val="000000"/>
      <w:sz w:val="18"/>
      <w:szCs w:val="18"/>
      <w:lang w:eastAsia="hr-HR"/>
    </w:rPr>
  </w:style>
  <w:style w:type="paragraph" w:customStyle="1" w:styleId="xl150">
    <w:name w:val="xl150"/>
    <w:basedOn w:val="Normal"/>
    <w:rsid w:val="00AA41EB"/>
    <w:pPr>
      <w:pBdr>
        <w:top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Times New Roman" w:eastAsia="Times New Roman" w:hAnsi="Times New Roman" w:cs="Times New Roman"/>
      <w:color w:val="000000"/>
      <w:sz w:val="18"/>
      <w:szCs w:val="18"/>
      <w:lang w:eastAsia="hr-HR"/>
    </w:rPr>
  </w:style>
  <w:style w:type="paragraph" w:customStyle="1" w:styleId="xl151">
    <w:name w:val="xl151"/>
    <w:basedOn w:val="Normal"/>
    <w:rsid w:val="00AA41E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imes New Roman" w:eastAsia="Times New Roman" w:hAnsi="Times New Roman" w:cs="Times New Roman"/>
      <w:b/>
      <w:bCs/>
      <w:color w:val="000000"/>
      <w:sz w:val="18"/>
      <w:szCs w:val="18"/>
      <w:lang w:eastAsia="hr-HR"/>
    </w:rPr>
  </w:style>
  <w:style w:type="paragraph" w:customStyle="1" w:styleId="xl152">
    <w:name w:val="xl152"/>
    <w:basedOn w:val="Normal"/>
    <w:rsid w:val="00AA41E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Times New Roman" w:eastAsia="Times New Roman" w:hAnsi="Times New Roman" w:cs="Times New Roman"/>
      <w:color w:val="000000"/>
      <w:sz w:val="18"/>
      <w:szCs w:val="18"/>
      <w:lang w:eastAsia="hr-HR"/>
    </w:rPr>
  </w:style>
  <w:style w:type="paragraph" w:customStyle="1" w:styleId="xl153">
    <w:name w:val="xl153"/>
    <w:basedOn w:val="Normal"/>
    <w:rsid w:val="00AA41E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4"/>
      <w:szCs w:val="24"/>
      <w:lang w:eastAsia="hr-HR"/>
    </w:rPr>
  </w:style>
  <w:style w:type="paragraph" w:customStyle="1" w:styleId="xl154">
    <w:name w:val="xl154"/>
    <w:basedOn w:val="Normal"/>
    <w:rsid w:val="00AA41EB"/>
    <w:pPr>
      <w:pBdr>
        <w:top w:val="single" w:sz="4" w:space="0" w:color="auto"/>
        <w:left w:val="single" w:sz="4" w:space="0" w:color="auto"/>
        <w:right w:val="single" w:sz="4" w:space="0" w:color="auto"/>
      </w:pBdr>
      <w:shd w:val="clear" w:color="000000" w:fill="FFFF99"/>
      <w:spacing w:before="100" w:beforeAutospacing="1" w:after="100" w:afterAutospacing="1"/>
      <w:textAlignment w:val="center"/>
    </w:pPr>
    <w:rPr>
      <w:rFonts w:ascii="Times New Roman" w:eastAsia="Times New Roman" w:hAnsi="Times New Roman" w:cs="Times New Roman"/>
      <w:b/>
      <w:bCs/>
      <w:color w:val="000000"/>
      <w:sz w:val="18"/>
      <w:szCs w:val="18"/>
      <w:lang w:eastAsia="hr-HR"/>
    </w:rPr>
  </w:style>
  <w:style w:type="paragraph" w:customStyle="1" w:styleId="xl155">
    <w:name w:val="xl155"/>
    <w:basedOn w:val="Normal"/>
    <w:rsid w:val="00AA41EB"/>
    <w:pPr>
      <w:pBdr>
        <w:top w:val="single" w:sz="4" w:space="0" w:color="auto"/>
        <w:left w:val="single" w:sz="4" w:space="0" w:color="auto"/>
        <w:right w:val="single" w:sz="4" w:space="0" w:color="auto"/>
      </w:pBdr>
      <w:shd w:val="clear" w:color="000000" w:fill="FFFF99"/>
      <w:spacing w:before="100" w:beforeAutospacing="1" w:after="100" w:afterAutospacing="1"/>
      <w:textAlignment w:val="center"/>
    </w:pPr>
    <w:rPr>
      <w:rFonts w:ascii="Times New Roman" w:eastAsia="Times New Roman" w:hAnsi="Times New Roman" w:cs="Times New Roman"/>
      <w:color w:val="000000"/>
      <w:sz w:val="24"/>
      <w:szCs w:val="24"/>
      <w:lang w:eastAsia="hr-HR"/>
    </w:rPr>
  </w:style>
  <w:style w:type="paragraph" w:customStyle="1" w:styleId="xl156">
    <w:name w:val="xl156"/>
    <w:basedOn w:val="Normal"/>
    <w:rsid w:val="00AA41E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imes New Roman" w:eastAsia="Times New Roman" w:hAnsi="Times New Roman" w:cs="Times New Roman"/>
      <w:b/>
      <w:bCs/>
      <w:color w:val="000000"/>
      <w:sz w:val="18"/>
      <w:szCs w:val="18"/>
      <w:lang w:eastAsia="hr-HR"/>
    </w:rPr>
  </w:style>
  <w:style w:type="paragraph" w:customStyle="1" w:styleId="xl157">
    <w:name w:val="xl157"/>
    <w:basedOn w:val="Normal"/>
    <w:rsid w:val="00AA41EB"/>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8"/>
      <w:szCs w:val="18"/>
      <w:lang w:eastAsia="hr-HR"/>
    </w:rPr>
  </w:style>
  <w:style w:type="paragraph" w:customStyle="1" w:styleId="xl158">
    <w:name w:val="xl158"/>
    <w:basedOn w:val="Normal"/>
    <w:rsid w:val="00AA41E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Times New Roman" w:eastAsia="Times New Roman" w:hAnsi="Times New Roman" w:cs="Times New Roman"/>
      <w:b/>
      <w:bCs/>
      <w:color w:val="000000"/>
      <w:sz w:val="18"/>
      <w:szCs w:val="18"/>
      <w:lang w:eastAsia="hr-HR"/>
    </w:rPr>
  </w:style>
  <w:style w:type="paragraph" w:customStyle="1" w:styleId="xl159">
    <w:name w:val="xl159"/>
    <w:basedOn w:val="Normal"/>
    <w:rsid w:val="00AA41E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Times New Roman" w:eastAsia="Times New Roman" w:hAnsi="Times New Roman" w:cs="Times New Roman"/>
      <w:b/>
      <w:bCs/>
      <w:color w:val="000000"/>
      <w:sz w:val="18"/>
      <w:szCs w:val="18"/>
      <w:lang w:eastAsia="hr-HR"/>
    </w:rPr>
  </w:style>
  <w:style w:type="paragraph" w:customStyle="1" w:styleId="xl160">
    <w:name w:val="xl160"/>
    <w:basedOn w:val="Normal"/>
    <w:rsid w:val="00AA41E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textAlignment w:val="center"/>
    </w:pPr>
    <w:rPr>
      <w:rFonts w:ascii="Times New Roman" w:eastAsia="Times New Roman" w:hAnsi="Times New Roman" w:cs="Times New Roman"/>
      <w:b/>
      <w:bCs/>
      <w:color w:val="000000"/>
      <w:sz w:val="24"/>
      <w:szCs w:val="24"/>
      <w:lang w:eastAsia="hr-HR"/>
    </w:rPr>
  </w:style>
  <w:style w:type="paragraph" w:customStyle="1" w:styleId="xl161">
    <w:name w:val="xl161"/>
    <w:basedOn w:val="Normal"/>
    <w:rsid w:val="00AA41E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textAlignment w:val="center"/>
    </w:pPr>
    <w:rPr>
      <w:rFonts w:ascii="Times New Roman" w:eastAsia="Times New Roman" w:hAnsi="Times New Roman" w:cs="Times New Roman"/>
      <w:b/>
      <w:bCs/>
      <w:color w:val="000000"/>
      <w:sz w:val="18"/>
      <w:szCs w:val="18"/>
      <w:lang w:eastAsia="hr-HR"/>
    </w:rPr>
  </w:style>
  <w:style w:type="paragraph" w:customStyle="1" w:styleId="xl162">
    <w:name w:val="xl162"/>
    <w:basedOn w:val="Normal"/>
    <w:rsid w:val="00AA41E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Times New Roman" w:eastAsia="Times New Roman" w:hAnsi="Times New Roman" w:cs="Times New Roman"/>
      <w:color w:val="000000"/>
      <w:sz w:val="18"/>
      <w:szCs w:val="18"/>
      <w:lang w:eastAsia="hr-HR"/>
    </w:rPr>
  </w:style>
  <w:style w:type="paragraph" w:customStyle="1" w:styleId="xl163">
    <w:name w:val="xl163"/>
    <w:basedOn w:val="Normal"/>
    <w:rsid w:val="00AA41E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Times New Roman" w:eastAsia="Times New Roman" w:hAnsi="Times New Roman" w:cs="Times New Roman"/>
      <w:b/>
      <w:bCs/>
      <w:color w:val="000000"/>
      <w:sz w:val="18"/>
      <w:szCs w:val="18"/>
      <w:lang w:eastAsia="hr-HR"/>
    </w:rPr>
  </w:style>
  <w:style w:type="paragraph" w:customStyle="1" w:styleId="xl164">
    <w:name w:val="xl164"/>
    <w:basedOn w:val="Normal"/>
    <w:rsid w:val="00AA41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FF0000"/>
      <w:sz w:val="18"/>
      <w:szCs w:val="18"/>
      <w:lang w:eastAsia="hr-HR"/>
    </w:rPr>
  </w:style>
  <w:style w:type="paragraph" w:customStyle="1" w:styleId="xl165">
    <w:name w:val="xl165"/>
    <w:basedOn w:val="Normal"/>
    <w:rsid w:val="00AA41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8"/>
      <w:szCs w:val="18"/>
      <w:lang w:eastAsia="hr-HR"/>
    </w:rPr>
  </w:style>
  <w:style w:type="paragraph" w:customStyle="1" w:styleId="xl166">
    <w:name w:val="xl166"/>
    <w:basedOn w:val="Normal"/>
    <w:rsid w:val="00AA41E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imes New Roman" w:eastAsia="Times New Roman" w:hAnsi="Times New Roman" w:cs="Times New Roman"/>
      <w:b/>
      <w:bCs/>
      <w:color w:val="000000"/>
      <w:sz w:val="18"/>
      <w:szCs w:val="18"/>
      <w:lang w:eastAsia="hr-HR"/>
    </w:rPr>
  </w:style>
  <w:style w:type="paragraph" w:customStyle="1" w:styleId="xl167">
    <w:name w:val="xl167"/>
    <w:basedOn w:val="Normal"/>
    <w:rsid w:val="00AA41E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Times New Roman" w:eastAsia="Times New Roman" w:hAnsi="Times New Roman" w:cs="Times New Roman"/>
      <w:color w:val="000000"/>
      <w:sz w:val="18"/>
      <w:szCs w:val="18"/>
      <w:lang w:eastAsia="hr-HR"/>
    </w:rPr>
  </w:style>
  <w:style w:type="paragraph" w:customStyle="1" w:styleId="xl168">
    <w:name w:val="xl168"/>
    <w:basedOn w:val="Normal"/>
    <w:rsid w:val="00AA41EB"/>
    <w:pPr>
      <w:pBdr>
        <w:top w:val="single" w:sz="4" w:space="0" w:color="auto"/>
        <w:left w:val="single" w:sz="4" w:space="0" w:color="auto"/>
        <w:right w:val="single" w:sz="4" w:space="0" w:color="auto"/>
      </w:pBdr>
      <w:shd w:val="clear" w:color="000000" w:fill="FFFF99"/>
      <w:spacing w:before="100" w:beforeAutospacing="1" w:after="100" w:afterAutospacing="1"/>
      <w:textAlignment w:val="center"/>
    </w:pPr>
    <w:rPr>
      <w:rFonts w:ascii="Times New Roman" w:eastAsia="Times New Roman" w:hAnsi="Times New Roman" w:cs="Times New Roman"/>
      <w:b/>
      <w:bCs/>
      <w:color w:val="000000"/>
      <w:sz w:val="18"/>
      <w:szCs w:val="18"/>
      <w:lang w:eastAsia="hr-HR"/>
    </w:rPr>
  </w:style>
  <w:style w:type="paragraph" w:customStyle="1" w:styleId="xl169">
    <w:name w:val="xl169"/>
    <w:basedOn w:val="Normal"/>
    <w:rsid w:val="00AA41E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Times New Roman" w:eastAsia="Times New Roman" w:hAnsi="Times New Roman" w:cs="Times New Roman"/>
      <w:b/>
      <w:bCs/>
      <w:color w:val="000000"/>
      <w:sz w:val="18"/>
      <w:szCs w:val="18"/>
      <w:lang w:eastAsia="hr-HR"/>
    </w:rPr>
  </w:style>
  <w:style w:type="paragraph" w:customStyle="1" w:styleId="xl170">
    <w:name w:val="xl170"/>
    <w:basedOn w:val="Normal"/>
    <w:rsid w:val="00AA41EB"/>
    <w:pPr>
      <w:pBdr>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Times New Roman" w:eastAsia="Times New Roman" w:hAnsi="Times New Roman" w:cs="Times New Roman"/>
      <w:b/>
      <w:bCs/>
      <w:color w:val="000000"/>
      <w:sz w:val="18"/>
      <w:szCs w:val="18"/>
      <w:lang w:eastAsia="hr-HR"/>
    </w:rPr>
  </w:style>
  <w:style w:type="paragraph" w:customStyle="1" w:styleId="xl171">
    <w:name w:val="xl171"/>
    <w:basedOn w:val="Normal"/>
    <w:rsid w:val="00AA41E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eastAsia="hr-HR"/>
    </w:rPr>
  </w:style>
  <w:style w:type="paragraph" w:customStyle="1" w:styleId="xl172">
    <w:name w:val="xl172"/>
    <w:basedOn w:val="Normal"/>
    <w:rsid w:val="00AA41E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8"/>
      <w:szCs w:val="18"/>
      <w:lang w:eastAsia="hr-HR"/>
    </w:rPr>
  </w:style>
  <w:style w:type="paragraph" w:customStyle="1" w:styleId="xl173">
    <w:name w:val="xl173"/>
    <w:basedOn w:val="Normal"/>
    <w:rsid w:val="00AA41EB"/>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8"/>
      <w:szCs w:val="18"/>
      <w:lang w:eastAsia="hr-HR"/>
    </w:rPr>
  </w:style>
  <w:style w:type="paragraph" w:customStyle="1" w:styleId="xl174">
    <w:name w:val="xl174"/>
    <w:basedOn w:val="Normal"/>
    <w:rsid w:val="00AA41EB"/>
    <w:pPr>
      <w:pBdr>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8"/>
      <w:szCs w:val="18"/>
      <w:lang w:eastAsia="hr-HR"/>
    </w:rPr>
  </w:style>
  <w:style w:type="paragraph" w:customStyle="1" w:styleId="xl175">
    <w:name w:val="xl175"/>
    <w:basedOn w:val="Normal"/>
    <w:rsid w:val="00AA41EB"/>
    <w:pPr>
      <w:pBdr>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8"/>
      <w:szCs w:val="18"/>
      <w:lang w:eastAsia="hr-HR"/>
    </w:rPr>
  </w:style>
  <w:style w:type="paragraph" w:customStyle="1" w:styleId="xl176">
    <w:name w:val="xl176"/>
    <w:basedOn w:val="Normal"/>
    <w:rsid w:val="00AA41EB"/>
    <w:pPr>
      <w:pBdr>
        <w:top w:val="single" w:sz="4" w:space="0" w:color="auto"/>
        <w:left w:val="single" w:sz="4" w:space="0" w:color="auto"/>
        <w:bottom w:val="single" w:sz="4" w:space="0" w:color="auto"/>
        <w:right w:val="single" w:sz="4" w:space="0" w:color="auto"/>
      </w:pBdr>
      <w:shd w:val="clear" w:color="000000" w:fill="A3E7FF"/>
      <w:spacing w:before="100" w:beforeAutospacing="1" w:after="100" w:afterAutospacing="1"/>
      <w:textAlignment w:val="center"/>
    </w:pPr>
    <w:rPr>
      <w:rFonts w:ascii="Times New Roman" w:eastAsia="Times New Roman" w:hAnsi="Times New Roman" w:cs="Times New Roman"/>
      <w:b/>
      <w:bCs/>
      <w:color w:val="000000"/>
      <w:sz w:val="18"/>
      <w:szCs w:val="18"/>
      <w:lang w:eastAsia="hr-HR"/>
    </w:rPr>
  </w:style>
  <w:style w:type="paragraph" w:customStyle="1" w:styleId="xl177">
    <w:name w:val="xl177"/>
    <w:basedOn w:val="Normal"/>
    <w:rsid w:val="00AA41EB"/>
    <w:pPr>
      <w:pBdr>
        <w:top w:val="single" w:sz="4" w:space="0" w:color="auto"/>
        <w:left w:val="single" w:sz="4" w:space="0" w:color="auto"/>
        <w:bottom w:val="single" w:sz="4" w:space="0" w:color="auto"/>
        <w:right w:val="single" w:sz="4" w:space="0" w:color="auto"/>
      </w:pBdr>
      <w:shd w:val="clear" w:color="000000" w:fill="A3E7FF"/>
      <w:spacing w:before="100" w:beforeAutospacing="1" w:after="100" w:afterAutospacing="1"/>
      <w:jc w:val="center"/>
      <w:textAlignment w:val="center"/>
    </w:pPr>
    <w:rPr>
      <w:rFonts w:ascii="Times New Roman" w:eastAsia="Times New Roman" w:hAnsi="Times New Roman" w:cs="Times New Roman"/>
      <w:b/>
      <w:bCs/>
      <w:color w:val="000000"/>
      <w:sz w:val="18"/>
      <w:szCs w:val="18"/>
      <w:lang w:eastAsia="hr-HR"/>
    </w:rPr>
  </w:style>
  <w:style w:type="paragraph" w:customStyle="1" w:styleId="xl178">
    <w:name w:val="xl178"/>
    <w:basedOn w:val="Normal"/>
    <w:rsid w:val="00AA41EB"/>
    <w:pPr>
      <w:pBdr>
        <w:top w:val="single" w:sz="4" w:space="0" w:color="auto"/>
        <w:left w:val="single" w:sz="4" w:space="0" w:color="auto"/>
        <w:bottom w:val="single" w:sz="4" w:space="0" w:color="auto"/>
        <w:right w:val="single" w:sz="4" w:space="0" w:color="auto"/>
      </w:pBdr>
      <w:shd w:val="clear" w:color="000000" w:fill="A3E7FF"/>
      <w:spacing w:before="100" w:beforeAutospacing="1" w:after="100" w:afterAutospacing="1"/>
      <w:jc w:val="center"/>
      <w:textAlignment w:val="center"/>
    </w:pPr>
    <w:rPr>
      <w:rFonts w:ascii="Times New Roman" w:eastAsia="Times New Roman" w:hAnsi="Times New Roman" w:cs="Times New Roman"/>
      <w:b/>
      <w:bCs/>
      <w:color w:val="000000"/>
      <w:sz w:val="16"/>
      <w:szCs w:val="16"/>
      <w:lang w:eastAsia="hr-HR"/>
    </w:rPr>
  </w:style>
  <w:style w:type="paragraph" w:customStyle="1" w:styleId="xl179">
    <w:name w:val="xl179"/>
    <w:basedOn w:val="Normal"/>
    <w:rsid w:val="00AA41EB"/>
    <w:pPr>
      <w:pBdr>
        <w:top w:val="single" w:sz="4" w:space="0" w:color="auto"/>
        <w:left w:val="single" w:sz="4" w:space="0" w:color="auto"/>
        <w:bottom w:val="single" w:sz="4" w:space="0" w:color="auto"/>
        <w:right w:val="single" w:sz="4" w:space="0" w:color="auto"/>
      </w:pBdr>
      <w:shd w:val="clear" w:color="000000" w:fill="A3E7FF"/>
      <w:spacing w:before="100" w:beforeAutospacing="1" w:after="100" w:afterAutospacing="1"/>
      <w:jc w:val="center"/>
      <w:textAlignment w:val="center"/>
    </w:pPr>
    <w:rPr>
      <w:rFonts w:ascii="Times New Roman" w:eastAsia="Times New Roman" w:hAnsi="Times New Roman" w:cs="Times New Roman"/>
      <w:b/>
      <w:bCs/>
      <w:color w:val="000000"/>
      <w:sz w:val="18"/>
      <w:szCs w:val="18"/>
      <w:lang w:eastAsia="hr-HR"/>
    </w:rPr>
  </w:style>
  <w:style w:type="paragraph" w:customStyle="1" w:styleId="xl180">
    <w:name w:val="xl180"/>
    <w:basedOn w:val="Normal"/>
    <w:rsid w:val="00AA41EB"/>
    <w:pPr>
      <w:pBdr>
        <w:top w:val="single" w:sz="4" w:space="0" w:color="auto"/>
        <w:left w:val="single" w:sz="4" w:space="0" w:color="auto"/>
        <w:bottom w:val="single" w:sz="4" w:space="0" w:color="auto"/>
        <w:right w:val="single" w:sz="4" w:space="0" w:color="auto"/>
      </w:pBdr>
      <w:shd w:val="clear" w:color="000000" w:fill="A3E7FF"/>
      <w:spacing w:before="100" w:beforeAutospacing="1" w:after="100" w:afterAutospacing="1"/>
      <w:jc w:val="center"/>
      <w:textAlignment w:val="center"/>
    </w:pPr>
    <w:rPr>
      <w:rFonts w:ascii="Times New Roman" w:eastAsia="Times New Roman" w:hAnsi="Times New Roman" w:cs="Times New Roman"/>
      <w:b/>
      <w:bCs/>
      <w:sz w:val="16"/>
      <w:szCs w:val="16"/>
      <w:lang w:eastAsia="hr-HR"/>
    </w:rPr>
  </w:style>
  <w:style w:type="paragraph" w:customStyle="1" w:styleId="xl181">
    <w:name w:val="xl181"/>
    <w:basedOn w:val="Normal"/>
    <w:rsid w:val="00AA41EB"/>
    <w:pPr>
      <w:pBdr>
        <w:top w:val="single" w:sz="4" w:space="0" w:color="auto"/>
        <w:left w:val="single" w:sz="4" w:space="0" w:color="auto"/>
        <w:bottom w:val="single" w:sz="4" w:space="0" w:color="auto"/>
        <w:right w:val="single" w:sz="4" w:space="0" w:color="auto"/>
      </w:pBdr>
      <w:shd w:val="clear" w:color="000000" w:fill="A3E7FF"/>
      <w:spacing w:before="100" w:beforeAutospacing="1" w:after="100" w:afterAutospacing="1"/>
      <w:jc w:val="center"/>
      <w:textAlignment w:val="center"/>
    </w:pPr>
    <w:rPr>
      <w:rFonts w:ascii="Times New Roman" w:eastAsia="Times New Roman" w:hAnsi="Times New Roman" w:cs="Times New Roman"/>
      <w:b/>
      <w:bCs/>
      <w:sz w:val="16"/>
      <w:szCs w:val="16"/>
      <w:lang w:eastAsia="hr-HR"/>
    </w:rPr>
  </w:style>
  <w:style w:type="paragraph" w:customStyle="1" w:styleId="xl182">
    <w:name w:val="xl182"/>
    <w:basedOn w:val="Normal"/>
    <w:rsid w:val="00AA41EB"/>
    <w:pPr>
      <w:pBdr>
        <w:top w:val="single" w:sz="4" w:space="0" w:color="auto"/>
        <w:left w:val="single" w:sz="4" w:space="0" w:color="auto"/>
        <w:bottom w:val="single" w:sz="4" w:space="0" w:color="auto"/>
        <w:right w:val="single" w:sz="4" w:space="0" w:color="auto"/>
      </w:pBdr>
      <w:shd w:val="clear" w:color="000000" w:fill="A3E7FF"/>
      <w:spacing w:before="100" w:beforeAutospacing="1" w:after="100" w:afterAutospacing="1"/>
      <w:jc w:val="center"/>
      <w:textAlignment w:val="center"/>
    </w:pPr>
    <w:rPr>
      <w:rFonts w:ascii="Times New Roman" w:eastAsia="Times New Roman" w:hAnsi="Times New Roman" w:cs="Times New Roman"/>
      <w:b/>
      <w:bCs/>
      <w:color w:val="000000"/>
      <w:sz w:val="18"/>
      <w:szCs w:val="18"/>
      <w:lang w:eastAsia="hr-HR"/>
    </w:rPr>
  </w:style>
  <w:style w:type="paragraph" w:customStyle="1" w:styleId="xl183">
    <w:name w:val="xl183"/>
    <w:basedOn w:val="Normal"/>
    <w:rsid w:val="00AA41EB"/>
    <w:pPr>
      <w:pBdr>
        <w:top w:val="single" w:sz="4" w:space="0" w:color="auto"/>
        <w:left w:val="single" w:sz="4" w:space="0" w:color="auto"/>
        <w:right w:val="single" w:sz="4" w:space="0" w:color="auto"/>
      </w:pBdr>
      <w:shd w:val="clear" w:color="000000" w:fill="A3E7FF"/>
      <w:spacing w:before="100" w:beforeAutospacing="1" w:after="100" w:afterAutospacing="1"/>
      <w:jc w:val="center"/>
      <w:textAlignment w:val="center"/>
    </w:pPr>
    <w:rPr>
      <w:rFonts w:ascii="Times New Roman" w:eastAsia="Times New Roman" w:hAnsi="Times New Roman" w:cs="Times New Roman"/>
      <w:b/>
      <w:bCs/>
      <w:color w:val="000000"/>
      <w:sz w:val="18"/>
      <w:szCs w:val="18"/>
      <w:lang w:eastAsia="hr-HR"/>
    </w:rPr>
  </w:style>
  <w:style w:type="paragraph" w:customStyle="1" w:styleId="xl216">
    <w:name w:val="xl216"/>
    <w:basedOn w:val="Normal"/>
    <w:rsid w:val="00AA41EB"/>
    <w:pPr>
      <w:spacing w:before="100" w:beforeAutospacing="1" w:after="100" w:afterAutospacing="1"/>
      <w:textAlignment w:val="center"/>
    </w:pPr>
    <w:rPr>
      <w:rFonts w:ascii="Times New Roman" w:eastAsia="Times New Roman" w:hAnsi="Times New Roman" w:cs="Times New Roman"/>
      <w:color w:val="000000"/>
      <w:sz w:val="24"/>
      <w:szCs w:val="24"/>
      <w:lang w:eastAsia="hr-HR"/>
    </w:rPr>
  </w:style>
  <w:style w:type="paragraph" w:customStyle="1" w:styleId="xl217">
    <w:name w:val="xl217"/>
    <w:basedOn w:val="Normal"/>
    <w:rsid w:val="00AA41EB"/>
    <w:pPr>
      <w:spacing w:before="100" w:beforeAutospacing="1" w:after="100" w:afterAutospacing="1"/>
      <w:textAlignment w:val="center"/>
    </w:pPr>
    <w:rPr>
      <w:rFonts w:ascii="Times New Roman" w:eastAsia="Times New Roman" w:hAnsi="Times New Roman" w:cs="Times New Roman"/>
      <w:color w:val="000000"/>
      <w:sz w:val="18"/>
      <w:szCs w:val="18"/>
      <w:lang w:eastAsia="hr-HR"/>
    </w:rPr>
  </w:style>
  <w:style w:type="paragraph" w:customStyle="1" w:styleId="xl218">
    <w:name w:val="xl218"/>
    <w:basedOn w:val="Normal"/>
    <w:rsid w:val="00AA41EB"/>
    <w:pPr>
      <w:shd w:val="clear" w:color="000000" w:fill="FF0000"/>
      <w:spacing w:before="100" w:beforeAutospacing="1" w:after="100" w:afterAutospacing="1"/>
      <w:textAlignment w:val="center"/>
    </w:pPr>
    <w:rPr>
      <w:rFonts w:ascii="Times New Roman" w:eastAsia="Times New Roman" w:hAnsi="Times New Roman" w:cs="Times New Roman"/>
      <w:color w:val="000000"/>
      <w:sz w:val="18"/>
      <w:szCs w:val="18"/>
      <w:lang w:eastAsia="hr-HR"/>
    </w:rPr>
  </w:style>
  <w:style w:type="paragraph" w:customStyle="1" w:styleId="xl219">
    <w:name w:val="xl219"/>
    <w:basedOn w:val="Normal"/>
    <w:rsid w:val="00AA41EB"/>
    <w:pPr>
      <w:spacing w:before="100" w:beforeAutospacing="1" w:after="100" w:afterAutospacing="1"/>
      <w:textAlignment w:val="center"/>
    </w:pPr>
    <w:rPr>
      <w:rFonts w:ascii="Times New Roman" w:eastAsia="Times New Roman" w:hAnsi="Times New Roman" w:cs="Times New Roman"/>
      <w:color w:val="000000"/>
      <w:sz w:val="18"/>
      <w:szCs w:val="18"/>
      <w:lang w:eastAsia="hr-HR"/>
    </w:rPr>
  </w:style>
  <w:style w:type="paragraph" w:customStyle="1" w:styleId="xl220">
    <w:name w:val="xl220"/>
    <w:basedOn w:val="Normal"/>
    <w:rsid w:val="00AA41EB"/>
    <w:pPr>
      <w:spacing w:before="100" w:beforeAutospacing="1" w:after="100" w:afterAutospacing="1"/>
      <w:textAlignment w:val="center"/>
    </w:pPr>
    <w:rPr>
      <w:rFonts w:ascii="Times New Roman" w:eastAsia="Times New Roman" w:hAnsi="Times New Roman" w:cs="Times New Roman"/>
      <w:b/>
      <w:bCs/>
      <w:color w:val="000000"/>
      <w:sz w:val="18"/>
      <w:szCs w:val="18"/>
      <w:lang w:eastAsia="hr-HR"/>
    </w:rPr>
  </w:style>
  <w:style w:type="paragraph" w:customStyle="1" w:styleId="xl221">
    <w:name w:val="xl221"/>
    <w:basedOn w:val="Normal"/>
    <w:rsid w:val="00AA41EB"/>
    <w:pPr>
      <w:pBdr>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8"/>
      <w:szCs w:val="18"/>
      <w:lang w:eastAsia="hr-HR"/>
    </w:rPr>
  </w:style>
  <w:style w:type="paragraph" w:customStyle="1" w:styleId="xl222">
    <w:name w:val="xl222"/>
    <w:basedOn w:val="Normal"/>
    <w:rsid w:val="00AA41E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8"/>
      <w:szCs w:val="18"/>
      <w:lang w:eastAsia="hr-HR"/>
    </w:rPr>
  </w:style>
  <w:style w:type="paragraph" w:customStyle="1" w:styleId="xl223">
    <w:name w:val="xl223"/>
    <w:basedOn w:val="Normal"/>
    <w:rsid w:val="00AA41E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8"/>
      <w:szCs w:val="18"/>
      <w:lang w:eastAsia="hr-HR"/>
    </w:rPr>
  </w:style>
  <w:style w:type="paragraph" w:customStyle="1" w:styleId="xl224">
    <w:name w:val="xl224"/>
    <w:basedOn w:val="Normal"/>
    <w:rsid w:val="00AA41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4"/>
      <w:szCs w:val="24"/>
      <w:lang w:eastAsia="hr-HR"/>
    </w:rPr>
  </w:style>
  <w:style w:type="paragraph" w:customStyle="1" w:styleId="xl225">
    <w:name w:val="xl225"/>
    <w:basedOn w:val="Normal"/>
    <w:rsid w:val="00AA41E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8"/>
      <w:szCs w:val="18"/>
      <w:lang w:eastAsia="hr-HR"/>
    </w:rPr>
  </w:style>
  <w:style w:type="paragraph" w:customStyle="1" w:styleId="xl226">
    <w:name w:val="xl226"/>
    <w:basedOn w:val="Normal"/>
    <w:rsid w:val="00AA41E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8"/>
      <w:szCs w:val="18"/>
      <w:lang w:eastAsia="hr-HR"/>
    </w:rPr>
  </w:style>
  <w:style w:type="paragraph" w:customStyle="1" w:styleId="xl227">
    <w:name w:val="xl227"/>
    <w:basedOn w:val="Normal"/>
    <w:rsid w:val="00AA41E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8"/>
      <w:szCs w:val="18"/>
      <w:lang w:eastAsia="hr-HR"/>
    </w:rPr>
  </w:style>
  <w:style w:type="paragraph" w:customStyle="1" w:styleId="xl228">
    <w:name w:val="xl228"/>
    <w:basedOn w:val="Normal"/>
    <w:rsid w:val="00AA41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8"/>
      <w:szCs w:val="18"/>
      <w:lang w:eastAsia="hr-HR"/>
    </w:rPr>
  </w:style>
  <w:style w:type="paragraph" w:customStyle="1" w:styleId="xl229">
    <w:name w:val="xl229"/>
    <w:basedOn w:val="Normal"/>
    <w:rsid w:val="00AA41E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imes New Roman" w:eastAsia="Times New Roman" w:hAnsi="Times New Roman" w:cs="Times New Roman"/>
      <w:b/>
      <w:bCs/>
      <w:color w:val="000000"/>
      <w:sz w:val="18"/>
      <w:szCs w:val="18"/>
      <w:lang w:eastAsia="hr-HR"/>
    </w:rPr>
  </w:style>
  <w:style w:type="paragraph" w:customStyle="1" w:styleId="xl230">
    <w:name w:val="xl230"/>
    <w:basedOn w:val="Normal"/>
    <w:rsid w:val="00AA41EB"/>
    <w:pPr>
      <w:pBdr>
        <w:bottom w:val="single" w:sz="4" w:space="0" w:color="auto"/>
        <w:right w:val="single" w:sz="4" w:space="0" w:color="auto"/>
      </w:pBdr>
      <w:shd w:val="clear" w:color="000000" w:fill="FFFF99"/>
      <w:spacing w:before="100" w:beforeAutospacing="1" w:after="100" w:afterAutospacing="1"/>
      <w:textAlignment w:val="center"/>
    </w:pPr>
    <w:rPr>
      <w:rFonts w:ascii="Times New Roman" w:eastAsia="Times New Roman" w:hAnsi="Times New Roman" w:cs="Times New Roman"/>
      <w:b/>
      <w:bCs/>
      <w:color w:val="000000"/>
      <w:sz w:val="18"/>
      <w:szCs w:val="18"/>
      <w:lang w:eastAsia="hr-HR"/>
    </w:rPr>
  </w:style>
  <w:style w:type="paragraph" w:customStyle="1" w:styleId="xl231">
    <w:name w:val="xl231"/>
    <w:basedOn w:val="Normal"/>
    <w:rsid w:val="00AA41E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imes New Roman" w:eastAsia="Times New Roman" w:hAnsi="Times New Roman" w:cs="Times New Roman"/>
      <w:color w:val="000000"/>
      <w:sz w:val="24"/>
      <w:szCs w:val="24"/>
      <w:lang w:eastAsia="hr-HR"/>
    </w:rPr>
  </w:style>
  <w:style w:type="paragraph" w:customStyle="1" w:styleId="xl232">
    <w:name w:val="xl232"/>
    <w:basedOn w:val="Normal"/>
    <w:rsid w:val="00AA41EB"/>
    <w:pPr>
      <w:pBdr>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imes New Roman" w:eastAsia="Times New Roman" w:hAnsi="Times New Roman" w:cs="Times New Roman"/>
      <w:b/>
      <w:bCs/>
      <w:color w:val="000000"/>
      <w:sz w:val="18"/>
      <w:szCs w:val="18"/>
      <w:lang w:eastAsia="hr-HR"/>
    </w:rPr>
  </w:style>
  <w:style w:type="paragraph" w:customStyle="1" w:styleId="xl233">
    <w:name w:val="xl233"/>
    <w:basedOn w:val="Normal"/>
    <w:rsid w:val="00AA41EB"/>
    <w:pPr>
      <w:pBdr>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imes New Roman" w:eastAsia="Times New Roman" w:hAnsi="Times New Roman" w:cs="Times New Roman"/>
      <w:b/>
      <w:bCs/>
      <w:color w:val="000000"/>
      <w:sz w:val="18"/>
      <w:szCs w:val="18"/>
      <w:lang w:eastAsia="hr-HR"/>
    </w:rPr>
  </w:style>
  <w:style w:type="paragraph" w:customStyle="1" w:styleId="xl234">
    <w:name w:val="xl234"/>
    <w:basedOn w:val="Normal"/>
    <w:rsid w:val="00AA41EB"/>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8"/>
      <w:szCs w:val="18"/>
      <w:lang w:eastAsia="hr-HR"/>
    </w:rPr>
  </w:style>
  <w:style w:type="paragraph" w:customStyle="1" w:styleId="xl235">
    <w:name w:val="xl235"/>
    <w:basedOn w:val="Normal"/>
    <w:rsid w:val="00AA41EB"/>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8"/>
      <w:szCs w:val="18"/>
      <w:lang w:eastAsia="hr-HR"/>
    </w:rPr>
  </w:style>
  <w:style w:type="paragraph" w:customStyle="1" w:styleId="xl236">
    <w:name w:val="xl236"/>
    <w:basedOn w:val="Normal"/>
    <w:rsid w:val="00AA41EB"/>
    <w:pPr>
      <w:pBdr>
        <w:bottom w:val="single" w:sz="4" w:space="0" w:color="auto"/>
        <w:right w:val="single" w:sz="4" w:space="0" w:color="auto"/>
      </w:pBdr>
      <w:shd w:val="clear" w:color="000000" w:fill="FFFF99"/>
      <w:spacing w:before="100" w:beforeAutospacing="1" w:after="100" w:afterAutospacing="1"/>
      <w:textAlignment w:val="center"/>
    </w:pPr>
    <w:rPr>
      <w:rFonts w:ascii="Times New Roman" w:eastAsia="Times New Roman" w:hAnsi="Times New Roman" w:cs="Times New Roman"/>
      <w:b/>
      <w:bCs/>
      <w:color w:val="000000"/>
      <w:sz w:val="18"/>
      <w:szCs w:val="18"/>
      <w:lang w:eastAsia="hr-HR"/>
    </w:rPr>
  </w:style>
  <w:style w:type="paragraph" w:customStyle="1" w:styleId="xl237">
    <w:name w:val="xl237"/>
    <w:basedOn w:val="Normal"/>
    <w:rsid w:val="00AA41EB"/>
    <w:pPr>
      <w:pBdr>
        <w:bottom w:val="single" w:sz="4" w:space="0" w:color="auto"/>
        <w:right w:val="single" w:sz="4" w:space="0" w:color="auto"/>
      </w:pBdr>
      <w:shd w:val="clear" w:color="000000" w:fill="FF0000"/>
      <w:spacing w:before="100" w:beforeAutospacing="1" w:after="100" w:afterAutospacing="1"/>
      <w:textAlignment w:val="center"/>
    </w:pPr>
    <w:rPr>
      <w:rFonts w:ascii="Times New Roman" w:eastAsia="Times New Roman" w:hAnsi="Times New Roman" w:cs="Times New Roman"/>
      <w:color w:val="000000"/>
      <w:sz w:val="18"/>
      <w:szCs w:val="18"/>
      <w:lang w:eastAsia="hr-HR"/>
    </w:rPr>
  </w:style>
  <w:style w:type="paragraph" w:customStyle="1" w:styleId="xl238">
    <w:name w:val="xl238"/>
    <w:basedOn w:val="Normal"/>
    <w:rsid w:val="00AA41E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imes New Roman" w:eastAsia="Times New Roman" w:hAnsi="Times New Roman" w:cs="Times New Roman"/>
      <w:b/>
      <w:bCs/>
      <w:color w:val="000000"/>
      <w:sz w:val="18"/>
      <w:szCs w:val="18"/>
      <w:lang w:eastAsia="hr-HR"/>
    </w:rPr>
  </w:style>
  <w:style w:type="paragraph" w:customStyle="1" w:styleId="xl239">
    <w:name w:val="xl239"/>
    <w:basedOn w:val="Normal"/>
    <w:rsid w:val="00AA41EB"/>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8"/>
      <w:szCs w:val="18"/>
      <w:lang w:eastAsia="hr-HR"/>
    </w:rPr>
  </w:style>
  <w:style w:type="paragraph" w:customStyle="1" w:styleId="xl240">
    <w:name w:val="xl240"/>
    <w:basedOn w:val="Normal"/>
    <w:rsid w:val="00AA41EB"/>
    <w:pPr>
      <w:pBdr>
        <w:top w:val="single" w:sz="4" w:space="0" w:color="auto"/>
        <w:left w:val="single" w:sz="4" w:space="0" w:color="auto"/>
        <w:right w:val="single" w:sz="4" w:space="0" w:color="auto"/>
      </w:pBdr>
      <w:shd w:val="clear" w:color="000000" w:fill="FFFF99"/>
      <w:spacing w:before="100" w:beforeAutospacing="1" w:after="100" w:afterAutospacing="1"/>
      <w:textAlignment w:val="center"/>
    </w:pPr>
    <w:rPr>
      <w:rFonts w:ascii="Times New Roman" w:eastAsia="Times New Roman" w:hAnsi="Times New Roman" w:cs="Times New Roman"/>
      <w:b/>
      <w:bCs/>
      <w:color w:val="000000"/>
      <w:sz w:val="18"/>
      <w:szCs w:val="18"/>
      <w:lang w:eastAsia="hr-HR"/>
    </w:rPr>
  </w:style>
  <w:style w:type="paragraph" w:customStyle="1" w:styleId="xl241">
    <w:name w:val="xl241"/>
    <w:basedOn w:val="Normal"/>
    <w:rsid w:val="00AA41EB"/>
    <w:pPr>
      <w:pBdr>
        <w:right w:val="single" w:sz="4" w:space="0" w:color="auto"/>
      </w:pBdr>
      <w:shd w:val="clear" w:color="000000" w:fill="FFFF99"/>
      <w:spacing w:before="100" w:beforeAutospacing="1" w:after="100" w:afterAutospacing="1"/>
      <w:textAlignment w:val="center"/>
    </w:pPr>
    <w:rPr>
      <w:rFonts w:ascii="Times New Roman" w:eastAsia="Times New Roman" w:hAnsi="Times New Roman" w:cs="Times New Roman"/>
      <w:b/>
      <w:bCs/>
      <w:color w:val="000000"/>
      <w:sz w:val="18"/>
      <w:szCs w:val="18"/>
      <w:lang w:eastAsia="hr-HR"/>
    </w:rPr>
  </w:style>
  <w:style w:type="paragraph" w:customStyle="1" w:styleId="xl242">
    <w:name w:val="xl242"/>
    <w:basedOn w:val="Normal"/>
    <w:rsid w:val="00AA41EB"/>
    <w:pPr>
      <w:pBdr>
        <w:left w:val="single" w:sz="4" w:space="0" w:color="auto"/>
        <w:right w:val="single" w:sz="4" w:space="0" w:color="auto"/>
      </w:pBdr>
      <w:shd w:val="clear" w:color="000000" w:fill="FFFF99"/>
      <w:spacing w:before="100" w:beforeAutospacing="1" w:after="100" w:afterAutospacing="1"/>
      <w:textAlignment w:val="center"/>
    </w:pPr>
    <w:rPr>
      <w:rFonts w:ascii="Times New Roman" w:eastAsia="Times New Roman" w:hAnsi="Times New Roman" w:cs="Times New Roman"/>
      <w:b/>
      <w:bCs/>
      <w:color w:val="000000"/>
      <w:sz w:val="18"/>
      <w:szCs w:val="18"/>
      <w:lang w:eastAsia="hr-HR"/>
    </w:rPr>
  </w:style>
  <w:style w:type="paragraph" w:customStyle="1" w:styleId="xl243">
    <w:name w:val="xl243"/>
    <w:basedOn w:val="Normal"/>
    <w:rsid w:val="00AA41EB"/>
    <w:pPr>
      <w:pBdr>
        <w:right w:val="single" w:sz="4" w:space="0" w:color="auto"/>
      </w:pBdr>
      <w:shd w:val="clear" w:color="000000" w:fill="FFFF99"/>
      <w:spacing w:before="100" w:beforeAutospacing="1" w:after="100" w:afterAutospacing="1"/>
      <w:textAlignment w:val="center"/>
    </w:pPr>
    <w:rPr>
      <w:rFonts w:ascii="Times New Roman" w:eastAsia="Times New Roman" w:hAnsi="Times New Roman" w:cs="Times New Roman"/>
      <w:b/>
      <w:bCs/>
      <w:color w:val="000000"/>
      <w:sz w:val="18"/>
      <w:szCs w:val="18"/>
      <w:lang w:eastAsia="hr-HR"/>
    </w:rPr>
  </w:style>
  <w:style w:type="paragraph" w:customStyle="1" w:styleId="xl244">
    <w:name w:val="xl244"/>
    <w:basedOn w:val="Normal"/>
    <w:rsid w:val="00AA41EB"/>
    <w:pPr>
      <w:spacing w:before="100" w:beforeAutospacing="1" w:after="100" w:afterAutospacing="1"/>
      <w:textAlignment w:val="center"/>
    </w:pPr>
    <w:rPr>
      <w:rFonts w:ascii="Times New Roman" w:eastAsia="Times New Roman" w:hAnsi="Times New Roman" w:cs="Times New Roman"/>
      <w:color w:val="000000"/>
      <w:sz w:val="24"/>
      <w:szCs w:val="24"/>
      <w:lang w:eastAsia="hr-HR"/>
    </w:rPr>
  </w:style>
  <w:style w:type="paragraph" w:customStyle="1" w:styleId="xl245">
    <w:name w:val="xl245"/>
    <w:basedOn w:val="Normal"/>
    <w:rsid w:val="00AA41EB"/>
    <w:pPr>
      <w:spacing w:before="100" w:beforeAutospacing="1" w:after="100" w:afterAutospacing="1"/>
      <w:textAlignment w:val="center"/>
    </w:pPr>
    <w:rPr>
      <w:rFonts w:ascii="Times New Roman" w:eastAsia="Times New Roman" w:hAnsi="Times New Roman" w:cs="Times New Roman"/>
      <w:color w:val="000000"/>
      <w:sz w:val="24"/>
      <w:szCs w:val="24"/>
      <w:lang w:eastAsia="hr-HR"/>
    </w:rPr>
  </w:style>
  <w:style w:type="paragraph" w:customStyle="1" w:styleId="xl246">
    <w:name w:val="xl246"/>
    <w:basedOn w:val="Normal"/>
    <w:rsid w:val="00AA41EB"/>
    <w:pPr>
      <w:pBdr>
        <w:bottom w:val="single" w:sz="4" w:space="0" w:color="auto"/>
        <w:right w:val="single" w:sz="4" w:space="0" w:color="auto"/>
      </w:pBdr>
      <w:shd w:val="clear" w:color="000000" w:fill="E26B0A"/>
      <w:spacing w:before="100" w:beforeAutospacing="1" w:after="100" w:afterAutospacing="1"/>
      <w:textAlignment w:val="center"/>
    </w:pPr>
    <w:rPr>
      <w:rFonts w:ascii="Times New Roman" w:eastAsia="Times New Roman" w:hAnsi="Times New Roman" w:cs="Times New Roman"/>
      <w:color w:val="000000"/>
      <w:sz w:val="18"/>
      <w:szCs w:val="18"/>
      <w:lang w:eastAsia="hr-HR"/>
    </w:rPr>
  </w:style>
  <w:style w:type="paragraph" w:customStyle="1" w:styleId="xl247">
    <w:name w:val="xl247"/>
    <w:basedOn w:val="Normal"/>
    <w:rsid w:val="00AA41EB"/>
    <w:pPr>
      <w:pBdr>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color w:val="000000"/>
      <w:sz w:val="18"/>
      <w:szCs w:val="18"/>
      <w:lang w:eastAsia="hr-HR"/>
    </w:rPr>
  </w:style>
  <w:style w:type="paragraph" w:customStyle="1" w:styleId="xl248">
    <w:name w:val="xl248"/>
    <w:basedOn w:val="Normal"/>
    <w:rsid w:val="00AA41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8"/>
      <w:szCs w:val="18"/>
      <w:lang w:eastAsia="hr-HR"/>
    </w:rPr>
  </w:style>
  <w:style w:type="paragraph" w:customStyle="1" w:styleId="xl249">
    <w:name w:val="xl249"/>
    <w:basedOn w:val="Normal"/>
    <w:rsid w:val="00AA41EB"/>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8"/>
      <w:szCs w:val="18"/>
      <w:lang w:eastAsia="hr-HR"/>
    </w:rPr>
  </w:style>
  <w:style w:type="paragraph" w:customStyle="1" w:styleId="xl250">
    <w:name w:val="xl250"/>
    <w:basedOn w:val="Normal"/>
    <w:rsid w:val="00AA41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8"/>
      <w:szCs w:val="18"/>
      <w:lang w:eastAsia="hr-HR"/>
    </w:rPr>
  </w:style>
  <w:style w:type="paragraph" w:customStyle="1" w:styleId="xl251">
    <w:name w:val="xl251"/>
    <w:basedOn w:val="Normal"/>
    <w:rsid w:val="00AA41EB"/>
    <w:pPr>
      <w:pBdr>
        <w:top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imes New Roman" w:eastAsia="Times New Roman" w:hAnsi="Times New Roman" w:cs="Times New Roman"/>
      <w:b/>
      <w:bCs/>
      <w:color w:val="000000"/>
      <w:sz w:val="18"/>
      <w:szCs w:val="18"/>
      <w:lang w:eastAsia="hr-HR"/>
    </w:rPr>
  </w:style>
  <w:style w:type="paragraph" w:customStyle="1" w:styleId="xl252">
    <w:name w:val="xl252"/>
    <w:basedOn w:val="Normal"/>
    <w:rsid w:val="00AA41EB"/>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8"/>
      <w:szCs w:val="18"/>
      <w:lang w:eastAsia="hr-HR"/>
    </w:rPr>
  </w:style>
  <w:style w:type="paragraph" w:customStyle="1" w:styleId="xl253">
    <w:name w:val="xl253"/>
    <w:basedOn w:val="Normal"/>
    <w:rsid w:val="00AA41EB"/>
    <w:pPr>
      <w:pBdr>
        <w:top w:val="single" w:sz="4" w:space="0" w:color="auto"/>
        <w:right w:val="single" w:sz="4" w:space="0" w:color="auto"/>
      </w:pBdr>
      <w:shd w:val="clear" w:color="000000" w:fill="FFFF99"/>
      <w:spacing w:before="100" w:beforeAutospacing="1" w:after="100" w:afterAutospacing="1"/>
      <w:textAlignment w:val="center"/>
    </w:pPr>
    <w:rPr>
      <w:rFonts w:ascii="Times New Roman" w:eastAsia="Times New Roman" w:hAnsi="Times New Roman" w:cs="Times New Roman"/>
      <w:b/>
      <w:bCs/>
      <w:color w:val="000000"/>
      <w:sz w:val="18"/>
      <w:szCs w:val="18"/>
      <w:lang w:eastAsia="hr-HR"/>
    </w:rPr>
  </w:style>
  <w:style w:type="paragraph" w:customStyle="1" w:styleId="xl254">
    <w:name w:val="xl254"/>
    <w:basedOn w:val="Normal"/>
    <w:rsid w:val="00AA41EB"/>
    <w:pPr>
      <w:pBdr>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imes New Roman" w:eastAsia="Times New Roman" w:hAnsi="Times New Roman" w:cs="Times New Roman"/>
      <w:b/>
      <w:bCs/>
      <w:color w:val="000000"/>
      <w:sz w:val="18"/>
      <w:szCs w:val="18"/>
      <w:lang w:eastAsia="hr-HR"/>
    </w:rPr>
  </w:style>
  <w:style w:type="paragraph" w:customStyle="1" w:styleId="xl255">
    <w:name w:val="xl255"/>
    <w:basedOn w:val="Normal"/>
    <w:rsid w:val="00AA41EB"/>
    <w:pPr>
      <w:pBdr>
        <w:bottom w:val="single" w:sz="4" w:space="0" w:color="auto"/>
        <w:right w:val="single" w:sz="4" w:space="0" w:color="auto"/>
      </w:pBdr>
      <w:shd w:val="clear" w:color="000000" w:fill="92D050"/>
      <w:spacing w:before="100" w:beforeAutospacing="1" w:after="100" w:afterAutospacing="1"/>
      <w:textAlignment w:val="center"/>
    </w:pPr>
    <w:rPr>
      <w:rFonts w:ascii="Times New Roman" w:eastAsia="Times New Roman" w:hAnsi="Times New Roman" w:cs="Times New Roman"/>
      <w:color w:val="000000"/>
      <w:sz w:val="18"/>
      <w:szCs w:val="18"/>
      <w:lang w:eastAsia="hr-HR"/>
    </w:rPr>
  </w:style>
  <w:style w:type="paragraph" w:customStyle="1" w:styleId="xl256">
    <w:name w:val="xl256"/>
    <w:basedOn w:val="Normal"/>
    <w:rsid w:val="00AA41EB"/>
    <w:pPr>
      <w:pBdr>
        <w:top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Times New Roman" w:eastAsia="Times New Roman" w:hAnsi="Times New Roman" w:cs="Times New Roman"/>
      <w:color w:val="000000"/>
      <w:sz w:val="18"/>
      <w:szCs w:val="18"/>
      <w:lang w:eastAsia="hr-HR"/>
    </w:rPr>
  </w:style>
  <w:style w:type="paragraph" w:customStyle="1" w:styleId="xl257">
    <w:name w:val="xl257"/>
    <w:basedOn w:val="Normal"/>
    <w:rsid w:val="00AA41E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imes New Roman" w:eastAsia="Times New Roman" w:hAnsi="Times New Roman" w:cs="Times New Roman"/>
      <w:b/>
      <w:bCs/>
      <w:color w:val="000000"/>
      <w:sz w:val="18"/>
      <w:szCs w:val="18"/>
      <w:lang w:eastAsia="hr-HR"/>
    </w:rPr>
  </w:style>
  <w:style w:type="paragraph" w:customStyle="1" w:styleId="xl258">
    <w:name w:val="xl258"/>
    <w:basedOn w:val="Normal"/>
    <w:rsid w:val="00AA41E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Times New Roman" w:eastAsia="Times New Roman" w:hAnsi="Times New Roman" w:cs="Times New Roman"/>
      <w:color w:val="000000"/>
      <w:sz w:val="18"/>
      <w:szCs w:val="18"/>
      <w:lang w:eastAsia="hr-HR"/>
    </w:rPr>
  </w:style>
  <w:style w:type="paragraph" w:customStyle="1" w:styleId="xl259">
    <w:name w:val="xl259"/>
    <w:basedOn w:val="Normal"/>
    <w:rsid w:val="00AA41E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4"/>
      <w:szCs w:val="24"/>
      <w:lang w:eastAsia="hr-HR"/>
    </w:rPr>
  </w:style>
  <w:style w:type="paragraph" w:customStyle="1" w:styleId="xl260">
    <w:name w:val="xl260"/>
    <w:basedOn w:val="Normal"/>
    <w:rsid w:val="00AA41EB"/>
    <w:pPr>
      <w:pBdr>
        <w:top w:val="single" w:sz="4" w:space="0" w:color="auto"/>
        <w:left w:val="single" w:sz="4" w:space="0" w:color="auto"/>
        <w:right w:val="single" w:sz="4" w:space="0" w:color="auto"/>
      </w:pBdr>
      <w:shd w:val="clear" w:color="000000" w:fill="FFFF99"/>
      <w:spacing w:before="100" w:beforeAutospacing="1" w:after="100" w:afterAutospacing="1"/>
      <w:textAlignment w:val="center"/>
    </w:pPr>
    <w:rPr>
      <w:rFonts w:ascii="Times New Roman" w:eastAsia="Times New Roman" w:hAnsi="Times New Roman" w:cs="Times New Roman"/>
      <w:b/>
      <w:bCs/>
      <w:color w:val="000000"/>
      <w:sz w:val="18"/>
      <w:szCs w:val="18"/>
      <w:lang w:eastAsia="hr-HR"/>
    </w:rPr>
  </w:style>
  <w:style w:type="paragraph" w:customStyle="1" w:styleId="xl261">
    <w:name w:val="xl261"/>
    <w:basedOn w:val="Normal"/>
    <w:rsid w:val="00AA41EB"/>
    <w:pPr>
      <w:pBdr>
        <w:top w:val="single" w:sz="4" w:space="0" w:color="auto"/>
        <w:left w:val="single" w:sz="4" w:space="0" w:color="auto"/>
        <w:right w:val="single" w:sz="4" w:space="0" w:color="auto"/>
      </w:pBdr>
      <w:shd w:val="clear" w:color="000000" w:fill="FFFF99"/>
      <w:spacing w:before="100" w:beforeAutospacing="1" w:after="100" w:afterAutospacing="1"/>
      <w:textAlignment w:val="center"/>
    </w:pPr>
    <w:rPr>
      <w:rFonts w:ascii="Times New Roman" w:eastAsia="Times New Roman" w:hAnsi="Times New Roman" w:cs="Times New Roman"/>
      <w:color w:val="000000"/>
      <w:sz w:val="24"/>
      <w:szCs w:val="24"/>
      <w:lang w:eastAsia="hr-HR"/>
    </w:rPr>
  </w:style>
  <w:style w:type="paragraph" w:customStyle="1" w:styleId="xl262">
    <w:name w:val="xl262"/>
    <w:basedOn w:val="Normal"/>
    <w:rsid w:val="00AA41E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imes New Roman" w:eastAsia="Times New Roman" w:hAnsi="Times New Roman" w:cs="Times New Roman"/>
      <w:b/>
      <w:bCs/>
      <w:color w:val="000000"/>
      <w:sz w:val="18"/>
      <w:szCs w:val="18"/>
      <w:lang w:eastAsia="hr-HR"/>
    </w:rPr>
  </w:style>
  <w:style w:type="paragraph" w:customStyle="1" w:styleId="xl263">
    <w:name w:val="xl263"/>
    <w:basedOn w:val="Normal"/>
    <w:rsid w:val="00AA41EB"/>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8"/>
      <w:szCs w:val="18"/>
      <w:lang w:eastAsia="hr-HR"/>
    </w:rPr>
  </w:style>
  <w:style w:type="paragraph" w:customStyle="1" w:styleId="xl264">
    <w:name w:val="xl264"/>
    <w:basedOn w:val="Normal"/>
    <w:rsid w:val="00AA41E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Times New Roman" w:eastAsia="Times New Roman" w:hAnsi="Times New Roman" w:cs="Times New Roman"/>
      <w:b/>
      <w:bCs/>
      <w:color w:val="000000"/>
      <w:sz w:val="18"/>
      <w:szCs w:val="18"/>
      <w:lang w:eastAsia="hr-HR"/>
    </w:rPr>
  </w:style>
  <w:style w:type="paragraph" w:customStyle="1" w:styleId="xl265">
    <w:name w:val="xl265"/>
    <w:basedOn w:val="Normal"/>
    <w:rsid w:val="00AA41E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Times New Roman" w:eastAsia="Times New Roman" w:hAnsi="Times New Roman" w:cs="Times New Roman"/>
      <w:b/>
      <w:bCs/>
      <w:color w:val="000000"/>
      <w:sz w:val="18"/>
      <w:szCs w:val="18"/>
      <w:lang w:eastAsia="hr-HR"/>
    </w:rPr>
  </w:style>
  <w:style w:type="paragraph" w:customStyle="1" w:styleId="xl266">
    <w:name w:val="xl266"/>
    <w:basedOn w:val="Normal"/>
    <w:rsid w:val="00AA41E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textAlignment w:val="center"/>
    </w:pPr>
    <w:rPr>
      <w:rFonts w:ascii="Times New Roman" w:eastAsia="Times New Roman" w:hAnsi="Times New Roman" w:cs="Times New Roman"/>
      <w:b/>
      <w:bCs/>
      <w:color w:val="000000"/>
      <w:sz w:val="24"/>
      <w:szCs w:val="24"/>
      <w:lang w:eastAsia="hr-HR"/>
    </w:rPr>
  </w:style>
  <w:style w:type="paragraph" w:customStyle="1" w:styleId="xl267">
    <w:name w:val="xl267"/>
    <w:basedOn w:val="Normal"/>
    <w:rsid w:val="00AA41E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textAlignment w:val="center"/>
    </w:pPr>
    <w:rPr>
      <w:rFonts w:ascii="Times New Roman" w:eastAsia="Times New Roman" w:hAnsi="Times New Roman" w:cs="Times New Roman"/>
      <w:b/>
      <w:bCs/>
      <w:color w:val="000000"/>
      <w:sz w:val="18"/>
      <w:szCs w:val="18"/>
      <w:lang w:eastAsia="hr-HR"/>
    </w:rPr>
  </w:style>
  <w:style w:type="paragraph" w:customStyle="1" w:styleId="xl268">
    <w:name w:val="xl268"/>
    <w:basedOn w:val="Normal"/>
    <w:rsid w:val="00AA41E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Times New Roman" w:eastAsia="Times New Roman" w:hAnsi="Times New Roman" w:cs="Times New Roman"/>
      <w:color w:val="000000"/>
      <w:sz w:val="18"/>
      <w:szCs w:val="18"/>
      <w:lang w:eastAsia="hr-HR"/>
    </w:rPr>
  </w:style>
  <w:style w:type="paragraph" w:customStyle="1" w:styleId="xl269">
    <w:name w:val="xl269"/>
    <w:basedOn w:val="Normal"/>
    <w:rsid w:val="00AA41E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Times New Roman" w:eastAsia="Times New Roman" w:hAnsi="Times New Roman" w:cs="Times New Roman"/>
      <w:b/>
      <w:bCs/>
      <w:color w:val="000000"/>
      <w:sz w:val="18"/>
      <w:szCs w:val="18"/>
      <w:lang w:eastAsia="hr-HR"/>
    </w:rPr>
  </w:style>
  <w:style w:type="paragraph" w:customStyle="1" w:styleId="xl270">
    <w:name w:val="xl270"/>
    <w:basedOn w:val="Normal"/>
    <w:rsid w:val="00AA41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FF0000"/>
      <w:sz w:val="18"/>
      <w:szCs w:val="18"/>
      <w:lang w:eastAsia="hr-HR"/>
    </w:rPr>
  </w:style>
  <w:style w:type="paragraph" w:customStyle="1" w:styleId="xl271">
    <w:name w:val="xl271"/>
    <w:basedOn w:val="Normal"/>
    <w:rsid w:val="00AA41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18"/>
      <w:szCs w:val="18"/>
      <w:lang w:eastAsia="hr-HR"/>
    </w:rPr>
  </w:style>
  <w:style w:type="paragraph" w:customStyle="1" w:styleId="xl272">
    <w:name w:val="xl272"/>
    <w:basedOn w:val="Normal"/>
    <w:rsid w:val="00AA41E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imes New Roman" w:eastAsia="Times New Roman" w:hAnsi="Times New Roman" w:cs="Times New Roman"/>
      <w:b/>
      <w:bCs/>
      <w:color w:val="000000"/>
      <w:sz w:val="18"/>
      <w:szCs w:val="18"/>
      <w:lang w:eastAsia="hr-HR"/>
    </w:rPr>
  </w:style>
  <w:style w:type="paragraph" w:customStyle="1" w:styleId="xl273">
    <w:name w:val="xl273"/>
    <w:basedOn w:val="Normal"/>
    <w:rsid w:val="00AA41E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Times New Roman" w:eastAsia="Times New Roman" w:hAnsi="Times New Roman" w:cs="Times New Roman"/>
      <w:color w:val="000000"/>
      <w:sz w:val="18"/>
      <w:szCs w:val="18"/>
      <w:lang w:eastAsia="hr-HR"/>
    </w:rPr>
  </w:style>
  <w:style w:type="paragraph" w:customStyle="1" w:styleId="xl274">
    <w:name w:val="xl274"/>
    <w:basedOn w:val="Normal"/>
    <w:rsid w:val="00AA41EB"/>
    <w:pPr>
      <w:pBdr>
        <w:top w:val="single" w:sz="4" w:space="0" w:color="auto"/>
        <w:left w:val="single" w:sz="4" w:space="0" w:color="auto"/>
        <w:right w:val="single" w:sz="4" w:space="0" w:color="auto"/>
      </w:pBdr>
      <w:shd w:val="clear" w:color="000000" w:fill="FFFF99"/>
      <w:spacing w:before="100" w:beforeAutospacing="1" w:after="100" w:afterAutospacing="1"/>
      <w:textAlignment w:val="center"/>
    </w:pPr>
    <w:rPr>
      <w:rFonts w:ascii="Times New Roman" w:eastAsia="Times New Roman" w:hAnsi="Times New Roman" w:cs="Times New Roman"/>
      <w:b/>
      <w:bCs/>
      <w:color w:val="000000"/>
      <w:sz w:val="18"/>
      <w:szCs w:val="18"/>
      <w:lang w:eastAsia="hr-HR"/>
    </w:rPr>
  </w:style>
  <w:style w:type="paragraph" w:customStyle="1" w:styleId="xl275">
    <w:name w:val="xl275"/>
    <w:basedOn w:val="Normal"/>
    <w:rsid w:val="00AA41E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Times New Roman" w:eastAsia="Times New Roman" w:hAnsi="Times New Roman" w:cs="Times New Roman"/>
      <w:b/>
      <w:bCs/>
      <w:color w:val="000000"/>
      <w:sz w:val="18"/>
      <w:szCs w:val="18"/>
      <w:lang w:eastAsia="hr-HR"/>
    </w:rPr>
  </w:style>
  <w:style w:type="paragraph" w:customStyle="1" w:styleId="xl276">
    <w:name w:val="xl276"/>
    <w:basedOn w:val="Normal"/>
    <w:rsid w:val="00AA41EB"/>
    <w:pPr>
      <w:pBdr>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Times New Roman" w:eastAsia="Times New Roman" w:hAnsi="Times New Roman" w:cs="Times New Roman"/>
      <w:b/>
      <w:bCs/>
      <w:color w:val="000000"/>
      <w:sz w:val="18"/>
      <w:szCs w:val="18"/>
      <w:lang w:eastAsia="hr-HR"/>
    </w:rPr>
  </w:style>
  <w:style w:type="paragraph" w:customStyle="1" w:styleId="xl277">
    <w:name w:val="xl277"/>
    <w:basedOn w:val="Normal"/>
    <w:rsid w:val="00AA41E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lang w:eastAsia="hr-HR"/>
    </w:rPr>
  </w:style>
  <w:style w:type="paragraph" w:customStyle="1" w:styleId="xl278">
    <w:name w:val="xl278"/>
    <w:basedOn w:val="Normal"/>
    <w:rsid w:val="00AA41EB"/>
    <w:pPr>
      <w:pBdr>
        <w:top w:val="single" w:sz="4" w:space="0" w:color="auto"/>
        <w:left w:val="single" w:sz="4" w:space="0" w:color="auto"/>
        <w:bottom w:val="single" w:sz="4" w:space="0" w:color="auto"/>
        <w:right w:val="single" w:sz="4" w:space="0" w:color="auto"/>
      </w:pBdr>
      <w:shd w:val="clear" w:color="000000" w:fill="A3E7FF"/>
      <w:spacing w:before="100" w:beforeAutospacing="1" w:after="100" w:afterAutospacing="1"/>
      <w:textAlignment w:val="center"/>
    </w:pPr>
    <w:rPr>
      <w:rFonts w:ascii="Times New Roman" w:eastAsia="Times New Roman" w:hAnsi="Times New Roman" w:cs="Times New Roman"/>
      <w:b/>
      <w:bCs/>
      <w:color w:val="000000"/>
      <w:sz w:val="18"/>
      <w:szCs w:val="18"/>
      <w:lang w:eastAsia="hr-HR"/>
    </w:rPr>
  </w:style>
  <w:style w:type="paragraph" w:customStyle="1" w:styleId="xl279">
    <w:name w:val="xl279"/>
    <w:basedOn w:val="Normal"/>
    <w:rsid w:val="00AA41EB"/>
    <w:pPr>
      <w:pBdr>
        <w:top w:val="single" w:sz="4" w:space="0" w:color="auto"/>
        <w:left w:val="single" w:sz="4" w:space="0" w:color="auto"/>
        <w:bottom w:val="single" w:sz="4" w:space="0" w:color="auto"/>
        <w:right w:val="single" w:sz="4" w:space="0" w:color="auto"/>
      </w:pBdr>
      <w:shd w:val="clear" w:color="000000" w:fill="A3E7FF"/>
      <w:spacing w:before="100" w:beforeAutospacing="1" w:after="100" w:afterAutospacing="1"/>
      <w:jc w:val="center"/>
      <w:textAlignment w:val="center"/>
    </w:pPr>
    <w:rPr>
      <w:rFonts w:ascii="Times New Roman" w:eastAsia="Times New Roman" w:hAnsi="Times New Roman" w:cs="Times New Roman"/>
      <w:b/>
      <w:bCs/>
      <w:color w:val="000000"/>
      <w:sz w:val="18"/>
      <w:szCs w:val="18"/>
      <w:lang w:eastAsia="hr-HR"/>
    </w:rPr>
  </w:style>
  <w:style w:type="paragraph" w:customStyle="1" w:styleId="xl280">
    <w:name w:val="xl280"/>
    <w:basedOn w:val="Normal"/>
    <w:rsid w:val="00AA41EB"/>
    <w:pPr>
      <w:pBdr>
        <w:top w:val="single" w:sz="4" w:space="0" w:color="auto"/>
        <w:left w:val="single" w:sz="4" w:space="0" w:color="auto"/>
        <w:bottom w:val="single" w:sz="4" w:space="0" w:color="auto"/>
        <w:right w:val="single" w:sz="4" w:space="0" w:color="auto"/>
      </w:pBdr>
      <w:shd w:val="clear" w:color="000000" w:fill="A3E7FF"/>
      <w:spacing w:before="100" w:beforeAutospacing="1" w:after="100" w:afterAutospacing="1"/>
      <w:jc w:val="center"/>
      <w:textAlignment w:val="center"/>
    </w:pPr>
    <w:rPr>
      <w:rFonts w:ascii="Times New Roman" w:eastAsia="Times New Roman" w:hAnsi="Times New Roman" w:cs="Times New Roman"/>
      <w:b/>
      <w:bCs/>
      <w:color w:val="000000"/>
      <w:sz w:val="16"/>
      <w:szCs w:val="16"/>
      <w:lang w:eastAsia="hr-HR"/>
    </w:rPr>
  </w:style>
  <w:style w:type="paragraph" w:customStyle="1" w:styleId="xl281">
    <w:name w:val="xl281"/>
    <w:basedOn w:val="Normal"/>
    <w:rsid w:val="00AA41EB"/>
    <w:pPr>
      <w:pBdr>
        <w:top w:val="single" w:sz="4" w:space="0" w:color="auto"/>
        <w:left w:val="single" w:sz="4" w:space="0" w:color="auto"/>
        <w:bottom w:val="single" w:sz="4" w:space="0" w:color="auto"/>
        <w:right w:val="single" w:sz="4" w:space="0" w:color="auto"/>
      </w:pBdr>
      <w:shd w:val="clear" w:color="000000" w:fill="A3E7FF"/>
      <w:spacing w:before="100" w:beforeAutospacing="1" w:after="100" w:afterAutospacing="1"/>
      <w:jc w:val="center"/>
      <w:textAlignment w:val="center"/>
    </w:pPr>
    <w:rPr>
      <w:rFonts w:ascii="Times New Roman" w:eastAsia="Times New Roman" w:hAnsi="Times New Roman" w:cs="Times New Roman"/>
      <w:b/>
      <w:bCs/>
      <w:color w:val="000000"/>
      <w:sz w:val="18"/>
      <w:szCs w:val="18"/>
      <w:lang w:eastAsia="hr-HR"/>
    </w:rPr>
  </w:style>
  <w:style w:type="paragraph" w:customStyle="1" w:styleId="xl282">
    <w:name w:val="xl282"/>
    <w:basedOn w:val="Normal"/>
    <w:rsid w:val="00AA41EB"/>
    <w:pPr>
      <w:pBdr>
        <w:top w:val="single" w:sz="4" w:space="0" w:color="auto"/>
        <w:left w:val="single" w:sz="4" w:space="0" w:color="auto"/>
        <w:bottom w:val="single" w:sz="4" w:space="0" w:color="auto"/>
        <w:right w:val="single" w:sz="4" w:space="0" w:color="auto"/>
      </w:pBdr>
      <w:shd w:val="clear" w:color="000000" w:fill="A3E7FF"/>
      <w:spacing w:before="100" w:beforeAutospacing="1" w:after="100" w:afterAutospacing="1"/>
      <w:jc w:val="center"/>
      <w:textAlignment w:val="center"/>
    </w:pPr>
    <w:rPr>
      <w:rFonts w:ascii="Times New Roman" w:eastAsia="Times New Roman" w:hAnsi="Times New Roman" w:cs="Times New Roman"/>
      <w:b/>
      <w:bCs/>
      <w:sz w:val="16"/>
      <w:szCs w:val="16"/>
      <w:lang w:eastAsia="hr-HR"/>
    </w:rPr>
  </w:style>
  <w:style w:type="paragraph" w:customStyle="1" w:styleId="xl283">
    <w:name w:val="xl283"/>
    <w:basedOn w:val="Normal"/>
    <w:rsid w:val="00AA41EB"/>
    <w:pPr>
      <w:pBdr>
        <w:top w:val="single" w:sz="4" w:space="0" w:color="auto"/>
        <w:left w:val="single" w:sz="4" w:space="0" w:color="auto"/>
        <w:bottom w:val="single" w:sz="4" w:space="0" w:color="auto"/>
        <w:right w:val="single" w:sz="4" w:space="0" w:color="auto"/>
      </w:pBdr>
      <w:shd w:val="clear" w:color="000000" w:fill="A3E7FF"/>
      <w:spacing w:before="100" w:beforeAutospacing="1" w:after="100" w:afterAutospacing="1"/>
      <w:jc w:val="center"/>
      <w:textAlignment w:val="center"/>
    </w:pPr>
    <w:rPr>
      <w:rFonts w:ascii="Times New Roman" w:eastAsia="Times New Roman" w:hAnsi="Times New Roman" w:cs="Times New Roman"/>
      <w:b/>
      <w:bCs/>
      <w:sz w:val="16"/>
      <w:szCs w:val="16"/>
      <w:lang w:eastAsia="hr-HR"/>
    </w:rPr>
  </w:style>
  <w:style w:type="paragraph" w:customStyle="1" w:styleId="xl284">
    <w:name w:val="xl284"/>
    <w:basedOn w:val="Normal"/>
    <w:rsid w:val="00AA41EB"/>
    <w:pPr>
      <w:pBdr>
        <w:top w:val="single" w:sz="4" w:space="0" w:color="auto"/>
        <w:left w:val="single" w:sz="4" w:space="0" w:color="auto"/>
        <w:bottom w:val="single" w:sz="4" w:space="0" w:color="auto"/>
        <w:right w:val="single" w:sz="4" w:space="0" w:color="auto"/>
      </w:pBdr>
      <w:shd w:val="clear" w:color="000000" w:fill="A3E7FF"/>
      <w:spacing w:before="100" w:beforeAutospacing="1" w:after="100" w:afterAutospacing="1"/>
      <w:jc w:val="center"/>
      <w:textAlignment w:val="center"/>
    </w:pPr>
    <w:rPr>
      <w:rFonts w:ascii="Times New Roman" w:eastAsia="Times New Roman" w:hAnsi="Times New Roman" w:cs="Times New Roman"/>
      <w:b/>
      <w:bCs/>
      <w:color w:val="000000"/>
      <w:sz w:val="18"/>
      <w:szCs w:val="18"/>
      <w:lang w:eastAsia="hr-HR"/>
    </w:rPr>
  </w:style>
  <w:style w:type="paragraph" w:customStyle="1" w:styleId="xl285">
    <w:name w:val="xl285"/>
    <w:basedOn w:val="Normal"/>
    <w:rsid w:val="00AA41E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8"/>
      <w:szCs w:val="18"/>
      <w:lang w:eastAsia="hr-HR"/>
    </w:rPr>
  </w:style>
  <w:style w:type="paragraph" w:customStyle="1" w:styleId="xl286">
    <w:name w:val="xl286"/>
    <w:basedOn w:val="Normal"/>
    <w:rsid w:val="00AA41EB"/>
    <w:pPr>
      <w:spacing w:before="100" w:beforeAutospacing="1" w:after="100" w:afterAutospacing="1"/>
      <w:textAlignment w:val="center"/>
    </w:pPr>
    <w:rPr>
      <w:rFonts w:ascii="Times New Roman" w:eastAsia="Times New Roman" w:hAnsi="Times New Roman" w:cs="Times New Roman"/>
      <w:color w:val="000000"/>
      <w:sz w:val="18"/>
      <w:szCs w:val="18"/>
      <w:lang w:eastAsia="hr-HR"/>
    </w:rPr>
  </w:style>
  <w:style w:type="paragraph" w:customStyle="1" w:styleId="xl287">
    <w:name w:val="xl287"/>
    <w:basedOn w:val="Normal"/>
    <w:rsid w:val="00AA41EB"/>
    <w:pPr>
      <w:pBdr>
        <w:top w:val="single" w:sz="4" w:space="0" w:color="auto"/>
        <w:left w:val="single" w:sz="4" w:space="0" w:color="auto"/>
        <w:bottom w:val="single" w:sz="4" w:space="0" w:color="auto"/>
        <w:right w:val="single" w:sz="4" w:space="0" w:color="auto"/>
      </w:pBdr>
      <w:shd w:val="clear" w:color="000000" w:fill="A3E7FF"/>
      <w:spacing w:before="100" w:beforeAutospacing="1" w:after="100" w:afterAutospacing="1"/>
      <w:jc w:val="center"/>
      <w:textAlignment w:val="center"/>
    </w:pPr>
    <w:rPr>
      <w:rFonts w:ascii="Times New Roman" w:eastAsia="Times New Roman" w:hAnsi="Times New Roman" w:cs="Times New Roman"/>
      <w:b/>
      <w:bCs/>
      <w:sz w:val="18"/>
      <w:szCs w:val="18"/>
      <w:lang w:eastAsia="hr-HR"/>
    </w:rPr>
  </w:style>
  <w:style w:type="paragraph" w:customStyle="1" w:styleId="xl288">
    <w:name w:val="xl288"/>
    <w:basedOn w:val="Normal"/>
    <w:rsid w:val="00AA41E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18"/>
      <w:szCs w:val="18"/>
      <w:lang w:eastAsia="hr-HR"/>
    </w:rPr>
  </w:style>
  <w:style w:type="paragraph" w:customStyle="1" w:styleId="xl289">
    <w:name w:val="xl289"/>
    <w:basedOn w:val="Normal"/>
    <w:rsid w:val="00AA41E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8"/>
      <w:szCs w:val="18"/>
      <w:lang w:eastAsia="hr-HR"/>
    </w:rPr>
  </w:style>
  <w:style w:type="paragraph" w:customStyle="1" w:styleId="xl290">
    <w:name w:val="xl290"/>
    <w:basedOn w:val="Normal"/>
    <w:rsid w:val="00AA41EB"/>
    <w:pPr>
      <w:pBdr>
        <w:top w:val="single" w:sz="4" w:space="0" w:color="auto"/>
        <w:left w:val="single" w:sz="4" w:space="0" w:color="auto"/>
        <w:right w:val="single" w:sz="4" w:space="0" w:color="auto"/>
      </w:pBdr>
      <w:shd w:val="clear" w:color="000000" w:fill="A3E7FF"/>
      <w:spacing w:before="100" w:beforeAutospacing="1" w:after="100" w:afterAutospacing="1"/>
      <w:jc w:val="center"/>
      <w:textAlignment w:val="center"/>
    </w:pPr>
    <w:rPr>
      <w:rFonts w:ascii="Times New Roman" w:eastAsia="Times New Roman" w:hAnsi="Times New Roman" w:cs="Times New Roman"/>
      <w:b/>
      <w:bCs/>
      <w:color w:val="000000"/>
      <w:sz w:val="18"/>
      <w:szCs w:val="18"/>
      <w:lang w:eastAsia="hr-HR"/>
    </w:rPr>
  </w:style>
  <w:style w:type="paragraph" w:customStyle="1" w:styleId="xl291">
    <w:name w:val="xl291"/>
    <w:basedOn w:val="Normal"/>
    <w:rsid w:val="00AA41EB"/>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8"/>
      <w:szCs w:val="18"/>
      <w:lang w:eastAsia="hr-HR"/>
    </w:rPr>
  </w:style>
  <w:style w:type="paragraph" w:customStyle="1" w:styleId="xl292">
    <w:name w:val="xl292"/>
    <w:basedOn w:val="Normal"/>
    <w:rsid w:val="00AA41EB"/>
    <w:pPr>
      <w:pBdr>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8"/>
      <w:szCs w:val="18"/>
      <w:lang w:eastAsia="hr-HR"/>
    </w:rPr>
  </w:style>
  <w:style w:type="paragraph" w:customStyle="1" w:styleId="xl293">
    <w:name w:val="xl293"/>
    <w:basedOn w:val="Normal"/>
    <w:rsid w:val="00AA41EB"/>
    <w:pPr>
      <w:pBdr>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8"/>
      <w:szCs w:val="18"/>
      <w:lang w:eastAsia="hr-HR"/>
    </w:rPr>
  </w:style>
  <w:style w:type="character" w:customStyle="1" w:styleId="tlid-translation">
    <w:name w:val="tlid-translation"/>
    <w:basedOn w:val="DefaultParagraphFont"/>
    <w:rsid w:val="00AA41EB"/>
  </w:style>
  <w:style w:type="character" w:customStyle="1" w:styleId="propertiesarea">
    <w:name w:val="propertiesarea"/>
    <w:basedOn w:val="DefaultParagraphFont"/>
    <w:rsid w:val="00AA41EB"/>
  </w:style>
  <w:style w:type="character" w:styleId="IntenseEmphasis">
    <w:name w:val="Intense Emphasis"/>
    <w:basedOn w:val="DefaultParagraphFont"/>
    <w:uiPriority w:val="21"/>
    <w:qFormat/>
    <w:rsid w:val="00AA41EB"/>
    <w:rPr>
      <w:bCs/>
      <w:i/>
      <w:iCs/>
      <w:color w:val="4BACC6"/>
    </w:rPr>
  </w:style>
  <w:style w:type="character" w:customStyle="1" w:styleId="form-control">
    <w:name w:val="form-control"/>
    <w:basedOn w:val="DefaultParagraphFont"/>
    <w:rsid w:val="00AA41EB"/>
  </w:style>
  <w:style w:type="paragraph" w:styleId="PlainText">
    <w:name w:val="Plain Text"/>
    <w:basedOn w:val="Normal"/>
    <w:link w:val="PlainTextChar"/>
    <w:uiPriority w:val="99"/>
    <w:unhideWhenUsed/>
    <w:rsid w:val="00AA41EB"/>
    <w:rPr>
      <w:rFonts w:ascii="Calibri" w:eastAsiaTheme="minorEastAsia" w:hAnsi="Calibri" w:cs="Times New Roman"/>
      <w:szCs w:val="21"/>
      <w:lang w:eastAsia="hr-HR"/>
    </w:rPr>
  </w:style>
  <w:style w:type="character" w:customStyle="1" w:styleId="PlainTextChar">
    <w:name w:val="Plain Text Char"/>
    <w:basedOn w:val="DefaultParagraphFont"/>
    <w:link w:val="PlainText"/>
    <w:uiPriority w:val="99"/>
    <w:rsid w:val="00AA41EB"/>
    <w:rPr>
      <w:rFonts w:ascii="Calibri" w:eastAsiaTheme="minorEastAsia" w:hAnsi="Calibri" w:cs="Times New Roman"/>
      <w:szCs w:val="21"/>
      <w:lang w:eastAsia="hr-HR"/>
    </w:rPr>
  </w:style>
  <w:style w:type="paragraph" w:customStyle="1" w:styleId="msonormal0">
    <w:name w:val="msonormal"/>
    <w:basedOn w:val="Normal"/>
    <w:rsid w:val="00AA41EB"/>
    <w:pPr>
      <w:spacing w:before="100" w:beforeAutospacing="1" w:after="100" w:afterAutospacing="1"/>
    </w:pPr>
    <w:rPr>
      <w:rFonts w:ascii="Times New Roman" w:eastAsia="Times New Roman" w:hAnsi="Times New Roman" w:cs="Times New Roman"/>
      <w:sz w:val="24"/>
      <w:szCs w:val="24"/>
      <w:lang w:eastAsia="hr-HR"/>
    </w:rPr>
  </w:style>
  <w:style w:type="paragraph" w:customStyle="1" w:styleId="xl64">
    <w:name w:val="xl64"/>
    <w:basedOn w:val="Normal"/>
    <w:rsid w:val="00AA41EB"/>
    <w:pPr>
      <w:spacing w:before="100" w:beforeAutospacing="1" w:after="100" w:afterAutospacing="1"/>
      <w:textAlignment w:val="center"/>
    </w:pPr>
    <w:rPr>
      <w:rFonts w:ascii="Times New Roman" w:eastAsia="Times New Roman" w:hAnsi="Times New Roman" w:cs="Times New Roman"/>
      <w:sz w:val="24"/>
      <w:szCs w:val="24"/>
      <w:lang w:eastAsia="hr-HR"/>
    </w:rPr>
  </w:style>
  <w:style w:type="table" w:customStyle="1" w:styleId="TableGrid1">
    <w:name w:val="Table Grid1"/>
    <w:basedOn w:val="TableNormal"/>
    <w:next w:val="TableGrid"/>
    <w:uiPriority w:val="59"/>
    <w:rsid w:val="00AA4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A82C1C"/>
    <w:rPr>
      <w:rFonts w:eastAsiaTheme="minorEastAsia"/>
      <w:sz w:val="20"/>
      <w:szCs w:val="20"/>
    </w:rPr>
  </w:style>
  <w:style w:type="character" w:customStyle="1" w:styleId="markedcontent">
    <w:name w:val="markedcontent"/>
    <w:basedOn w:val="DefaultParagraphFont"/>
    <w:rsid w:val="00D75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144870">
      <w:bodyDiv w:val="1"/>
      <w:marLeft w:val="0"/>
      <w:marRight w:val="0"/>
      <w:marTop w:val="0"/>
      <w:marBottom w:val="0"/>
      <w:divBdr>
        <w:top w:val="none" w:sz="0" w:space="0" w:color="auto"/>
        <w:left w:val="none" w:sz="0" w:space="0" w:color="auto"/>
        <w:bottom w:val="none" w:sz="0" w:space="0" w:color="auto"/>
        <w:right w:val="none" w:sz="0" w:space="0" w:color="auto"/>
      </w:divBdr>
    </w:div>
    <w:div w:id="502203376">
      <w:bodyDiv w:val="1"/>
      <w:marLeft w:val="0"/>
      <w:marRight w:val="0"/>
      <w:marTop w:val="0"/>
      <w:marBottom w:val="0"/>
      <w:divBdr>
        <w:top w:val="none" w:sz="0" w:space="0" w:color="auto"/>
        <w:left w:val="none" w:sz="0" w:space="0" w:color="auto"/>
        <w:bottom w:val="none" w:sz="0" w:space="0" w:color="auto"/>
        <w:right w:val="none" w:sz="0" w:space="0" w:color="auto"/>
      </w:divBdr>
    </w:div>
    <w:div w:id="1424452887">
      <w:bodyDiv w:val="1"/>
      <w:marLeft w:val="0"/>
      <w:marRight w:val="0"/>
      <w:marTop w:val="0"/>
      <w:marBottom w:val="0"/>
      <w:divBdr>
        <w:top w:val="none" w:sz="0" w:space="0" w:color="auto"/>
        <w:left w:val="none" w:sz="0" w:space="0" w:color="auto"/>
        <w:bottom w:val="none" w:sz="0" w:space="0" w:color="auto"/>
        <w:right w:val="none" w:sz="0" w:space="0" w:color="auto"/>
      </w:divBdr>
    </w:div>
    <w:div w:id="1611280313">
      <w:bodyDiv w:val="1"/>
      <w:marLeft w:val="0"/>
      <w:marRight w:val="0"/>
      <w:marTop w:val="0"/>
      <w:marBottom w:val="0"/>
      <w:divBdr>
        <w:top w:val="none" w:sz="0" w:space="0" w:color="auto"/>
        <w:left w:val="none" w:sz="0" w:space="0" w:color="auto"/>
        <w:bottom w:val="none" w:sz="0" w:space="0" w:color="auto"/>
        <w:right w:val="none" w:sz="0" w:space="0" w:color="auto"/>
      </w:divBdr>
    </w:div>
    <w:div w:id="164319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narodne-novine.nn.hr/clanci/sluzbeni/2014_07_90_1809.html" TargetMode="External"/><Relationship Id="rId18" Type="http://schemas.openxmlformats.org/officeDocument/2006/relationships/hyperlink" Target="http://ec.europa.eu/index_hr.htm" TargetMode="External"/><Relationship Id="rId26" Type="http://schemas.openxmlformats.org/officeDocument/2006/relationships/hyperlink" Target="https://www.ispor.org/" TargetMode="External"/><Relationship Id="rId39" Type="http://schemas.openxmlformats.org/officeDocument/2006/relationships/chart" Target="charts/chart6.xml"/><Relationship Id="rId21" Type="http://schemas.openxmlformats.org/officeDocument/2006/relationships/hyperlink" Target="https://www.edqm.eu/" TargetMode="External"/><Relationship Id="rId34" Type="http://schemas.openxmlformats.org/officeDocument/2006/relationships/chart" Target="charts/chart1.xml"/><Relationship Id="rId42" Type="http://schemas.openxmlformats.org/officeDocument/2006/relationships/hyperlink" Target="http://www.hma.eu/522.html"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dqm.eu/" TargetMode="External"/><Relationship Id="rId29" Type="http://schemas.openxmlformats.org/officeDocument/2006/relationships/hyperlink" Target="http://www.halmed.hr/Farmakovigilancija/Izvjesca-o-nuspojavam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arodne-novine.nn.hr/clanci/sluzbeni/2013_06_76_1521.html" TargetMode="External"/><Relationship Id="rId24" Type="http://schemas.openxmlformats.org/officeDocument/2006/relationships/hyperlink" Target="http://www.who.int/en/" TargetMode="External"/><Relationship Id="rId32" Type="http://schemas.openxmlformats.org/officeDocument/2006/relationships/hyperlink" Target="https://plm-portal.ema.europa.eu/" TargetMode="External"/><Relationship Id="rId37" Type="http://schemas.openxmlformats.org/officeDocument/2006/relationships/chart" Target="charts/chart4.xml"/><Relationship Id="rId40" Type="http://schemas.openxmlformats.org/officeDocument/2006/relationships/hyperlink" Target="http://euteleproj.eudra.org/EUNDB_Introduction.html"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edqm.eu/en/general-european-omcl-network-geon" TargetMode="External"/><Relationship Id="rId23" Type="http://schemas.openxmlformats.org/officeDocument/2006/relationships/hyperlink" Target="http://www.camd-europe.eu/" TargetMode="External"/><Relationship Id="rId28" Type="http://schemas.openxmlformats.org/officeDocument/2006/relationships/hyperlink" Target="https://www.dec.gov.ua/" TargetMode="External"/><Relationship Id="rId36" Type="http://schemas.openxmlformats.org/officeDocument/2006/relationships/chart" Target="charts/chart3.xml"/><Relationship Id="rId10" Type="http://schemas.openxmlformats.org/officeDocument/2006/relationships/hyperlink" Target="http://narodne-novine.nn.hr/clanci/sluzbeni/2014_07_90_1809.html" TargetMode="External"/><Relationship Id="rId19" Type="http://schemas.openxmlformats.org/officeDocument/2006/relationships/hyperlink" Target="http://ec.europa.eu/index_hr.htm" TargetMode="External"/><Relationship Id="rId31" Type="http://schemas.openxmlformats.org/officeDocument/2006/relationships/hyperlink" Target="https://narodne-novine.nn.hr/clanci/sluzbeni/2014_05_60_1118.html"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narodne-novine.nn.hr/clanci/sluzbeni/2013_06_76_1522.html" TargetMode="External"/><Relationship Id="rId14" Type="http://schemas.openxmlformats.org/officeDocument/2006/relationships/hyperlink" Target="http://www.halmed.hr" TargetMode="External"/><Relationship Id="rId22" Type="http://schemas.openxmlformats.org/officeDocument/2006/relationships/hyperlink" Target="http://www.hma.eu/abouthma.html?&amp;L=31" TargetMode="External"/><Relationship Id="rId27" Type="http://schemas.openxmlformats.org/officeDocument/2006/relationships/hyperlink" Target="http://halmed.hr/Lijekovi/Baza-lijekova/" TargetMode="External"/><Relationship Id="rId30" Type="http://schemas.openxmlformats.org/officeDocument/2006/relationships/hyperlink" Target="https://www.ema.europa.eu/en/glossary/pharmacovigilance-risk-assessment-committee" TargetMode="External"/><Relationship Id="rId35" Type="http://schemas.openxmlformats.org/officeDocument/2006/relationships/chart" Target="charts/chart2.xml"/><Relationship Id="rId43" Type="http://schemas.openxmlformats.org/officeDocument/2006/relationships/chart" Target="charts/chart7.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narodne-novine.nn.hr/clanci/sluzbeni/2013_06_76_1522.html" TargetMode="External"/><Relationship Id="rId17" Type="http://schemas.openxmlformats.org/officeDocument/2006/relationships/image" Target="media/image2.jpeg"/><Relationship Id="rId25" Type="http://schemas.openxmlformats.org/officeDocument/2006/relationships/hyperlink" Target="https://www.picscheme.org/" TargetMode="External"/><Relationship Id="rId33" Type="http://schemas.openxmlformats.org/officeDocument/2006/relationships/hyperlink" Target="https://www.ema.europa.eu/en/human-regulatory/research-development/clinical-trials/accelerating-clinical-trials-eu-act-eu" TargetMode="External"/><Relationship Id="rId38" Type="http://schemas.openxmlformats.org/officeDocument/2006/relationships/chart" Target="charts/chart5.xml"/><Relationship Id="rId46" Type="http://schemas.openxmlformats.org/officeDocument/2006/relationships/fontTable" Target="fontTable.xml"/><Relationship Id="rId20" Type="http://schemas.openxmlformats.org/officeDocument/2006/relationships/hyperlink" Target="http://www.ema.europa.eu/ema/" TargetMode="External"/><Relationship Id="rId41" Type="http://schemas.openxmlformats.org/officeDocument/2006/relationships/hyperlink" Target="http://euteleproj.eudra.org/EUNDB_Introduction.htm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rv-fileshare.halmed.local\Agencija\PEIO\EPO\Ra&#269;unovodstvo\A%20&amp;%20M%20financije\IZVIJE&#352;&#262;A%202023\Izvije&#353;&#263;e%201.-12\Izvije&#353;&#263;e%20PRIHODI%20SVE%20plan%202023%20V2=V31-1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srv-fileshare.halmed.local\Agencija\PEIO\EPO\Ra&#269;unovodstvo\A%20&amp;%20M%20financije\IZVIJE&#352;&#262;A%202023\Izvije&#353;&#263;e%201.-12\Rashodi%201-12%20202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7.xml.rels><?xml version="1.0" encoding="UTF-8" standalone="yes"?>
<Relationships xmlns="http://schemas.openxmlformats.org/package/2006/relationships"><Relationship Id="rId3" Type="http://schemas.openxmlformats.org/officeDocument/2006/relationships/oleObject" Target="file:///\\srv-fileshare\y\zprugovecki\PRA&#262;ENJE%20IZVR&#352;ENJA%20POSLOVNOG%20PLANA\PRA&#262;ENJE%20I%20IZVR&#352;ENJE%20POSLOVNOG%20PLANA\Izvje&#353;&#263;a%202021\Graf%20uz%20Analizu%20NAC%20i%20EU%20poslova%20radna%20Tablica.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1918829160884261"/>
          <c:y val="0.24152124695731611"/>
          <c:w val="0.47925819926045504"/>
          <c:h val="0.48839155369136894"/>
        </c:manualLayout>
      </c:layout>
      <c:pieChart>
        <c:varyColors val="1"/>
        <c:ser>
          <c:idx val="0"/>
          <c:order val="0"/>
          <c:dPt>
            <c:idx val="0"/>
            <c:bubble3D val="0"/>
            <c:spPr>
              <a:solidFill>
                <a:srgbClr val="00B0F0"/>
              </a:solidFill>
              <a:ln w="19050">
                <a:solidFill>
                  <a:schemeClr val="lt1"/>
                </a:solidFill>
              </a:ln>
              <a:effectLst/>
            </c:spPr>
            <c:extLst>
              <c:ext xmlns:c16="http://schemas.microsoft.com/office/drawing/2014/chart" uri="{C3380CC4-5D6E-409C-BE32-E72D297353CC}">
                <c16:uniqueId val="{00000001-D37B-46F5-9472-00C8C87DFD04}"/>
              </c:ext>
            </c:extLst>
          </c:dPt>
          <c:dPt>
            <c:idx val="1"/>
            <c:bubble3D val="0"/>
            <c:spPr>
              <a:solidFill>
                <a:schemeClr val="accent2">
                  <a:lumMod val="60000"/>
                  <a:lumOff val="40000"/>
                </a:schemeClr>
              </a:solidFill>
              <a:ln w="19050">
                <a:solidFill>
                  <a:schemeClr val="lt1"/>
                </a:solidFill>
              </a:ln>
              <a:effectLst/>
            </c:spPr>
            <c:extLst>
              <c:ext xmlns:c16="http://schemas.microsoft.com/office/drawing/2014/chart" uri="{C3380CC4-5D6E-409C-BE32-E72D297353CC}">
                <c16:uniqueId val="{00000003-D37B-46F5-9472-00C8C87DFD04}"/>
              </c:ext>
            </c:extLst>
          </c:dPt>
          <c:dPt>
            <c:idx val="2"/>
            <c:bubble3D val="0"/>
            <c:spPr>
              <a:solidFill>
                <a:srgbClr val="FFFF00"/>
              </a:solidFill>
              <a:ln w="19050">
                <a:solidFill>
                  <a:schemeClr val="lt1"/>
                </a:solidFill>
              </a:ln>
              <a:effectLst/>
            </c:spPr>
            <c:extLst>
              <c:ext xmlns:c16="http://schemas.microsoft.com/office/drawing/2014/chart" uri="{C3380CC4-5D6E-409C-BE32-E72D297353CC}">
                <c16:uniqueId val="{00000005-D37B-46F5-9472-00C8C87DFD0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37B-46F5-9472-00C8C87DFD04}"/>
              </c:ext>
            </c:extLst>
          </c:dPt>
          <c:dPt>
            <c:idx val="4"/>
            <c:bubble3D val="0"/>
            <c:spPr>
              <a:solidFill>
                <a:schemeClr val="accent1">
                  <a:lumMod val="40000"/>
                  <a:lumOff val="60000"/>
                </a:schemeClr>
              </a:solidFill>
              <a:ln w="19050">
                <a:solidFill>
                  <a:schemeClr val="bg1"/>
                </a:solidFill>
              </a:ln>
              <a:effectLst/>
            </c:spPr>
            <c:extLst>
              <c:ext xmlns:c16="http://schemas.microsoft.com/office/drawing/2014/chart" uri="{C3380CC4-5D6E-409C-BE32-E72D297353CC}">
                <c16:uniqueId val="{00000009-D37B-46F5-9472-00C8C87DFD04}"/>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D37B-46F5-9472-00C8C87DFD04}"/>
              </c:ext>
            </c:extLst>
          </c:dPt>
          <c:dPt>
            <c:idx val="6"/>
            <c:bubble3D val="0"/>
            <c:spPr>
              <a:solidFill>
                <a:schemeClr val="accent2">
                  <a:lumMod val="75000"/>
                </a:schemeClr>
              </a:solidFill>
              <a:ln w="19050">
                <a:solidFill>
                  <a:schemeClr val="lt1"/>
                </a:solidFill>
              </a:ln>
              <a:effectLst/>
            </c:spPr>
            <c:extLst>
              <c:ext xmlns:c16="http://schemas.microsoft.com/office/drawing/2014/chart" uri="{C3380CC4-5D6E-409C-BE32-E72D297353CC}">
                <c16:uniqueId val="{0000000D-D37B-46F5-9472-00C8C87DFD04}"/>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D37B-46F5-9472-00C8C87DFD04}"/>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D37B-46F5-9472-00C8C87DFD04}"/>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D37B-46F5-9472-00C8C87DFD04}"/>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D37B-46F5-9472-00C8C87DFD04}"/>
              </c:ext>
            </c:extLst>
          </c:dPt>
          <c:dPt>
            <c:idx val="11"/>
            <c:bubble3D val="0"/>
            <c:spPr>
              <a:solidFill>
                <a:srgbClr val="FFFF00"/>
              </a:solidFill>
              <a:ln w="19050">
                <a:solidFill>
                  <a:schemeClr val="lt1"/>
                </a:solidFill>
              </a:ln>
              <a:effectLst/>
            </c:spPr>
            <c:extLst>
              <c:ext xmlns:c16="http://schemas.microsoft.com/office/drawing/2014/chart" uri="{C3380CC4-5D6E-409C-BE32-E72D297353CC}">
                <c16:uniqueId val="{00000017-D37B-46F5-9472-00C8C87DFD04}"/>
              </c:ext>
            </c:extLst>
          </c:dPt>
          <c:dPt>
            <c:idx val="12"/>
            <c:bubble3D val="0"/>
            <c:spPr>
              <a:solidFill>
                <a:srgbClr val="7030A0"/>
              </a:solidFill>
              <a:ln w="19050">
                <a:solidFill>
                  <a:schemeClr val="lt1"/>
                </a:solidFill>
              </a:ln>
              <a:effectLst/>
            </c:spPr>
            <c:extLst>
              <c:ext xmlns:c16="http://schemas.microsoft.com/office/drawing/2014/chart" uri="{C3380CC4-5D6E-409C-BE32-E72D297353CC}">
                <c16:uniqueId val="{00000019-D37B-46F5-9472-00C8C87DFD04}"/>
              </c:ext>
            </c:extLst>
          </c:dPt>
          <c:dPt>
            <c:idx val="13"/>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1B-D37B-46F5-9472-00C8C87DFD04}"/>
              </c:ext>
            </c:extLst>
          </c:dPt>
          <c:dPt>
            <c:idx val="14"/>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1D-D37B-46F5-9472-00C8C87DFD04}"/>
              </c:ext>
            </c:extLst>
          </c:dPt>
          <c:dPt>
            <c:idx val="15"/>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1F-D37B-46F5-9472-00C8C87DFD04}"/>
              </c:ext>
            </c:extLst>
          </c:dPt>
          <c:dLbls>
            <c:dLbl>
              <c:idx val="10"/>
              <c:layout>
                <c:manualLayout>
                  <c:x val="-2.6718923648057506E-2"/>
                  <c:y val="-2.00142281653551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D37B-46F5-9472-00C8C87DFD04}"/>
                </c:ext>
              </c:extLst>
            </c:dLbl>
            <c:dLbl>
              <c:idx val="12"/>
              <c:layout>
                <c:manualLayout>
                  <c:x val="-1.2589755109440222E-2"/>
                  <c:y val="-2.68758085661873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D37B-46F5-9472-00C8C87DFD0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('SVI prihodi 2023 V3 1-12'!$B$161,'SVI prihodi 2023 V3 1-12'!$B$168:$B$180,'SVI prihodi 2023 V3 1-12'!$B$182,'SVI prihodi 2023 V3 1-12'!$B$183)</c:f>
              <c:strCache>
                <c:ptCount val="16"/>
                <c:pt idx="0">
                  <c:v>Stavljanje lijeka u promet</c:v>
                </c:pt>
                <c:pt idx="1">
                  <c:v>Proizvodnja i nadzor</c:v>
                </c:pt>
                <c:pt idx="2">
                  <c:v>Dostupnost lijekova</c:v>
                </c:pt>
                <c:pt idx="3">
                  <c:v>Potrošnja  i cijene lijekova</c:v>
                </c:pt>
                <c:pt idx="4">
                  <c:v>Provjera kakvoće </c:v>
                </c:pt>
                <c:pt idx="5">
                  <c:v>Godišnje pristojbe</c:v>
                </c:pt>
                <c:pt idx="6">
                  <c:v>Medicinski proizvodi</c:v>
                </c:pt>
                <c:pt idx="7">
                  <c:v>Informiranje, edukacije i pružanje stručnih savjeta iz područja djelatnosti HALMED-a</c:v>
                </c:pt>
                <c:pt idx="8">
                  <c:v>Hrvatska farmakopeja</c:v>
                </c:pt>
                <c:pt idx="9">
                  <c:v>Klinička ispitivanja</c:v>
                </c:pt>
                <c:pt idx="10">
                  <c:v>Farmakovigilancija</c:v>
                </c:pt>
                <c:pt idx="11">
                  <c:v>Ocjena u arbitražnom postupku prema ugovoru s EMA-om</c:v>
                </c:pt>
                <c:pt idx="12">
                  <c:v>Davanje znanstvenog savjeta (SAWP) prema ugovoru s EMA-om</c:v>
                </c:pt>
                <c:pt idx="13">
                  <c:v>Veterinarsko-medicinski proizvodi (VMP)</c:v>
                </c:pt>
                <c:pt idx="14">
                  <c:v>Prihodi od projekata (UNICOM, SAFE - CT , Chessmen, EU4H 11, ACCESS)</c:v>
                </c:pt>
                <c:pt idx="15">
                  <c:v>Ostali poslovni prihodi</c:v>
                </c:pt>
              </c:strCache>
            </c:strRef>
          </c:cat>
          <c:val>
            <c:numRef>
              <c:f>('SVI prihodi 2023 V3 1-12'!$G$161,'SVI prihodi 2023 V3 1-12'!$G$168:$G$180,'SVI prihodi 2023 V3 1-12'!$G$182,'SVI prihodi 2023 V3 1-12'!$G$183)</c:f>
              <c:numCache>
                <c:formatCode>0%</c:formatCode>
                <c:ptCount val="16"/>
                <c:pt idx="0">
                  <c:v>0.47223303246815951</c:v>
                </c:pt>
                <c:pt idx="1">
                  <c:v>2.8839882321268988E-2</c:v>
                </c:pt>
                <c:pt idx="2">
                  <c:v>2.9409239702823217E-2</c:v>
                </c:pt>
                <c:pt idx="3" formatCode="0.0%">
                  <c:v>2.9768946587164034E-3</c:v>
                </c:pt>
                <c:pt idx="4">
                  <c:v>7.3459076980508672E-2</c:v>
                </c:pt>
                <c:pt idx="5">
                  <c:v>0.22029507878844334</c:v>
                </c:pt>
                <c:pt idx="6">
                  <c:v>6.632495410089828E-3</c:v>
                </c:pt>
                <c:pt idx="7">
                  <c:v>6.0783017192050466E-3</c:v>
                </c:pt>
                <c:pt idx="8" formatCode="0.00%">
                  <c:v>1.4500027404194905E-4</c:v>
                </c:pt>
                <c:pt idx="9">
                  <c:v>2.4946259196925211E-2</c:v>
                </c:pt>
                <c:pt idx="10">
                  <c:v>4.238621259725818E-2</c:v>
                </c:pt>
                <c:pt idx="11" formatCode="0.0%">
                  <c:v>4.925596258870517E-3</c:v>
                </c:pt>
                <c:pt idx="12">
                  <c:v>3.7676518410300223E-2</c:v>
                </c:pt>
                <c:pt idx="13" formatCode="0.0%">
                  <c:v>1.7635166161207472E-3</c:v>
                </c:pt>
                <c:pt idx="14">
                  <c:v>3.6745562169511713E-2</c:v>
                </c:pt>
                <c:pt idx="15">
                  <c:v>1.1487332427756569E-2</c:v>
                </c:pt>
              </c:numCache>
            </c:numRef>
          </c:val>
          <c:extLst>
            <c:ext xmlns:c16="http://schemas.microsoft.com/office/drawing/2014/chart" uri="{C3380CC4-5D6E-409C-BE32-E72D297353CC}">
              <c16:uniqueId val="{00000020-D37B-46F5-9472-00C8C87DFD04}"/>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1.8018018018018018E-2"/>
          <c:y val="3.8094742944190414E-2"/>
          <c:w val="0.4968181078896326"/>
          <c:h val="0.94855988921303747"/>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988035679516539E-2"/>
          <c:y val="0.34377626024279917"/>
          <c:w val="0.4419886874197036"/>
          <c:h val="0.4355235479621008"/>
        </c:manualLayout>
      </c:layout>
      <c:pieChart>
        <c:varyColors val="1"/>
        <c:ser>
          <c:idx val="0"/>
          <c:order val="0"/>
          <c:dPt>
            <c:idx val="0"/>
            <c:bubble3D val="0"/>
            <c:spPr>
              <a:solidFill>
                <a:srgbClr val="FFFF00"/>
              </a:solidFill>
              <a:ln w="19050">
                <a:solidFill>
                  <a:schemeClr val="lt1"/>
                </a:solidFill>
              </a:ln>
              <a:effectLst/>
            </c:spPr>
            <c:extLst>
              <c:ext xmlns:c16="http://schemas.microsoft.com/office/drawing/2014/chart" uri="{C3380CC4-5D6E-409C-BE32-E72D297353CC}">
                <c16:uniqueId val="{00000001-88BA-405A-96E4-ADEA4F619B9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8BA-405A-96E4-ADEA4F619B9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8BA-405A-96E4-ADEA4F619B9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8BA-405A-96E4-ADEA4F619B9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88BA-405A-96E4-ADEA4F619B9F}"/>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88BA-405A-96E4-ADEA4F619B9F}"/>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88BA-405A-96E4-ADEA4F619B9F}"/>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88BA-405A-96E4-ADEA4F619B9F}"/>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88BA-405A-96E4-ADEA4F619B9F}"/>
              </c:ext>
            </c:extLst>
          </c:dPt>
          <c:dPt>
            <c:idx val="9"/>
            <c:bubble3D val="0"/>
            <c:spPr>
              <a:solidFill>
                <a:srgbClr val="00B0F0"/>
              </a:solidFill>
              <a:ln w="19050">
                <a:solidFill>
                  <a:schemeClr val="lt1"/>
                </a:solidFill>
              </a:ln>
              <a:effectLst/>
            </c:spPr>
            <c:extLst>
              <c:ext xmlns:c16="http://schemas.microsoft.com/office/drawing/2014/chart" uri="{C3380CC4-5D6E-409C-BE32-E72D297353CC}">
                <c16:uniqueId val="{00000013-88BA-405A-96E4-ADEA4F619B9F}"/>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88BA-405A-96E4-ADEA4F619B9F}"/>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88BA-405A-96E4-ADEA4F619B9F}"/>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19-88BA-405A-96E4-ADEA4F619B9F}"/>
              </c:ext>
            </c:extLst>
          </c:dPt>
          <c:dPt>
            <c:idx val="13"/>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1B-88BA-405A-96E4-ADEA4F619B9F}"/>
              </c:ext>
            </c:extLst>
          </c:dPt>
          <c:dPt>
            <c:idx val="14"/>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1D-88BA-405A-96E4-ADEA4F619B9F}"/>
              </c:ext>
            </c:extLst>
          </c:dPt>
          <c:dPt>
            <c:idx val="15"/>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1F-88BA-405A-96E4-ADEA4F619B9F}"/>
              </c:ext>
            </c:extLst>
          </c:dPt>
          <c:dPt>
            <c:idx val="16"/>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21-88BA-405A-96E4-ADEA4F619B9F}"/>
              </c:ext>
            </c:extLst>
          </c:dPt>
          <c:dLbls>
            <c:dLbl>
              <c:idx val="6"/>
              <c:layout>
                <c:manualLayout>
                  <c:x val="4.3564545487270265E-3"/>
                  <c:y val="-4.424045039767255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88BA-405A-96E4-ADEA4F619B9F}"/>
                </c:ext>
              </c:extLst>
            </c:dLbl>
            <c:dLbl>
              <c:idx val="8"/>
              <c:layout>
                <c:manualLayout>
                  <c:x val="3.6886265782072412E-3"/>
                  <c:y val="-7.301585725491676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88BA-405A-96E4-ADEA4F619B9F}"/>
                </c:ext>
              </c:extLst>
            </c:dLbl>
            <c:dLbl>
              <c:idx val="11"/>
              <c:layout>
                <c:manualLayout>
                  <c:x val="-1.2543959733119246E-2"/>
                  <c:y val="2.917754763630586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88BA-405A-96E4-ADEA4F619B9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graf!$C$11:$C$109</c:f>
              <c:strCache>
                <c:ptCount val="17"/>
                <c:pt idx="0">
                  <c:v>Materijalni troškovi</c:v>
                </c:pt>
                <c:pt idx="1">
                  <c:v>Troškovi energije</c:v>
                </c:pt>
                <c:pt idx="2">
                  <c:v>Poštanske, telekomunikacijske i usluge prijevoza</c:v>
                </c:pt>
                <c:pt idx="3">
                  <c:v>Usluge održavanja</c:v>
                </c:pt>
                <c:pt idx="4">
                  <c:v>Bankovne usluge</c:v>
                </c:pt>
                <c:pt idx="5">
                  <c:v>Premije osiguranja </c:v>
                </c:pt>
                <c:pt idx="6">
                  <c:v>Ostali vanjski troškovi</c:v>
                </c:pt>
                <c:pt idx="7">
                  <c:v>Potpore, naknade, prigodne i ostale nagrade</c:v>
                </c:pt>
                <c:pt idx="8">
                  <c:v>Amortizacija</c:v>
                </c:pt>
                <c:pt idx="9">
                  <c:v>Troškovi osoblja - plaće</c:v>
                </c:pt>
                <c:pt idx="10">
                  <c:v>Članarine, nadoknade i slična davanja</c:v>
                </c:pt>
                <c:pt idx="11">
                  <c:v>Naknade troškova radnika, troškovi reprezentacije, donacije i ostali nesp. nematerijalni troškovi</c:v>
                </c:pt>
                <c:pt idx="12">
                  <c:v>Neamort.vrijed.rashod.imovine</c:v>
                </c:pt>
                <c:pt idx="13">
                  <c:v>Troškovi sitnog inventara</c:v>
                </c:pt>
                <c:pt idx="14">
                  <c:v>Vrijednosna usklađivanja kratkotrajnih potraživanja</c:v>
                </c:pt>
                <c:pt idx="15">
                  <c:v>Negativne tečajne razlike</c:v>
                </c:pt>
                <c:pt idx="16">
                  <c:v>Ostali financijski rashodi</c:v>
                </c:pt>
              </c:strCache>
            </c:strRef>
          </c:cat>
          <c:val>
            <c:numRef>
              <c:f>graf!$H$11:$H$109</c:f>
              <c:numCache>
                <c:formatCode>0%</c:formatCode>
                <c:ptCount val="17"/>
                <c:pt idx="0">
                  <c:v>1.6054038080194937E-2</c:v>
                </c:pt>
                <c:pt idx="1">
                  <c:v>1.2532424180592409E-2</c:v>
                </c:pt>
                <c:pt idx="2">
                  <c:v>5.391679488394769E-3</c:v>
                </c:pt>
                <c:pt idx="3">
                  <c:v>0.11660680670366405</c:v>
                </c:pt>
                <c:pt idx="4" formatCode="0.0%">
                  <c:v>8.7492156082402261E-4</c:v>
                </c:pt>
                <c:pt idx="5">
                  <c:v>7.1450007257577563E-3</c:v>
                </c:pt>
                <c:pt idx="6">
                  <c:v>7.6239666839431994E-2</c:v>
                </c:pt>
                <c:pt idx="7">
                  <c:v>4.998921578391613E-2</c:v>
                </c:pt>
                <c:pt idx="8">
                  <c:v>3.3851379958674759E-2</c:v>
                </c:pt>
                <c:pt idx="9">
                  <c:v>0.61063490259478337</c:v>
                </c:pt>
                <c:pt idx="10" formatCode="0.0%">
                  <c:v>1.4782907899341376E-3</c:v>
                </c:pt>
                <c:pt idx="11">
                  <c:v>6.7364010079476871E-2</c:v>
                </c:pt>
                <c:pt idx="12">
                  <c:v>0</c:v>
                </c:pt>
                <c:pt idx="13" formatCode="0.00%">
                  <c:v>3.3631593323729875E-4</c:v>
                </c:pt>
                <c:pt idx="14" formatCode="0.0%">
                  <c:v>8.6428846420976986E-4</c:v>
                </c:pt>
                <c:pt idx="15" formatCode="0.00%">
                  <c:v>4.3318611408913778E-4</c:v>
                </c:pt>
                <c:pt idx="16" formatCode="0.000%">
                  <c:v>2.0387270281879306E-4</c:v>
                </c:pt>
              </c:numCache>
            </c:numRef>
          </c:val>
          <c:extLst>
            <c:ext xmlns:c16="http://schemas.microsoft.com/office/drawing/2014/chart" uri="{C3380CC4-5D6E-409C-BE32-E72D297353CC}">
              <c16:uniqueId val="{00000022-88BA-405A-96E4-ADEA4F619B9F}"/>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50665261207286483"/>
          <c:y val="3.637818444195106E-2"/>
          <c:w val="0.48491181446684101"/>
          <c:h val="0.9409655681438307"/>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75"/>
      <c:rotY val="0"/>
      <c:rAngAx val="0"/>
    </c:view3D>
    <c:floor>
      <c:thickness val="0"/>
    </c:floor>
    <c:sideWall>
      <c:thickness val="0"/>
    </c:sideWall>
    <c:backWall>
      <c:thickness val="0"/>
    </c:backWall>
    <c:plotArea>
      <c:layout/>
      <c:pie3DChart>
        <c:varyColors val="1"/>
        <c:ser>
          <c:idx val="0"/>
          <c:order val="0"/>
          <c:tx>
            <c:strRef>
              <c:f>Sheet1!$B$1</c:f>
              <c:strCache>
                <c:ptCount val="1"/>
                <c:pt idx="0">
                  <c:v>Broj zaposlenika i struktura zaposlenika prema vrsti radnog odnosa</c:v>
                </c:pt>
              </c:strCache>
            </c:strRef>
          </c:tx>
          <c:explosion val="25"/>
          <c:dPt>
            <c:idx val="0"/>
            <c:bubble3D val="0"/>
            <c:explosion val="0"/>
            <c:extLst>
              <c:ext xmlns:c16="http://schemas.microsoft.com/office/drawing/2014/chart" uri="{C3380CC4-5D6E-409C-BE32-E72D297353CC}">
                <c16:uniqueId val="{00000001-4014-4AE4-AEDB-1AD2EFE42EF5}"/>
              </c:ext>
            </c:extLst>
          </c:dPt>
          <c:dPt>
            <c:idx val="1"/>
            <c:bubble3D val="0"/>
            <c:explosion val="0"/>
            <c:extLst>
              <c:ext xmlns:c16="http://schemas.microsoft.com/office/drawing/2014/chart" uri="{C3380CC4-5D6E-409C-BE32-E72D297353CC}">
                <c16:uniqueId val="{00000003-4014-4AE4-AEDB-1AD2EFE42EF5}"/>
              </c:ext>
            </c:extLst>
          </c:dPt>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Sheet1!$A$2:$A$3</c:f>
              <c:strCache>
                <c:ptCount val="2"/>
                <c:pt idx="0">
                  <c:v>zaposleni na neodređeno vrijeme     227 (96%)</c:v>
                </c:pt>
                <c:pt idx="1">
                  <c:v>zaposleni na  određeno vrijeme   9 (4%)</c:v>
                </c:pt>
              </c:strCache>
            </c:strRef>
          </c:cat>
          <c:val>
            <c:numRef>
              <c:f>Sheet1!$B$2:$B$3</c:f>
              <c:numCache>
                <c:formatCode>General</c:formatCode>
                <c:ptCount val="2"/>
                <c:pt idx="0">
                  <c:v>96</c:v>
                </c:pt>
                <c:pt idx="1">
                  <c:v>4</c:v>
                </c:pt>
              </c:numCache>
            </c:numRef>
          </c:val>
          <c:extLst>
            <c:ext xmlns:c16="http://schemas.microsoft.com/office/drawing/2014/chart" uri="{C3380CC4-5D6E-409C-BE32-E72D297353CC}">
              <c16:uniqueId val="{00000004-4014-4AE4-AEDB-1AD2EFE42EF5}"/>
            </c:ext>
          </c:extLst>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75"/>
      <c:rotY val="0"/>
      <c:rAngAx val="0"/>
    </c:view3D>
    <c:floor>
      <c:thickness val="0"/>
    </c:floor>
    <c:sideWall>
      <c:thickness val="0"/>
    </c:sideWall>
    <c:backWall>
      <c:thickness val="0"/>
    </c:backWall>
    <c:plotArea>
      <c:layout>
        <c:manualLayout>
          <c:layoutTarget val="inner"/>
          <c:xMode val="edge"/>
          <c:yMode val="edge"/>
          <c:x val="4.955595522537265E-2"/>
          <c:y val="0.10608841893310374"/>
          <c:w val="0.66862308744633503"/>
          <c:h val="0.78055836009964796"/>
        </c:manualLayout>
      </c:layout>
      <c:pie3DChart>
        <c:varyColors val="1"/>
        <c:ser>
          <c:idx val="0"/>
          <c:order val="0"/>
          <c:tx>
            <c:strRef>
              <c:f>Sheet1!$B$1</c:f>
              <c:strCache>
                <c:ptCount val="1"/>
                <c:pt idx="0">
                  <c:v>struktura zaposlenika prema spolu na dan 30.09.2018. godine</c:v>
                </c:pt>
              </c:strCache>
            </c:strRef>
          </c:tx>
          <c:explosion val="25"/>
          <c:dPt>
            <c:idx val="0"/>
            <c:bubble3D val="0"/>
            <c:explosion val="0"/>
            <c:extLst>
              <c:ext xmlns:c16="http://schemas.microsoft.com/office/drawing/2014/chart" uri="{C3380CC4-5D6E-409C-BE32-E72D297353CC}">
                <c16:uniqueId val="{00000001-B999-4D41-9C13-17D1864676A9}"/>
              </c:ext>
            </c:extLst>
          </c:dPt>
          <c:dPt>
            <c:idx val="1"/>
            <c:bubble3D val="0"/>
            <c:explosion val="0"/>
            <c:extLst>
              <c:ext xmlns:c16="http://schemas.microsoft.com/office/drawing/2014/chart" uri="{C3380CC4-5D6E-409C-BE32-E72D297353CC}">
                <c16:uniqueId val="{00000003-B999-4D41-9C13-17D1864676A9}"/>
              </c:ext>
            </c:extLst>
          </c:dPt>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Sheet1!$A$2:$A$3</c:f>
              <c:strCache>
                <c:ptCount val="2"/>
                <c:pt idx="0">
                  <c:v>žene          178 (75%)</c:v>
                </c:pt>
                <c:pt idx="1">
                  <c:v>muškarci     58 (25%)</c:v>
                </c:pt>
              </c:strCache>
            </c:strRef>
          </c:cat>
          <c:val>
            <c:numRef>
              <c:f>Sheet1!$B$2:$B$3</c:f>
              <c:numCache>
                <c:formatCode>General</c:formatCode>
                <c:ptCount val="2"/>
                <c:pt idx="0">
                  <c:v>178</c:v>
                </c:pt>
                <c:pt idx="1">
                  <c:v>58</c:v>
                </c:pt>
              </c:numCache>
            </c:numRef>
          </c:val>
          <c:extLst>
            <c:ext xmlns:c16="http://schemas.microsoft.com/office/drawing/2014/chart" uri="{C3380CC4-5D6E-409C-BE32-E72D297353CC}">
              <c16:uniqueId val="{00000004-B999-4D41-9C13-17D1864676A9}"/>
            </c:ext>
          </c:extLst>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75"/>
      <c:rotY val="0"/>
      <c:rAngAx val="0"/>
    </c:view3D>
    <c:floor>
      <c:thickness val="0"/>
    </c:floor>
    <c:sideWall>
      <c:thickness val="0"/>
    </c:sideWall>
    <c:backWall>
      <c:thickness val="0"/>
    </c:backWall>
    <c:plotArea>
      <c:layout>
        <c:manualLayout>
          <c:layoutTarget val="inner"/>
          <c:xMode val="edge"/>
          <c:yMode val="edge"/>
          <c:x val="7.8154227200473186E-2"/>
          <c:y val="0.14218116795523705"/>
          <c:w val="0.54956009019999263"/>
          <c:h val="0.71563766408952589"/>
        </c:manualLayout>
      </c:layout>
      <c:pie3DChart>
        <c:varyColors val="1"/>
        <c:ser>
          <c:idx val="0"/>
          <c:order val="0"/>
          <c:tx>
            <c:strRef>
              <c:f>Sheet1!$B$1</c:f>
              <c:strCache>
                <c:ptCount val="1"/>
                <c:pt idx="0">
                  <c:v>struktura zaposlenika prema stručnoj spremi na dan 30.09.2018. godine</c:v>
                </c:pt>
              </c:strCache>
            </c:strRef>
          </c:tx>
          <c:dLbls>
            <c:dLbl>
              <c:idx val="0"/>
              <c:tx>
                <c:rich>
                  <a:bodyPr/>
                  <a:lstStyle/>
                  <a:p>
                    <a:r>
                      <a:rPr lang="en-US"/>
                      <a:t>79%</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5ECB-4D21-B21F-5BBF7E89676A}"/>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Sheet1!$A$2:$A$5</c:f>
              <c:strCache>
                <c:ptCount val="3"/>
                <c:pt idx="0">
                  <c:v>VSS i magistri struke - 185 (79%)</c:v>
                </c:pt>
                <c:pt idx="1">
                  <c:v>VŠS i prvostupnici - 15 (6%)</c:v>
                </c:pt>
                <c:pt idx="2">
                  <c:v>SSS - 36 (15%)</c:v>
                </c:pt>
              </c:strCache>
            </c:strRef>
          </c:cat>
          <c:val>
            <c:numRef>
              <c:f>Sheet1!$B$2:$B$5</c:f>
              <c:numCache>
                <c:formatCode>General</c:formatCode>
                <c:ptCount val="4"/>
                <c:pt idx="0">
                  <c:v>79</c:v>
                </c:pt>
                <c:pt idx="1">
                  <c:v>6</c:v>
                </c:pt>
                <c:pt idx="2">
                  <c:v>16</c:v>
                </c:pt>
              </c:numCache>
            </c:numRef>
          </c:val>
          <c:extLst>
            <c:ext xmlns:c16="http://schemas.microsoft.com/office/drawing/2014/chart" uri="{C3380CC4-5D6E-409C-BE32-E72D297353CC}">
              <c16:uniqueId val="{00000001-5ECB-4D21-B21F-5BBF7E89676A}"/>
            </c:ext>
          </c:extLst>
        </c:ser>
        <c:dLbls>
          <c:showLegendKey val="0"/>
          <c:showVal val="0"/>
          <c:showCatName val="0"/>
          <c:showSerName val="0"/>
          <c:showPercent val="1"/>
          <c:showBubbleSize val="0"/>
          <c:showLeaderLines val="1"/>
        </c:dLbls>
      </c:pie3DChart>
    </c:plotArea>
    <c:legend>
      <c:legendPos val="r"/>
      <c:legendEntry>
        <c:idx val="3"/>
        <c:delete val="1"/>
      </c:legendEntry>
      <c:layout>
        <c:manualLayout>
          <c:xMode val="edge"/>
          <c:yMode val="edge"/>
          <c:x val="0.56979701940414007"/>
          <c:y val="6.3097260307560368E-2"/>
          <c:w val="0.41551573582517543"/>
          <c:h val="0.60586279470638982"/>
        </c:manualLayout>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75"/>
      <c:rotY val="0"/>
      <c:rAngAx val="0"/>
    </c:view3D>
    <c:floor>
      <c:thickness val="0"/>
    </c:floor>
    <c:sideWall>
      <c:thickness val="0"/>
    </c:sideWall>
    <c:backWall>
      <c:thickness val="0"/>
    </c:backWall>
    <c:plotArea>
      <c:layout>
        <c:manualLayout>
          <c:layoutTarget val="inner"/>
          <c:xMode val="edge"/>
          <c:yMode val="edge"/>
          <c:x val="6.6929654626505006E-2"/>
          <c:y val="9.0537199205239519E-2"/>
          <c:w val="0.51814634281825878"/>
          <c:h val="0.80646454239948984"/>
        </c:manualLayout>
      </c:layout>
      <c:pie3DChart>
        <c:varyColors val="1"/>
        <c:ser>
          <c:idx val="0"/>
          <c:order val="0"/>
          <c:tx>
            <c:strRef>
              <c:f>Sheet1!$B$1</c:f>
              <c:strCache>
                <c:ptCount val="1"/>
                <c:pt idx="0">
                  <c:v>Struktura zaposlenih prema smjeru                       stručne spreme
</c:v>
                </c:pt>
              </c:strCache>
            </c:strRef>
          </c:tx>
          <c:explosion val="1"/>
          <c:dLbls>
            <c:dLbl>
              <c:idx val="4"/>
              <c:tx>
                <c:rich>
                  <a:bodyPr/>
                  <a:lstStyle/>
                  <a:p>
                    <a:r>
                      <a:rPr lang="en-US"/>
                      <a:t>9%</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4CAD-438C-B358-EDCF30B0E2EA}"/>
                </c:ext>
              </c:extLst>
            </c:dLbl>
            <c:dLbl>
              <c:idx val="6"/>
              <c:tx>
                <c:rich>
                  <a:bodyPr/>
                  <a:lstStyle/>
                  <a:p>
                    <a:r>
                      <a:rPr lang="en-US"/>
                      <a:t>13%</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4CAD-438C-B358-EDCF30B0E2EA}"/>
                </c:ext>
              </c:extLst>
            </c:dLbl>
            <c:dLbl>
              <c:idx val="7"/>
              <c:tx>
                <c:rich>
                  <a:bodyPr/>
                  <a:lstStyle/>
                  <a:p>
                    <a:r>
                      <a:rPr lang="en-US"/>
                      <a:t>2%</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4CAD-438C-B358-EDCF30B0E2EA}"/>
                </c:ext>
              </c:extLst>
            </c:dLbl>
            <c:dLbl>
              <c:idx val="12"/>
              <c:tx>
                <c:rich>
                  <a:bodyPr/>
                  <a:lstStyle/>
                  <a:p>
                    <a:r>
                      <a:rPr lang="en-US"/>
                      <a:t>3%</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CAD-438C-B358-EDCF30B0E2EA}"/>
                </c:ext>
              </c:extLst>
            </c:dLbl>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Sheet1!$A$2:$A$19</c:f>
              <c:strCache>
                <c:ptCount val="13"/>
                <c:pt idx="0">
                  <c:v>farmacija - 81 = 44%</c:v>
                </c:pt>
                <c:pt idx="1">
                  <c:v>medicina  - 11 =  6%</c:v>
                </c:pt>
                <c:pt idx="2">
                  <c:v>stomatologija - 2 =1%</c:v>
                </c:pt>
                <c:pt idx="3">
                  <c:v>veterina -8 = 4%</c:v>
                </c:pt>
                <c:pt idx="4">
                  <c:v>kemija - 18 =9%</c:v>
                </c:pt>
                <c:pt idx="5">
                  <c:v>biokemija - 4 = 2%</c:v>
                </c:pt>
                <c:pt idx="6">
                  <c:v>biotehnologija-21 = 13%</c:v>
                </c:pt>
                <c:pt idx="7">
                  <c:v>biologija - 5 = 2%</c:v>
                </c:pt>
                <c:pt idx="8">
                  <c:v>informatika i matematika  -9  = 5 %</c:v>
                </c:pt>
                <c:pt idx="9">
                  <c:v>pravo - 7  = 4 %</c:v>
                </c:pt>
                <c:pt idx="10">
                  <c:v>ekonomija - 7 = 4 %</c:v>
                </c:pt>
                <c:pt idx="11">
                  <c:v>politologija i novinarstvo - 6 = 3 %</c:v>
                </c:pt>
                <c:pt idx="12">
                  <c:v>ostalo- 6 = 3 %</c:v>
                </c:pt>
              </c:strCache>
            </c:strRef>
          </c:cat>
          <c:val>
            <c:numRef>
              <c:f>Sheet1!$B$2:$B$14</c:f>
              <c:numCache>
                <c:formatCode>General</c:formatCode>
                <c:ptCount val="13"/>
                <c:pt idx="0">
                  <c:v>81</c:v>
                </c:pt>
                <c:pt idx="1">
                  <c:v>11</c:v>
                </c:pt>
                <c:pt idx="2">
                  <c:v>2</c:v>
                </c:pt>
                <c:pt idx="3">
                  <c:v>8</c:v>
                </c:pt>
                <c:pt idx="4">
                  <c:v>18</c:v>
                </c:pt>
                <c:pt idx="5">
                  <c:v>4</c:v>
                </c:pt>
                <c:pt idx="6">
                  <c:v>21</c:v>
                </c:pt>
                <c:pt idx="7">
                  <c:v>5</c:v>
                </c:pt>
                <c:pt idx="8">
                  <c:v>9</c:v>
                </c:pt>
                <c:pt idx="9">
                  <c:v>7</c:v>
                </c:pt>
                <c:pt idx="10">
                  <c:v>7</c:v>
                </c:pt>
                <c:pt idx="11">
                  <c:v>6</c:v>
                </c:pt>
                <c:pt idx="12">
                  <c:v>6</c:v>
                </c:pt>
              </c:numCache>
            </c:numRef>
          </c:val>
          <c:extLst>
            <c:ext xmlns:c16="http://schemas.microsoft.com/office/drawing/2014/chart" uri="{C3380CC4-5D6E-409C-BE32-E72D297353CC}">
              <c16:uniqueId val="{00000004-4CAD-438C-B358-EDCF30B0E2EA}"/>
            </c:ext>
          </c:extLst>
        </c:ser>
        <c:dLbls>
          <c:showLegendKey val="0"/>
          <c:showVal val="0"/>
          <c:showCatName val="0"/>
          <c:showSerName val="0"/>
          <c:showPercent val="1"/>
          <c:showBubbleSize val="0"/>
          <c:showLeaderLines val="0"/>
        </c:dLbls>
      </c:pie3DChart>
    </c:plotArea>
    <c:legend>
      <c:legendPos val="r"/>
      <c:layout>
        <c:manualLayout>
          <c:xMode val="edge"/>
          <c:yMode val="edge"/>
          <c:x val="0.61457115328938317"/>
          <c:y val="0"/>
          <c:w val="0.37122096654801878"/>
          <c:h val="0.97455199052499397"/>
        </c:manualLayout>
      </c:layout>
      <c:overlay val="0"/>
    </c:legend>
    <c:plotVisOnly val="1"/>
    <c:dispBlanksAs val="gap"/>
    <c:showDLblsOverMax val="0"/>
  </c:chart>
  <c:spPr>
    <a:ln>
      <a:prstDash val="solid"/>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hr-HR" sz="1400"/>
              <a:t>Ostvarenje prihoda</a:t>
            </a: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sr-Latn-RS"/>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5796981627296589"/>
          <c:y val="0.19432888597258677"/>
          <c:w val="0.8142524059492563"/>
          <c:h val="0.59236840186643336"/>
        </c:manualLayout>
      </c:layout>
      <c:bar3DChart>
        <c:barDir val="col"/>
        <c:grouping val="clustered"/>
        <c:varyColors val="0"/>
        <c:ser>
          <c:idx val="0"/>
          <c:order val="0"/>
          <c:tx>
            <c:strRef>
              <c:f>Sheet1!$B$6</c:f>
              <c:strCache>
                <c:ptCount val="1"/>
                <c:pt idx="0">
                  <c:v>Prihodi od nacionalnih poslova</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dLbl>
              <c:idx val="0"/>
              <c:layout>
                <c:manualLayout>
                  <c:x val="6.3888888888888884E-2"/>
                  <c:y val="-1.851851851851851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5E58-46C5-B764-8344374E0951}"/>
                </c:ext>
              </c:extLst>
            </c:dLbl>
            <c:dLbl>
              <c:idx val="1"/>
              <c:layout>
                <c:manualLayout>
                  <c:x val="5.2777777777777674E-2"/>
                  <c:y val="-2.3148148148148147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dk1">
                          <a:lumMod val="75000"/>
                          <a:lumOff val="25000"/>
                        </a:schemeClr>
                      </a:solidFill>
                      <a:latin typeface="+mn-lt"/>
                      <a:ea typeface="+mn-ea"/>
                      <a:cs typeface="+mn-cs"/>
                    </a:defRPr>
                  </a:pPr>
                  <a:endParaRPr lang="sr-Latn-RS"/>
                </a:p>
              </c:txPr>
              <c:showLegendKey val="0"/>
              <c:showVal val="1"/>
              <c:showCatName val="0"/>
              <c:showSerName val="0"/>
              <c:showPercent val="0"/>
              <c:showBubbleSize val="0"/>
              <c:extLst>
                <c:ext xmlns:c15="http://schemas.microsoft.com/office/drawing/2012/chart" uri="{CE6537A1-D6FC-4f65-9D91-7224C49458BB}">
                  <c15:layout>
                    <c:manualLayout>
                      <c:w val="0.13061111111111112"/>
                      <c:h val="4.1597404491105279E-2"/>
                    </c:manualLayout>
                  </c15:layout>
                </c:ext>
                <c:ext xmlns:c16="http://schemas.microsoft.com/office/drawing/2014/chart" uri="{C3380CC4-5D6E-409C-BE32-E72D297353CC}">
                  <c16:uniqueId val="{00000001-5E58-46C5-B764-8344374E095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Sheet1!$C$5:$D$5</c:f>
              <c:strCache>
                <c:ptCount val="2"/>
                <c:pt idx="0">
                  <c:v>PLANIRANO</c:v>
                </c:pt>
                <c:pt idx="1">
                  <c:v>OSTVARENO</c:v>
                </c:pt>
              </c:strCache>
            </c:strRef>
          </c:cat>
          <c:val>
            <c:numRef>
              <c:f>Sheet1!$C$6:$D$6</c:f>
              <c:numCache>
                <c:formatCode>#,##0</c:formatCode>
                <c:ptCount val="2"/>
                <c:pt idx="0">
                  <c:v>9612985</c:v>
                </c:pt>
                <c:pt idx="1">
                  <c:v>9527343</c:v>
                </c:pt>
              </c:numCache>
            </c:numRef>
          </c:val>
          <c:extLst>
            <c:ext xmlns:c16="http://schemas.microsoft.com/office/drawing/2014/chart" uri="{C3380CC4-5D6E-409C-BE32-E72D297353CC}">
              <c16:uniqueId val="{00000002-5E58-46C5-B764-8344374E0951}"/>
            </c:ext>
          </c:extLst>
        </c:ser>
        <c:ser>
          <c:idx val="1"/>
          <c:order val="1"/>
          <c:tx>
            <c:strRef>
              <c:f>Sheet1!$B$7</c:f>
              <c:strCache>
                <c:ptCount val="1"/>
                <c:pt idx="0">
                  <c:v>Prihodi od europskih poslova i projekata</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dLbls>
            <c:dLbl>
              <c:idx val="0"/>
              <c:layout>
                <c:manualLayout>
                  <c:x val="4.4444444444444446E-2"/>
                  <c:y val="-3.240740740740748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5E58-46C5-B764-8344374E0951}"/>
                </c:ext>
              </c:extLst>
            </c:dLbl>
            <c:dLbl>
              <c:idx val="1"/>
              <c:layout>
                <c:manualLayout>
                  <c:x val="3.3333333333333333E-2"/>
                  <c:y val="-3.240740740740748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5E58-46C5-B764-8344374E095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sr-Latn-RS"/>
              </a:p>
            </c:txPr>
            <c:showLegendKey val="0"/>
            <c:showVal val="0"/>
            <c:showCatName val="0"/>
            <c:showSerName val="0"/>
            <c:showPercent val="0"/>
            <c:showBubbleSize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Sheet1!$C$5:$D$5</c:f>
              <c:strCache>
                <c:ptCount val="2"/>
                <c:pt idx="0">
                  <c:v>PLANIRANO</c:v>
                </c:pt>
                <c:pt idx="1">
                  <c:v>OSTVARENO</c:v>
                </c:pt>
              </c:strCache>
            </c:strRef>
          </c:cat>
          <c:val>
            <c:numRef>
              <c:f>Sheet1!$C$7:$D$7</c:f>
              <c:numCache>
                <c:formatCode>#,##0</c:formatCode>
                <c:ptCount val="2"/>
                <c:pt idx="0">
                  <c:v>3163884</c:v>
                </c:pt>
                <c:pt idx="1">
                  <c:v>3231535</c:v>
                </c:pt>
              </c:numCache>
            </c:numRef>
          </c:val>
          <c:extLst>
            <c:ext xmlns:c16="http://schemas.microsoft.com/office/drawing/2014/chart" uri="{C3380CC4-5D6E-409C-BE32-E72D297353CC}">
              <c16:uniqueId val="{00000005-5E58-46C5-B764-8344374E0951}"/>
            </c:ext>
          </c:extLst>
        </c:ser>
        <c:dLbls>
          <c:showLegendKey val="0"/>
          <c:showVal val="0"/>
          <c:showCatName val="0"/>
          <c:showSerName val="0"/>
          <c:showPercent val="0"/>
          <c:showBubbleSize val="0"/>
        </c:dLbls>
        <c:gapWidth val="65"/>
        <c:shape val="box"/>
        <c:axId val="1007800608"/>
        <c:axId val="1007799360"/>
        <c:axId val="0"/>
      </c:bar3DChart>
      <c:catAx>
        <c:axId val="100780060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sr-Latn-RS"/>
          </a:p>
        </c:txPr>
        <c:crossAx val="1007799360"/>
        <c:crosses val="autoZero"/>
        <c:auto val="1"/>
        <c:lblAlgn val="ctr"/>
        <c:lblOffset val="100"/>
        <c:noMultiLvlLbl val="0"/>
      </c:catAx>
      <c:valAx>
        <c:axId val="1007799360"/>
        <c:scaling>
          <c:orientation val="minMax"/>
        </c:scaling>
        <c:delete val="0"/>
        <c:axPos val="l"/>
        <c:majorGridlines>
          <c:spPr>
            <a:ln w="9525" cap="flat" cmpd="sng" algn="ctr">
              <a:solidFill>
                <a:schemeClr val="dk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r-Latn-RS"/>
          </a:p>
        </c:txPr>
        <c:crossAx val="1007800608"/>
        <c:crosses val="autoZero"/>
        <c:crossBetween val="between"/>
      </c:valAx>
      <c:spPr>
        <a:noFill/>
        <a:ln>
          <a:noFill/>
        </a:ln>
        <a:effectLst/>
      </c:spPr>
    </c:plotArea>
    <c:legend>
      <c:legendPos val="b"/>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r-Latn-R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EE22B-CDFD-4194-8873-643B1B4AF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179</Pages>
  <Words>64271</Words>
  <Characters>366349</Characters>
  <Application>Microsoft Office Word</Application>
  <DocSecurity>0</DocSecurity>
  <Lines>3052</Lines>
  <Paragraphs>859</Paragraphs>
  <ScaleCrop>false</ScaleCrop>
  <HeadingPairs>
    <vt:vector size="2" baseType="variant">
      <vt:variant>
        <vt:lpstr>Title</vt:lpstr>
      </vt:variant>
      <vt:variant>
        <vt:i4>1</vt:i4>
      </vt:variant>
    </vt:vector>
  </HeadingPairs>
  <TitlesOfParts>
    <vt:vector size="1" baseType="lpstr">
      <vt:lpstr/>
    </vt:vector>
  </TitlesOfParts>
  <Company>Halmed</Company>
  <LinksUpToDate>false</LinksUpToDate>
  <CharactersWithSpaces>429761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Došlić</dc:creator>
  <cp:keywords/>
  <dc:description/>
  <cp:lastModifiedBy>Mirela Koren Bunić</cp:lastModifiedBy>
  <cp:revision>7</cp:revision>
  <cp:lastPrinted>2024-05-13T13:55:00Z</cp:lastPrinted>
  <dcterms:created xsi:type="dcterms:W3CDTF">2024-04-26T13:13:00Z</dcterms:created>
  <dcterms:modified xsi:type="dcterms:W3CDTF">2024-07-12T09:00:00Z</dcterms:modified>
</cp:coreProperties>
</file>